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D1E1D7">
      <w:pPr>
        <w:pStyle w:val="32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highlight w:val="none"/>
          <w:lang w:eastAsia="zh-CN"/>
        </w:rPr>
      </w:pPr>
    </w:p>
    <w:p w14:paraId="0E59CDBD">
      <w:pPr>
        <w:pStyle w:val="32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cs="Times New Roman"/>
          <w:b/>
          <w:bCs/>
          <w:color w:val="auto"/>
          <w:sz w:val="52"/>
          <w:szCs w:val="52"/>
          <w:highlight w:val="none"/>
          <w:lang w:eastAsia="zh-CN"/>
        </w:rPr>
      </w:pPr>
      <w:r>
        <w:rPr>
          <w:rFonts w:hint="eastAsia" w:cs="Times New Roman"/>
          <w:b/>
          <w:bCs/>
          <w:color w:val="auto"/>
          <w:spacing w:val="-23"/>
          <w:sz w:val="52"/>
          <w:highlight w:val="none"/>
          <w:lang w:eastAsia="zh-CN"/>
        </w:rPr>
        <w:t>承德天宝矿业集团大昌矿业有限公司东北沟排土场建设项目</w:t>
      </w:r>
      <w:r>
        <w:rPr>
          <w:rFonts w:hint="default" w:ascii="Times New Roman" w:hAnsi="Times New Roman" w:eastAsia="宋体" w:cs="Times New Roman"/>
          <w:b/>
          <w:bCs/>
          <w:color w:val="auto"/>
          <w:spacing w:val="-23"/>
          <w:kern w:val="2"/>
          <w:sz w:val="52"/>
          <w:szCs w:val="20"/>
          <w:highlight w:val="none"/>
          <w:lang w:val="en-US" w:eastAsia="zh-CN" w:bidi="ar-SA"/>
        </w:rPr>
        <w:t>环境</w:t>
      </w:r>
      <w:r>
        <w:rPr>
          <w:rFonts w:hint="default" w:ascii="Times New Roman" w:hAnsi="Times New Roman" w:cs="Times New Roman"/>
          <w:b/>
          <w:bCs/>
          <w:color w:val="auto"/>
          <w:spacing w:val="-23"/>
          <w:sz w:val="52"/>
          <w:szCs w:val="52"/>
          <w:highlight w:val="none"/>
          <w:lang w:eastAsia="zh-CN"/>
        </w:rPr>
        <w:t>影响报告书</w:t>
      </w:r>
      <w:r>
        <w:rPr>
          <w:rFonts w:hint="eastAsia" w:ascii="Times New Roman" w:hAnsi="Times New Roman" w:cs="Times New Roman"/>
          <w:b/>
          <w:bCs/>
          <w:color w:val="auto"/>
          <w:sz w:val="52"/>
          <w:szCs w:val="52"/>
          <w:highlight w:val="none"/>
          <w:lang w:eastAsia="zh-CN"/>
        </w:rPr>
        <w:t>（</w:t>
      </w:r>
      <w:r>
        <w:rPr>
          <w:rFonts w:hint="eastAsia" w:cs="Times New Roman"/>
          <w:b/>
          <w:bCs/>
          <w:color w:val="auto"/>
          <w:sz w:val="52"/>
          <w:szCs w:val="52"/>
          <w:highlight w:val="none"/>
          <w:lang w:val="en-US" w:eastAsia="zh-CN"/>
        </w:rPr>
        <w:t>报批版</w:t>
      </w:r>
      <w:r>
        <w:rPr>
          <w:rFonts w:hint="eastAsia" w:ascii="Times New Roman" w:hAnsi="Times New Roman" w:cs="Times New Roman"/>
          <w:b/>
          <w:bCs/>
          <w:color w:val="auto"/>
          <w:sz w:val="52"/>
          <w:szCs w:val="52"/>
          <w:highlight w:val="none"/>
          <w:lang w:eastAsia="zh-CN"/>
        </w:rPr>
        <w:t>）</w:t>
      </w:r>
    </w:p>
    <w:p w14:paraId="2AFC6D11">
      <w:pPr>
        <w:jc w:val="center"/>
        <w:rPr>
          <w:rFonts w:hint="eastAsia" w:ascii="Times New Roman" w:hAnsi="Times New Roman" w:cs="Times New Roman"/>
          <w:b/>
          <w:bCs/>
          <w:color w:val="auto"/>
          <w:sz w:val="52"/>
          <w:szCs w:val="52"/>
          <w:highlight w:val="none"/>
          <w:lang w:eastAsia="zh-CN"/>
        </w:rPr>
      </w:pPr>
    </w:p>
    <w:p w14:paraId="0E9B27A7">
      <w:pPr>
        <w:jc w:val="center"/>
        <w:rPr>
          <w:rFonts w:hint="eastAsia" w:ascii="Times New Roman" w:hAnsi="Times New Roman" w:cs="Times New Roman"/>
          <w:b/>
          <w:bCs/>
          <w:color w:val="auto"/>
          <w:sz w:val="52"/>
          <w:szCs w:val="52"/>
          <w:highlight w:val="none"/>
          <w:lang w:eastAsia="zh-CN"/>
        </w:rPr>
      </w:pPr>
    </w:p>
    <w:p w14:paraId="62319A5E">
      <w:pPr>
        <w:jc w:val="center"/>
        <w:rPr>
          <w:rFonts w:hint="eastAsia" w:ascii="Times New Roman" w:hAnsi="Times New Roman" w:cs="Times New Roman"/>
          <w:b/>
          <w:bCs/>
          <w:color w:val="auto"/>
          <w:sz w:val="52"/>
          <w:szCs w:val="52"/>
          <w:highlight w:val="none"/>
          <w:lang w:eastAsia="zh-CN"/>
        </w:rPr>
      </w:pPr>
    </w:p>
    <w:p w14:paraId="1F6C7C13">
      <w:pPr>
        <w:jc w:val="center"/>
        <w:rPr>
          <w:rFonts w:hint="eastAsia" w:ascii="Times New Roman" w:hAnsi="Times New Roman" w:cs="Times New Roman"/>
          <w:b/>
          <w:bCs/>
          <w:color w:val="auto"/>
          <w:sz w:val="52"/>
          <w:szCs w:val="52"/>
          <w:highlight w:val="none"/>
          <w:lang w:eastAsia="zh-CN"/>
        </w:rPr>
      </w:pPr>
    </w:p>
    <w:p w14:paraId="5005C716">
      <w:pPr>
        <w:jc w:val="center"/>
        <w:rPr>
          <w:rFonts w:hint="eastAsia" w:ascii="Times New Roman" w:hAnsi="Times New Roman" w:cs="Times New Roman"/>
          <w:b/>
          <w:bCs/>
          <w:color w:val="auto"/>
          <w:sz w:val="52"/>
          <w:szCs w:val="52"/>
          <w:highlight w:val="none"/>
          <w:lang w:eastAsia="zh-CN"/>
        </w:rPr>
      </w:pPr>
    </w:p>
    <w:p w14:paraId="5AEB90A1">
      <w:pPr>
        <w:jc w:val="center"/>
        <w:rPr>
          <w:rFonts w:hint="eastAsia" w:ascii="Times New Roman" w:hAnsi="Times New Roman" w:cs="Times New Roman"/>
          <w:b/>
          <w:bCs/>
          <w:color w:val="auto"/>
          <w:sz w:val="52"/>
          <w:szCs w:val="52"/>
          <w:highlight w:val="none"/>
          <w:lang w:eastAsia="zh-CN"/>
        </w:rPr>
      </w:pPr>
    </w:p>
    <w:p w14:paraId="4BB9FFE5">
      <w:pPr>
        <w:jc w:val="center"/>
        <w:rPr>
          <w:rFonts w:hint="eastAsia" w:ascii="Times New Roman" w:hAnsi="Times New Roman" w:cs="Times New Roman"/>
          <w:b/>
          <w:bCs/>
          <w:color w:val="auto"/>
          <w:sz w:val="52"/>
          <w:szCs w:val="52"/>
          <w:highlight w:val="none"/>
          <w:lang w:eastAsia="zh-CN"/>
        </w:rPr>
      </w:pPr>
    </w:p>
    <w:p w14:paraId="74328C0E">
      <w:pPr>
        <w:jc w:val="center"/>
        <w:rPr>
          <w:rFonts w:hint="eastAsia" w:ascii="Times New Roman" w:hAnsi="Times New Roman" w:cs="Times New Roman"/>
          <w:b/>
          <w:bCs/>
          <w:color w:val="auto"/>
          <w:sz w:val="52"/>
          <w:szCs w:val="52"/>
          <w:highlight w:val="none"/>
          <w:lang w:eastAsia="zh-CN"/>
        </w:rPr>
      </w:pPr>
    </w:p>
    <w:p w14:paraId="01A06C47">
      <w:pPr>
        <w:jc w:val="center"/>
        <w:rPr>
          <w:rFonts w:hint="eastAsia" w:ascii="Times New Roman" w:hAnsi="Times New Roman" w:cs="Times New Roman"/>
          <w:b/>
          <w:bCs/>
          <w:color w:val="auto"/>
          <w:sz w:val="52"/>
          <w:szCs w:val="52"/>
          <w:highlight w:val="none"/>
          <w:lang w:eastAsia="zh-CN"/>
        </w:rPr>
      </w:pPr>
    </w:p>
    <w:p w14:paraId="75E1C6EF">
      <w:pPr>
        <w:jc w:val="center"/>
        <w:rPr>
          <w:rFonts w:hint="eastAsia" w:ascii="Times New Roman" w:hAnsi="Times New Roman" w:cs="Times New Roman"/>
          <w:b/>
          <w:bCs/>
          <w:color w:val="auto"/>
          <w:sz w:val="52"/>
          <w:szCs w:val="52"/>
          <w:highlight w:val="none"/>
          <w:lang w:eastAsia="zh-CN"/>
        </w:rPr>
      </w:pPr>
    </w:p>
    <w:p w14:paraId="5B6A1465">
      <w:pPr>
        <w:jc w:val="center"/>
        <w:rPr>
          <w:rFonts w:hint="eastAsia" w:ascii="Times New Roman" w:hAnsi="Times New Roman" w:cs="Times New Roman"/>
          <w:b/>
          <w:bCs/>
          <w:color w:val="auto"/>
          <w:sz w:val="52"/>
          <w:szCs w:val="52"/>
          <w:highlight w:val="none"/>
          <w:lang w:eastAsia="zh-CN"/>
        </w:rPr>
      </w:pPr>
    </w:p>
    <w:p w14:paraId="685540DA">
      <w:pPr>
        <w:jc w:val="center"/>
        <w:rPr>
          <w:rFonts w:hint="eastAsia" w:ascii="Times New Roman" w:hAnsi="Times New Roman" w:cs="Times New Roman"/>
          <w:b/>
          <w:bCs/>
          <w:color w:val="auto"/>
          <w:sz w:val="52"/>
          <w:szCs w:val="52"/>
          <w:highlight w:val="none"/>
          <w:lang w:eastAsia="zh-CN"/>
        </w:rPr>
      </w:pPr>
    </w:p>
    <w:p w14:paraId="63B77560">
      <w:pPr>
        <w:jc w:val="center"/>
        <w:rPr>
          <w:rFonts w:hint="eastAsia" w:ascii="Times New Roman" w:hAnsi="Times New Roman" w:eastAsia="宋体" w:cs="Times New Roman"/>
          <w:b/>
          <w:color w:val="000000"/>
          <w:sz w:val="32"/>
          <w:szCs w:val="32"/>
          <w:highlight w:val="none"/>
          <w:lang w:eastAsia="zh-CN"/>
        </w:rPr>
      </w:pPr>
      <w:r>
        <w:rPr>
          <w:rFonts w:hint="default" w:ascii="Times New Roman" w:hAnsi="Times New Roman" w:cs="Times New Roman"/>
          <w:b/>
          <w:color w:val="000000"/>
          <w:sz w:val="32"/>
          <w:szCs w:val="32"/>
          <w:highlight w:val="none"/>
        </w:rPr>
        <w:t>建设单位：</w:t>
      </w:r>
      <w:r>
        <w:rPr>
          <w:rFonts w:hint="eastAsia" w:cs="Times New Roman"/>
          <w:b/>
          <w:color w:val="000000"/>
          <w:sz w:val="32"/>
          <w:szCs w:val="32"/>
          <w:highlight w:val="none"/>
          <w:lang w:eastAsia="zh-CN"/>
        </w:rPr>
        <w:t>承德天宝矿业集团大昌矿业有限公司</w:t>
      </w:r>
    </w:p>
    <w:p w14:paraId="5EF6FCE7">
      <w:pPr>
        <w:jc w:val="center"/>
        <w:rPr>
          <w:rFonts w:hint="eastAsia" w:ascii="Times New Roman" w:hAnsi="Times New Roman" w:eastAsia="宋体" w:cs="Times New Roman"/>
          <w:b/>
          <w:color w:val="000000"/>
          <w:sz w:val="32"/>
          <w:szCs w:val="32"/>
          <w:highlight w:val="none"/>
          <w:lang w:eastAsia="zh-CN"/>
        </w:rPr>
      </w:pPr>
      <w:r>
        <w:rPr>
          <w:rFonts w:hint="default" w:ascii="Times New Roman" w:hAnsi="Times New Roman" w:cs="Times New Roman"/>
          <w:b/>
          <w:color w:val="000000"/>
          <w:sz w:val="32"/>
          <w:szCs w:val="32"/>
          <w:highlight w:val="none"/>
        </w:rPr>
        <w:t>评价单位：</w:t>
      </w:r>
      <w:r>
        <w:rPr>
          <w:rFonts w:hint="eastAsia" w:cs="Times New Roman"/>
          <w:b/>
          <w:color w:val="000000"/>
          <w:sz w:val="32"/>
          <w:szCs w:val="32"/>
          <w:highlight w:val="none"/>
          <w:lang w:eastAsia="zh-CN"/>
        </w:rPr>
        <w:t>承德升泰环保服务有限公司</w:t>
      </w:r>
    </w:p>
    <w:p w14:paraId="61FE101E">
      <w:pPr>
        <w:jc w:val="center"/>
        <w:rPr>
          <w:rFonts w:hint="default" w:ascii="Times New Roman" w:hAnsi="Times New Roman" w:cs="Times New Roman"/>
          <w:b/>
          <w:color w:val="000000"/>
          <w:sz w:val="32"/>
          <w:szCs w:val="32"/>
          <w:highlight w:val="none"/>
        </w:rPr>
      </w:pPr>
      <w:r>
        <w:rPr>
          <w:rFonts w:hint="default" w:ascii="Times New Roman" w:hAnsi="Times New Roman" w:cs="Times New Roman"/>
          <w:b/>
          <w:color w:val="000000"/>
          <w:sz w:val="32"/>
          <w:szCs w:val="32"/>
          <w:highlight w:val="none"/>
        </w:rPr>
        <w:t>编制日期：202</w:t>
      </w:r>
      <w:r>
        <w:rPr>
          <w:rFonts w:hint="eastAsia" w:cs="Times New Roman"/>
          <w:b/>
          <w:color w:val="000000"/>
          <w:sz w:val="32"/>
          <w:szCs w:val="32"/>
          <w:highlight w:val="none"/>
          <w:lang w:val="en-US" w:eastAsia="zh-CN"/>
        </w:rPr>
        <w:t>5</w:t>
      </w:r>
      <w:r>
        <w:rPr>
          <w:rFonts w:hint="default" w:ascii="Times New Roman" w:hAnsi="Times New Roman" w:cs="Times New Roman"/>
          <w:b/>
          <w:color w:val="000000"/>
          <w:sz w:val="32"/>
          <w:szCs w:val="32"/>
          <w:highlight w:val="none"/>
        </w:rPr>
        <w:t>年</w:t>
      </w:r>
      <w:r>
        <w:rPr>
          <w:rFonts w:hint="eastAsia" w:cs="Times New Roman"/>
          <w:b/>
          <w:color w:val="000000"/>
          <w:sz w:val="32"/>
          <w:szCs w:val="32"/>
          <w:highlight w:val="none"/>
          <w:lang w:val="en-US" w:eastAsia="zh-CN"/>
        </w:rPr>
        <w:t>4</w:t>
      </w:r>
      <w:r>
        <w:rPr>
          <w:rFonts w:hint="default" w:ascii="Times New Roman" w:hAnsi="Times New Roman" w:cs="Times New Roman"/>
          <w:b/>
          <w:color w:val="000000"/>
          <w:sz w:val="32"/>
          <w:szCs w:val="32"/>
          <w:highlight w:val="none"/>
        </w:rPr>
        <w:t>月</w:t>
      </w:r>
    </w:p>
    <w:p w14:paraId="19A1796F">
      <w:pPr>
        <w:rPr>
          <w:rFonts w:hint="default" w:ascii="Times New Roman" w:hAnsi="Times New Roman" w:cs="Times New Roman"/>
          <w:b/>
          <w:color w:val="000000"/>
          <w:sz w:val="32"/>
          <w:szCs w:val="32"/>
          <w:highlight w:val="none"/>
        </w:rPr>
      </w:pPr>
      <w:r>
        <w:rPr>
          <w:rFonts w:hint="default" w:ascii="Times New Roman" w:hAnsi="Times New Roman" w:cs="Times New Roman"/>
          <w:b/>
          <w:color w:val="000000"/>
          <w:sz w:val="32"/>
          <w:szCs w:val="32"/>
          <w:highlight w:val="none"/>
        </w:rPr>
        <w:br w:type="page"/>
      </w:r>
    </w:p>
    <w:p w14:paraId="2167A33F">
      <w:pPr>
        <w:jc w:val="center"/>
        <w:rPr>
          <w:rFonts w:hint="default" w:ascii="Times New Roman" w:hAnsi="Times New Roman" w:cs="Times New Roman"/>
          <w:b/>
          <w:color w:val="000000"/>
          <w:sz w:val="32"/>
          <w:szCs w:val="32"/>
          <w:highlight w:val="none"/>
        </w:rPr>
        <w:sectPr>
          <w:headerReference r:id="rId3" w:type="default"/>
          <w:footerReference r:id="rId4" w:type="default"/>
          <w:pgSz w:w="11906" w:h="16838"/>
          <w:pgMar w:top="1440" w:right="1757" w:bottom="1440" w:left="1757" w:header="851" w:footer="992" w:gutter="0"/>
          <w:pgBorders w:offsetFrom="page">
            <w:top w:val="none" w:sz="0" w:space="0"/>
            <w:left w:val="none" w:sz="0" w:space="0"/>
            <w:bottom w:val="none" w:sz="0" w:space="0"/>
            <w:right w:val="none" w:sz="0" w:space="0"/>
          </w:pgBorders>
          <w:pgNumType w:fmt="upperRoman" w:start="1"/>
          <w:cols w:space="720" w:num="1"/>
          <w:docGrid w:type="lines" w:linePitch="312" w:charSpace="0"/>
        </w:sectPr>
      </w:pPr>
      <w:r>
        <w:rPr>
          <w:rFonts w:hint="default" w:ascii="Times New Roman" w:hAnsi="Times New Roman" w:cs="Times New Roman"/>
          <w:b/>
          <w:color w:val="000000"/>
          <w:sz w:val="32"/>
          <w:szCs w:val="32"/>
          <w:highlight w:val="none"/>
        </w:rPr>
        <w:br w:type="page"/>
      </w:r>
    </w:p>
    <w:p w14:paraId="344D0C51">
      <w:pPr>
        <w:jc w:val="center"/>
        <w:rPr>
          <w:rFonts w:hint="default" w:ascii="Times New Roman" w:hAnsi="Times New Roman" w:cs="Times New Roman"/>
          <w:b/>
          <w:color w:val="000000"/>
          <w:sz w:val="32"/>
          <w:szCs w:val="32"/>
          <w:highlight w:val="none"/>
        </w:rPr>
      </w:pPr>
      <w:r>
        <w:rPr>
          <w:rFonts w:hint="default" w:ascii="Times New Roman" w:hAnsi="Times New Roman" w:cs="Times New Roman"/>
          <w:b/>
          <w:color w:val="000000"/>
          <w:sz w:val="32"/>
          <w:szCs w:val="32"/>
          <w:highlight w:val="none"/>
        </w:rPr>
        <w:t>目  录</w:t>
      </w:r>
    </w:p>
    <w:p w14:paraId="76753BE6">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TOC \o "1-2" \h \u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_Toc9142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第1章 </w:t>
      </w:r>
      <w:r>
        <w:rPr>
          <w:rFonts w:hint="default" w:ascii="Times New Roman" w:hAnsi="Times New Roman" w:cs="Times New Roman"/>
          <w:sz w:val="24"/>
          <w:szCs w:val="24"/>
          <w:highlight w:val="none"/>
        </w:rPr>
        <w:t>概述</w:t>
      </w:r>
      <w:r>
        <w:rPr>
          <w:sz w:val="24"/>
          <w:szCs w:val="24"/>
          <w:highlight w:val="none"/>
        </w:rPr>
        <w:tab/>
      </w:r>
      <w:r>
        <w:rPr>
          <w:sz w:val="24"/>
          <w:szCs w:val="24"/>
          <w:highlight w:val="none"/>
        </w:rPr>
        <w:fldChar w:fldCharType="begin"/>
      </w:r>
      <w:r>
        <w:rPr>
          <w:sz w:val="24"/>
          <w:szCs w:val="24"/>
          <w:highlight w:val="none"/>
        </w:rPr>
        <w:instrText xml:space="preserve"> PAGEREF _Toc9142 \h </w:instrText>
      </w:r>
      <w:r>
        <w:rPr>
          <w:sz w:val="24"/>
          <w:szCs w:val="24"/>
          <w:highlight w:val="none"/>
        </w:rPr>
        <w:fldChar w:fldCharType="separate"/>
      </w:r>
      <w:r>
        <w:rPr>
          <w:sz w:val="24"/>
          <w:szCs w:val="24"/>
          <w:highlight w:val="none"/>
        </w:rPr>
        <w:t>1</w:t>
      </w:r>
      <w:r>
        <w:rPr>
          <w:sz w:val="24"/>
          <w:szCs w:val="24"/>
          <w:highlight w:val="none"/>
        </w:rPr>
        <w:fldChar w:fldCharType="end"/>
      </w:r>
      <w:r>
        <w:rPr>
          <w:rFonts w:hint="default" w:ascii="Times New Roman" w:hAnsi="Times New Roman" w:cs="Times New Roman"/>
          <w:sz w:val="24"/>
          <w:szCs w:val="32"/>
          <w:highlight w:val="none"/>
        </w:rPr>
        <w:fldChar w:fldCharType="end"/>
      </w:r>
    </w:p>
    <w:p w14:paraId="236363F2">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_Toc6197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kern w:val="2"/>
          <w:sz w:val="24"/>
          <w:szCs w:val="36"/>
          <w:highlight w:val="none"/>
          <w:lang w:val="en-US" w:eastAsia="zh-CN" w:bidi="ar-SA"/>
        </w:rPr>
        <w:t xml:space="preserve">1.1 </w:t>
      </w:r>
      <w:r>
        <w:rPr>
          <w:rFonts w:hint="default" w:ascii="Times New Roman" w:hAnsi="Times New Roman" w:eastAsia="宋体" w:cs="Times New Roman"/>
          <w:kern w:val="2"/>
          <w:sz w:val="24"/>
          <w:szCs w:val="36"/>
          <w:highlight w:val="none"/>
          <w:lang w:val="en-US" w:eastAsia="zh-CN" w:bidi="ar-SA"/>
        </w:rPr>
        <w:t>建设项目</w:t>
      </w:r>
      <w:r>
        <w:rPr>
          <w:rFonts w:hint="eastAsia" w:cs="Times New Roman"/>
          <w:kern w:val="2"/>
          <w:sz w:val="24"/>
          <w:szCs w:val="36"/>
          <w:highlight w:val="none"/>
          <w:lang w:val="en-US" w:eastAsia="zh-CN" w:bidi="ar-SA"/>
        </w:rPr>
        <w:t>由来</w:t>
      </w:r>
      <w:r>
        <w:rPr>
          <w:sz w:val="24"/>
          <w:szCs w:val="24"/>
          <w:highlight w:val="none"/>
        </w:rPr>
        <w:tab/>
      </w:r>
      <w:r>
        <w:rPr>
          <w:sz w:val="24"/>
          <w:szCs w:val="24"/>
          <w:highlight w:val="none"/>
        </w:rPr>
        <w:fldChar w:fldCharType="begin"/>
      </w:r>
      <w:r>
        <w:rPr>
          <w:sz w:val="24"/>
          <w:szCs w:val="24"/>
          <w:highlight w:val="none"/>
        </w:rPr>
        <w:instrText xml:space="preserve"> PAGEREF _Toc6197 \h </w:instrText>
      </w:r>
      <w:r>
        <w:rPr>
          <w:sz w:val="24"/>
          <w:szCs w:val="24"/>
          <w:highlight w:val="none"/>
        </w:rPr>
        <w:fldChar w:fldCharType="separate"/>
      </w:r>
      <w:r>
        <w:rPr>
          <w:sz w:val="24"/>
          <w:szCs w:val="24"/>
          <w:highlight w:val="none"/>
        </w:rPr>
        <w:t>1</w:t>
      </w:r>
      <w:r>
        <w:rPr>
          <w:sz w:val="24"/>
          <w:szCs w:val="24"/>
          <w:highlight w:val="none"/>
        </w:rPr>
        <w:fldChar w:fldCharType="end"/>
      </w:r>
      <w:r>
        <w:rPr>
          <w:rFonts w:hint="default" w:ascii="Times New Roman" w:hAnsi="Times New Roman" w:cs="Times New Roman"/>
          <w:sz w:val="24"/>
          <w:szCs w:val="32"/>
          <w:highlight w:val="none"/>
        </w:rPr>
        <w:fldChar w:fldCharType="end"/>
      </w:r>
    </w:p>
    <w:p w14:paraId="5B7CD438">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_Toc25312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kern w:val="2"/>
          <w:sz w:val="24"/>
          <w:szCs w:val="36"/>
          <w:highlight w:val="none"/>
          <w:lang w:val="en-US" w:eastAsia="zh-CN" w:bidi="ar-SA"/>
        </w:rPr>
        <w:t xml:space="preserve">1.2 </w:t>
      </w:r>
      <w:r>
        <w:rPr>
          <w:rFonts w:hint="default" w:ascii="Times New Roman" w:hAnsi="Times New Roman" w:eastAsia="宋体" w:cs="Times New Roman"/>
          <w:kern w:val="2"/>
          <w:sz w:val="24"/>
          <w:szCs w:val="36"/>
          <w:highlight w:val="none"/>
          <w:lang w:val="en-US" w:eastAsia="zh-CN" w:bidi="ar-SA"/>
        </w:rPr>
        <w:t>建设项目</w:t>
      </w:r>
      <w:r>
        <w:rPr>
          <w:rFonts w:hint="eastAsia" w:ascii="Times New Roman" w:hAnsi="Times New Roman" w:eastAsia="宋体" w:cs="Times New Roman"/>
          <w:kern w:val="2"/>
          <w:sz w:val="24"/>
          <w:szCs w:val="36"/>
          <w:highlight w:val="none"/>
          <w:lang w:val="en-US" w:eastAsia="zh-CN" w:bidi="ar-SA"/>
        </w:rPr>
        <w:t>特点</w:t>
      </w:r>
      <w:r>
        <w:rPr>
          <w:sz w:val="24"/>
          <w:szCs w:val="24"/>
          <w:highlight w:val="none"/>
        </w:rPr>
        <w:tab/>
      </w:r>
      <w:r>
        <w:rPr>
          <w:sz w:val="24"/>
          <w:szCs w:val="24"/>
          <w:highlight w:val="none"/>
        </w:rPr>
        <w:fldChar w:fldCharType="begin"/>
      </w:r>
      <w:r>
        <w:rPr>
          <w:sz w:val="24"/>
          <w:szCs w:val="24"/>
          <w:highlight w:val="none"/>
        </w:rPr>
        <w:instrText xml:space="preserve"> PAGEREF _Toc25312 \h </w:instrText>
      </w:r>
      <w:r>
        <w:rPr>
          <w:sz w:val="24"/>
          <w:szCs w:val="24"/>
          <w:highlight w:val="none"/>
        </w:rPr>
        <w:fldChar w:fldCharType="separate"/>
      </w:r>
      <w:r>
        <w:rPr>
          <w:sz w:val="24"/>
          <w:szCs w:val="24"/>
          <w:highlight w:val="none"/>
        </w:rPr>
        <w:t>2</w:t>
      </w:r>
      <w:r>
        <w:rPr>
          <w:sz w:val="24"/>
          <w:szCs w:val="24"/>
          <w:highlight w:val="none"/>
        </w:rPr>
        <w:fldChar w:fldCharType="end"/>
      </w:r>
      <w:r>
        <w:rPr>
          <w:rFonts w:hint="default" w:ascii="Times New Roman" w:hAnsi="Times New Roman" w:cs="Times New Roman"/>
          <w:sz w:val="24"/>
          <w:szCs w:val="32"/>
          <w:highlight w:val="none"/>
        </w:rPr>
        <w:fldChar w:fldCharType="end"/>
      </w:r>
    </w:p>
    <w:p w14:paraId="2AE7667D">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_Toc6812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kern w:val="2"/>
          <w:sz w:val="24"/>
          <w:szCs w:val="36"/>
          <w:highlight w:val="none"/>
          <w:lang w:val="en-US" w:eastAsia="zh-CN" w:bidi="ar-SA"/>
        </w:rPr>
        <w:t xml:space="preserve">1.3 </w:t>
      </w:r>
      <w:r>
        <w:rPr>
          <w:rFonts w:hint="default" w:ascii="Times New Roman" w:hAnsi="Times New Roman" w:eastAsia="宋体" w:cs="Times New Roman"/>
          <w:kern w:val="2"/>
          <w:sz w:val="24"/>
          <w:szCs w:val="36"/>
          <w:highlight w:val="none"/>
          <w:lang w:val="en-US" w:eastAsia="zh-CN" w:bidi="ar-SA"/>
        </w:rPr>
        <w:t>分析判定相关情况</w:t>
      </w:r>
      <w:r>
        <w:rPr>
          <w:sz w:val="24"/>
          <w:szCs w:val="24"/>
          <w:highlight w:val="none"/>
        </w:rPr>
        <w:tab/>
      </w:r>
      <w:r>
        <w:rPr>
          <w:sz w:val="24"/>
          <w:szCs w:val="24"/>
          <w:highlight w:val="none"/>
        </w:rPr>
        <w:fldChar w:fldCharType="begin"/>
      </w:r>
      <w:r>
        <w:rPr>
          <w:sz w:val="24"/>
          <w:szCs w:val="24"/>
          <w:highlight w:val="none"/>
        </w:rPr>
        <w:instrText xml:space="preserve"> PAGEREF _Toc6812 \h </w:instrText>
      </w:r>
      <w:r>
        <w:rPr>
          <w:sz w:val="24"/>
          <w:szCs w:val="24"/>
          <w:highlight w:val="none"/>
        </w:rPr>
        <w:fldChar w:fldCharType="separate"/>
      </w:r>
      <w:r>
        <w:rPr>
          <w:sz w:val="24"/>
          <w:szCs w:val="24"/>
          <w:highlight w:val="none"/>
        </w:rPr>
        <w:t>3</w:t>
      </w:r>
      <w:r>
        <w:rPr>
          <w:sz w:val="24"/>
          <w:szCs w:val="24"/>
          <w:highlight w:val="none"/>
        </w:rPr>
        <w:fldChar w:fldCharType="end"/>
      </w:r>
      <w:r>
        <w:rPr>
          <w:rFonts w:hint="default" w:ascii="Times New Roman" w:hAnsi="Times New Roman" w:cs="Times New Roman"/>
          <w:sz w:val="24"/>
          <w:szCs w:val="32"/>
          <w:highlight w:val="none"/>
        </w:rPr>
        <w:fldChar w:fldCharType="end"/>
      </w:r>
    </w:p>
    <w:p w14:paraId="17EC2613">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_Toc15266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kern w:val="2"/>
          <w:sz w:val="24"/>
          <w:szCs w:val="36"/>
          <w:highlight w:val="none"/>
          <w:lang w:val="en-US" w:eastAsia="zh-CN" w:bidi="ar-SA"/>
        </w:rPr>
        <w:t xml:space="preserve">1.4 </w:t>
      </w:r>
      <w:r>
        <w:rPr>
          <w:rFonts w:hint="default" w:ascii="Times New Roman" w:hAnsi="Times New Roman" w:eastAsia="宋体" w:cs="Times New Roman"/>
          <w:kern w:val="2"/>
          <w:sz w:val="24"/>
          <w:szCs w:val="36"/>
          <w:highlight w:val="none"/>
          <w:lang w:val="en-US" w:eastAsia="zh-CN" w:bidi="ar-SA"/>
        </w:rPr>
        <w:t>环境影响评价</w:t>
      </w:r>
      <w:r>
        <w:rPr>
          <w:rFonts w:hint="eastAsia" w:ascii="Times New Roman" w:hAnsi="Times New Roman" w:eastAsia="宋体" w:cs="Times New Roman"/>
          <w:kern w:val="2"/>
          <w:sz w:val="24"/>
          <w:szCs w:val="36"/>
          <w:highlight w:val="none"/>
          <w:lang w:val="en-US" w:eastAsia="zh-CN" w:bidi="ar-SA"/>
        </w:rPr>
        <w:t>工作</w:t>
      </w:r>
      <w:r>
        <w:rPr>
          <w:rFonts w:hint="default" w:ascii="Times New Roman" w:hAnsi="Times New Roman" w:eastAsia="宋体" w:cs="Times New Roman"/>
          <w:kern w:val="2"/>
          <w:sz w:val="24"/>
          <w:szCs w:val="36"/>
          <w:highlight w:val="none"/>
          <w:lang w:val="en-US" w:eastAsia="zh-CN" w:bidi="ar-SA"/>
        </w:rPr>
        <w:t>过程</w:t>
      </w:r>
      <w:r>
        <w:rPr>
          <w:sz w:val="24"/>
          <w:szCs w:val="24"/>
          <w:highlight w:val="none"/>
        </w:rPr>
        <w:tab/>
      </w:r>
      <w:r>
        <w:rPr>
          <w:sz w:val="24"/>
          <w:szCs w:val="24"/>
          <w:highlight w:val="none"/>
        </w:rPr>
        <w:fldChar w:fldCharType="begin"/>
      </w:r>
      <w:r>
        <w:rPr>
          <w:sz w:val="24"/>
          <w:szCs w:val="24"/>
          <w:highlight w:val="none"/>
        </w:rPr>
        <w:instrText xml:space="preserve"> PAGEREF _Toc15266 \h </w:instrText>
      </w:r>
      <w:r>
        <w:rPr>
          <w:sz w:val="24"/>
          <w:szCs w:val="24"/>
          <w:highlight w:val="none"/>
        </w:rPr>
        <w:fldChar w:fldCharType="separate"/>
      </w:r>
      <w:r>
        <w:rPr>
          <w:sz w:val="24"/>
          <w:szCs w:val="24"/>
          <w:highlight w:val="none"/>
        </w:rPr>
        <w:t>9</w:t>
      </w:r>
      <w:r>
        <w:rPr>
          <w:sz w:val="24"/>
          <w:szCs w:val="24"/>
          <w:highlight w:val="none"/>
        </w:rPr>
        <w:fldChar w:fldCharType="end"/>
      </w:r>
      <w:r>
        <w:rPr>
          <w:rFonts w:hint="default" w:ascii="Times New Roman" w:hAnsi="Times New Roman" w:cs="Times New Roman"/>
          <w:sz w:val="24"/>
          <w:szCs w:val="32"/>
          <w:highlight w:val="none"/>
        </w:rPr>
        <w:fldChar w:fldCharType="end"/>
      </w:r>
    </w:p>
    <w:p w14:paraId="69CC37D3">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_Toc4501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kern w:val="2"/>
          <w:sz w:val="24"/>
          <w:szCs w:val="36"/>
          <w:highlight w:val="none"/>
          <w:lang w:val="en-US" w:eastAsia="zh-CN" w:bidi="ar-SA"/>
        </w:rPr>
        <w:t xml:space="preserve">1.5 </w:t>
      </w:r>
      <w:r>
        <w:rPr>
          <w:rFonts w:hint="default" w:ascii="Times New Roman" w:hAnsi="Times New Roman" w:eastAsia="宋体" w:cs="Times New Roman"/>
          <w:kern w:val="2"/>
          <w:sz w:val="24"/>
          <w:szCs w:val="36"/>
          <w:highlight w:val="none"/>
          <w:lang w:val="en-US" w:eastAsia="zh-CN" w:bidi="ar-SA"/>
        </w:rPr>
        <w:t>关注的主要环境问题及环境影响</w:t>
      </w:r>
      <w:r>
        <w:rPr>
          <w:sz w:val="24"/>
          <w:szCs w:val="24"/>
          <w:highlight w:val="none"/>
        </w:rPr>
        <w:tab/>
      </w:r>
      <w:r>
        <w:rPr>
          <w:sz w:val="24"/>
          <w:szCs w:val="24"/>
          <w:highlight w:val="none"/>
        </w:rPr>
        <w:fldChar w:fldCharType="begin"/>
      </w:r>
      <w:r>
        <w:rPr>
          <w:sz w:val="24"/>
          <w:szCs w:val="24"/>
          <w:highlight w:val="none"/>
        </w:rPr>
        <w:instrText xml:space="preserve"> PAGEREF _Toc4501 \h </w:instrText>
      </w:r>
      <w:r>
        <w:rPr>
          <w:sz w:val="24"/>
          <w:szCs w:val="24"/>
          <w:highlight w:val="none"/>
        </w:rPr>
        <w:fldChar w:fldCharType="separate"/>
      </w:r>
      <w:r>
        <w:rPr>
          <w:sz w:val="24"/>
          <w:szCs w:val="24"/>
          <w:highlight w:val="none"/>
        </w:rPr>
        <w:t>11</w:t>
      </w:r>
      <w:r>
        <w:rPr>
          <w:sz w:val="24"/>
          <w:szCs w:val="24"/>
          <w:highlight w:val="none"/>
        </w:rPr>
        <w:fldChar w:fldCharType="end"/>
      </w:r>
      <w:r>
        <w:rPr>
          <w:rFonts w:hint="default" w:ascii="Times New Roman" w:hAnsi="Times New Roman" w:cs="Times New Roman"/>
          <w:sz w:val="24"/>
          <w:szCs w:val="32"/>
          <w:highlight w:val="none"/>
        </w:rPr>
        <w:fldChar w:fldCharType="end"/>
      </w:r>
    </w:p>
    <w:p w14:paraId="5DA90ECE">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_Toc28569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kern w:val="2"/>
          <w:sz w:val="24"/>
          <w:szCs w:val="36"/>
          <w:highlight w:val="none"/>
          <w:lang w:val="en-US" w:eastAsia="zh-CN" w:bidi="ar-SA"/>
        </w:rPr>
        <w:t xml:space="preserve">1.6 </w:t>
      </w:r>
      <w:r>
        <w:rPr>
          <w:rFonts w:hint="default" w:ascii="Times New Roman" w:hAnsi="Times New Roman" w:eastAsia="宋体" w:cs="Times New Roman"/>
          <w:kern w:val="2"/>
          <w:sz w:val="24"/>
          <w:szCs w:val="36"/>
          <w:highlight w:val="none"/>
          <w:lang w:val="en-US" w:eastAsia="zh-CN" w:bidi="ar-SA"/>
        </w:rPr>
        <w:t>环境影响评价结论</w:t>
      </w:r>
      <w:r>
        <w:rPr>
          <w:sz w:val="24"/>
          <w:szCs w:val="24"/>
          <w:highlight w:val="none"/>
        </w:rPr>
        <w:tab/>
      </w:r>
      <w:r>
        <w:rPr>
          <w:sz w:val="24"/>
          <w:szCs w:val="24"/>
          <w:highlight w:val="none"/>
        </w:rPr>
        <w:fldChar w:fldCharType="begin"/>
      </w:r>
      <w:r>
        <w:rPr>
          <w:sz w:val="24"/>
          <w:szCs w:val="24"/>
          <w:highlight w:val="none"/>
        </w:rPr>
        <w:instrText xml:space="preserve"> PAGEREF _Toc28569 \h </w:instrText>
      </w:r>
      <w:r>
        <w:rPr>
          <w:sz w:val="24"/>
          <w:szCs w:val="24"/>
          <w:highlight w:val="none"/>
        </w:rPr>
        <w:fldChar w:fldCharType="separate"/>
      </w:r>
      <w:r>
        <w:rPr>
          <w:sz w:val="24"/>
          <w:szCs w:val="24"/>
          <w:highlight w:val="none"/>
        </w:rPr>
        <w:t>11</w:t>
      </w:r>
      <w:r>
        <w:rPr>
          <w:sz w:val="24"/>
          <w:szCs w:val="24"/>
          <w:highlight w:val="none"/>
        </w:rPr>
        <w:fldChar w:fldCharType="end"/>
      </w:r>
      <w:r>
        <w:rPr>
          <w:rFonts w:hint="default" w:ascii="Times New Roman" w:hAnsi="Times New Roman" w:cs="Times New Roman"/>
          <w:sz w:val="24"/>
          <w:szCs w:val="32"/>
          <w:highlight w:val="none"/>
        </w:rPr>
        <w:fldChar w:fldCharType="end"/>
      </w:r>
    </w:p>
    <w:p w14:paraId="0B94455A">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_Toc21795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第2章 </w:t>
      </w:r>
      <w:r>
        <w:rPr>
          <w:rFonts w:hint="default" w:ascii="Times New Roman" w:hAnsi="Times New Roman" w:cs="Times New Roman"/>
          <w:sz w:val="24"/>
          <w:szCs w:val="24"/>
          <w:highlight w:val="none"/>
        </w:rPr>
        <w:t>总则</w:t>
      </w:r>
      <w:r>
        <w:rPr>
          <w:sz w:val="24"/>
          <w:szCs w:val="24"/>
          <w:highlight w:val="none"/>
        </w:rPr>
        <w:tab/>
      </w:r>
      <w:r>
        <w:rPr>
          <w:sz w:val="24"/>
          <w:szCs w:val="24"/>
          <w:highlight w:val="none"/>
        </w:rPr>
        <w:fldChar w:fldCharType="begin"/>
      </w:r>
      <w:r>
        <w:rPr>
          <w:sz w:val="24"/>
          <w:szCs w:val="24"/>
          <w:highlight w:val="none"/>
        </w:rPr>
        <w:instrText xml:space="preserve"> PAGEREF _Toc21795 \h </w:instrText>
      </w:r>
      <w:r>
        <w:rPr>
          <w:sz w:val="24"/>
          <w:szCs w:val="24"/>
          <w:highlight w:val="none"/>
        </w:rPr>
        <w:fldChar w:fldCharType="separate"/>
      </w:r>
      <w:r>
        <w:rPr>
          <w:sz w:val="24"/>
          <w:szCs w:val="24"/>
          <w:highlight w:val="none"/>
        </w:rPr>
        <w:t>12</w:t>
      </w:r>
      <w:r>
        <w:rPr>
          <w:sz w:val="24"/>
          <w:szCs w:val="24"/>
          <w:highlight w:val="none"/>
        </w:rPr>
        <w:fldChar w:fldCharType="end"/>
      </w:r>
      <w:r>
        <w:rPr>
          <w:rFonts w:hint="default" w:ascii="Times New Roman" w:hAnsi="Times New Roman" w:cs="Times New Roman"/>
          <w:sz w:val="24"/>
          <w:szCs w:val="32"/>
          <w:highlight w:val="none"/>
        </w:rPr>
        <w:fldChar w:fldCharType="end"/>
      </w:r>
    </w:p>
    <w:p w14:paraId="44A6FEEF">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_Toc2099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2.1 </w:t>
      </w:r>
      <w:r>
        <w:rPr>
          <w:rFonts w:hint="default" w:ascii="Times New Roman" w:hAnsi="Times New Roman" w:cs="Times New Roman"/>
          <w:sz w:val="24"/>
          <w:szCs w:val="36"/>
          <w:highlight w:val="none"/>
        </w:rPr>
        <w:t>编制依据</w:t>
      </w:r>
      <w:r>
        <w:rPr>
          <w:sz w:val="24"/>
          <w:szCs w:val="24"/>
          <w:highlight w:val="none"/>
        </w:rPr>
        <w:tab/>
      </w:r>
      <w:r>
        <w:rPr>
          <w:sz w:val="24"/>
          <w:szCs w:val="24"/>
          <w:highlight w:val="none"/>
        </w:rPr>
        <w:fldChar w:fldCharType="begin"/>
      </w:r>
      <w:r>
        <w:rPr>
          <w:sz w:val="24"/>
          <w:szCs w:val="24"/>
          <w:highlight w:val="none"/>
        </w:rPr>
        <w:instrText xml:space="preserve"> PAGEREF _Toc2099 \h </w:instrText>
      </w:r>
      <w:r>
        <w:rPr>
          <w:sz w:val="24"/>
          <w:szCs w:val="24"/>
          <w:highlight w:val="none"/>
        </w:rPr>
        <w:fldChar w:fldCharType="separate"/>
      </w:r>
      <w:r>
        <w:rPr>
          <w:sz w:val="24"/>
          <w:szCs w:val="24"/>
          <w:highlight w:val="none"/>
        </w:rPr>
        <w:t>12</w:t>
      </w:r>
      <w:r>
        <w:rPr>
          <w:sz w:val="24"/>
          <w:szCs w:val="24"/>
          <w:highlight w:val="none"/>
        </w:rPr>
        <w:fldChar w:fldCharType="end"/>
      </w:r>
      <w:r>
        <w:rPr>
          <w:rFonts w:hint="default" w:ascii="Times New Roman" w:hAnsi="Times New Roman" w:cs="Times New Roman"/>
          <w:sz w:val="24"/>
          <w:szCs w:val="32"/>
          <w:highlight w:val="none"/>
        </w:rPr>
        <w:fldChar w:fldCharType="end"/>
      </w:r>
    </w:p>
    <w:p w14:paraId="519362D8">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_Toc23721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2.2 </w:t>
      </w:r>
      <w:r>
        <w:rPr>
          <w:rFonts w:hint="default" w:ascii="Times New Roman" w:hAnsi="Times New Roman" w:cs="Times New Roman"/>
          <w:sz w:val="24"/>
          <w:szCs w:val="36"/>
          <w:highlight w:val="none"/>
        </w:rPr>
        <w:t>评价原则</w:t>
      </w:r>
      <w:r>
        <w:rPr>
          <w:sz w:val="24"/>
          <w:szCs w:val="24"/>
          <w:highlight w:val="none"/>
        </w:rPr>
        <w:tab/>
      </w:r>
      <w:r>
        <w:rPr>
          <w:sz w:val="24"/>
          <w:szCs w:val="24"/>
          <w:highlight w:val="none"/>
        </w:rPr>
        <w:fldChar w:fldCharType="begin"/>
      </w:r>
      <w:r>
        <w:rPr>
          <w:sz w:val="24"/>
          <w:szCs w:val="24"/>
          <w:highlight w:val="none"/>
        </w:rPr>
        <w:instrText xml:space="preserve"> PAGEREF _Toc23721 \h </w:instrText>
      </w:r>
      <w:r>
        <w:rPr>
          <w:sz w:val="24"/>
          <w:szCs w:val="24"/>
          <w:highlight w:val="none"/>
        </w:rPr>
        <w:fldChar w:fldCharType="separate"/>
      </w:r>
      <w:r>
        <w:rPr>
          <w:sz w:val="24"/>
          <w:szCs w:val="24"/>
          <w:highlight w:val="none"/>
        </w:rPr>
        <w:t>17</w:t>
      </w:r>
      <w:r>
        <w:rPr>
          <w:sz w:val="24"/>
          <w:szCs w:val="24"/>
          <w:highlight w:val="none"/>
        </w:rPr>
        <w:fldChar w:fldCharType="end"/>
      </w:r>
      <w:r>
        <w:rPr>
          <w:rFonts w:hint="default" w:ascii="Times New Roman" w:hAnsi="Times New Roman" w:cs="Times New Roman"/>
          <w:sz w:val="24"/>
          <w:szCs w:val="32"/>
          <w:highlight w:val="none"/>
        </w:rPr>
        <w:fldChar w:fldCharType="end"/>
      </w:r>
    </w:p>
    <w:p w14:paraId="19A11734">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_Toc3143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2.3 </w:t>
      </w:r>
      <w:r>
        <w:rPr>
          <w:rFonts w:hint="default" w:ascii="Times New Roman" w:hAnsi="Times New Roman" w:cs="Times New Roman"/>
          <w:sz w:val="24"/>
          <w:szCs w:val="36"/>
          <w:highlight w:val="none"/>
        </w:rPr>
        <w:t>环境影响因素识别与评价因子筛选</w:t>
      </w:r>
      <w:r>
        <w:rPr>
          <w:sz w:val="24"/>
          <w:szCs w:val="24"/>
          <w:highlight w:val="none"/>
        </w:rPr>
        <w:tab/>
      </w:r>
      <w:r>
        <w:rPr>
          <w:sz w:val="24"/>
          <w:szCs w:val="24"/>
          <w:highlight w:val="none"/>
        </w:rPr>
        <w:fldChar w:fldCharType="begin"/>
      </w:r>
      <w:r>
        <w:rPr>
          <w:sz w:val="24"/>
          <w:szCs w:val="24"/>
          <w:highlight w:val="none"/>
        </w:rPr>
        <w:instrText xml:space="preserve"> PAGEREF _Toc3143 \h </w:instrText>
      </w:r>
      <w:r>
        <w:rPr>
          <w:sz w:val="24"/>
          <w:szCs w:val="24"/>
          <w:highlight w:val="none"/>
        </w:rPr>
        <w:fldChar w:fldCharType="separate"/>
      </w:r>
      <w:r>
        <w:rPr>
          <w:sz w:val="24"/>
          <w:szCs w:val="24"/>
          <w:highlight w:val="none"/>
        </w:rPr>
        <w:t>18</w:t>
      </w:r>
      <w:r>
        <w:rPr>
          <w:sz w:val="24"/>
          <w:szCs w:val="24"/>
          <w:highlight w:val="none"/>
        </w:rPr>
        <w:fldChar w:fldCharType="end"/>
      </w:r>
      <w:r>
        <w:rPr>
          <w:rFonts w:hint="default" w:ascii="Times New Roman" w:hAnsi="Times New Roman" w:cs="Times New Roman"/>
          <w:sz w:val="24"/>
          <w:szCs w:val="32"/>
          <w:highlight w:val="none"/>
        </w:rPr>
        <w:fldChar w:fldCharType="end"/>
      </w:r>
    </w:p>
    <w:p w14:paraId="6F853159">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_Toc21658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2.4 </w:t>
      </w:r>
      <w:r>
        <w:rPr>
          <w:rFonts w:hint="default" w:ascii="Times New Roman" w:hAnsi="Times New Roman" w:cs="Times New Roman"/>
          <w:sz w:val="24"/>
          <w:szCs w:val="36"/>
          <w:highlight w:val="none"/>
        </w:rPr>
        <w:t>环境</w:t>
      </w:r>
      <w:r>
        <w:rPr>
          <w:rFonts w:hint="default" w:ascii="Times New Roman" w:hAnsi="Times New Roman" w:eastAsia="宋体" w:cs="Times New Roman"/>
          <w:sz w:val="24"/>
          <w:szCs w:val="36"/>
          <w:highlight w:val="none"/>
        </w:rPr>
        <w:t>影响</w:t>
      </w:r>
      <w:r>
        <w:rPr>
          <w:rFonts w:hint="default" w:ascii="Times New Roman" w:hAnsi="Times New Roman" w:cs="Times New Roman"/>
          <w:sz w:val="24"/>
          <w:szCs w:val="36"/>
          <w:highlight w:val="none"/>
        </w:rPr>
        <w:t>评价等级</w:t>
      </w:r>
      <w:r>
        <w:rPr>
          <w:rFonts w:hint="eastAsia" w:ascii="Times New Roman" w:hAnsi="Times New Roman" w:cs="Times New Roman"/>
          <w:sz w:val="24"/>
          <w:szCs w:val="36"/>
          <w:highlight w:val="none"/>
          <w:lang w:val="en-US" w:eastAsia="zh-CN"/>
        </w:rPr>
        <w:t>与评价范围</w:t>
      </w:r>
      <w:r>
        <w:rPr>
          <w:sz w:val="24"/>
          <w:szCs w:val="24"/>
          <w:highlight w:val="none"/>
        </w:rPr>
        <w:tab/>
      </w:r>
      <w:r>
        <w:rPr>
          <w:sz w:val="24"/>
          <w:szCs w:val="24"/>
          <w:highlight w:val="none"/>
        </w:rPr>
        <w:fldChar w:fldCharType="begin"/>
      </w:r>
      <w:r>
        <w:rPr>
          <w:sz w:val="24"/>
          <w:szCs w:val="24"/>
          <w:highlight w:val="none"/>
        </w:rPr>
        <w:instrText xml:space="preserve"> PAGEREF _Toc21658 \h </w:instrText>
      </w:r>
      <w:r>
        <w:rPr>
          <w:sz w:val="24"/>
          <w:szCs w:val="24"/>
          <w:highlight w:val="none"/>
        </w:rPr>
        <w:fldChar w:fldCharType="separate"/>
      </w:r>
      <w:r>
        <w:rPr>
          <w:sz w:val="24"/>
          <w:szCs w:val="24"/>
          <w:highlight w:val="none"/>
        </w:rPr>
        <w:t>20</w:t>
      </w:r>
      <w:r>
        <w:rPr>
          <w:sz w:val="24"/>
          <w:szCs w:val="24"/>
          <w:highlight w:val="none"/>
        </w:rPr>
        <w:fldChar w:fldCharType="end"/>
      </w:r>
      <w:r>
        <w:rPr>
          <w:rFonts w:hint="default" w:ascii="Times New Roman" w:hAnsi="Times New Roman" w:cs="Times New Roman"/>
          <w:sz w:val="24"/>
          <w:szCs w:val="32"/>
          <w:highlight w:val="none"/>
        </w:rPr>
        <w:fldChar w:fldCharType="end"/>
      </w:r>
    </w:p>
    <w:p w14:paraId="2554E1D6">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_Toc7057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2.5 </w:t>
      </w:r>
      <w:r>
        <w:rPr>
          <w:rFonts w:hint="default" w:ascii="Times New Roman" w:hAnsi="Times New Roman" w:cs="Times New Roman"/>
          <w:sz w:val="24"/>
          <w:szCs w:val="36"/>
          <w:highlight w:val="none"/>
        </w:rPr>
        <w:t>相关政策及规范符合性分析</w:t>
      </w:r>
      <w:r>
        <w:rPr>
          <w:sz w:val="24"/>
          <w:szCs w:val="24"/>
          <w:highlight w:val="none"/>
        </w:rPr>
        <w:tab/>
      </w:r>
      <w:r>
        <w:rPr>
          <w:sz w:val="24"/>
          <w:szCs w:val="24"/>
          <w:highlight w:val="none"/>
        </w:rPr>
        <w:fldChar w:fldCharType="begin"/>
      </w:r>
      <w:r>
        <w:rPr>
          <w:sz w:val="24"/>
          <w:szCs w:val="24"/>
          <w:highlight w:val="none"/>
        </w:rPr>
        <w:instrText xml:space="preserve"> PAGEREF _Toc7057 \h </w:instrText>
      </w:r>
      <w:r>
        <w:rPr>
          <w:sz w:val="24"/>
          <w:szCs w:val="24"/>
          <w:highlight w:val="none"/>
        </w:rPr>
        <w:fldChar w:fldCharType="separate"/>
      </w:r>
      <w:r>
        <w:rPr>
          <w:sz w:val="24"/>
          <w:szCs w:val="24"/>
          <w:highlight w:val="none"/>
        </w:rPr>
        <w:t>29</w:t>
      </w:r>
      <w:r>
        <w:rPr>
          <w:sz w:val="24"/>
          <w:szCs w:val="24"/>
          <w:highlight w:val="none"/>
        </w:rPr>
        <w:fldChar w:fldCharType="end"/>
      </w:r>
      <w:r>
        <w:rPr>
          <w:rFonts w:hint="default" w:ascii="Times New Roman" w:hAnsi="Times New Roman" w:cs="Times New Roman"/>
          <w:sz w:val="24"/>
          <w:szCs w:val="32"/>
          <w:highlight w:val="none"/>
        </w:rPr>
        <w:fldChar w:fldCharType="end"/>
      </w:r>
    </w:p>
    <w:p w14:paraId="50DBC698">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_Toc13963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2.6 </w:t>
      </w:r>
      <w:r>
        <w:rPr>
          <w:rFonts w:hint="default" w:ascii="Times New Roman" w:hAnsi="Times New Roman" w:cs="Times New Roman"/>
          <w:sz w:val="24"/>
          <w:szCs w:val="36"/>
          <w:highlight w:val="none"/>
        </w:rPr>
        <w:t>相关规划</w:t>
      </w:r>
      <w:r>
        <w:rPr>
          <w:sz w:val="24"/>
          <w:szCs w:val="24"/>
          <w:highlight w:val="none"/>
        </w:rPr>
        <w:tab/>
      </w:r>
      <w:r>
        <w:rPr>
          <w:sz w:val="24"/>
          <w:szCs w:val="24"/>
          <w:highlight w:val="none"/>
        </w:rPr>
        <w:fldChar w:fldCharType="begin"/>
      </w:r>
      <w:r>
        <w:rPr>
          <w:sz w:val="24"/>
          <w:szCs w:val="24"/>
          <w:highlight w:val="none"/>
        </w:rPr>
        <w:instrText xml:space="preserve"> PAGEREF _Toc13963 \h </w:instrText>
      </w:r>
      <w:r>
        <w:rPr>
          <w:sz w:val="24"/>
          <w:szCs w:val="24"/>
          <w:highlight w:val="none"/>
        </w:rPr>
        <w:fldChar w:fldCharType="separate"/>
      </w:r>
      <w:r>
        <w:rPr>
          <w:sz w:val="24"/>
          <w:szCs w:val="24"/>
          <w:highlight w:val="none"/>
        </w:rPr>
        <w:t>29</w:t>
      </w:r>
      <w:r>
        <w:rPr>
          <w:sz w:val="24"/>
          <w:szCs w:val="24"/>
          <w:highlight w:val="none"/>
        </w:rPr>
        <w:fldChar w:fldCharType="end"/>
      </w:r>
      <w:r>
        <w:rPr>
          <w:rFonts w:hint="default" w:ascii="Times New Roman" w:hAnsi="Times New Roman" w:cs="Times New Roman"/>
          <w:sz w:val="24"/>
          <w:szCs w:val="32"/>
          <w:highlight w:val="none"/>
        </w:rPr>
        <w:fldChar w:fldCharType="end"/>
      </w:r>
    </w:p>
    <w:p w14:paraId="7C1F8267">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_Toc26350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2.7 </w:t>
      </w:r>
      <w:r>
        <w:rPr>
          <w:rFonts w:hint="default" w:ascii="Times New Roman" w:hAnsi="Times New Roman" w:cs="Times New Roman"/>
          <w:sz w:val="24"/>
          <w:szCs w:val="36"/>
          <w:highlight w:val="none"/>
        </w:rPr>
        <w:t>主要环境保护目标</w:t>
      </w:r>
      <w:r>
        <w:rPr>
          <w:sz w:val="24"/>
          <w:szCs w:val="24"/>
          <w:highlight w:val="none"/>
        </w:rPr>
        <w:tab/>
      </w:r>
      <w:r>
        <w:rPr>
          <w:sz w:val="24"/>
          <w:szCs w:val="24"/>
          <w:highlight w:val="none"/>
        </w:rPr>
        <w:fldChar w:fldCharType="begin"/>
      </w:r>
      <w:r>
        <w:rPr>
          <w:sz w:val="24"/>
          <w:szCs w:val="24"/>
          <w:highlight w:val="none"/>
        </w:rPr>
        <w:instrText xml:space="preserve"> PAGEREF _Toc26350 \h </w:instrText>
      </w:r>
      <w:r>
        <w:rPr>
          <w:sz w:val="24"/>
          <w:szCs w:val="24"/>
          <w:highlight w:val="none"/>
        </w:rPr>
        <w:fldChar w:fldCharType="separate"/>
      </w:r>
      <w:r>
        <w:rPr>
          <w:sz w:val="24"/>
          <w:szCs w:val="24"/>
          <w:highlight w:val="none"/>
        </w:rPr>
        <w:t>39</w:t>
      </w:r>
      <w:r>
        <w:rPr>
          <w:sz w:val="24"/>
          <w:szCs w:val="24"/>
          <w:highlight w:val="none"/>
        </w:rPr>
        <w:fldChar w:fldCharType="end"/>
      </w:r>
      <w:r>
        <w:rPr>
          <w:rFonts w:hint="default" w:ascii="Times New Roman" w:hAnsi="Times New Roman" w:cs="Times New Roman"/>
          <w:sz w:val="24"/>
          <w:szCs w:val="32"/>
          <w:highlight w:val="none"/>
        </w:rPr>
        <w:fldChar w:fldCharType="end"/>
      </w:r>
    </w:p>
    <w:p w14:paraId="7F4F5697">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_Toc7936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2.8 </w:t>
      </w:r>
      <w:r>
        <w:rPr>
          <w:rFonts w:hint="default" w:ascii="Times New Roman" w:hAnsi="Times New Roman" w:cs="Times New Roman"/>
          <w:sz w:val="24"/>
          <w:szCs w:val="36"/>
          <w:highlight w:val="none"/>
        </w:rPr>
        <w:t>环境影响评价标准</w:t>
      </w:r>
      <w:r>
        <w:rPr>
          <w:sz w:val="24"/>
          <w:szCs w:val="24"/>
          <w:highlight w:val="none"/>
        </w:rPr>
        <w:tab/>
      </w:r>
      <w:r>
        <w:rPr>
          <w:sz w:val="24"/>
          <w:szCs w:val="24"/>
          <w:highlight w:val="none"/>
        </w:rPr>
        <w:fldChar w:fldCharType="begin"/>
      </w:r>
      <w:r>
        <w:rPr>
          <w:sz w:val="24"/>
          <w:szCs w:val="24"/>
          <w:highlight w:val="none"/>
        </w:rPr>
        <w:instrText xml:space="preserve"> PAGEREF _Toc7936 \h </w:instrText>
      </w:r>
      <w:r>
        <w:rPr>
          <w:sz w:val="24"/>
          <w:szCs w:val="24"/>
          <w:highlight w:val="none"/>
        </w:rPr>
        <w:fldChar w:fldCharType="separate"/>
      </w:r>
      <w:r>
        <w:rPr>
          <w:sz w:val="24"/>
          <w:szCs w:val="24"/>
          <w:highlight w:val="none"/>
        </w:rPr>
        <w:t>40</w:t>
      </w:r>
      <w:r>
        <w:rPr>
          <w:sz w:val="24"/>
          <w:szCs w:val="24"/>
          <w:highlight w:val="none"/>
        </w:rPr>
        <w:fldChar w:fldCharType="end"/>
      </w:r>
      <w:r>
        <w:rPr>
          <w:rFonts w:hint="default" w:ascii="Times New Roman" w:hAnsi="Times New Roman" w:cs="Times New Roman"/>
          <w:sz w:val="24"/>
          <w:szCs w:val="32"/>
          <w:highlight w:val="none"/>
        </w:rPr>
        <w:fldChar w:fldCharType="end"/>
      </w:r>
    </w:p>
    <w:p w14:paraId="74EDC86E">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_Toc29575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第3章 </w:t>
      </w:r>
      <w:r>
        <w:rPr>
          <w:rFonts w:hint="default" w:ascii="Times New Roman" w:hAnsi="Times New Roman" w:cs="Times New Roman"/>
          <w:bCs w:val="0"/>
          <w:snapToGrid w:val="0"/>
          <w:sz w:val="24"/>
          <w:szCs w:val="24"/>
          <w:highlight w:val="none"/>
        </w:rPr>
        <w:t>建设项目工程分析</w:t>
      </w:r>
      <w:r>
        <w:rPr>
          <w:sz w:val="24"/>
          <w:szCs w:val="24"/>
          <w:highlight w:val="none"/>
        </w:rPr>
        <w:tab/>
      </w:r>
      <w:r>
        <w:rPr>
          <w:sz w:val="24"/>
          <w:szCs w:val="24"/>
          <w:highlight w:val="none"/>
        </w:rPr>
        <w:fldChar w:fldCharType="begin"/>
      </w:r>
      <w:r>
        <w:rPr>
          <w:sz w:val="24"/>
          <w:szCs w:val="24"/>
          <w:highlight w:val="none"/>
        </w:rPr>
        <w:instrText xml:space="preserve"> PAGEREF _Toc29575 \h </w:instrText>
      </w:r>
      <w:r>
        <w:rPr>
          <w:sz w:val="24"/>
          <w:szCs w:val="24"/>
          <w:highlight w:val="none"/>
        </w:rPr>
        <w:fldChar w:fldCharType="separate"/>
      </w:r>
      <w:r>
        <w:rPr>
          <w:sz w:val="24"/>
          <w:szCs w:val="24"/>
          <w:highlight w:val="none"/>
        </w:rPr>
        <w:t>46</w:t>
      </w:r>
      <w:r>
        <w:rPr>
          <w:sz w:val="24"/>
          <w:szCs w:val="24"/>
          <w:highlight w:val="none"/>
        </w:rPr>
        <w:fldChar w:fldCharType="end"/>
      </w:r>
      <w:r>
        <w:rPr>
          <w:rFonts w:hint="default" w:ascii="Times New Roman" w:hAnsi="Times New Roman" w:cs="Times New Roman"/>
          <w:sz w:val="24"/>
          <w:szCs w:val="32"/>
          <w:highlight w:val="none"/>
        </w:rPr>
        <w:fldChar w:fldCharType="end"/>
      </w:r>
    </w:p>
    <w:p w14:paraId="0201AE17">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_Toc18513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lang w:val="en-US" w:eastAsia="zh-CN"/>
        </w:rPr>
        <w:t>3.</w:t>
      </w:r>
      <w:r>
        <w:rPr>
          <w:rFonts w:hint="eastAsia" w:cs="Times New Roman"/>
          <w:sz w:val="24"/>
          <w:szCs w:val="36"/>
          <w:highlight w:val="none"/>
          <w:lang w:val="en-US" w:eastAsia="zh-CN"/>
        </w:rPr>
        <w:t>1</w:t>
      </w:r>
      <w:r>
        <w:rPr>
          <w:rFonts w:hint="eastAsia" w:ascii="Times New Roman" w:hAnsi="Times New Roman" w:eastAsia="宋体" w:cs="Times New Roman"/>
          <w:sz w:val="24"/>
          <w:szCs w:val="36"/>
          <w:highlight w:val="none"/>
          <w:lang w:val="en-US" w:eastAsia="zh-CN"/>
        </w:rPr>
        <w:t xml:space="preserve"> </w:t>
      </w:r>
      <w:r>
        <w:rPr>
          <w:rFonts w:hint="eastAsia" w:ascii="Times New Roman" w:hAnsi="Times New Roman" w:cs="Times New Roman"/>
          <w:sz w:val="24"/>
          <w:szCs w:val="36"/>
          <w:highlight w:val="none"/>
          <w:lang w:val="en-US" w:eastAsia="zh-CN"/>
        </w:rPr>
        <w:t>本</w:t>
      </w:r>
      <w:r>
        <w:rPr>
          <w:rFonts w:hint="eastAsia" w:ascii="Times New Roman" w:hAnsi="Times New Roman" w:eastAsia="宋体" w:cs="Times New Roman"/>
          <w:sz w:val="24"/>
          <w:szCs w:val="36"/>
          <w:highlight w:val="none"/>
          <w:lang w:val="en-US" w:eastAsia="zh-CN"/>
        </w:rPr>
        <w:t>项目情况</w:t>
      </w:r>
      <w:r>
        <w:rPr>
          <w:sz w:val="24"/>
          <w:szCs w:val="24"/>
          <w:highlight w:val="none"/>
        </w:rPr>
        <w:tab/>
      </w:r>
      <w:r>
        <w:rPr>
          <w:sz w:val="24"/>
          <w:szCs w:val="24"/>
          <w:highlight w:val="none"/>
        </w:rPr>
        <w:fldChar w:fldCharType="begin"/>
      </w:r>
      <w:r>
        <w:rPr>
          <w:sz w:val="24"/>
          <w:szCs w:val="24"/>
          <w:highlight w:val="none"/>
        </w:rPr>
        <w:instrText xml:space="preserve"> PAGEREF _Toc18513 \h </w:instrText>
      </w:r>
      <w:r>
        <w:rPr>
          <w:sz w:val="24"/>
          <w:szCs w:val="24"/>
          <w:highlight w:val="none"/>
        </w:rPr>
        <w:fldChar w:fldCharType="separate"/>
      </w:r>
      <w:r>
        <w:rPr>
          <w:sz w:val="24"/>
          <w:szCs w:val="24"/>
          <w:highlight w:val="none"/>
        </w:rPr>
        <w:t>46</w:t>
      </w:r>
      <w:r>
        <w:rPr>
          <w:sz w:val="24"/>
          <w:szCs w:val="24"/>
          <w:highlight w:val="none"/>
        </w:rPr>
        <w:fldChar w:fldCharType="end"/>
      </w:r>
      <w:r>
        <w:rPr>
          <w:rFonts w:hint="default" w:ascii="Times New Roman" w:hAnsi="Times New Roman" w:cs="Times New Roman"/>
          <w:sz w:val="24"/>
          <w:szCs w:val="32"/>
          <w:highlight w:val="none"/>
        </w:rPr>
        <w:fldChar w:fldCharType="end"/>
      </w:r>
    </w:p>
    <w:p w14:paraId="1A1A665B">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_Toc24712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第4章 </w:t>
      </w:r>
      <w:r>
        <w:rPr>
          <w:rFonts w:hint="default" w:ascii="Times New Roman" w:hAnsi="Times New Roman" w:cs="Times New Roman"/>
          <w:sz w:val="24"/>
          <w:szCs w:val="24"/>
          <w:highlight w:val="none"/>
        </w:rPr>
        <w:t>环境现状调查与评价</w:t>
      </w:r>
      <w:r>
        <w:rPr>
          <w:sz w:val="24"/>
          <w:szCs w:val="24"/>
          <w:highlight w:val="none"/>
        </w:rPr>
        <w:tab/>
      </w:r>
      <w:r>
        <w:rPr>
          <w:sz w:val="24"/>
          <w:szCs w:val="24"/>
          <w:highlight w:val="none"/>
        </w:rPr>
        <w:fldChar w:fldCharType="begin"/>
      </w:r>
      <w:r>
        <w:rPr>
          <w:sz w:val="24"/>
          <w:szCs w:val="24"/>
          <w:highlight w:val="none"/>
        </w:rPr>
        <w:instrText xml:space="preserve"> PAGEREF _Toc24712 \h </w:instrText>
      </w:r>
      <w:r>
        <w:rPr>
          <w:sz w:val="24"/>
          <w:szCs w:val="24"/>
          <w:highlight w:val="none"/>
        </w:rPr>
        <w:fldChar w:fldCharType="separate"/>
      </w:r>
      <w:r>
        <w:rPr>
          <w:sz w:val="24"/>
          <w:szCs w:val="24"/>
          <w:highlight w:val="none"/>
        </w:rPr>
        <w:t>73</w:t>
      </w:r>
      <w:r>
        <w:rPr>
          <w:sz w:val="24"/>
          <w:szCs w:val="24"/>
          <w:highlight w:val="none"/>
        </w:rPr>
        <w:fldChar w:fldCharType="end"/>
      </w:r>
      <w:r>
        <w:rPr>
          <w:rFonts w:hint="default" w:ascii="Times New Roman" w:hAnsi="Times New Roman" w:cs="Times New Roman"/>
          <w:sz w:val="24"/>
          <w:szCs w:val="32"/>
          <w:highlight w:val="none"/>
        </w:rPr>
        <w:fldChar w:fldCharType="end"/>
      </w:r>
    </w:p>
    <w:p w14:paraId="4C007D34">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_Toc10365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4.1 </w:t>
      </w:r>
      <w:r>
        <w:rPr>
          <w:rFonts w:hint="default" w:ascii="Times New Roman" w:hAnsi="Times New Roman" w:cs="Times New Roman"/>
          <w:sz w:val="24"/>
          <w:szCs w:val="36"/>
          <w:highlight w:val="none"/>
        </w:rPr>
        <w:t>自然环境概况</w:t>
      </w:r>
      <w:r>
        <w:rPr>
          <w:sz w:val="24"/>
          <w:szCs w:val="24"/>
          <w:highlight w:val="none"/>
        </w:rPr>
        <w:tab/>
      </w:r>
      <w:r>
        <w:rPr>
          <w:sz w:val="24"/>
          <w:szCs w:val="24"/>
          <w:highlight w:val="none"/>
        </w:rPr>
        <w:fldChar w:fldCharType="begin"/>
      </w:r>
      <w:r>
        <w:rPr>
          <w:sz w:val="24"/>
          <w:szCs w:val="24"/>
          <w:highlight w:val="none"/>
        </w:rPr>
        <w:instrText xml:space="preserve"> PAGEREF _Toc10365 \h </w:instrText>
      </w:r>
      <w:r>
        <w:rPr>
          <w:sz w:val="24"/>
          <w:szCs w:val="24"/>
          <w:highlight w:val="none"/>
        </w:rPr>
        <w:fldChar w:fldCharType="separate"/>
      </w:r>
      <w:r>
        <w:rPr>
          <w:sz w:val="24"/>
          <w:szCs w:val="24"/>
          <w:highlight w:val="none"/>
        </w:rPr>
        <w:t>73</w:t>
      </w:r>
      <w:r>
        <w:rPr>
          <w:sz w:val="24"/>
          <w:szCs w:val="24"/>
          <w:highlight w:val="none"/>
        </w:rPr>
        <w:fldChar w:fldCharType="end"/>
      </w:r>
      <w:r>
        <w:rPr>
          <w:rFonts w:hint="default" w:ascii="Times New Roman" w:hAnsi="Times New Roman" w:cs="Times New Roman"/>
          <w:sz w:val="24"/>
          <w:szCs w:val="32"/>
          <w:highlight w:val="none"/>
        </w:rPr>
        <w:fldChar w:fldCharType="end"/>
      </w:r>
    </w:p>
    <w:p w14:paraId="6592A960">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_Toc21267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24"/>
          <w:highlight w:val="none"/>
        </w:rPr>
        <w:t xml:space="preserve">4.2 </w:t>
      </w:r>
      <w:r>
        <w:rPr>
          <w:rFonts w:hint="default" w:ascii="Times New Roman" w:hAnsi="Times New Roman" w:cs="Times New Roman"/>
          <w:sz w:val="24"/>
          <w:szCs w:val="24"/>
          <w:highlight w:val="none"/>
        </w:rPr>
        <w:t>环境保护目标调查</w:t>
      </w:r>
      <w:r>
        <w:rPr>
          <w:sz w:val="24"/>
          <w:szCs w:val="24"/>
          <w:highlight w:val="none"/>
        </w:rPr>
        <w:tab/>
      </w:r>
      <w:r>
        <w:rPr>
          <w:sz w:val="24"/>
          <w:szCs w:val="24"/>
          <w:highlight w:val="none"/>
        </w:rPr>
        <w:fldChar w:fldCharType="begin"/>
      </w:r>
      <w:r>
        <w:rPr>
          <w:sz w:val="24"/>
          <w:szCs w:val="24"/>
          <w:highlight w:val="none"/>
        </w:rPr>
        <w:instrText xml:space="preserve"> PAGEREF _Toc21267 \h </w:instrText>
      </w:r>
      <w:r>
        <w:rPr>
          <w:sz w:val="24"/>
          <w:szCs w:val="24"/>
          <w:highlight w:val="none"/>
        </w:rPr>
        <w:fldChar w:fldCharType="separate"/>
      </w:r>
      <w:r>
        <w:rPr>
          <w:sz w:val="24"/>
          <w:szCs w:val="24"/>
          <w:highlight w:val="none"/>
        </w:rPr>
        <w:t>75</w:t>
      </w:r>
      <w:r>
        <w:rPr>
          <w:sz w:val="24"/>
          <w:szCs w:val="24"/>
          <w:highlight w:val="none"/>
        </w:rPr>
        <w:fldChar w:fldCharType="end"/>
      </w:r>
      <w:r>
        <w:rPr>
          <w:rFonts w:hint="default" w:ascii="Times New Roman" w:hAnsi="Times New Roman" w:cs="Times New Roman"/>
          <w:sz w:val="24"/>
          <w:szCs w:val="32"/>
          <w:highlight w:val="none"/>
        </w:rPr>
        <w:fldChar w:fldCharType="end"/>
      </w:r>
    </w:p>
    <w:p w14:paraId="5D3756CA">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_Toc1827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4.3 </w:t>
      </w:r>
      <w:r>
        <w:rPr>
          <w:rFonts w:hint="default" w:ascii="Times New Roman" w:hAnsi="Times New Roman" w:cs="Times New Roman"/>
          <w:sz w:val="24"/>
          <w:szCs w:val="36"/>
          <w:highlight w:val="none"/>
        </w:rPr>
        <w:t>环境质量现状调查与评价</w:t>
      </w:r>
      <w:r>
        <w:rPr>
          <w:sz w:val="24"/>
          <w:szCs w:val="24"/>
          <w:highlight w:val="none"/>
        </w:rPr>
        <w:tab/>
      </w:r>
      <w:r>
        <w:rPr>
          <w:sz w:val="24"/>
          <w:szCs w:val="24"/>
          <w:highlight w:val="none"/>
        </w:rPr>
        <w:fldChar w:fldCharType="begin"/>
      </w:r>
      <w:r>
        <w:rPr>
          <w:sz w:val="24"/>
          <w:szCs w:val="24"/>
          <w:highlight w:val="none"/>
        </w:rPr>
        <w:instrText xml:space="preserve"> PAGEREF _Toc1827 \h </w:instrText>
      </w:r>
      <w:r>
        <w:rPr>
          <w:sz w:val="24"/>
          <w:szCs w:val="24"/>
          <w:highlight w:val="none"/>
        </w:rPr>
        <w:fldChar w:fldCharType="separate"/>
      </w:r>
      <w:r>
        <w:rPr>
          <w:sz w:val="24"/>
          <w:szCs w:val="24"/>
          <w:highlight w:val="none"/>
        </w:rPr>
        <w:t>76</w:t>
      </w:r>
      <w:r>
        <w:rPr>
          <w:sz w:val="24"/>
          <w:szCs w:val="24"/>
          <w:highlight w:val="none"/>
        </w:rPr>
        <w:fldChar w:fldCharType="end"/>
      </w:r>
      <w:r>
        <w:rPr>
          <w:rFonts w:hint="default" w:ascii="Times New Roman" w:hAnsi="Times New Roman" w:cs="Times New Roman"/>
          <w:sz w:val="24"/>
          <w:szCs w:val="32"/>
          <w:highlight w:val="none"/>
        </w:rPr>
        <w:fldChar w:fldCharType="end"/>
      </w:r>
    </w:p>
    <w:p w14:paraId="3E8FE8AB">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_Toc24048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4.4 </w:t>
      </w:r>
      <w:r>
        <w:rPr>
          <w:rFonts w:hint="default" w:ascii="Times New Roman" w:hAnsi="Times New Roman" w:cs="Times New Roman"/>
          <w:sz w:val="24"/>
          <w:szCs w:val="36"/>
          <w:highlight w:val="none"/>
        </w:rPr>
        <w:t>区域污染源调查</w:t>
      </w:r>
      <w:r>
        <w:rPr>
          <w:sz w:val="24"/>
          <w:szCs w:val="24"/>
          <w:highlight w:val="none"/>
        </w:rPr>
        <w:tab/>
      </w:r>
      <w:r>
        <w:rPr>
          <w:sz w:val="24"/>
          <w:szCs w:val="24"/>
          <w:highlight w:val="none"/>
        </w:rPr>
        <w:fldChar w:fldCharType="begin"/>
      </w:r>
      <w:r>
        <w:rPr>
          <w:sz w:val="24"/>
          <w:szCs w:val="24"/>
          <w:highlight w:val="none"/>
        </w:rPr>
        <w:instrText xml:space="preserve"> PAGEREF _Toc24048 \h </w:instrText>
      </w:r>
      <w:r>
        <w:rPr>
          <w:sz w:val="24"/>
          <w:szCs w:val="24"/>
          <w:highlight w:val="none"/>
        </w:rPr>
        <w:fldChar w:fldCharType="separate"/>
      </w:r>
      <w:r>
        <w:rPr>
          <w:sz w:val="24"/>
          <w:szCs w:val="24"/>
          <w:highlight w:val="none"/>
        </w:rPr>
        <w:t>101</w:t>
      </w:r>
      <w:r>
        <w:rPr>
          <w:sz w:val="24"/>
          <w:szCs w:val="24"/>
          <w:highlight w:val="none"/>
        </w:rPr>
        <w:fldChar w:fldCharType="end"/>
      </w:r>
      <w:r>
        <w:rPr>
          <w:rFonts w:hint="default" w:ascii="Times New Roman" w:hAnsi="Times New Roman" w:cs="Times New Roman"/>
          <w:sz w:val="24"/>
          <w:szCs w:val="32"/>
          <w:highlight w:val="none"/>
        </w:rPr>
        <w:fldChar w:fldCharType="end"/>
      </w:r>
    </w:p>
    <w:p w14:paraId="6760C83A">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_Toc5439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第5章 </w:t>
      </w:r>
      <w:r>
        <w:rPr>
          <w:rFonts w:hint="default" w:ascii="Times New Roman" w:hAnsi="Times New Roman" w:cs="Times New Roman"/>
          <w:sz w:val="24"/>
          <w:szCs w:val="24"/>
          <w:highlight w:val="none"/>
        </w:rPr>
        <w:t>环境影响预测与评价</w:t>
      </w:r>
      <w:r>
        <w:rPr>
          <w:sz w:val="24"/>
          <w:szCs w:val="24"/>
          <w:highlight w:val="none"/>
        </w:rPr>
        <w:tab/>
      </w:r>
      <w:r>
        <w:rPr>
          <w:sz w:val="24"/>
          <w:szCs w:val="24"/>
          <w:highlight w:val="none"/>
        </w:rPr>
        <w:fldChar w:fldCharType="begin"/>
      </w:r>
      <w:r>
        <w:rPr>
          <w:sz w:val="24"/>
          <w:szCs w:val="24"/>
          <w:highlight w:val="none"/>
        </w:rPr>
        <w:instrText xml:space="preserve"> PAGEREF _Toc5439 \h </w:instrText>
      </w:r>
      <w:r>
        <w:rPr>
          <w:sz w:val="24"/>
          <w:szCs w:val="24"/>
          <w:highlight w:val="none"/>
        </w:rPr>
        <w:fldChar w:fldCharType="separate"/>
      </w:r>
      <w:r>
        <w:rPr>
          <w:sz w:val="24"/>
          <w:szCs w:val="24"/>
          <w:highlight w:val="none"/>
        </w:rPr>
        <w:t>103</w:t>
      </w:r>
      <w:r>
        <w:rPr>
          <w:sz w:val="24"/>
          <w:szCs w:val="24"/>
          <w:highlight w:val="none"/>
        </w:rPr>
        <w:fldChar w:fldCharType="end"/>
      </w:r>
      <w:r>
        <w:rPr>
          <w:rFonts w:hint="default" w:ascii="Times New Roman" w:hAnsi="Times New Roman" w:cs="Times New Roman"/>
          <w:sz w:val="24"/>
          <w:szCs w:val="32"/>
          <w:highlight w:val="none"/>
        </w:rPr>
        <w:fldChar w:fldCharType="end"/>
      </w:r>
    </w:p>
    <w:p w14:paraId="1A64DA48">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_Toc15900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5.1 </w:t>
      </w:r>
      <w:r>
        <w:rPr>
          <w:rFonts w:hint="default" w:ascii="Times New Roman" w:hAnsi="Times New Roman" w:cs="Times New Roman"/>
          <w:sz w:val="24"/>
          <w:szCs w:val="36"/>
          <w:highlight w:val="none"/>
        </w:rPr>
        <w:t>建设阶段环境影响分析</w:t>
      </w:r>
      <w:r>
        <w:rPr>
          <w:sz w:val="24"/>
          <w:szCs w:val="24"/>
          <w:highlight w:val="none"/>
        </w:rPr>
        <w:tab/>
      </w:r>
      <w:r>
        <w:rPr>
          <w:sz w:val="24"/>
          <w:szCs w:val="24"/>
          <w:highlight w:val="none"/>
        </w:rPr>
        <w:fldChar w:fldCharType="begin"/>
      </w:r>
      <w:r>
        <w:rPr>
          <w:sz w:val="24"/>
          <w:szCs w:val="24"/>
          <w:highlight w:val="none"/>
        </w:rPr>
        <w:instrText xml:space="preserve"> PAGEREF _Toc15900 \h </w:instrText>
      </w:r>
      <w:r>
        <w:rPr>
          <w:sz w:val="24"/>
          <w:szCs w:val="24"/>
          <w:highlight w:val="none"/>
        </w:rPr>
        <w:fldChar w:fldCharType="separate"/>
      </w:r>
      <w:r>
        <w:rPr>
          <w:sz w:val="24"/>
          <w:szCs w:val="24"/>
          <w:highlight w:val="none"/>
        </w:rPr>
        <w:t>103</w:t>
      </w:r>
      <w:r>
        <w:rPr>
          <w:sz w:val="24"/>
          <w:szCs w:val="24"/>
          <w:highlight w:val="none"/>
        </w:rPr>
        <w:fldChar w:fldCharType="end"/>
      </w:r>
      <w:r>
        <w:rPr>
          <w:rFonts w:hint="default" w:ascii="Times New Roman" w:hAnsi="Times New Roman" w:cs="Times New Roman"/>
          <w:sz w:val="24"/>
          <w:szCs w:val="32"/>
          <w:highlight w:val="none"/>
        </w:rPr>
        <w:fldChar w:fldCharType="end"/>
      </w:r>
    </w:p>
    <w:p w14:paraId="1F0ABB65">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_Toc4443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5.2 </w:t>
      </w:r>
      <w:r>
        <w:rPr>
          <w:rFonts w:hint="default" w:ascii="Times New Roman" w:hAnsi="Times New Roman" w:cs="Times New Roman"/>
          <w:sz w:val="24"/>
          <w:szCs w:val="36"/>
          <w:highlight w:val="none"/>
        </w:rPr>
        <w:t>生产运行阶段环境影响预测与评价</w:t>
      </w:r>
      <w:r>
        <w:rPr>
          <w:sz w:val="24"/>
          <w:szCs w:val="24"/>
          <w:highlight w:val="none"/>
        </w:rPr>
        <w:tab/>
      </w:r>
      <w:r>
        <w:rPr>
          <w:sz w:val="24"/>
          <w:szCs w:val="24"/>
          <w:highlight w:val="none"/>
        </w:rPr>
        <w:fldChar w:fldCharType="begin"/>
      </w:r>
      <w:r>
        <w:rPr>
          <w:sz w:val="24"/>
          <w:szCs w:val="24"/>
          <w:highlight w:val="none"/>
        </w:rPr>
        <w:instrText xml:space="preserve"> PAGEREF _Toc4443 \h </w:instrText>
      </w:r>
      <w:r>
        <w:rPr>
          <w:sz w:val="24"/>
          <w:szCs w:val="24"/>
          <w:highlight w:val="none"/>
        </w:rPr>
        <w:fldChar w:fldCharType="separate"/>
      </w:r>
      <w:r>
        <w:rPr>
          <w:sz w:val="24"/>
          <w:szCs w:val="24"/>
          <w:highlight w:val="none"/>
        </w:rPr>
        <w:t>106</w:t>
      </w:r>
      <w:r>
        <w:rPr>
          <w:sz w:val="24"/>
          <w:szCs w:val="24"/>
          <w:highlight w:val="none"/>
        </w:rPr>
        <w:fldChar w:fldCharType="end"/>
      </w:r>
      <w:r>
        <w:rPr>
          <w:rFonts w:hint="default" w:ascii="Times New Roman" w:hAnsi="Times New Roman" w:cs="Times New Roman"/>
          <w:sz w:val="24"/>
          <w:szCs w:val="32"/>
          <w:highlight w:val="none"/>
        </w:rPr>
        <w:fldChar w:fldCharType="end"/>
      </w:r>
    </w:p>
    <w:p w14:paraId="1DDB0CEC">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_Toc16269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5.3 </w:t>
      </w:r>
      <w:r>
        <w:rPr>
          <w:rFonts w:hint="default" w:ascii="Times New Roman" w:hAnsi="Times New Roman" w:eastAsia="宋体" w:cs="Times New Roman"/>
          <w:sz w:val="24"/>
          <w:szCs w:val="36"/>
          <w:highlight w:val="none"/>
        </w:rPr>
        <w:t>生态环境影响评价</w:t>
      </w:r>
      <w:r>
        <w:rPr>
          <w:sz w:val="24"/>
          <w:szCs w:val="24"/>
          <w:highlight w:val="none"/>
        </w:rPr>
        <w:tab/>
      </w:r>
      <w:r>
        <w:rPr>
          <w:sz w:val="24"/>
          <w:szCs w:val="24"/>
          <w:highlight w:val="none"/>
        </w:rPr>
        <w:fldChar w:fldCharType="begin"/>
      </w:r>
      <w:r>
        <w:rPr>
          <w:sz w:val="24"/>
          <w:szCs w:val="24"/>
          <w:highlight w:val="none"/>
        </w:rPr>
        <w:instrText xml:space="preserve"> PAGEREF _Toc16269 \h </w:instrText>
      </w:r>
      <w:r>
        <w:rPr>
          <w:sz w:val="24"/>
          <w:szCs w:val="24"/>
          <w:highlight w:val="none"/>
        </w:rPr>
        <w:fldChar w:fldCharType="separate"/>
      </w:r>
      <w:r>
        <w:rPr>
          <w:sz w:val="24"/>
          <w:szCs w:val="24"/>
          <w:highlight w:val="none"/>
        </w:rPr>
        <w:t>153</w:t>
      </w:r>
      <w:r>
        <w:rPr>
          <w:sz w:val="24"/>
          <w:szCs w:val="24"/>
          <w:highlight w:val="none"/>
        </w:rPr>
        <w:fldChar w:fldCharType="end"/>
      </w:r>
      <w:r>
        <w:rPr>
          <w:rFonts w:hint="default" w:ascii="Times New Roman" w:hAnsi="Times New Roman" w:cs="Times New Roman"/>
          <w:sz w:val="24"/>
          <w:szCs w:val="32"/>
          <w:highlight w:val="none"/>
        </w:rPr>
        <w:fldChar w:fldCharType="end"/>
      </w:r>
    </w:p>
    <w:p w14:paraId="56721F78">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_Toc18649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第6章 </w:t>
      </w:r>
      <w:r>
        <w:rPr>
          <w:rFonts w:hint="default" w:ascii="Times New Roman" w:hAnsi="Times New Roman" w:cs="Times New Roman"/>
          <w:sz w:val="24"/>
          <w:szCs w:val="24"/>
          <w:highlight w:val="none"/>
        </w:rPr>
        <w:t>环境保护措施及其可行性论证</w:t>
      </w:r>
      <w:r>
        <w:rPr>
          <w:sz w:val="24"/>
          <w:szCs w:val="24"/>
          <w:highlight w:val="none"/>
        </w:rPr>
        <w:tab/>
      </w:r>
      <w:r>
        <w:rPr>
          <w:sz w:val="24"/>
          <w:szCs w:val="24"/>
          <w:highlight w:val="none"/>
        </w:rPr>
        <w:fldChar w:fldCharType="begin"/>
      </w:r>
      <w:r>
        <w:rPr>
          <w:sz w:val="24"/>
          <w:szCs w:val="24"/>
          <w:highlight w:val="none"/>
        </w:rPr>
        <w:instrText xml:space="preserve"> PAGEREF _Toc18649 \h </w:instrText>
      </w:r>
      <w:r>
        <w:rPr>
          <w:sz w:val="24"/>
          <w:szCs w:val="24"/>
          <w:highlight w:val="none"/>
        </w:rPr>
        <w:fldChar w:fldCharType="separate"/>
      </w:r>
      <w:r>
        <w:rPr>
          <w:sz w:val="24"/>
          <w:szCs w:val="24"/>
          <w:highlight w:val="none"/>
        </w:rPr>
        <w:t>158</w:t>
      </w:r>
      <w:r>
        <w:rPr>
          <w:sz w:val="24"/>
          <w:szCs w:val="24"/>
          <w:highlight w:val="none"/>
        </w:rPr>
        <w:fldChar w:fldCharType="end"/>
      </w:r>
      <w:r>
        <w:rPr>
          <w:rFonts w:hint="default" w:ascii="Times New Roman" w:hAnsi="Times New Roman" w:cs="Times New Roman"/>
          <w:sz w:val="24"/>
          <w:szCs w:val="32"/>
          <w:highlight w:val="none"/>
        </w:rPr>
        <w:fldChar w:fldCharType="end"/>
      </w:r>
    </w:p>
    <w:p w14:paraId="13FDDE09">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_Toc3646 </w:instrText>
      </w:r>
      <w:r>
        <w:rPr>
          <w:rFonts w:hint="default" w:ascii="Times New Roman" w:hAnsi="Times New Roman" w:cs="Times New Roman"/>
          <w:sz w:val="24"/>
          <w:szCs w:val="32"/>
          <w:highlight w:val="none"/>
        </w:rPr>
        <w:fldChar w:fldCharType="separate"/>
      </w:r>
      <w:r>
        <w:rPr>
          <w:rFonts w:hint="eastAsia" w:ascii="Times New Roman" w:hAnsi="Times New Roman" w:cs="Times New Roman"/>
          <w:sz w:val="24"/>
          <w:szCs w:val="36"/>
          <w:highlight w:val="none"/>
        </w:rPr>
        <w:t xml:space="preserve">6.1 </w:t>
      </w:r>
      <w:r>
        <w:rPr>
          <w:rFonts w:hint="eastAsia" w:ascii="Times New Roman" w:hAnsi="Times New Roman" w:cs="Times New Roman"/>
          <w:sz w:val="24"/>
          <w:szCs w:val="36"/>
          <w:highlight w:val="none"/>
          <w:lang w:val="en-US" w:eastAsia="zh-CN"/>
        </w:rPr>
        <w:t>废气污染防治</w:t>
      </w:r>
      <w:r>
        <w:rPr>
          <w:rFonts w:hint="default" w:ascii="Times New Roman" w:hAnsi="Times New Roman" w:cs="Times New Roman"/>
          <w:sz w:val="24"/>
          <w:szCs w:val="36"/>
          <w:highlight w:val="none"/>
        </w:rPr>
        <w:t>措施可行性论证</w:t>
      </w:r>
      <w:r>
        <w:rPr>
          <w:sz w:val="24"/>
          <w:szCs w:val="24"/>
          <w:highlight w:val="none"/>
        </w:rPr>
        <w:tab/>
      </w:r>
      <w:r>
        <w:rPr>
          <w:sz w:val="24"/>
          <w:szCs w:val="24"/>
          <w:highlight w:val="none"/>
        </w:rPr>
        <w:fldChar w:fldCharType="begin"/>
      </w:r>
      <w:r>
        <w:rPr>
          <w:sz w:val="24"/>
          <w:szCs w:val="24"/>
          <w:highlight w:val="none"/>
        </w:rPr>
        <w:instrText xml:space="preserve"> PAGEREF _Toc3646 \h </w:instrText>
      </w:r>
      <w:r>
        <w:rPr>
          <w:sz w:val="24"/>
          <w:szCs w:val="24"/>
          <w:highlight w:val="none"/>
        </w:rPr>
        <w:fldChar w:fldCharType="separate"/>
      </w:r>
      <w:r>
        <w:rPr>
          <w:sz w:val="24"/>
          <w:szCs w:val="24"/>
          <w:highlight w:val="none"/>
        </w:rPr>
        <w:t>158</w:t>
      </w:r>
      <w:r>
        <w:rPr>
          <w:sz w:val="24"/>
          <w:szCs w:val="24"/>
          <w:highlight w:val="none"/>
        </w:rPr>
        <w:fldChar w:fldCharType="end"/>
      </w:r>
      <w:r>
        <w:rPr>
          <w:rFonts w:hint="default" w:ascii="Times New Roman" w:hAnsi="Times New Roman" w:cs="Times New Roman"/>
          <w:sz w:val="24"/>
          <w:szCs w:val="32"/>
          <w:highlight w:val="none"/>
        </w:rPr>
        <w:fldChar w:fldCharType="end"/>
      </w:r>
    </w:p>
    <w:p w14:paraId="3A41132C">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_Toc869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lang w:val="en-US" w:eastAsia="zh-CN"/>
        </w:rPr>
        <w:t>6.2 废水</w:t>
      </w:r>
      <w:r>
        <w:rPr>
          <w:rFonts w:hint="default" w:ascii="Times New Roman" w:hAnsi="Times New Roman" w:eastAsia="宋体" w:cs="Times New Roman"/>
          <w:sz w:val="24"/>
          <w:szCs w:val="36"/>
          <w:highlight w:val="none"/>
          <w:lang w:val="en-US" w:eastAsia="zh-CN"/>
        </w:rPr>
        <w:t>环境保护措施可行性论证</w:t>
      </w:r>
      <w:r>
        <w:rPr>
          <w:sz w:val="24"/>
          <w:szCs w:val="24"/>
          <w:highlight w:val="none"/>
        </w:rPr>
        <w:tab/>
      </w:r>
      <w:r>
        <w:rPr>
          <w:sz w:val="24"/>
          <w:szCs w:val="24"/>
          <w:highlight w:val="none"/>
        </w:rPr>
        <w:fldChar w:fldCharType="begin"/>
      </w:r>
      <w:r>
        <w:rPr>
          <w:sz w:val="24"/>
          <w:szCs w:val="24"/>
          <w:highlight w:val="none"/>
        </w:rPr>
        <w:instrText xml:space="preserve"> PAGEREF _Toc869 \h </w:instrText>
      </w:r>
      <w:r>
        <w:rPr>
          <w:sz w:val="24"/>
          <w:szCs w:val="24"/>
          <w:highlight w:val="none"/>
        </w:rPr>
        <w:fldChar w:fldCharType="separate"/>
      </w:r>
      <w:r>
        <w:rPr>
          <w:sz w:val="24"/>
          <w:szCs w:val="24"/>
          <w:highlight w:val="none"/>
        </w:rPr>
        <w:t>158</w:t>
      </w:r>
      <w:r>
        <w:rPr>
          <w:sz w:val="24"/>
          <w:szCs w:val="24"/>
          <w:highlight w:val="none"/>
        </w:rPr>
        <w:fldChar w:fldCharType="end"/>
      </w:r>
      <w:r>
        <w:rPr>
          <w:rFonts w:hint="default" w:ascii="Times New Roman" w:hAnsi="Times New Roman" w:cs="Times New Roman"/>
          <w:sz w:val="24"/>
          <w:szCs w:val="32"/>
          <w:highlight w:val="none"/>
        </w:rPr>
        <w:fldChar w:fldCharType="end"/>
      </w:r>
    </w:p>
    <w:p w14:paraId="429AA69B">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_Toc22622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lang w:val="en-US" w:eastAsia="zh-CN"/>
        </w:rPr>
        <w:t xml:space="preserve">6.3 </w:t>
      </w:r>
      <w:r>
        <w:rPr>
          <w:rFonts w:hint="default" w:ascii="Times New Roman" w:hAnsi="Times New Roman" w:eastAsia="宋体" w:cs="Times New Roman"/>
          <w:sz w:val="24"/>
          <w:szCs w:val="36"/>
          <w:highlight w:val="none"/>
          <w:lang w:val="en-US" w:eastAsia="zh-CN"/>
        </w:rPr>
        <w:t>声环境保护措施可行性论证</w:t>
      </w:r>
      <w:r>
        <w:rPr>
          <w:sz w:val="24"/>
          <w:szCs w:val="24"/>
          <w:highlight w:val="none"/>
        </w:rPr>
        <w:tab/>
      </w:r>
      <w:r>
        <w:rPr>
          <w:sz w:val="24"/>
          <w:szCs w:val="24"/>
          <w:highlight w:val="none"/>
        </w:rPr>
        <w:fldChar w:fldCharType="begin"/>
      </w:r>
      <w:r>
        <w:rPr>
          <w:sz w:val="24"/>
          <w:szCs w:val="24"/>
          <w:highlight w:val="none"/>
        </w:rPr>
        <w:instrText xml:space="preserve"> PAGEREF _Toc22622 \h </w:instrText>
      </w:r>
      <w:r>
        <w:rPr>
          <w:sz w:val="24"/>
          <w:szCs w:val="24"/>
          <w:highlight w:val="none"/>
        </w:rPr>
        <w:fldChar w:fldCharType="separate"/>
      </w:r>
      <w:r>
        <w:rPr>
          <w:sz w:val="24"/>
          <w:szCs w:val="24"/>
          <w:highlight w:val="none"/>
        </w:rPr>
        <w:t>159</w:t>
      </w:r>
      <w:r>
        <w:rPr>
          <w:sz w:val="24"/>
          <w:szCs w:val="24"/>
          <w:highlight w:val="none"/>
        </w:rPr>
        <w:fldChar w:fldCharType="end"/>
      </w:r>
      <w:r>
        <w:rPr>
          <w:rFonts w:hint="default" w:ascii="Times New Roman" w:hAnsi="Times New Roman" w:cs="Times New Roman"/>
          <w:sz w:val="24"/>
          <w:szCs w:val="32"/>
          <w:highlight w:val="none"/>
        </w:rPr>
        <w:fldChar w:fldCharType="end"/>
      </w:r>
    </w:p>
    <w:p w14:paraId="303B1725">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_Toc28379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lang w:val="en-US" w:eastAsia="zh-CN"/>
        </w:rPr>
        <w:t xml:space="preserve">6.4 </w:t>
      </w:r>
      <w:r>
        <w:rPr>
          <w:rFonts w:hint="default" w:ascii="Times New Roman" w:hAnsi="Times New Roman" w:eastAsia="宋体" w:cs="Times New Roman"/>
          <w:sz w:val="24"/>
          <w:szCs w:val="36"/>
          <w:highlight w:val="none"/>
          <w:lang w:val="en-US" w:eastAsia="zh-CN"/>
        </w:rPr>
        <w:t>固体废物环境保护措施可行性论证</w:t>
      </w:r>
      <w:r>
        <w:rPr>
          <w:sz w:val="24"/>
          <w:szCs w:val="24"/>
          <w:highlight w:val="none"/>
        </w:rPr>
        <w:tab/>
      </w:r>
      <w:r>
        <w:rPr>
          <w:sz w:val="24"/>
          <w:szCs w:val="24"/>
          <w:highlight w:val="none"/>
        </w:rPr>
        <w:fldChar w:fldCharType="begin"/>
      </w:r>
      <w:r>
        <w:rPr>
          <w:sz w:val="24"/>
          <w:szCs w:val="24"/>
          <w:highlight w:val="none"/>
        </w:rPr>
        <w:instrText xml:space="preserve"> PAGEREF _Toc28379 \h </w:instrText>
      </w:r>
      <w:r>
        <w:rPr>
          <w:sz w:val="24"/>
          <w:szCs w:val="24"/>
          <w:highlight w:val="none"/>
        </w:rPr>
        <w:fldChar w:fldCharType="separate"/>
      </w:r>
      <w:r>
        <w:rPr>
          <w:sz w:val="24"/>
          <w:szCs w:val="24"/>
          <w:highlight w:val="none"/>
        </w:rPr>
        <w:t>159</w:t>
      </w:r>
      <w:r>
        <w:rPr>
          <w:sz w:val="24"/>
          <w:szCs w:val="24"/>
          <w:highlight w:val="none"/>
        </w:rPr>
        <w:fldChar w:fldCharType="end"/>
      </w:r>
      <w:r>
        <w:rPr>
          <w:rFonts w:hint="default" w:ascii="Times New Roman" w:hAnsi="Times New Roman" w:cs="Times New Roman"/>
          <w:sz w:val="24"/>
          <w:szCs w:val="32"/>
          <w:highlight w:val="none"/>
        </w:rPr>
        <w:fldChar w:fldCharType="end"/>
      </w:r>
    </w:p>
    <w:p w14:paraId="0E530A61">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_Toc4888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6.5 </w:t>
      </w:r>
      <w:r>
        <w:rPr>
          <w:rFonts w:hint="default" w:ascii="Times New Roman" w:hAnsi="Times New Roman" w:eastAsia="宋体" w:cs="Times New Roman"/>
          <w:sz w:val="24"/>
          <w:szCs w:val="36"/>
          <w:highlight w:val="none"/>
        </w:rPr>
        <w:t>生态环境保护措施及其可行性论证</w:t>
      </w:r>
      <w:r>
        <w:rPr>
          <w:sz w:val="24"/>
          <w:szCs w:val="24"/>
          <w:highlight w:val="none"/>
        </w:rPr>
        <w:tab/>
      </w:r>
      <w:r>
        <w:rPr>
          <w:sz w:val="24"/>
          <w:szCs w:val="24"/>
          <w:highlight w:val="none"/>
        </w:rPr>
        <w:fldChar w:fldCharType="begin"/>
      </w:r>
      <w:r>
        <w:rPr>
          <w:sz w:val="24"/>
          <w:szCs w:val="24"/>
          <w:highlight w:val="none"/>
        </w:rPr>
        <w:instrText xml:space="preserve"> PAGEREF _Toc4888 \h </w:instrText>
      </w:r>
      <w:r>
        <w:rPr>
          <w:sz w:val="24"/>
          <w:szCs w:val="24"/>
          <w:highlight w:val="none"/>
        </w:rPr>
        <w:fldChar w:fldCharType="separate"/>
      </w:r>
      <w:r>
        <w:rPr>
          <w:sz w:val="24"/>
          <w:szCs w:val="24"/>
          <w:highlight w:val="none"/>
        </w:rPr>
        <w:t>161</w:t>
      </w:r>
      <w:r>
        <w:rPr>
          <w:sz w:val="24"/>
          <w:szCs w:val="24"/>
          <w:highlight w:val="none"/>
        </w:rPr>
        <w:fldChar w:fldCharType="end"/>
      </w:r>
      <w:r>
        <w:rPr>
          <w:rFonts w:hint="default" w:ascii="Times New Roman" w:hAnsi="Times New Roman" w:cs="Times New Roman"/>
          <w:sz w:val="24"/>
          <w:szCs w:val="32"/>
          <w:highlight w:val="none"/>
        </w:rPr>
        <w:fldChar w:fldCharType="end"/>
      </w:r>
    </w:p>
    <w:p w14:paraId="0F652224">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_Toc14195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6.6 </w:t>
      </w:r>
      <w:r>
        <w:rPr>
          <w:rFonts w:hint="default" w:ascii="Times New Roman" w:hAnsi="Times New Roman" w:eastAsia="宋体" w:cs="Times New Roman"/>
          <w:sz w:val="24"/>
          <w:szCs w:val="36"/>
          <w:highlight w:val="none"/>
        </w:rPr>
        <w:t>污染防治措施环保投入及其可行性论证</w:t>
      </w:r>
      <w:r>
        <w:rPr>
          <w:sz w:val="24"/>
          <w:szCs w:val="24"/>
          <w:highlight w:val="none"/>
        </w:rPr>
        <w:tab/>
      </w:r>
      <w:r>
        <w:rPr>
          <w:sz w:val="24"/>
          <w:szCs w:val="24"/>
          <w:highlight w:val="none"/>
        </w:rPr>
        <w:fldChar w:fldCharType="begin"/>
      </w:r>
      <w:r>
        <w:rPr>
          <w:sz w:val="24"/>
          <w:szCs w:val="24"/>
          <w:highlight w:val="none"/>
        </w:rPr>
        <w:instrText xml:space="preserve"> PAGEREF _Toc14195 \h </w:instrText>
      </w:r>
      <w:r>
        <w:rPr>
          <w:sz w:val="24"/>
          <w:szCs w:val="24"/>
          <w:highlight w:val="none"/>
        </w:rPr>
        <w:fldChar w:fldCharType="separate"/>
      </w:r>
      <w:r>
        <w:rPr>
          <w:sz w:val="24"/>
          <w:szCs w:val="24"/>
          <w:highlight w:val="none"/>
        </w:rPr>
        <w:t>162</w:t>
      </w:r>
      <w:r>
        <w:rPr>
          <w:sz w:val="24"/>
          <w:szCs w:val="24"/>
          <w:highlight w:val="none"/>
        </w:rPr>
        <w:fldChar w:fldCharType="end"/>
      </w:r>
      <w:r>
        <w:rPr>
          <w:rFonts w:hint="default" w:ascii="Times New Roman" w:hAnsi="Times New Roman" w:cs="Times New Roman"/>
          <w:sz w:val="24"/>
          <w:szCs w:val="32"/>
          <w:highlight w:val="none"/>
        </w:rPr>
        <w:fldChar w:fldCharType="end"/>
      </w:r>
    </w:p>
    <w:p w14:paraId="0AB6DE9E">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_Toc32410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第7章 </w:t>
      </w:r>
      <w:r>
        <w:rPr>
          <w:rFonts w:hint="default" w:ascii="Times New Roman" w:hAnsi="Times New Roman" w:cs="Times New Roman"/>
          <w:sz w:val="24"/>
          <w:szCs w:val="24"/>
          <w:highlight w:val="none"/>
        </w:rPr>
        <w:t>环境影响经济损益分析</w:t>
      </w:r>
      <w:r>
        <w:rPr>
          <w:sz w:val="24"/>
          <w:szCs w:val="24"/>
          <w:highlight w:val="none"/>
        </w:rPr>
        <w:tab/>
      </w:r>
      <w:r>
        <w:rPr>
          <w:sz w:val="24"/>
          <w:szCs w:val="24"/>
          <w:highlight w:val="none"/>
        </w:rPr>
        <w:fldChar w:fldCharType="begin"/>
      </w:r>
      <w:r>
        <w:rPr>
          <w:sz w:val="24"/>
          <w:szCs w:val="24"/>
          <w:highlight w:val="none"/>
        </w:rPr>
        <w:instrText xml:space="preserve"> PAGEREF _Toc32410 \h </w:instrText>
      </w:r>
      <w:r>
        <w:rPr>
          <w:sz w:val="24"/>
          <w:szCs w:val="24"/>
          <w:highlight w:val="none"/>
        </w:rPr>
        <w:fldChar w:fldCharType="separate"/>
      </w:r>
      <w:r>
        <w:rPr>
          <w:sz w:val="24"/>
          <w:szCs w:val="24"/>
          <w:highlight w:val="none"/>
        </w:rPr>
        <w:t>164</w:t>
      </w:r>
      <w:r>
        <w:rPr>
          <w:sz w:val="24"/>
          <w:szCs w:val="24"/>
          <w:highlight w:val="none"/>
        </w:rPr>
        <w:fldChar w:fldCharType="end"/>
      </w:r>
      <w:r>
        <w:rPr>
          <w:rFonts w:hint="default" w:ascii="Times New Roman" w:hAnsi="Times New Roman" w:cs="Times New Roman"/>
          <w:sz w:val="24"/>
          <w:szCs w:val="32"/>
          <w:highlight w:val="none"/>
        </w:rPr>
        <w:fldChar w:fldCharType="end"/>
      </w:r>
    </w:p>
    <w:p w14:paraId="45E02DC9">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_Toc5680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7.1 </w:t>
      </w:r>
      <w:r>
        <w:rPr>
          <w:rFonts w:hint="default" w:ascii="Times New Roman" w:hAnsi="Times New Roman" w:eastAsia="宋体" w:cs="Times New Roman"/>
          <w:sz w:val="24"/>
          <w:szCs w:val="36"/>
          <w:highlight w:val="none"/>
        </w:rPr>
        <w:t>社会效益分析</w:t>
      </w:r>
      <w:r>
        <w:rPr>
          <w:sz w:val="24"/>
          <w:szCs w:val="24"/>
          <w:highlight w:val="none"/>
        </w:rPr>
        <w:tab/>
      </w:r>
      <w:r>
        <w:rPr>
          <w:sz w:val="24"/>
          <w:szCs w:val="24"/>
          <w:highlight w:val="none"/>
        </w:rPr>
        <w:fldChar w:fldCharType="begin"/>
      </w:r>
      <w:r>
        <w:rPr>
          <w:sz w:val="24"/>
          <w:szCs w:val="24"/>
          <w:highlight w:val="none"/>
        </w:rPr>
        <w:instrText xml:space="preserve"> PAGEREF _Toc5680 \h </w:instrText>
      </w:r>
      <w:r>
        <w:rPr>
          <w:sz w:val="24"/>
          <w:szCs w:val="24"/>
          <w:highlight w:val="none"/>
        </w:rPr>
        <w:fldChar w:fldCharType="separate"/>
      </w:r>
      <w:r>
        <w:rPr>
          <w:sz w:val="24"/>
          <w:szCs w:val="24"/>
          <w:highlight w:val="none"/>
        </w:rPr>
        <w:t>164</w:t>
      </w:r>
      <w:r>
        <w:rPr>
          <w:sz w:val="24"/>
          <w:szCs w:val="24"/>
          <w:highlight w:val="none"/>
        </w:rPr>
        <w:fldChar w:fldCharType="end"/>
      </w:r>
      <w:r>
        <w:rPr>
          <w:rFonts w:hint="default" w:ascii="Times New Roman" w:hAnsi="Times New Roman" w:cs="Times New Roman"/>
          <w:sz w:val="24"/>
          <w:szCs w:val="32"/>
          <w:highlight w:val="none"/>
        </w:rPr>
        <w:fldChar w:fldCharType="end"/>
      </w:r>
    </w:p>
    <w:p w14:paraId="1C7B9491">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_Toc11067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7.2 </w:t>
      </w:r>
      <w:r>
        <w:rPr>
          <w:rFonts w:hint="default" w:ascii="Times New Roman" w:hAnsi="Times New Roman" w:eastAsia="宋体" w:cs="Times New Roman"/>
          <w:sz w:val="24"/>
          <w:szCs w:val="36"/>
          <w:highlight w:val="none"/>
        </w:rPr>
        <w:t>经济效益分析</w:t>
      </w:r>
      <w:r>
        <w:rPr>
          <w:sz w:val="24"/>
          <w:szCs w:val="24"/>
          <w:highlight w:val="none"/>
        </w:rPr>
        <w:tab/>
      </w:r>
      <w:r>
        <w:rPr>
          <w:sz w:val="24"/>
          <w:szCs w:val="24"/>
          <w:highlight w:val="none"/>
        </w:rPr>
        <w:fldChar w:fldCharType="begin"/>
      </w:r>
      <w:r>
        <w:rPr>
          <w:sz w:val="24"/>
          <w:szCs w:val="24"/>
          <w:highlight w:val="none"/>
        </w:rPr>
        <w:instrText xml:space="preserve"> PAGEREF _Toc11067 \h </w:instrText>
      </w:r>
      <w:r>
        <w:rPr>
          <w:sz w:val="24"/>
          <w:szCs w:val="24"/>
          <w:highlight w:val="none"/>
        </w:rPr>
        <w:fldChar w:fldCharType="separate"/>
      </w:r>
      <w:r>
        <w:rPr>
          <w:sz w:val="24"/>
          <w:szCs w:val="24"/>
          <w:highlight w:val="none"/>
        </w:rPr>
        <w:t>165</w:t>
      </w:r>
      <w:r>
        <w:rPr>
          <w:sz w:val="24"/>
          <w:szCs w:val="24"/>
          <w:highlight w:val="none"/>
        </w:rPr>
        <w:fldChar w:fldCharType="end"/>
      </w:r>
      <w:r>
        <w:rPr>
          <w:rFonts w:hint="default" w:ascii="Times New Roman" w:hAnsi="Times New Roman" w:cs="Times New Roman"/>
          <w:sz w:val="24"/>
          <w:szCs w:val="32"/>
          <w:highlight w:val="none"/>
        </w:rPr>
        <w:fldChar w:fldCharType="end"/>
      </w:r>
    </w:p>
    <w:p w14:paraId="37559E63">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_Toc12261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7.3 </w:t>
      </w:r>
      <w:r>
        <w:rPr>
          <w:rFonts w:hint="default" w:ascii="Times New Roman" w:hAnsi="Times New Roman" w:eastAsia="宋体" w:cs="Times New Roman"/>
          <w:sz w:val="24"/>
          <w:szCs w:val="36"/>
          <w:highlight w:val="none"/>
        </w:rPr>
        <w:t>环境效益分析</w:t>
      </w:r>
      <w:r>
        <w:rPr>
          <w:sz w:val="24"/>
          <w:szCs w:val="24"/>
          <w:highlight w:val="none"/>
        </w:rPr>
        <w:tab/>
      </w:r>
      <w:r>
        <w:rPr>
          <w:sz w:val="24"/>
          <w:szCs w:val="24"/>
          <w:highlight w:val="none"/>
        </w:rPr>
        <w:fldChar w:fldCharType="begin"/>
      </w:r>
      <w:r>
        <w:rPr>
          <w:sz w:val="24"/>
          <w:szCs w:val="24"/>
          <w:highlight w:val="none"/>
        </w:rPr>
        <w:instrText xml:space="preserve"> PAGEREF _Toc12261 \h </w:instrText>
      </w:r>
      <w:r>
        <w:rPr>
          <w:sz w:val="24"/>
          <w:szCs w:val="24"/>
          <w:highlight w:val="none"/>
        </w:rPr>
        <w:fldChar w:fldCharType="separate"/>
      </w:r>
      <w:r>
        <w:rPr>
          <w:sz w:val="24"/>
          <w:szCs w:val="24"/>
          <w:highlight w:val="none"/>
        </w:rPr>
        <w:t>166</w:t>
      </w:r>
      <w:r>
        <w:rPr>
          <w:sz w:val="24"/>
          <w:szCs w:val="24"/>
          <w:highlight w:val="none"/>
        </w:rPr>
        <w:fldChar w:fldCharType="end"/>
      </w:r>
      <w:r>
        <w:rPr>
          <w:rFonts w:hint="default" w:ascii="Times New Roman" w:hAnsi="Times New Roman" w:cs="Times New Roman"/>
          <w:sz w:val="24"/>
          <w:szCs w:val="32"/>
          <w:highlight w:val="none"/>
        </w:rPr>
        <w:fldChar w:fldCharType="end"/>
      </w:r>
    </w:p>
    <w:p w14:paraId="61D8AF25">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_Toc12625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第8章 </w:t>
      </w:r>
      <w:r>
        <w:rPr>
          <w:rFonts w:hint="default" w:ascii="Times New Roman" w:hAnsi="Times New Roman" w:cs="Times New Roman"/>
          <w:sz w:val="24"/>
          <w:szCs w:val="24"/>
          <w:highlight w:val="none"/>
        </w:rPr>
        <w:t>环境管理与监测制度</w:t>
      </w:r>
      <w:r>
        <w:rPr>
          <w:sz w:val="24"/>
          <w:szCs w:val="24"/>
          <w:highlight w:val="none"/>
        </w:rPr>
        <w:tab/>
      </w:r>
      <w:r>
        <w:rPr>
          <w:sz w:val="24"/>
          <w:szCs w:val="24"/>
          <w:highlight w:val="none"/>
        </w:rPr>
        <w:fldChar w:fldCharType="begin"/>
      </w:r>
      <w:r>
        <w:rPr>
          <w:sz w:val="24"/>
          <w:szCs w:val="24"/>
          <w:highlight w:val="none"/>
        </w:rPr>
        <w:instrText xml:space="preserve"> PAGEREF _Toc12625 \h </w:instrText>
      </w:r>
      <w:r>
        <w:rPr>
          <w:sz w:val="24"/>
          <w:szCs w:val="24"/>
          <w:highlight w:val="none"/>
        </w:rPr>
        <w:fldChar w:fldCharType="separate"/>
      </w:r>
      <w:r>
        <w:rPr>
          <w:sz w:val="24"/>
          <w:szCs w:val="24"/>
          <w:highlight w:val="none"/>
        </w:rPr>
        <w:t>167</w:t>
      </w:r>
      <w:r>
        <w:rPr>
          <w:sz w:val="24"/>
          <w:szCs w:val="24"/>
          <w:highlight w:val="none"/>
        </w:rPr>
        <w:fldChar w:fldCharType="end"/>
      </w:r>
      <w:r>
        <w:rPr>
          <w:rFonts w:hint="default" w:ascii="Times New Roman" w:hAnsi="Times New Roman" w:cs="Times New Roman"/>
          <w:sz w:val="24"/>
          <w:szCs w:val="32"/>
          <w:highlight w:val="none"/>
        </w:rPr>
        <w:fldChar w:fldCharType="end"/>
      </w:r>
    </w:p>
    <w:p w14:paraId="20E57049">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_Toc5004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8.1 </w:t>
      </w:r>
      <w:r>
        <w:rPr>
          <w:rFonts w:hint="default" w:ascii="Times New Roman" w:hAnsi="Times New Roman" w:eastAsia="宋体" w:cs="Times New Roman"/>
          <w:sz w:val="24"/>
          <w:szCs w:val="36"/>
          <w:highlight w:val="none"/>
        </w:rPr>
        <w:t>环境管理</w:t>
      </w:r>
      <w:r>
        <w:rPr>
          <w:sz w:val="24"/>
          <w:szCs w:val="24"/>
          <w:highlight w:val="none"/>
        </w:rPr>
        <w:tab/>
      </w:r>
      <w:r>
        <w:rPr>
          <w:sz w:val="24"/>
          <w:szCs w:val="24"/>
          <w:highlight w:val="none"/>
        </w:rPr>
        <w:fldChar w:fldCharType="begin"/>
      </w:r>
      <w:r>
        <w:rPr>
          <w:sz w:val="24"/>
          <w:szCs w:val="24"/>
          <w:highlight w:val="none"/>
        </w:rPr>
        <w:instrText xml:space="preserve"> PAGEREF _Toc5004 \h </w:instrText>
      </w:r>
      <w:r>
        <w:rPr>
          <w:sz w:val="24"/>
          <w:szCs w:val="24"/>
          <w:highlight w:val="none"/>
        </w:rPr>
        <w:fldChar w:fldCharType="separate"/>
      </w:r>
      <w:r>
        <w:rPr>
          <w:sz w:val="24"/>
          <w:szCs w:val="24"/>
          <w:highlight w:val="none"/>
        </w:rPr>
        <w:t>167</w:t>
      </w:r>
      <w:r>
        <w:rPr>
          <w:sz w:val="24"/>
          <w:szCs w:val="24"/>
          <w:highlight w:val="none"/>
        </w:rPr>
        <w:fldChar w:fldCharType="end"/>
      </w:r>
      <w:r>
        <w:rPr>
          <w:rFonts w:hint="default" w:ascii="Times New Roman" w:hAnsi="Times New Roman" w:cs="Times New Roman"/>
          <w:sz w:val="24"/>
          <w:szCs w:val="32"/>
          <w:highlight w:val="none"/>
        </w:rPr>
        <w:fldChar w:fldCharType="end"/>
      </w:r>
    </w:p>
    <w:p w14:paraId="4F2F5E4F">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_Toc14618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8.2 </w:t>
      </w:r>
      <w:r>
        <w:rPr>
          <w:rFonts w:hint="default" w:ascii="Times New Roman" w:hAnsi="Times New Roman" w:eastAsia="宋体" w:cs="Times New Roman"/>
          <w:sz w:val="24"/>
          <w:szCs w:val="36"/>
          <w:highlight w:val="none"/>
        </w:rPr>
        <w:t>环境</w:t>
      </w:r>
      <w:r>
        <w:rPr>
          <w:rFonts w:hint="eastAsia" w:ascii="Times New Roman" w:hAnsi="Times New Roman" w:eastAsia="宋体" w:cs="Times New Roman"/>
          <w:sz w:val="24"/>
          <w:szCs w:val="36"/>
          <w:highlight w:val="none"/>
          <w:lang w:val="en-US" w:eastAsia="zh-CN"/>
        </w:rPr>
        <w:t>监测计划</w:t>
      </w:r>
      <w:r>
        <w:rPr>
          <w:sz w:val="24"/>
          <w:szCs w:val="24"/>
          <w:highlight w:val="none"/>
        </w:rPr>
        <w:tab/>
      </w:r>
      <w:r>
        <w:rPr>
          <w:sz w:val="24"/>
          <w:szCs w:val="24"/>
          <w:highlight w:val="none"/>
        </w:rPr>
        <w:fldChar w:fldCharType="begin"/>
      </w:r>
      <w:r>
        <w:rPr>
          <w:sz w:val="24"/>
          <w:szCs w:val="24"/>
          <w:highlight w:val="none"/>
        </w:rPr>
        <w:instrText xml:space="preserve"> PAGEREF _Toc14618 \h </w:instrText>
      </w:r>
      <w:r>
        <w:rPr>
          <w:sz w:val="24"/>
          <w:szCs w:val="24"/>
          <w:highlight w:val="none"/>
        </w:rPr>
        <w:fldChar w:fldCharType="separate"/>
      </w:r>
      <w:r>
        <w:rPr>
          <w:sz w:val="24"/>
          <w:szCs w:val="24"/>
          <w:highlight w:val="none"/>
        </w:rPr>
        <w:t>169</w:t>
      </w:r>
      <w:r>
        <w:rPr>
          <w:sz w:val="24"/>
          <w:szCs w:val="24"/>
          <w:highlight w:val="none"/>
        </w:rPr>
        <w:fldChar w:fldCharType="end"/>
      </w:r>
      <w:r>
        <w:rPr>
          <w:rFonts w:hint="default" w:ascii="Times New Roman" w:hAnsi="Times New Roman" w:cs="Times New Roman"/>
          <w:sz w:val="24"/>
          <w:szCs w:val="32"/>
          <w:highlight w:val="none"/>
        </w:rPr>
        <w:fldChar w:fldCharType="end"/>
      </w:r>
    </w:p>
    <w:p w14:paraId="26277596">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_Toc24862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8.3 </w:t>
      </w:r>
      <w:r>
        <w:rPr>
          <w:rFonts w:hint="default" w:ascii="Times New Roman" w:hAnsi="Times New Roman" w:eastAsia="宋体" w:cs="Times New Roman"/>
          <w:sz w:val="24"/>
          <w:szCs w:val="36"/>
          <w:highlight w:val="none"/>
        </w:rPr>
        <w:t>环保设</w:t>
      </w:r>
      <w:r>
        <w:rPr>
          <w:rFonts w:hint="eastAsia" w:ascii="宋体" w:hAnsi="宋体" w:eastAsia="宋体" w:cs="宋体"/>
          <w:sz w:val="24"/>
          <w:szCs w:val="36"/>
          <w:highlight w:val="none"/>
        </w:rPr>
        <w:t>施“三同时”验</w:t>
      </w:r>
      <w:r>
        <w:rPr>
          <w:rFonts w:hint="default" w:ascii="Times New Roman" w:hAnsi="Times New Roman" w:eastAsia="宋体" w:cs="Times New Roman"/>
          <w:sz w:val="24"/>
          <w:szCs w:val="36"/>
          <w:highlight w:val="none"/>
        </w:rPr>
        <w:t>收清单</w:t>
      </w:r>
      <w:r>
        <w:rPr>
          <w:sz w:val="24"/>
          <w:szCs w:val="24"/>
          <w:highlight w:val="none"/>
        </w:rPr>
        <w:tab/>
      </w:r>
      <w:r>
        <w:rPr>
          <w:sz w:val="24"/>
          <w:szCs w:val="24"/>
          <w:highlight w:val="none"/>
        </w:rPr>
        <w:fldChar w:fldCharType="begin"/>
      </w:r>
      <w:r>
        <w:rPr>
          <w:sz w:val="24"/>
          <w:szCs w:val="24"/>
          <w:highlight w:val="none"/>
        </w:rPr>
        <w:instrText xml:space="preserve"> PAGEREF _Toc24862 \h </w:instrText>
      </w:r>
      <w:r>
        <w:rPr>
          <w:sz w:val="24"/>
          <w:szCs w:val="24"/>
          <w:highlight w:val="none"/>
        </w:rPr>
        <w:fldChar w:fldCharType="separate"/>
      </w:r>
      <w:r>
        <w:rPr>
          <w:sz w:val="24"/>
          <w:szCs w:val="24"/>
          <w:highlight w:val="none"/>
        </w:rPr>
        <w:t>170</w:t>
      </w:r>
      <w:r>
        <w:rPr>
          <w:sz w:val="24"/>
          <w:szCs w:val="24"/>
          <w:highlight w:val="none"/>
        </w:rPr>
        <w:fldChar w:fldCharType="end"/>
      </w:r>
      <w:r>
        <w:rPr>
          <w:rFonts w:hint="default" w:ascii="Times New Roman" w:hAnsi="Times New Roman" w:cs="Times New Roman"/>
          <w:sz w:val="24"/>
          <w:szCs w:val="32"/>
          <w:highlight w:val="none"/>
        </w:rPr>
        <w:fldChar w:fldCharType="end"/>
      </w:r>
    </w:p>
    <w:p w14:paraId="2AE1F303">
      <w:pPr>
        <w:pStyle w:val="37"/>
        <w:keepNext w:val="0"/>
        <w:keepLines w:val="0"/>
        <w:pageBreakBefore w:val="0"/>
        <w:widowControl w:val="0"/>
        <w:tabs>
          <w:tab w:val="right" w:leader="dot" w:pos="8306"/>
          <w:tab w:val="clear" w:pos="1050"/>
          <w:tab w:val="clear" w:pos="829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_Toc26296 </w:instrText>
      </w:r>
      <w:r>
        <w:rPr>
          <w:rFonts w:hint="default" w:ascii="Times New Roman" w:hAnsi="Times New Roman" w:cs="Times New Roman"/>
          <w:sz w:val="24"/>
          <w:szCs w:val="32"/>
          <w:highlight w:val="none"/>
        </w:rPr>
        <w:fldChar w:fldCharType="separate"/>
      </w:r>
      <w:r>
        <w:rPr>
          <w:rFonts w:hint="default" w:ascii="Times New Roman" w:hAnsi="Times New Roman" w:cs="Times New Roman"/>
          <w:sz w:val="24"/>
          <w:szCs w:val="44"/>
          <w:highlight w:val="none"/>
        </w:rPr>
        <w:t xml:space="preserve">第9章 </w:t>
      </w:r>
      <w:r>
        <w:rPr>
          <w:rFonts w:hint="default" w:ascii="Times New Roman" w:hAnsi="Times New Roman" w:cs="Times New Roman"/>
          <w:sz w:val="24"/>
          <w:szCs w:val="24"/>
          <w:highlight w:val="none"/>
        </w:rPr>
        <w:t>环境影响评价结论</w:t>
      </w:r>
      <w:r>
        <w:rPr>
          <w:sz w:val="24"/>
          <w:szCs w:val="24"/>
          <w:highlight w:val="none"/>
        </w:rPr>
        <w:tab/>
      </w:r>
      <w:r>
        <w:rPr>
          <w:sz w:val="24"/>
          <w:szCs w:val="24"/>
          <w:highlight w:val="none"/>
        </w:rPr>
        <w:fldChar w:fldCharType="begin"/>
      </w:r>
      <w:r>
        <w:rPr>
          <w:sz w:val="24"/>
          <w:szCs w:val="24"/>
          <w:highlight w:val="none"/>
        </w:rPr>
        <w:instrText xml:space="preserve"> PAGEREF _Toc26296 \h </w:instrText>
      </w:r>
      <w:r>
        <w:rPr>
          <w:sz w:val="24"/>
          <w:szCs w:val="24"/>
          <w:highlight w:val="none"/>
        </w:rPr>
        <w:fldChar w:fldCharType="separate"/>
      </w:r>
      <w:r>
        <w:rPr>
          <w:sz w:val="24"/>
          <w:szCs w:val="24"/>
          <w:highlight w:val="none"/>
        </w:rPr>
        <w:t>172</w:t>
      </w:r>
      <w:r>
        <w:rPr>
          <w:sz w:val="24"/>
          <w:szCs w:val="24"/>
          <w:highlight w:val="none"/>
        </w:rPr>
        <w:fldChar w:fldCharType="end"/>
      </w:r>
      <w:r>
        <w:rPr>
          <w:rFonts w:hint="default" w:ascii="Times New Roman" w:hAnsi="Times New Roman" w:cs="Times New Roman"/>
          <w:sz w:val="24"/>
          <w:szCs w:val="32"/>
          <w:highlight w:val="none"/>
        </w:rPr>
        <w:fldChar w:fldCharType="end"/>
      </w:r>
    </w:p>
    <w:p w14:paraId="13F174E8">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_Toc17898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9.1 </w:t>
      </w:r>
      <w:r>
        <w:rPr>
          <w:rFonts w:hint="default" w:ascii="Times New Roman" w:hAnsi="Times New Roman" w:eastAsia="宋体" w:cs="Times New Roman"/>
          <w:sz w:val="24"/>
          <w:szCs w:val="36"/>
          <w:highlight w:val="none"/>
        </w:rPr>
        <w:t>结论</w:t>
      </w:r>
      <w:r>
        <w:rPr>
          <w:sz w:val="24"/>
          <w:szCs w:val="24"/>
          <w:highlight w:val="none"/>
        </w:rPr>
        <w:tab/>
      </w:r>
      <w:r>
        <w:rPr>
          <w:sz w:val="24"/>
          <w:szCs w:val="24"/>
          <w:highlight w:val="none"/>
        </w:rPr>
        <w:fldChar w:fldCharType="begin"/>
      </w:r>
      <w:r>
        <w:rPr>
          <w:sz w:val="24"/>
          <w:szCs w:val="24"/>
          <w:highlight w:val="none"/>
        </w:rPr>
        <w:instrText xml:space="preserve"> PAGEREF _Toc17898 \h </w:instrText>
      </w:r>
      <w:r>
        <w:rPr>
          <w:sz w:val="24"/>
          <w:szCs w:val="24"/>
          <w:highlight w:val="none"/>
        </w:rPr>
        <w:fldChar w:fldCharType="separate"/>
      </w:r>
      <w:r>
        <w:rPr>
          <w:sz w:val="24"/>
          <w:szCs w:val="24"/>
          <w:highlight w:val="none"/>
        </w:rPr>
        <w:t>172</w:t>
      </w:r>
      <w:r>
        <w:rPr>
          <w:sz w:val="24"/>
          <w:szCs w:val="24"/>
          <w:highlight w:val="none"/>
        </w:rPr>
        <w:fldChar w:fldCharType="end"/>
      </w:r>
      <w:r>
        <w:rPr>
          <w:rFonts w:hint="default" w:ascii="Times New Roman" w:hAnsi="Times New Roman" w:cs="Times New Roman"/>
          <w:sz w:val="24"/>
          <w:szCs w:val="32"/>
          <w:highlight w:val="none"/>
        </w:rPr>
        <w:fldChar w:fldCharType="end"/>
      </w:r>
    </w:p>
    <w:p w14:paraId="3E8C8E44">
      <w:pPr>
        <w:pStyle w:val="49"/>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highlight w:val="none"/>
        </w:rPr>
      </w:pPr>
      <w:r>
        <w:rPr>
          <w:rFonts w:hint="default" w:ascii="Times New Roman" w:hAnsi="Times New Roman" w:cs="Times New Roman"/>
          <w:sz w:val="24"/>
          <w:szCs w:val="32"/>
          <w:highlight w:val="none"/>
        </w:rPr>
        <w:fldChar w:fldCharType="begin"/>
      </w:r>
      <w:r>
        <w:rPr>
          <w:rFonts w:hint="default" w:ascii="Times New Roman" w:hAnsi="Times New Roman" w:cs="Times New Roman"/>
          <w:sz w:val="24"/>
          <w:szCs w:val="32"/>
          <w:highlight w:val="none"/>
        </w:rPr>
        <w:instrText xml:space="preserve"> HYPERLINK \l _Toc23942 </w:instrText>
      </w:r>
      <w:r>
        <w:rPr>
          <w:rFonts w:hint="default" w:ascii="Times New Roman" w:hAnsi="Times New Roman" w:cs="Times New Roman"/>
          <w:sz w:val="24"/>
          <w:szCs w:val="32"/>
          <w:highlight w:val="none"/>
        </w:rPr>
        <w:fldChar w:fldCharType="separate"/>
      </w:r>
      <w:r>
        <w:rPr>
          <w:rFonts w:hint="eastAsia" w:ascii="Times New Roman" w:hAnsi="Times New Roman" w:eastAsia="宋体" w:cs="Times New Roman"/>
          <w:sz w:val="24"/>
          <w:szCs w:val="36"/>
          <w:highlight w:val="none"/>
        </w:rPr>
        <w:t xml:space="preserve">9.2 </w:t>
      </w:r>
      <w:r>
        <w:rPr>
          <w:rFonts w:hint="default" w:ascii="Times New Roman" w:hAnsi="Times New Roman" w:eastAsia="宋体" w:cs="Times New Roman"/>
          <w:sz w:val="24"/>
          <w:szCs w:val="36"/>
          <w:highlight w:val="none"/>
        </w:rPr>
        <w:t>评价建议</w:t>
      </w:r>
      <w:r>
        <w:rPr>
          <w:sz w:val="24"/>
          <w:szCs w:val="24"/>
          <w:highlight w:val="none"/>
        </w:rPr>
        <w:tab/>
      </w:r>
      <w:r>
        <w:rPr>
          <w:sz w:val="24"/>
          <w:szCs w:val="24"/>
          <w:highlight w:val="none"/>
        </w:rPr>
        <w:fldChar w:fldCharType="begin"/>
      </w:r>
      <w:r>
        <w:rPr>
          <w:sz w:val="24"/>
          <w:szCs w:val="24"/>
          <w:highlight w:val="none"/>
        </w:rPr>
        <w:instrText xml:space="preserve"> PAGEREF _Toc23942 \h </w:instrText>
      </w:r>
      <w:r>
        <w:rPr>
          <w:sz w:val="24"/>
          <w:szCs w:val="24"/>
          <w:highlight w:val="none"/>
        </w:rPr>
        <w:fldChar w:fldCharType="separate"/>
      </w:r>
      <w:r>
        <w:rPr>
          <w:sz w:val="24"/>
          <w:szCs w:val="24"/>
          <w:highlight w:val="none"/>
        </w:rPr>
        <w:t>175</w:t>
      </w:r>
      <w:r>
        <w:rPr>
          <w:sz w:val="24"/>
          <w:szCs w:val="24"/>
          <w:highlight w:val="none"/>
        </w:rPr>
        <w:fldChar w:fldCharType="end"/>
      </w:r>
      <w:r>
        <w:rPr>
          <w:rFonts w:hint="default" w:ascii="Times New Roman" w:hAnsi="Times New Roman" w:cs="Times New Roman"/>
          <w:sz w:val="24"/>
          <w:szCs w:val="32"/>
          <w:highlight w:val="none"/>
        </w:rPr>
        <w:fldChar w:fldCharType="end"/>
      </w:r>
    </w:p>
    <w:p w14:paraId="3B9D46E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highlight w:val="none"/>
        </w:rPr>
      </w:pPr>
      <w:r>
        <w:rPr>
          <w:rFonts w:hint="default" w:ascii="Times New Roman" w:hAnsi="Times New Roman" w:cs="Times New Roman"/>
          <w:szCs w:val="24"/>
          <w:highlight w:val="none"/>
        </w:rPr>
        <w:fldChar w:fldCharType="end"/>
      </w:r>
    </w:p>
    <w:p w14:paraId="08818305">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000000"/>
          <w:sz w:val="24"/>
          <w:szCs w:val="24"/>
          <w:highlight w:val="none"/>
        </w:rPr>
      </w:pPr>
      <w:r>
        <w:rPr>
          <w:rFonts w:hint="default" w:ascii="Times New Roman" w:hAnsi="Times New Roman" w:cs="Times New Roman"/>
          <w:color w:val="000000"/>
          <w:highlight w:val="none"/>
        </w:rPr>
        <w:br w:type="page"/>
      </w:r>
      <w:r>
        <w:rPr>
          <w:rFonts w:hint="default" w:ascii="Times New Roman" w:hAnsi="Times New Roman" w:cs="Times New Roman"/>
          <w:b/>
          <w:bCs/>
          <w:color w:val="000000"/>
          <w:sz w:val="24"/>
          <w:szCs w:val="24"/>
          <w:highlight w:val="none"/>
        </w:rPr>
        <w:t>附图：</w:t>
      </w:r>
    </w:p>
    <w:p w14:paraId="7BAA134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bookmarkStart w:id="0" w:name="_Toc31008"/>
      <w:bookmarkStart w:id="1" w:name="_Toc20550"/>
      <w:r>
        <w:rPr>
          <w:rFonts w:hint="eastAsia"/>
          <w:sz w:val="24"/>
          <w:szCs w:val="24"/>
          <w:highlight w:val="none"/>
          <w:lang w:val="en-US" w:eastAsia="zh-CN"/>
        </w:rPr>
        <w:t>附图1  建设项目地理位置图；</w:t>
      </w:r>
      <w:bookmarkEnd w:id="0"/>
      <w:bookmarkEnd w:id="1"/>
    </w:p>
    <w:p w14:paraId="44DC8F4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highlight w:val="none"/>
          <w:lang w:val="en-US" w:eastAsia="zh-CN"/>
        </w:rPr>
      </w:pPr>
      <w:bookmarkStart w:id="2" w:name="_Toc23393"/>
      <w:bookmarkStart w:id="3" w:name="_Toc4188"/>
      <w:r>
        <w:rPr>
          <w:rFonts w:hint="eastAsia"/>
          <w:sz w:val="24"/>
          <w:szCs w:val="24"/>
          <w:highlight w:val="none"/>
          <w:lang w:val="en-US" w:eastAsia="zh-CN"/>
        </w:rPr>
        <w:t>附图2  建设项目平面布置图；</w:t>
      </w:r>
    </w:p>
    <w:p w14:paraId="275D88F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附图3  建设项目周边关系图；</w:t>
      </w:r>
    </w:p>
    <w:p w14:paraId="21674D0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附图4  建设项目评价范围及环保目标图；</w:t>
      </w:r>
    </w:p>
    <w:p w14:paraId="631AB53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附图5  建设项目评价范围及监测点位图；</w:t>
      </w:r>
    </w:p>
    <w:p w14:paraId="6FCA962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附图6  生态保护红线位置关系图；</w:t>
      </w:r>
    </w:p>
    <w:bookmarkEnd w:id="2"/>
    <w:bookmarkEnd w:id="3"/>
    <w:p w14:paraId="07C9733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highlight w:val="none"/>
          <w:lang w:val="en-US" w:eastAsia="zh-CN"/>
        </w:rPr>
      </w:pPr>
      <w:bookmarkStart w:id="4" w:name="_Toc10388"/>
      <w:bookmarkStart w:id="5" w:name="_Toc30765"/>
      <w:r>
        <w:rPr>
          <w:rFonts w:hint="eastAsia"/>
          <w:sz w:val="24"/>
          <w:szCs w:val="24"/>
          <w:highlight w:val="none"/>
          <w:lang w:val="en-US" w:eastAsia="zh-CN"/>
        </w:rPr>
        <w:t>附图7  项目生态环境评价范围内土地利用现状图；</w:t>
      </w:r>
    </w:p>
    <w:p w14:paraId="5B1E9E6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highlight w:val="none"/>
          <w:lang w:val="en-US" w:eastAsia="zh-CN"/>
        </w:rPr>
      </w:pPr>
      <w:r>
        <w:rPr>
          <w:rFonts w:hint="eastAsia"/>
          <w:sz w:val="24"/>
          <w:szCs w:val="24"/>
          <w:highlight w:val="none"/>
          <w:lang w:val="en-US" w:eastAsia="zh-CN"/>
        </w:rPr>
        <w:t>附图8  项目生态环境评价范围内植被类型图；</w:t>
      </w:r>
    </w:p>
    <w:p w14:paraId="06EBD18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r>
        <w:rPr>
          <w:rFonts w:hint="eastAsia"/>
          <w:sz w:val="24"/>
          <w:szCs w:val="24"/>
          <w:highlight w:val="none"/>
          <w:lang w:val="en-US" w:eastAsia="zh-CN"/>
        </w:rPr>
        <w:t>附图9  项目</w:t>
      </w:r>
      <w:r>
        <w:rPr>
          <w:rFonts w:hint="eastAsia" w:ascii="Times New Roman" w:hAnsi="Times New Roman" w:eastAsia="宋体" w:cs="Times New Roman"/>
          <w:sz w:val="24"/>
          <w:szCs w:val="24"/>
          <w:highlight w:val="none"/>
          <w:lang w:val="en-US" w:eastAsia="zh-CN"/>
        </w:rPr>
        <w:t>典型生态保护措施平面布置示意图</w:t>
      </w:r>
      <w:r>
        <w:rPr>
          <w:rFonts w:hint="eastAsia" w:cs="Times New Roman"/>
          <w:sz w:val="24"/>
          <w:szCs w:val="24"/>
          <w:highlight w:val="none"/>
          <w:lang w:val="en-US" w:eastAsia="zh-CN"/>
        </w:rPr>
        <w:t>；</w:t>
      </w:r>
    </w:p>
    <w:p w14:paraId="4D3A2FB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sz w:val="24"/>
          <w:szCs w:val="24"/>
          <w:highlight w:val="none"/>
          <w:lang w:val="en-US" w:eastAsia="zh-CN"/>
        </w:rPr>
      </w:pPr>
      <w:r>
        <w:rPr>
          <w:rFonts w:hint="default" w:eastAsia="宋体"/>
          <w:sz w:val="24"/>
          <w:szCs w:val="24"/>
          <w:highlight w:val="none"/>
          <w:lang w:val="en-US" w:eastAsia="zh-CN"/>
        </w:rPr>
        <w:t>附图</w:t>
      </w:r>
      <w:r>
        <w:rPr>
          <w:rFonts w:hint="eastAsia"/>
          <w:sz w:val="24"/>
          <w:szCs w:val="24"/>
          <w:highlight w:val="none"/>
          <w:lang w:val="en-US" w:eastAsia="zh-CN"/>
        </w:rPr>
        <w:t>10</w:t>
      </w:r>
      <w:r>
        <w:rPr>
          <w:rFonts w:hint="default" w:eastAsia="宋体"/>
          <w:sz w:val="24"/>
          <w:szCs w:val="24"/>
          <w:highlight w:val="none"/>
          <w:lang w:val="en-US" w:eastAsia="zh-CN"/>
        </w:rPr>
        <w:t xml:space="preserve">  </w:t>
      </w:r>
      <w:r>
        <w:rPr>
          <w:rFonts w:hint="eastAsia"/>
          <w:sz w:val="24"/>
          <w:szCs w:val="24"/>
          <w:highlight w:val="none"/>
          <w:lang w:val="en-US" w:eastAsia="zh-CN"/>
        </w:rPr>
        <w:t>评价</w:t>
      </w:r>
      <w:r>
        <w:rPr>
          <w:rFonts w:hint="default" w:eastAsia="宋体"/>
          <w:sz w:val="24"/>
          <w:szCs w:val="24"/>
          <w:highlight w:val="none"/>
          <w:lang w:val="en-US" w:eastAsia="zh-CN"/>
        </w:rPr>
        <w:t>区域水文地质图</w:t>
      </w:r>
      <w:r>
        <w:rPr>
          <w:rFonts w:hint="eastAsia" w:eastAsia="宋体"/>
          <w:sz w:val="24"/>
          <w:szCs w:val="24"/>
          <w:highlight w:val="none"/>
          <w:lang w:val="en-US" w:eastAsia="zh-CN"/>
        </w:rPr>
        <w:t>；</w:t>
      </w:r>
    </w:p>
    <w:p w14:paraId="08CC685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sz w:val="24"/>
          <w:szCs w:val="24"/>
          <w:highlight w:val="none"/>
          <w:lang w:val="en-US" w:eastAsia="zh-CN"/>
        </w:rPr>
      </w:pPr>
      <w:r>
        <w:rPr>
          <w:rFonts w:hint="eastAsia" w:eastAsia="宋体"/>
          <w:sz w:val="24"/>
          <w:szCs w:val="24"/>
          <w:highlight w:val="none"/>
          <w:lang w:val="en-US" w:eastAsia="zh-CN"/>
        </w:rPr>
        <w:t>附图</w:t>
      </w:r>
      <w:r>
        <w:rPr>
          <w:rFonts w:hint="eastAsia"/>
          <w:sz w:val="24"/>
          <w:szCs w:val="24"/>
          <w:highlight w:val="none"/>
          <w:lang w:val="en-US" w:eastAsia="zh-CN"/>
        </w:rPr>
        <w:t>11</w:t>
      </w:r>
      <w:r>
        <w:rPr>
          <w:rFonts w:hint="eastAsia" w:eastAsia="宋体"/>
          <w:sz w:val="24"/>
          <w:szCs w:val="24"/>
          <w:highlight w:val="none"/>
          <w:lang w:val="en-US" w:eastAsia="zh-CN"/>
        </w:rPr>
        <w:t xml:space="preserve">  项目区域水文地质图</w:t>
      </w:r>
      <w:r>
        <w:rPr>
          <w:rFonts w:hint="eastAsia"/>
          <w:sz w:val="24"/>
          <w:szCs w:val="24"/>
          <w:highlight w:val="none"/>
          <w:lang w:val="en-US" w:eastAsia="zh-CN"/>
        </w:rPr>
        <w:t>；</w:t>
      </w:r>
    </w:p>
    <w:p w14:paraId="0974E35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sz w:val="24"/>
          <w:szCs w:val="24"/>
          <w:highlight w:val="none"/>
          <w:lang w:val="en-US" w:eastAsia="zh-CN"/>
        </w:rPr>
      </w:pPr>
      <w:r>
        <w:rPr>
          <w:rFonts w:hint="eastAsia" w:cs="Times New Roman"/>
          <w:sz w:val="24"/>
          <w:szCs w:val="24"/>
          <w:highlight w:val="none"/>
          <w:lang w:val="en-US" w:eastAsia="zh-CN"/>
        </w:rPr>
        <w:t xml:space="preserve">附图12  </w:t>
      </w:r>
      <w:r>
        <w:rPr>
          <w:rFonts w:hint="eastAsia"/>
          <w:sz w:val="24"/>
          <w:szCs w:val="24"/>
          <w:highlight w:val="none"/>
          <w:lang w:val="en-US" w:eastAsia="zh-CN"/>
        </w:rPr>
        <w:t>评价</w:t>
      </w:r>
      <w:r>
        <w:rPr>
          <w:rFonts w:hint="default" w:eastAsia="宋体"/>
          <w:sz w:val="24"/>
          <w:szCs w:val="24"/>
          <w:highlight w:val="none"/>
          <w:lang w:val="en-US" w:eastAsia="zh-CN"/>
        </w:rPr>
        <w:t>区域</w:t>
      </w:r>
      <w:r>
        <w:rPr>
          <w:rFonts w:hint="eastAsia"/>
          <w:sz w:val="24"/>
          <w:szCs w:val="24"/>
          <w:highlight w:val="none"/>
          <w:lang w:val="en-US" w:eastAsia="zh-CN"/>
        </w:rPr>
        <w:t>丰水期</w:t>
      </w:r>
      <w:r>
        <w:rPr>
          <w:rFonts w:hint="eastAsia" w:eastAsia="宋体"/>
          <w:sz w:val="24"/>
          <w:szCs w:val="24"/>
          <w:highlight w:val="none"/>
          <w:lang w:val="en-US" w:eastAsia="zh-CN"/>
        </w:rPr>
        <w:t>等水位线图；</w:t>
      </w:r>
    </w:p>
    <w:p w14:paraId="27E51DF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sz w:val="24"/>
          <w:szCs w:val="24"/>
          <w:highlight w:val="none"/>
          <w:lang w:val="en-US" w:eastAsia="zh-CN"/>
        </w:rPr>
      </w:pPr>
      <w:r>
        <w:rPr>
          <w:rFonts w:hint="eastAsia" w:cs="Times New Roman"/>
          <w:sz w:val="24"/>
          <w:szCs w:val="24"/>
          <w:highlight w:val="none"/>
          <w:lang w:val="en-US" w:eastAsia="zh-CN"/>
        </w:rPr>
        <w:t xml:space="preserve">附图13  </w:t>
      </w:r>
      <w:r>
        <w:rPr>
          <w:rFonts w:hint="eastAsia"/>
          <w:sz w:val="24"/>
          <w:szCs w:val="24"/>
          <w:highlight w:val="none"/>
          <w:lang w:val="en-US" w:eastAsia="zh-CN"/>
        </w:rPr>
        <w:t>评价</w:t>
      </w:r>
      <w:r>
        <w:rPr>
          <w:rFonts w:hint="default" w:eastAsia="宋体"/>
          <w:sz w:val="24"/>
          <w:szCs w:val="24"/>
          <w:highlight w:val="none"/>
          <w:lang w:val="en-US" w:eastAsia="zh-CN"/>
        </w:rPr>
        <w:t>区域</w:t>
      </w:r>
      <w:r>
        <w:rPr>
          <w:rFonts w:hint="eastAsia"/>
          <w:sz w:val="24"/>
          <w:szCs w:val="24"/>
          <w:highlight w:val="none"/>
          <w:lang w:val="en-US" w:eastAsia="zh-CN"/>
        </w:rPr>
        <w:t>枯水期</w:t>
      </w:r>
      <w:r>
        <w:rPr>
          <w:rFonts w:hint="eastAsia" w:eastAsia="宋体"/>
          <w:sz w:val="24"/>
          <w:szCs w:val="24"/>
          <w:highlight w:val="none"/>
          <w:lang w:val="en-US" w:eastAsia="zh-CN"/>
        </w:rPr>
        <w:t>等水位线图；</w:t>
      </w:r>
    </w:p>
    <w:p w14:paraId="05065AB7">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highlight w:val="none"/>
          <w:lang w:val="en-US" w:eastAsia="zh-CN"/>
        </w:rPr>
      </w:pPr>
      <w:r>
        <w:rPr>
          <w:rFonts w:hint="eastAsia" w:cs="Times New Roman"/>
          <w:sz w:val="24"/>
          <w:szCs w:val="24"/>
          <w:highlight w:val="none"/>
          <w:lang w:val="en-US" w:eastAsia="zh-CN"/>
        </w:rPr>
        <w:t>附图14  A-A’、B-B’水文地质剖面图</w:t>
      </w:r>
      <w:r>
        <w:rPr>
          <w:rFonts w:hint="eastAsia" w:ascii="Times New Roman" w:hAnsi="Times New Roman" w:eastAsia="宋体" w:cs="Times New Roman"/>
          <w:sz w:val="24"/>
          <w:szCs w:val="24"/>
          <w:highlight w:val="none"/>
          <w:lang w:val="en-US" w:eastAsia="zh-CN"/>
        </w:rPr>
        <w:t>。</w:t>
      </w:r>
    </w:p>
    <w:bookmarkEnd w:id="4"/>
    <w:bookmarkEnd w:id="5"/>
    <w:p w14:paraId="4267E315">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cs="Times New Roman"/>
          <w:b/>
          <w:bCs/>
          <w:color w:val="000000"/>
          <w:sz w:val="24"/>
          <w:szCs w:val="24"/>
          <w:highlight w:val="none"/>
          <w:lang w:val="en-US" w:eastAsia="zh-CN"/>
        </w:rPr>
        <w:t>附件：</w:t>
      </w:r>
    </w:p>
    <w:p w14:paraId="67004C9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 xml:space="preserve">附件1  </w:t>
      </w:r>
      <w:r>
        <w:rPr>
          <w:rFonts w:hint="eastAsia"/>
          <w:sz w:val="24"/>
          <w:szCs w:val="24"/>
          <w:highlight w:val="none"/>
          <w:lang w:val="en-US" w:eastAsia="zh-CN"/>
        </w:rPr>
        <w:t>项目备案证</w:t>
      </w:r>
      <w:r>
        <w:rPr>
          <w:rFonts w:hint="default" w:ascii="Times New Roman" w:hAnsi="Times New Roman" w:cs="Times New Roman"/>
          <w:sz w:val="24"/>
          <w:szCs w:val="24"/>
          <w:highlight w:val="none"/>
          <w:lang w:val="en-US" w:eastAsia="zh-CN"/>
        </w:rPr>
        <w:t>；</w:t>
      </w:r>
    </w:p>
    <w:p w14:paraId="5F327B0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附件</w:t>
      </w:r>
      <w:r>
        <w:rPr>
          <w:rFonts w:hint="eastAsia" w:cs="Times New Roman"/>
          <w:color w:val="000000"/>
          <w:sz w:val="24"/>
          <w:szCs w:val="24"/>
          <w:highlight w:val="none"/>
          <w:lang w:val="en-US" w:eastAsia="zh-CN"/>
        </w:rPr>
        <w:t>2</w:t>
      </w:r>
      <w:r>
        <w:rPr>
          <w:rFonts w:hint="eastAsia" w:ascii="Times New Roman" w:hAnsi="Times New Roman" w:cs="Times New Roman"/>
          <w:color w:val="000000"/>
          <w:sz w:val="24"/>
          <w:szCs w:val="24"/>
          <w:highlight w:val="none"/>
          <w:lang w:val="en-US" w:eastAsia="zh-CN"/>
        </w:rPr>
        <w:t xml:space="preserve">  承德天宝矿业集团大昌矿业有限公司东北沟排土场工程安全设施设计批复</w:t>
      </w:r>
      <w:r>
        <w:rPr>
          <w:rFonts w:hint="eastAsia" w:cs="Times New Roman"/>
          <w:color w:val="000000"/>
          <w:sz w:val="24"/>
          <w:szCs w:val="24"/>
          <w:highlight w:val="none"/>
          <w:lang w:val="en-US" w:eastAsia="zh-CN"/>
        </w:rPr>
        <w:t>；</w:t>
      </w:r>
    </w:p>
    <w:p w14:paraId="55E8211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ascii="Times New Roman" w:hAnsi="Times New Roman" w:cs="Times New Roman"/>
          <w:color w:val="000000"/>
          <w:sz w:val="24"/>
          <w:szCs w:val="24"/>
          <w:highlight w:val="none"/>
          <w:lang w:val="en-US" w:eastAsia="zh-CN"/>
        </w:rPr>
      </w:pPr>
      <w:r>
        <w:rPr>
          <w:rFonts w:hint="eastAsia" w:cs="Times New Roman"/>
          <w:color w:val="000000"/>
          <w:sz w:val="24"/>
          <w:szCs w:val="24"/>
          <w:highlight w:val="none"/>
          <w:lang w:val="en-US" w:eastAsia="zh-CN"/>
        </w:rPr>
        <w:t xml:space="preserve">附件3 </w:t>
      </w:r>
      <w:r>
        <w:rPr>
          <w:rFonts w:hint="eastAsia" w:ascii="Times New Roman" w:hAnsi="Times New Roman" w:cs="Times New Roman"/>
          <w:color w:val="000000"/>
          <w:sz w:val="24"/>
          <w:szCs w:val="24"/>
          <w:highlight w:val="none"/>
          <w:lang w:val="en-US" w:eastAsia="zh-CN"/>
        </w:rPr>
        <w:t xml:space="preserve"> 《</w:t>
      </w:r>
      <w:r>
        <w:rPr>
          <w:rFonts w:hint="default" w:ascii="Times New Roman" w:hAnsi="Times New Roman" w:cs="Times New Roman"/>
          <w:sz w:val="24"/>
          <w:szCs w:val="24"/>
          <w:highlight w:val="none"/>
          <w:lang w:val="en-US" w:eastAsia="zh-CN"/>
        </w:rPr>
        <w:t>隆化县大昌矿业有限责任公司年处理低品位铁矿石120万吨选矿厂建设项目环境影响报告书</w:t>
      </w:r>
      <w:r>
        <w:rPr>
          <w:rFonts w:hint="eastAsia" w:ascii="Times New Roman" w:hAnsi="Times New Roman" w:cs="Times New Roman"/>
          <w:color w:val="000000"/>
          <w:sz w:val="24"/>
          <w:szCs w:val="24"/>
          <w:highlight w:val="none"/>
          <w:lang w:val="en-US" w:eastAsia="zh-CN"/>
        </w:rPr>
        <w:t>》</w:t>
      </w:r>
      <w:r>
        <w:rPr>
          <w:rFonts w:hint="eastAsia" w:cs="Times New Roman"/>
          <w:color w:val="000000"/>
          <w:sz w:val="24"/>
          <w:szCs w:val="24"/>
          <w:highlight w:val="none"/>
          <w:lang w:val="en-US" w:eastAsia="zh-CN"/>
        </w:rPr>
        <w:t>批复；</w:t>
      </w:r>
    </w:p>
    <w:p w14:paraId="386C840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ascii="Times New Roman" w:hAnsi="Times New Roman" w:cs="Times New Roman"/>
          <w:color w:val="000000"/>
          <w:sz w:val="24"/>
          <w:szCs w:val="24"/>
          <w:highlight w:val="none"/>
          <w:lang w:val="en-US" w:eastAsia="zh-CN"/>
        </w:rPr>
      </w:pPr>
      <w:r>
        <w:rPr>
          <w:rFonts w:hint="eastAsia" w:cs="Times New Roman"/>
          <w:color w:val="000000"/>
          <w:sz w:val="24"/>
          <w:szCs w:val="24"/>
          <w:highlight w:val="none"/>
          <w:lang w:val="en-US" w:eastAsia="zh-CN"/>
        </w:rPr>
        <w:t xml:space="preserve">附件4 </w:t>
      </w:r>
      <w:r>
        <w:rPr>
          <w:rFonts w:hint="eastAsia" w:ascii="Times New Roman" w:hAnsi="Times New Roman" w:cs="Times New Roman"/>
          <w:color w:val="000000"/>
          <w:sz w:val="24"/>
          <w:szCs w:val="24"/>
          <w:highlight w:val="none"/>
          <w:lang w:val="en-US" w:eastAsia="zh-CN"/>
        </w:rPr>
        <w:t xml:space="preserve"> 《</w:t>
      </w:r>
      <w:r>
        <w:rPr>
          <w:rFonts w:hint="default" w:ascii="Times New Roman" w:hAnsi="Times New Roman" w:cs="Times New Roman"/>
          <w:sz w:val="24"/>
          <w:szCs w:val="24"/>
          <w:highlight w:val="none"/>
          <w:lang w:val="en-US" w:eastAsia="zh-CN"/>
        </w:rPr>
        <w:t>隆化县大昌矿业有限责任公司年处理低品位铁矿石120万吨选矿厂建设项目环境影响报告书</w:t>
      </w:r>
      <w:r>
        <w:rPr>
          <w:rFonts w:hint="eastAsia" w:ascii="Times New Roman" w:hAnsi="Times New Roman" w:cs="Times New Roman"/>
          <w:color w:val="000000"/>
          <w:sz w:val="24"/>
          <w:szCs w:val="24"/>
          <w:highlight w:val="none"/>
          <w:lang w:val="en-US" w:eastAsia="zh-CN"/>
        </w:rPr>
        <w:t>》</w:t>
      </w:r>
      <w:r>
        <w:rPr>
          <w:rFonts w:hint="eastAsia" w:cs="Times New Roman"/>
          <w:color w:val="000000"/>
          <w:sz w:val="24"/>
          <w:szCs w:val="24"/>
          <w:highlight w:val="none"/>
          <w:lang w:val="en-US" w:eastAsia="zh-CN"/>
        </w:rPr>
        <w:t>验收意见；</w:t>
      </w:r>
    </w:p>
    <w:p w14:paraId="20D5058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ascii="Times New Roman" w:hAnsi="Times New Roman" w:cs="Times New Roman"/>
          <w:color w:val="000000"/>
          <w:sz w:val="24"/>
          <w:szCs w:val="24"/>
          <w:highlight w:val="none"/>
          <w:lang w:val="en-US" w:eastAsia="zh-CN"/>
        </w:rPr>
      </w:pPr>
      <w:r>
        <w:rPr>
          <w:rFonts w:hint="eastAsia" w:cs="Times New Roman"/>
          <w:color w:val="000000"/>
          <w:sz w:val="24"/>
          <w:szCs w:val="24"/>
          <w:highlight w:val="none"/>
          <w:lang w:val="en-US" w:eastAsia="zh-CN"/>
        </w:rPr>
        <w:t xml:space="preserve">附件5  </w:t>
      </w:r>
      <w:r>
        <w:rPr>
          <w:rFonts w:hint="eastAsia" w:cs="Times New Roman"/>
          <w:sz w:val="24"/>
          <w:szCs w:val="24"/>
          <w:highlight w:val="none"/>
          <w:lang w:val="en-US" w:eastAsia="zh-CN"/>
        </w:rPr>
        <w:t>《承德天宝矿业集团大昌矿业有限公司矿山废弃资源综合利用项目环境影响报告书》批复；</w:t>
      </w:r>
    </w:p>
    <w:p w14:paraId="3CB3D50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ascii="Times New Roman" w:hAnsi="Times New Roman" w:cs="Times New Roman"/>
          <w:color w:val="000000"/>
          <w:sz w:val="24"/>
          <w:szCs w:val="24"/>
          <w:highlight w:val="none"/>
          <w:lang w:val="en-US" w:eastAsia="zh-CN"/>
        </w:rPr>
      </w:pPr>
      <w:r>
        <w:rPr>
          <w:rFonts w:hint="eastAsia" w:cs="Times New Roman"/>
          <w:color w:val="000000"/>
          <w:sz w:val="24"/>
          <w:szCs w:val="24"/>
          <w:highlight w:val="none"/>
          <w:lang w:val="en-US" w:eastAsia="zh-CN"/>
        </w:rPr>
        <w:t xml:space="preserve">附件6  </w:t>
      </w:r>
      <w:r>
        <w:rPr>
          <w:rFonts w:hint="eastAsia" w:cs="Times New Roman"/>
          <w:sz w:val="24"/>
          <w:szCs w:val="24"/>
          <w:highlight w:val="none"/>
          <w:lang w:val="en-US" w:eastAsia="zh-CN"/>
        </w:rPr>
        <w:t>《承德天宝矿业集团大昌矿业有限公司矿山废弃资源综合利用项目环境影响报告书》验收意见；</w:t>
      </w:r>
    </w:p>
    <w:p w14:paraId="12D6F26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cs="Times New Roman"/>
          <w:color w:val="000000"/>
          <w:sz w:val="24"/>
          <w:szCs w:val="24"/>
          <w:highlight w:val="none"/>
          <w:lang w:val="en-US" w:eastAsia="zh-CN"/>
        </w:rPr>
      </w:pPr>
      <w:r>
        <w:rPr>
          <w:rFonts w:hint="eastAsia" w:cs="Times New Roman"/>
          <w:color w:val="000000"/>
          <w:sz w:val="24"/>
          <w:szCs w:val="24"/>
          <w:highlight w:val="none"/>
          <w:lang w:val="en-US" w:eastAsia="zh-CN"/>
        </w:rPr>
        <w:t>附件7  排污登记回执；</w:t>
      </w:r>
    </w:p>
    <w:p w14:paraId="5B65987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cs="Times New Roman"/>
          <w:color w:val="000000"/>
          <w:sz w:val="24"/>
          <w:szCs w:val="24"/>
          <w:highlight w:val="none"/>
          <w:lang w:val="en-US" w:eastAsia="zh-CN"/>
        </w:rPr>
      </w:pPr>
      <w:r>
        <w:rPr>
          <w:rFonts w:hint="eastAsia" w:cs="Times New Roman"/>
          <w:color w:val="000000"/>
          <w:sz w:val="24"/>
          <w:szCs w:val="24"/>
          <w:highlight w:val="none"/>
          <w:lang w:val="en-US" w:eastAsia="zh-CN"/>
        </w:rPr>
        <w:t>附件8  采矿证；</w:t>
      </w:r>
    </w:p>
    <w:p w14:paraId="6BECE58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cs="Times New Roman"/>
          <w:color w:val="000000"/>
          <w:sz w:val="24"/>
          <w:szCs w:val="24"/>
          <w:highlight w:val="none"/>
          <w:lang w:val="en-US" w:eastAsia="zh-CN"/>
        </w:rPr>
      </w:pPr>
      <w:r>
        <w:rPr>
          <w:rFonts w:hint="eastAsia" w:cs="Times New Roman"/>
          <w:color w:val="000000"/>
          <w:sz w:val="24"/>
          <w:szCs w:val="24"/>
          <w:highlight w:val="none"/>
          <w:lang w:val="en-US" w:eastAsia="zh-CN"/>
        </w:rPr>
        <w:t>附件9  东北沟尾矿库予以销号的政府批复；</w:t>
      </w:r>
    </w:p>
    <w:p w14:paraId="0E3DEE0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cs="Times New Roman"/>
          <w:color w:val="000000"/>
          <w:sz w:val="24"/>
          <w:szCs w:val="24"/>
          <w:highlight w:val="none"/>
          <w:lang w:val="en-US" w:eastAsia="zh-CN"/>
        </w:rPr>
      </w:pPr>
      <w:r>
        <w:rPr>
          <w:rFonts w:hint="eastAsia" w:cs="Times New Roman"/>
          <w:color w:val="000000"/>
          <w:sz w:val="24"/>
          <w:szCs w:val="24"/>
          <w:highlight w:val="none"/>
          <w:lang w:val="en-US" w:eastAsia="zh-CN"/>
        </w:rPr>
        <w:t>附件9  《佰布沟与兰家沟尾矿库联合扩容项目区域环境质量现状监测》（（辽鹏环测）字PY2408625-001号）；</w:t>
      </w:r>
    </w:p>
    <w:p w14:paraId="7C2B30E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附件10  《承德天宝矿业集团大昌矿业有限公司东北沟排土场建设项目固体废物腐蚀性鉴别检测报告》（ZXLN（T）202503026）；</w:t>
      </w:r>
    </w:p>
    <w:p w14:paraId="3DD02CC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cs="Times New Roman"/>
          <w:color w:val="000000"/>
          <w:sz w:val="24"/>
          <w:szCs w:val="24"/>
          <w:highlight w:val="none"/>
          <w:lang w:val="en-US" w:eastAsia="zh-CN"/>
        </w:rPr>
      </w:pPr>
      <w:r>
        <w:rPr>
          <w:rFonts w:hint="eastAsia" w:cs="Times New Roman"/>
          <w:color w:val="000000"/>
          <w:sz w:val="24"/>
          <w:szCs w:val="24"/>
          <w:highlight w:val="none"/>
          <w:lang w:val="en-US" w:eastAsia="zh-CN"/>
        </w:rPr>
        <w:t>附件11  《承德天宝矿业集团大昌矿业有限公司东北沟排土场建设项目固体废物危险废物浸出毒性鉴别检测报告》（ZXLN（T）202503027）；</w:t>
      </w:r>
    </w:p>
    <w:p w14:paraId="2ADC405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附件12  《承德天宝矿业集团大昌矿业有限公司东北沟排土场建设项目固体废物第</w:t>
      </w:r>
      <w:r>
        <w:rPr>
          <w:rFonts w:hint="default" w:ascii="Times New Roman" w:hAnsi="Times New Roman" w:cs="Times New Roman"/>
          <w:color w:val="000000"/>
          <w:sz w:val="24"/>
          <w:szCs w:val="24"/>
          <w:highlight w:val="none"/>
          <w:lang w:val="en-US" w:eastAsia="zh-CN"/>
        </w:rPr>
        <w:t>Ⅰ、Ⅱ</w:t>
      </w:r>
      <w:r>
        <w:rPr>
          <w:rFonts w:hint="eastAsia" w:cs="Times New Roman"/>
          <w:color w:val="000000"/>
          <w:sz w:val="24"/>
          <w:szCs w:val="24"/>
          <w:highlight w:val="none"/>
          <w:lang w:val="en-US" w:eastAsia="zh-CN"/>
        </w:rPr>
        <w:t>类一般工业固体废物鉴别检测报告》（ZXLN（T）202503028）；</w:t>
      </w:r>
    </w:p>
    <w:p w14:paraId="527FFA9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cs="Times New Roman"/>
          <w:color w:val="000000"/>
          <w:sz w:val="24"/>
          <w:szCs w:val="24"/>
          <w:highlight w:val="none"/>
          <w:lang w:val="en-US" w:eastAsia="zh-CN"/>
        </w:rPr>
      </w:pPr>
      <w:r>
        <w:rPr>
          <w:rFonts w:hint="eastAsia" w:cs="Times New Roman"/>
          <w:color w:val="000000"/>
          <w:sz w:val="24"/>
          <w:szCs w:val="24"/>
          <w:highlight w:val="none"/>
          <w:lang w:val="en-US" w:eastAsia="zh-CN"/>
        </w:rPr>
        <w:t>附件13  《承德天宝矿业集团大昌矿业有限公司东北沟排土场建设项目有机质、水溶性盐总量检测检测报告》（ZXLN（T）202503030）；</w:t>
      </w:r>
    </w:p>
    <w:p w14:paraId="19931D5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附件14  《承德天宝矿业集团大昌矿业有限公司东北沟排土场建设项目浸溶试验检测报告》（ZXLN（T）202503029）；</w:t>
      </w:r>
    </w:p>
    <w:p w14:paraId="7836859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附件15  《承德天宝矿业集团大昌矿业有限公司东北沟排土场建设项目区域环境质量现状检测报告》（ZXLN（T）202503025）；</w:t>
      </w:r>
    </w:p>
    <w:p w14:paraId="3EA30CA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cs="Times New Roman"/>
          <w:color w:val="auto"/>
          <w:sz w:val="24"/>
          <w:szCs w:val="24"/>
          <w:highlight w:val="none"/>
          <w:lang w:eastAsia="zh-CN"/>
        </w:rPr>
      </w:pPr>
      <w:r>
        <w:rPr>
          <w:rFonts w:hint="eastAsia" w:cs="Times New Roman"/>
          <w:color w:val="000000"/>
          <w:sz w:val="24"/>
          <w:szCs w:val="24"/>
          <w:highlight w:val="none"/>
          <w:lang w:val="en-US" w:eastAsia="zh-CN"/>
        </w:rPr>
        <w:t xml:space="preserve">附件16  </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物料放射性核素活度浓度检测报告》（</w:t>
      </w:r>
      <w:r>
        <w:rPr>
          <w:rFonts w:hint="eastAsia" w:cs="Times New Roman"/>
          <w:color w:val="auto"/>
          <w:sz w:val="24"/>
          <w:szCs w:val="24"/>
          <w:highlight w:val="none"/>
          <w:lang w:eastAsia="zh-CN"/>
        </w:rPr>
        <w:t>（辽鹏环测）字PY2503078-001号</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w:t>
      </w:r>
    </w:p>
    <w:p w14:paraId="4911093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ascii="Times New Roman" w:hAnsi="Times New Roman" w:cs="Times New Roman"/>
          <w:color w:val="000000"/>
          <w:sz w:val="24"/>
          <w:szCs w:val="24"/>
          <w:highlight w:val="none"/>
        </w:rPr>
      </w:pPr>
      <w:r>
        <w:rPr>
          <w:rFonts w:hint="eastAsia" w:cs="Times New Roman"/>
          <w:color w:val="auto"/>
          <w:sz w:val="24"/>
          <w:szCs w:val="24"/>
          <w:highlight w:val="none"/>
          <w:lang w:val="en-US" w:eastAsia="zh-CN"/>
        </w:rPr>
        <w:t>附件17  《承德天宝矿业集团大昌矿业有限公司检测项目检测报告》（圣合(检)字WT2024-2950）</w:t>
      </w:r>
      <w:r>
        <w:rPr>
          <w:rFonts w:hint="eastAsia" w:cs="Times New Roman"/>
          <w:color w:val="000000"/>
          <w:sz w:val="24"/>
          <w:szCs w:val="24"/>
          <w:highlight w:val="none"/>
          <w:lang w:val="en-US" w:eastAsia="zh-CN"/>
        </w:rPr>
        <w:t>。</w:t>
      </w:r>
    </w:p>
    <w:p w14:paraId="12A97214">
      <w:pPr>
        <w:rPr>
          <w:rFonts w:hint="default" w:ascii="Times New Roman" w:hAnsi="Times New Roman" w:eastAsia="宋体" w:cs="Times New Roman"/>
          <w:b/>
          <w:bCs/>
          <w:sz w:val="24"/>
          <w:szCs w:val="24"/>
          <w:highlight w:val="none"/>
          <w:lang w:val="en-US" w:eastAsia="zh-CN"/>
        </w:rPr>
      </w:pPr>
      <w:bookmarkStart w:id="6" w:name="_Toc7043"/>
      <w:bookmarkStart w:id="7" w:name="_Toc4187"/>
    </w:p>
    <w:p w14:paraId="0E87F70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b/>
          <w:bCs/>
          <w:sz w:val="24"/>
          <w:szCs w:val="24"/>
          <w:highlight w:val="none"/>
          <w:lang w:val="en-US" w:eastAsia="zh-CN"/>
        </w:rPr>
        <w:t>附表：</w:t>
      </w:r>
      <w:bookmarkEnd w:id="6"/>
      <w:bookmarkEnd w:id="7"/>
    </w:p>
    <w:p w14:paraId="4F10D64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附表1</w:t>
      </w:r>
      <w:r>
        <w:rPr>
          <w:rFonts w:hint="default" w:ascii="Times New Roman" w:hAnsi="Times New Roman" w:eastAsia="宋体" w:cs="Times New Roman"/>
          <w:sz w:val="24"/>
          <w:szCs w:val="24"/>
          <w:highlight w:val="none"/>
          <w:lang w:val="en-US" w:eastAsia="zh-CN"/>
        </w:rPr>
        <w:t xml:space="preserve">  </w:t>
      </w:r>
      <w:bookmarkStart w:id="8" w:name="_Toc18309"/>
      <w:r>
        <w:rPr>
          <w:rFonts w:hint="default" w:ascii="Times New Roman" w:hAnsi="Times New Roman" w:eastAsia="宋体" w:cs="Times New Roman"/>
          <w:sz w:val="24"/>
          <w:szCs w:val="24"/>
          <w:highlight w:val="none"/>
          <w:lang w:val="en-US" w:eastAsia="zh-CN"/>
        </w:rPr>
        <w:t>建设项目环评审批基础信息表</w:t>
      </w:r>
      <w:bookmarkEnd w:id="8"/>
      <w:r>
        <w:rPr>
          <w:rFonts w:hint="eastAsia" w:cs="Times New Roman"/>
          <w:sz w:val="24"/>
          <w:szCs w:val="24"/>
          <w:highlight w:val="none"/>
          <w:lang w:val="en-US" w:eastAsia="zh-CN"/>
        </w:rPr>
        <w:t>。</w:t>
      </w:r>
    </w:p>
    <w:p w14:paraId="30C100B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p>
    <w:p w14:paraId="79E3DCB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p>
    <w:p w14:paraId="56B016D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p>
    <w:p w14:paraId="1DAF01E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p>
    <w:p w14:paraId="305AE8C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p>
    <w:p w14:paraId="0C7F0B7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p>
    <w:p w14:paraId="1A8C884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sz w:val="24"/>
          <w:szCs w:val="24"/>
          <w:highlight w:val="none"/>
          <w:lang w:val="en-US" w:eastAsia="zh-CN"/>
        </w:rPr>
      </w:pPr>
    </w:p>
    <w:p w14:paraId="1E33365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000000"/>
          <w:sz w:val="24"/>
          <w:szCs w:val="24"/>
          <w:highlight w:val="none"/>
          <w:lang w:eastAsia="zh-CN"/>
        </w:rPr>
        <w:sectPr>
          <w:headerReference r:id="rId5" w:type="default"/>
          <w:footerReference r:id="rId6"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start="1"/>
          <w:cols w:space="720" w:num="1"/>
          <w:docGrid w:type="lines" w:linePitch="312" w:charSpace="0"/>
        </w:sectPr>
      </w:pPr>
    </w:p>
    <w:p w14:paraId="19983F57">
      <w:pPr>
        <w:pStyle w:val="187"/>
        <w:rPr>
          <w:rFonts w:hint="default" w:ascii="Times New Roman" w:hAnsi="Times New Roman" w:cs="Times New Roman"/>
          <w:color w:val="000000"/>
          <w:highlight w:val="none"/>
        </w:rPr>
      </w:pPr>
      <w:bookmarkStart w:id="9" w:name="_Toc9142"/>
      <w:bookmarkStart w:id="10" w:name="_Toc32189"/>
      <w:bookmarkStart w:id="11" w:name="_Toc11102"/>
      <w:bookmarkStart w:id="12" w:name="_Toc19078"/>
      <w:bookmarkStart w:id="13" w:name="_Toc18454"/>
      <w:r>
        <w:rPr>
          <w:rFonts w:hint="default" w:ascii="Times New Roman" w:hAnsi="Times New Roman" w:cs="Times New Roman"/>
          <w:color w:val="000000"/>
          <w:highlight w:val="none"/>
        </w:rPr>
        <w:t>概述</w:t>
      </w:r>
      <w:bookmarkEnd w:id="9"/>
      <w:bookmarkEnd w:id="10"/>
      <w:bookmarkEnd w:id="11"/>
      <w:bookmarkEnd w:id="12"/>
      <w:bookmarkEnd w:id="13"/>
      <w:bookmarkStart w:id="456" w:name="_GoBack"/>
      <w:bookmarkEnd w:id="456"/>
    </w:p>
    <w:p w14:paraId="058D24D7">
      <w:pPr>
        <w:keepNext/>
        <w:keepLines/>
        <w:pageBreakBefore w:val="0"/>
        <w:widowControl w:val="0"/>
        <w:numPr>
          <w:ilvl w:val="1"/>
          <w:numId w:val="1"/>
        </w:numPr>
        <w:kinsoku/>
        <w:wordWrap/>
        <w:overflowPunct/>
        <w:topLinePunct w:val="0"/>
        <w:autoSpaceDE/>
        <w:autoSpaceDN/>
        <w:bidi w:val="0"/>
        <w:adjustRightInd w:val="0"/>
        <w:snapToGrid w:val="0"/>
        <w:spacing w:line="360" w:lineRule="auto"/>
        <w:ind w:left="0" w:firstLine="0"/>
        <w:jc w:val="both"/>
        <w:textAlignment w:val="auto"/>
        <w:outlineLvl w:val="1"/>
        <w:rPr>
          <w:rFonts w:hint="default" w:ascii="Times New Roman" w:hAnsi="Times New Roman" w:eastAsia="宋体" w:cs="Times New Roman"/>
          <w:b/>
          <w:color w:val="000000"/>
          <w:kern w:val="2"/>
          <w:sz w:val="28"/>
          <w:szCs w:val="28"/>
          <w:highlight w:val="none"/>
          <w:lang w:val="en-US" w:eastAsia="zh-CN" w:bidi="ar-SA"/>
        </w:rPr>
      </w:pPr>
      <w:bookmarkStart w:id="14" w:name="_Toc18639"/>
      <w:bookmarkStart w:id="15" w:name="_Toc161"/>
      <w:bookmarkStart w:id="16" w:name="_Toc2868"/>
      <w:bookmarkStart w:id="17" w:name="_Toc28097"/>
      <w:bookmarkStart w:id="18" w:name="_Toc26402"/>
      <w:bookmarkStart w:id="19" w:name="_Toc6197"/>
      <w:bookmarkStart w:id="20" w:name="OLE_LINK3"/>
      <w:bookmarkStart w:id="21" w:name="OLE_LINK4"/>
      <w:r>
        <w:rPr>
          <w:rFonts w:hint="default" w:ascii="Times New Roman" w:hAnsi="Times New Roman" w:eastAsia="宋体" w:cs="Times New Roman"/>
          <w:b/>
          <w:color w:val="000000"/>
          <w:kern w:val="2"/>
          <w:sz w:val="28"/>
          <w:szCs w:val="28"/>
          <w:highlight w:val="none"/>
          <w:lang w:val="en-US" w:eastAsia="zh-CN" w:bidi="ar-SA"/>
        </w:rPr>
        <w:t>建设项目</w:t>
      </w:r>
      <w:bookmarkEnd w:id="14"/>
      <w:bookmarkEnd w:id="15"/>
      <w:bookmarkEnd w:id="16"/>
      <w:bookmarkEnd w:id="17"/>
      <w:bookmarkEnd w:id="18"/>
      <w:r>
        <w:rPr>
          <w:rFonts w:hint="eastAsia" w:cs="Times New Roman"/>
          <w:b/>
          <w:color w:val="000000"/>
          <w:kern w:val="2"/>
          <w:sz w:val="28"/>
          <w:szCs w:val="28"/>
          <w:highlight w:val="none"/>
          <w:lang w:val="en-US" w:eastAsia="zh-CN" w:bidi="ar-SA"/>
        </w:rPr>
        <w:t>由来</w:t>
      </w:r>
      <w:bookmarkEnd w:id="19"/>
    </w:p>
    <w:p w14:paraId="54CEB8D9">
      <w:pPr>
        <w:spacing w:line="360" w:lineRule="auto"/>
        <w:ind w:firstLine="480" w:firstLineChars="2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承德天宝矿业集团大昌矿业有限公司始建于2003年，</w:t>
      </w:r>
      <w:r>
        <w:rPr>
          <w:rFonts w:hint="eastAsia" w:cs="Times New Roman"/>
          <w:sz w:val="24"/>
          <w:szCs w:val="24"/>
          <w:highlight w:val="none"/>
          <w:lang w:val="en-US" w:eastAsia="zh-CN"/>
        </w:rPr>
        <w:t>公司</w:t>
      </w:r>
      <w:r>
        <w:rPr>
          <w:rFonts w:hint="default" w:ascii="Times New Roman" w:hAnsi="Times New Roman" w:cs="Times New Roman"/>
          <w:sz w:val="24"/>
          <w:szCs w:val="24"/>
          <w:highlight w:val="none"/>
          <w:lang w:val="en-US" w:eastAsia="zh-CN"/>
        </w:rPr>
        <w:t>位于隆化县韩麻营镇东兴村邓沙沟大石头沟。</w:t>
      </w:r>
      <w:r>
        <w:rPr>
          <w:rFonts w:hint="eastAsia" w:cs="Times New Roman"/>
          <w:sz w:val="24"/>
          <w:szCs w:val="24"/>
          <w:highlight w:val="none"/>
          <w:lang w:val="en-US" w:eastAsia="zh-CN"/>
        </w:rPr>
        <w:t>公司现有工程生产规模为：</w:t>
      </w:r>
      <w:r>
        <w:rPr>
          <w:rFonts w:hint="default" w:ascii="Times New Roman" w:hAnsi="Times New Roman" w:cs="Times New Roman"/>
          <w:sz w:val="24"/>
          <w:szCs w:val="24"/>
          <w:highlight w:val="none"/>
          <w:lang w:val="en-US" w:eastAsia="zh-CN"/>
        </w:rPr>
        <w:t>年处理铁矿石120万</w:t>
      </w:r>
      <w:r>
        <w:rPr>
          <w:rFonts w:hint="eastAsia" w:cs="Times New Roman"/>
          <w:sz w:val="24"/>
          <w:szCs w:val="24"/>
          <w:highlight w:val="none"/>
          <w:lang w:val="en-US" w:eastAsia="zh-CN"/>
        </w:rPr>
        <w:t>t，</w:t>
      </w:r>
      <w:r>
        <w:rPr>
          <w:rFonts w:hint="default" w:ascii="Times New Roman" w:hAnsi="Times New Roman" w:cs="Times New Roman"/>
          <w:sz w:val="24"/>
          <w:szCs w:val="24"/>
          <w:highlight w:val="none"/>
          <w:lang w:val="en-US" w:eastAsia="zh-CN"/>
        </w:rPr>
        <w:t>年产铁精粉20万</w:t>
      </w:r>
      <w:r>
        <w:rPr>
          <w:rFonts w:hint="eastAsia" w:cs="Times New Roman"/>
          <w:sz w:val="24"/>
          <w:szCs w:val="24"/>
          <w:highlight w:val="none"/>
          <w:lang w:val="en-US" w:eastAsia="zh-CN"/>
        </w:rPr>
        <w:t>t、磷精粉10万t、砂石料16万t，</w:t>
      </w:r>
      <w:r>
        <w:rPr>
          <w:rFonts w:hint="default" w:ascii="Times New Roman" w:hAnsi="Times New Roman" w:cs="Times New Roman"/>
          <w:sz w:val="24"/>
          <w:szCs w:val="24"/>
          <w:highlight w:val="none"/>
          <w:lang w:val="en-US" w:eastAsia="zh-CN"/>
        </w:rPr>
        <w:t>配套建设尾矿库和排土场各1座。项目环保手续履行情况如下：</w:t>
      </w:r>
    </w:p>
    <w:p w14:paraId="79788A40">
      <w:pPr>
        <w:spacing w:line="360" w:lineRule="auto"/>
        <w:ind w:firstLine="480" w:firstLineChars="2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2003年9月11日，由承德市环境保护研究所编制完成《隆化县大昌矿业有限责任公司年处理低品位铁矿石120万吨选矿厂建设项目环境影响报告书》；2003年9月15日取得承德市环境保护局《关于隆化县大昌矿业有限责任公司年处理低品位铁矿石120万吨选矿厂建设项目环境影响报告书的批复》，</w:t>
      </w:r>
      <w:r>
        <w:rPr>
          <w:rFonts w:hint="eastAsia" w:cs="Times New Roman"/>
          <w:sz w:val="24"/>
          <w:szCs w:val="24"/>
          <w:highlight w:val="none"/>
          <w:lang w:val="en-US" w:eastAsia="zh-CN"/>
        </w:rPr>
        <w:t>批复文号为“</w:t>
      </w:r>
      <w:r>
        <w:rPr>
          <w:rFonts w:hint="default" w:ascii="Times New Roman" w:hAnsi="Times New Roman" w:cs="Times New Roman"/>
          <w:sz w:val="24"/>
          <w:szCs w:val="24"/>
          <w:highlight w:val="none"/>
          <w:lang w:val="en-US" w:eastAsia="zh-CN"/>
        </w:rPr>
        <w:t>承市环保[2003]164号</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；2005年11月8日，</w:t>
      </w:r>
      <w:r>
        <w:rPr>
          <w:rFonts w:hint="eastAsia" w:cs="Times New Roman"/>
          <w:sz w:val="24"/>
          <w:szCs w:val="24"/>
          <w:highlight w:val="none"/>
          <w:lang w:val="en-US" w:eastAsia="zh-CN"/>
        </w:rPr>
        <w:t>该项目</w:t>
      </w:r>
      <w:r>
        <w:rPr>
          <w:rFonts w:hint="default" w:ascii="Times New Roman" w:hAnsi="Times New Roman" w:cs="Times New Roman"/>
          <w:sz w:val="24"/>
          <w:szCs w:val="24"/>
          <w:highlight w:val="none"/>
          <w:lang w:val="en-US" w:eastAsia="zh-CN"/>
        </w:rPr>
        <w:t>取得承德市环境保护局的竣工环境保护验收意见，</w:t>
      </w:r>
      <w:r>
        <w:rPr>
          <w:rFonts w:hint="eastAsia" w:cs="Times New Roman"/>
          <w:sz w:val="24"/>
          <w:szCs w:val="24"/>
          <w:highlight w:val="none"/>
          <w:lang w:val="en-US" w:eastAsia="zh-CN"/>
        </w:rPr>
        <w:t>文号为“</w:t>
      </w:r>
      <w:r>
        <w:rPr>
          <w:rFonts w:hint="default" w:ascii="Times New Roman" w:hAnsi="Times New Roman" w:cs="Times New Roman"/>
          <w:sz w:val="24"/>
          <w:szCs w:val="24"/>
          <w:highlight w:val="none"/>
          <w:lang w:val="en-US" w:eastAsia="zh-CN"/>
        </w:rPr>
        <w:t>承环验（2005）043号</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w:t>
      </w:r>
    </w:p>
    <w:p w14:paraId="1E5BF841">
      <w:pPr>
        <w:spacing w:line="360" w:lineRule="auto"/>
        <w:ind w:firstLine="480" w:firstLineChars="200"/>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2020年5月，公司委托河北圣泓环保科技有限责任公司编制完成《承德天宝矿业集团大昌矿业有限公司矿山废弃资源综合利用项目环境影响报告书》，2020年6月19日，承德市生态环境局隆化县分局出具了该项目环评批复，批复文号为“隆环评复</w:t>
      </w:r>
      <w:r>
        <w:rPr>
          <w:rFonts w:hint="default" w:ascii="Times New Roman" w:hAnsi="Times New Roman" w:cs="Times New Roman"/>
          <w:sz w:val="24"/>
          <w:szCs w:val="24"/>
          <w:highlight w:val="none"/>
          <w:lang w:val="en-US" w:eastAsia="zh-CN"/>
        </w:rPr>
        <w:t>[20</w:t>
      </w:r>
      <w:r>
        <w:rPr>
          <w:rFonts w:hint="eastAsia" w:cs="Times New Roman"/>
          <w:sz w:val="24"/>
          <w:szCs w:val="24"/>
          <w:highlight w:val="none"/>
          <w:lang w:val="en-US" w:eastAsia="zh-CN"/>
        </w:rPr>
        <w:t>20</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4号”。2024年8月23日，公司组织完成该项目自主验收。</w:t>
      </w:r>
      <w:r>
        <w:rPr>
          <w:rFonts w:hint="eastAsia" w:cs="Times New Roman"/>
          <w:sz w:val="24"/>
          <w:szCs w:val="24"/>
          <w:highlight w:val="none"/>
          <w:lang w:val="en-US" w:eastAsia="zh-CN"/>
        </w:rPr>
        <w:t>2023年11月23日，公司取得固定污染源排污登记回执，登记编号为911308257681309530001W，有效期为2023年11月23日至2028年11月22日，详见附件7。</w:t>
      </w:r>
    </w:p>
    <w:p w14:paraId="279A6CA4">
      <w:pPr>
        <w:spacing w:line="360" w:lineRule="auto"/>
        <w:ind w:firstLine="480" w:firstLineChars="200"/>
        <w:rPr>
          <w:rFonts w:hint="eastAsia" w:ascii="Times New Roman" w:hAnsi="Times New Roman" w:eastAsia="宋体" w:cs="Times New Roman"/>
          <w:kern w:val="0"/>
          <w:sz w:val="24"/>
          <w:szCs w:val="24"/>
          <w:highlight w:val="none"/>
          <w:lang w:val="en-US" w:eastAsia="zh-CN"/>
        </w:rPr>
      </w:pPr>
      <w:r>
        <w:rPr>
          <w:rFonts w:hint="default"/>
          <w:sz w:val="24"/>
          <w:szCs w:val="24"/>
          <w:highlight w:val="none"/>
          <w:lang w:val="en-US" w:eastAsia="zh-CN"/>
        </w:rPr>
        <w:t>20</w:t>
      </w:r>
      <w:r>
        <w:rPr>
          <w:rFonts w:hint="eastAsia"/>
          <w:sz w:val="24"/>
          <w:szCs w:val="24"/>
          <w:highlight w:val="none"/>
          <w:lang w:val="en-US" w:eastAsia="zh-CN"/>
        </w:rPr>
        <w:t>21</w:t>
      </w:r>
      <w:r>
        <w:rPr>
          <w:rFonts w:hint="default"/>
          <w:sz w:val="24"/>
          <w:szCs w:val="24"/>
          <w:highlight w:val="none"/>
          <w:lang w:val="en-US" w:eastAsia="zh-CN"/>
        </w:rPr>
        <w:t>年</w:t>
      </w:r>
      <w:r>
        <w:rPr>
          <w:rFonts w:hint="eastAsia"/>
          <w:sz w:val="24"/>
          <w:szCs w:val="24"/>
          <w:highlight w:val="none"/>
          <w:lang w:val="en-US" w:eastAsia="zh-CN"/>
        </w:rPr>
        <w:t>5</w:t>
      </w:r>
      <w:r>
        <w:rPr>
          <w:rFonts w:hint="default"/>
          <w:sz w:val="24"/>
          <w:szCs w:val="24"/>
          <w:highlight w:val="none"/>
          <w:lang w:val="en-US" w:eastAsia="zh-CN"/>
        </w:rPr>
        <w:t>月</w:t>
      </w:r>
      <w:r>
        <w:rPr>
          <w:rFonts w:hint="eastAsia"/>
          <w:sz w:val="24"/>
          <w:szCs w:val="24"/>
          <w:highlight w:val="none"/>
          <w:lang w:val="en-US" w:eastAsia="zh-CN"/>
        </w:rPr>
        <w:t>，</w:t>
      </w:r>
      <w:r>
        <w:rPr>
          <w:rFonts w:hint="eastAsia" w:cs="Times New Roman"/>
          <w:snapToGrid w:val="0"/>
          <w:kern w:val="0"/>
          <w:sz w:val="24"/>
          <w:szCs w:val="24"/>
          <w:highlight w:val="none"/>
          <w:lang w:val="en-US" w:eastAsia="zh-CN"/>
        </w:rPr>
        <w:t>承德天宝矿业集团大昌矿业有限公司办理采矿权延续，</w:t>
      </w:r>
      <w:r>
        <w:rPr>
          <w:rFonts w:hint="default"/>
          <w:sz w:val="24"/>
          <w:szCs w:val="24"/>
          <w:highlight w:val="none"/>
          <w:lang w:val="en-US" w:eastAsia="zh-CN"/>
        </w:rPr>
        <w:t>有效期</w:t>
      </w:r>
      <w:r>
        <w:rPr>
          <w:rFonts w:hint="eastAsia"/>
          <w:sz w:val="24"/>
          <w:szCs w:val="24"/>
          <w:highlight w:val="none"/>
          <w:lang w:val="en-US" w:eastAsia="zh-CN"/>
        </w:rPr>
        <w:t>5</w:t>
      </w:r>
      <w:r>
        <w:rPr>
          <w:rFonts w:hint="default"/>
          <w:sz w:val="24"/>
          <w:szCs w:val="24"/>
          <w:highlight w:val="none"/>
          <w:lang w:val="en-US" w:eastAsia="zh-CN"/>
        </w:rPr>
        <w:t>年，自20</w:t>
      </w:r>
      <w:r>
        <w:rPr>
          <w:rFonts w:hint="eastAsia"/>
          <w:sz w:val="24"/>
          <w:szCs w:val="24"/>
          <w:highlight w:val="none"/>
          <w:lang w:val="en-US" w:eastAsia="zh-CN"/>
        </w:rPr>
        <w:t>21</w:t>
      </w:r>
      <w:r>
        <w:rPr>
          <w:rFonts w:hint="default"/>
          <w:sz w:val="24"/>
          <w:szCs w:val="24"/>
          <w:highlight w:val="none"/>
          <w:lang w:val="en-US" w:eastAsia="zh-CN"/>
        </w:rPr>
        <w:t>年</w:t>
      </w:r>
      <w:r>
        <w:rPr>
          <w:rFonts w:hint="eastAsia"/>
          <w:sz w:val="24"/>
          <w:szCs w:val="24"/>
          <w:highlight w:val="none"/>
          <w:lang w:val="en-US" w:eastAsia="zh-CN"/>
        </w:rPr>
        <w:t>5</w:t>
      </w:r>
      <w:r>
        <w:rPr>
          <w:rFonts w:hint="default"/>
          <w:sz w:val="24"/>
          <w:szCs w:val="24"/>
          <w:highlight w:val="none"/>
          <w:lang w:val="en-US" w:eastAsia="zh-CN"/>
        </w:rPr>
        <w:t>月</w:t>
      </w:r>
      <w:r>
        <w:rPr>
          <w:rFonts w:hint="eastAsia"/>
          <w:sz w:val="24"/>
          <w:szCs w:val="24"/>
          <w:highlight w:val="none"/>
          <w:lang w:val="en-US" w:eastAsia="zh-CN"/>
        </w:rPr>
        <w:t>21</w:t>
      </w:r>
      <w:r>
        <w:rPr>
          <w:rFonts w:hint="default"/>
          <w:sz w:val="24"/>
          <w:szCs w:val="24"/>
          <w:highlight w:val="none"/>
          <w:lang w:val="en-US" w:eastAsia="zh-CN"/>
        </w:rPr>
        <w:t>日至20</w:t>
      </w:r>
      <w:r>
        <w:rPr>
          <w:rFonts w:hint="eastAsia"/>
          <w:sz w:val="24"/>
          <w:szCs w:val="24"/>
          <w:highlight w:val="none"/>
          <w:lang w:val="en-US" w:eastAsia="zh-CN"/>
        </w:rPr>
        <w:t>26</w:t>
      </w:r>
      <w:r>
        <w:rPr>
          <w:rFonts w:hint="default"/>
          <w:sz w:val="24"/>
          <w:szCs w:val="24"/>
          <w:highlight w:val="none"/>
          <w:lang w:val="en-US" w:eastAsia="zh-CN"/>
        </w:rPr>
        <w:t>年</w:t>
      </w:r>
      <w:r>
        <w:rPr>
          <w:rFonts w:hint="eastAsia"/>
          <w:sz w:val="24"/>
          <w:szCs w:val="24"/>
          <w:highlight w:val="none"/>
          <w:lang w:val="en-US" w:eastAsia="zh-CN"/>
        </w:rPr>
        <w:t>5</w:t>
      </w:r>
      <w:r>
        <w:rPr>
          <w:rFonts w:hint="default"/>
          <w:sz w:val="24"/>
          <w:szCs w:val="24"/>
          <w:highlight w:val="none"/>
          <w:lang w:val="en-US" w:eastAsia="zh-CN"/>
        </w:rPr>
        <w:t>月</w:t>
      </w:r>
      <w:r>
        <w:rPr>
          <w:rFonts w:hint="eastAsia"/>
          <w:sz w:val="24"/>
          <w:szCs w:val="24"/>
          <w:highlight w:val="none"/>
          <w:lang w:val="en-US" w:eastAsia="zh-CN"/>
        </w:rPr>
        <w:t>21</w:t>
      </w:r>
      <w:r>
        <w:rPr>
          <w:rFonts w:hint="default"/>
          <w:sz w:val="24"/>
          <w:szCs w:val="24"/>
          <w:highlight w:val="none"/>
          <w:lang w:val="en-US" w:eastAsia="zh-CN"/>
        </w:rPr>
        <w:t>日。采矿许可证证号</w:t>
      </w:r>
      <w:r>
        <w:rPr>
          <w:rFonts w:hint="eastAsia"/>
          <w:sz w:val="24"/>
          <w:szCs w:val="24"/>
          <w:highlight w:val="none"/>
          <w:lang w:val="en-US" w:eastAsia="zh-CN"/>
        </w:rPr>
        <w:t>为C1300002009112120042856</w:t>
      </w:r>
      <w:r>
        <w:rPr>
          <w:rFonts w:hint="default"/>
          <w:sz w:val="24"/>
          <w:szCs w:val="24"/>
          <w:highlight w:val="none"/>
          <w:lang w:val="en-US" w:eastAsia="zh-CN"/>
        </w:rPr>
        <w:t>，</w:t>
      </w:r>
      <w:r>
        <w:rPr>
          <w:rFonts w:hint="eastAsia"/>
          <w:sz w:val="24"/>
          <w:szCs w:val="24"/>
          <w:highlight w:val="none"/>
          <w:lang w:val="en-US" w:eastAsia="zh-CN"/>
        </w:rPr>
        <w:t>采矿权人为承德天宝矿业集团大昌矿业有限公司</w:t>
      </w:r>
      <w:r>
        <w:rPr>
          <w:rFonts w:hint="default"/>
          <w:sz w:val="24"/>
          <w:szCs w:val="24"/>
          <w:highlight w:val="none"/>
          <w:lang w:val="en-US" w:eastAsia="zh-CN"/>
        </w:rPr>
        <w:t>，</w:t>
      </w:r>
      <w:r>
        <w:rPr>
          <w:rFonts w:hint="eastAsia"/>
          <w:sz w:val="24"/>
          <w:szCs w:val="24"/>
          <w:highlight w:val="none"/>
          <w:lang w:val="en-US" w:eastAsia="zh-CN"/>
        </w:rPr>
        <w:t>矿山名称为承德天宝矿业集团大昌矿业有限公司龙王庙超贫磁铁矿，</w:t>
      </w:r>
      <w:r>
        <w:rPr>
          <w:rFonts w:hint="default"/>
          <w:sz w:val="24"/>
          <w:szCs w:val="24"/>
          <w:highlight w:val="none"/>
          <w:lang w:val="en-US" w:eastAsia="zh-CN"/>
        </w:rPr>
        <w:t>开采矿种</w:t>
      </w:r>
      <w:r>
        <w:rPr>
          <w:rFonts w:hint="eastAsia"/>
          <w:sz w:val="24"/>
          <w:szCs w:val="24"/>
          <w:highlight w:val="none"/>
          <w:lang w:val="en-US" w:eastAsia="zh-CN"/>
        </w:rPr>
        <w:t>为</w:t>
      </w:r>
      <w:r>
        <w:rPr>
          <w:rFonts w:hint="default"/>
          <w:sz w:val="24"/>
          <w:szCs w:val="24"/>
          <w:highlight w:val="none"/>
          <w:lang w:val="en-US" w:eastAsia="zh-CN"/>
        </w:rPr>
        <w:t>铁矿，开采方式</w:t>
      </w:r>
      <w:r>
        <w:rPr>
          <w:rFonts w:hint="eastAsia"/>
          <w:sz w:val="24"/>
          <w:szCs w:val="24"/>
          <w:highlight w:val="none"/>
          <w:lang w:val="en-US" w:eastAsia="zh-CN"/>
        </w:rPr>
        <w:t>为</w:t>
      </w:r>
      <w:r>
        <w:rPr>
          <w:rFonts w:hint="default"/>
          <w:sz w:val="24"/>
          <w:szCs w:val="24"/>
          <w:highlight w:val="none"/>
          <w:lang w:val="en-US" w:eastAsia="zh-CN"/>
        </w:rPr>
        <w:t>露天开采</w:t>
      </w:r>
      <w:r>
        <w:rPr>
          <w:rFonts w:hint="eastAsia"/>
          <w:sz w:val="24"/>
          <w:szCs w:val="24"/>
          <w:highlight w:val="none"/>
          <w:lang w:val="en-US" w:eastAsia="zh-CN"/>
        </w:rPr>
        <w:t>，</w:t>
      </w:r>
      <w:r>
        <w:rPr>
          <w:rFonts w:hint="eastAsia" w:cs="Times New Roman"/>
          <w:snapToGrid w:val="0"/>
          <w:kern w:val="0"/>
          <w:sz w:val="24"/>
          <w:szCs w:val="24"/>
          <w:highlight w:val="none"/>
          <w:lang w:val="en-US" w:eastAsia="zh-CN"/>
        </w:rPr>
        <w:t>开采能力为240万</w:t>
      </w:r>
      <w:r>
        <w:rPr>
          <w:rFonts w:ascii="Times New Roman"/>
          <w:sz w:val="24"/>
          <w:szCs w:val="32"/>
          <w:highlight w:val="none"/>
        </w:rPr>
        <w:t>t/a</w:t>
      </w:r>
      <w:r>
        <w:rPr>
          <w:rFonts w:ascii="Times New Roman"/>
          <w:sz w:val="24"/>
          <w:szCs w:val="24"/>
          <w:highlight w:val="none"/>
        </w:rPr>
        <w:t>，</w:t>
      </w:r>
      <w:r>
        <w:rPr>
          <w:rFonts w:hint="default"/>
          <w:sz w:val="24"/>
          <w:szCs w:val="24"/>
          <w:highlight w:val="none"/>
          <w:lang w:val="en-US" w:eastAsia="zh-CN"/>
        </w:rPr>
        <w:t>矿区面积</w:t>
      </w:r>
      <w:r>
        <w:rPr>
          <w:rFonts w:hint="eastAsia"/>
          <w:sz w:val="24"/>
          <w:szCs w:val="24"/>
          <w:highlight w:val="none"/>
          <w:lang w:val="en-US" w:eastAsia="zh-CN"/>
        </w:rPr>
        <w:t>1.2854</w:t>
      </w:r>
      <w:r>
        <w:rPr>
          <w:rFonts w:hint="default"/>
          <w:sz w:val="24"/>
          <w:szCs w:val="24"/>
          <w:highlight w:val="none"/>
          <w:lang w:val="en-US" w:eastAsia="zh-CN"/>
        </w:rPr>
        <w:t>km</w:t>
      </w:r>
      <w:r>
        <w:rPr>
          <w:rFonts w:hint="default"/>
          <w:sz w:val="24"/>
          <w:szCs w:val="24"/>
          <w:highlight w:val="none"/>
          <w:vertAlign w:val="superscript"/>
          <w:lang w:val="en-US" w:eastAsia="zh-CN"/>
        </w:rPr>
        <w:t>2</w:t>
      </w:r>
      <w:r>
        <w:rPr>
          <w:rFonts w:hint="default"/>
          <w:sz w:val="24"/>
          <w:szCs w:val="24"/>
          <w:highlight w:val="none"/>
          <w:lang w:val="en-US" w:eastAsia="zh-CN"/>
        </w:rPr>
        <w:t>，开采深度由</w:t>
      </w:r>
      <w:r>
        <w:rPr>
          <w:rFonts w:hint="eastAsia"/>
          <w:sz w:val="24"/>
          <w:szCs w:val="24"/>
          <w:highlight w:val="none"/>
          <w:lang w:val="en-US" w:eastAsia="zh-CN"/>
        </w:rPr>
        <w:t>830</w:t>
      </w:r>
      <w:r>
        <w:rPr>
          <w:rFonts w:hint="default"/>
          <w:sz w:val="24"/>
          <w:szCs w:val="24"/>
          <w:highlight w:val="none"/>
          <w:lang w:val="en-US" w:eastAsia="zh-CN"/>
        </w:rPr>
        <w:t>m至</w:t>
      </w:r>
      <w:r>
        <w:rPr>
          <w:rFonts w:hint="eastAsia"/>
          <w:sz w:val="24"/>
          <w:szCs w:val="24"/>
          <w:highlight w:val="none"/>
          <w:lang w:val="en-US" w:eastAsia="zh-CN"/>
        </w:rPr>
        <w:t>600</w:t>
      </w:r>
      <w:r>
        <w:rPr>
          <w:rFonts w:hint="default"/>
          <w:sz w:val="24"/>
          <w:szCs w:val="24"/>
          <w:highlight w:val="none"/>
          <w:lang w:val="en-US" w:eastAsia="zh-CN"/>
        </w:rPr>
        <w:t>m</w:t>
      </w:r>
      <w:r>
        <w:rPr>
          <w:rFonts w:hint="eastAsia"/>
          <w:sz w:val="24"/>
          <w:szCs w:val="24"/>
          <w:highlight w:val="none"/>
          <w:lang w:val="en-US" w:eastAsia="zh-CN"/>
        </w:rPr>
        <w:t>。</w:t>
      </w:r>
    </w:p>
    <w:p w14:paraId="0076272B">
      <w:pPr>
        <w:pStyle w:val="21"/>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sz w:val="24"/>
          <w:highlight w:val="none"/>
          <w:lang w:val="en-US" w:eastAsia="zh-CN"/>
        </w:rPr>
      </w:pPr>
      <w:r>
        <w:rPr>
          <w:rFonts w:hint="eastAsia"/>
          <w:sz w:val="24"/>
          <w:szCs w:val="24"/>
          <w:highlight w:val="none"/>
          <w:lang w:val="en-US" w:eastAsia="zh-CN"/>
        </w:rPr>
        <w:t>为解决公司自有采区废石、选厂废石堆存问题，</w:t>
      </w:r>
      <w:r>
        <w:rPr>
          <w:rFonts w:hint="eastAsia" w:cs="Times New Roman"/>
          <w:color w:val="auto"/>
          <w:sz w:val="24"/>
          <w:highlight w:val="none"/>
          <w:lang w:val="en-US" w:eastAsia="zh-CN"/>
        </w:rPr>
        <w:t>公司拟建设东北沟排土场建设项目。</w:t>
      </w:r>
      <w:r>
        <w:rPr>
          <w:rFonts w:hint="eastAsia" w:ascii="Times New Roman" w:hAnsi="Times New Roman" w:cs="Times New Roman"/>
          <w:color w:val="auto"/>
          <w:sz w:val="24"/>
          <w:highlight w:val="none"/>
          <w:lang w:val="en-US" w:eastAsia="zh-CN"/>
        </w:rPr>
        <w:t>202</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年</w:t>
      </w:r>
      <w:r>
        <w:rPr>
          <w:rFonts w:hint="eastAsia" w:cs="Times New Roman"/>
          <w:color w:val="auto"/>
          <w:sz w:val="24"/>
          <w:highlight w:val="none"/>
          <w:lang w:val="en-US" w:eastAsia="zh-CN"/>
        </w:rPr>
        <w:t>7</w:t>
      </w:r>
      <w:r>
        <w:rPr>
          <w:rFonts w:hint="eastAsia" w:ascii="Times New Roman" w:hAnsi="Times New Roman" w:cs="Times New Roman"/>
          <w:color w:val="auto"/>
          <w:sz w:val="24"/>
          <w:highlight w:val="none"/>
          <w:lang w:val="en-US" w:eastAsia="zh-CN"/>
        </w:rPr>
        <w:t>月</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日，</w:t>
      </w:r>
      <w:r>
        <w:rPr>
          <w:rFonts w:hint="eastAsia" w:cs="Times New Roman"/>
          <w:color w:val="auto"/>
          <w:sz w:val="24"/>
          <w:highlight w:val="none"/>
          <w:lang w:val="en-US" w:eastAsia="zh-CN"/>
        </w:rPr>
        <w:t>隆化县数据和政务服务局</w:t>
      </w:r>
      <w:r>
        <w:rPr>
          <w:rFonts w:hint="eastAsia" w:ascii="Times New Roman" w:hAnsi="Times New Roman" w:cs="Times New Roman"/>
          <w:color w:val="auto"/>
          <w:sz w:val="24"/>
          <w:highlight w:val="none"/>
          <w:lang w:val="en-US" w:eastAsia="zh-CN"/>
        </w:rPr>
        <w:t>对“</w:t>
      </w:r>
      <w:r>
        <w:rPr>
          <w:rFonts w:hint="eastAsia" w:cs="Times New Roman"/>
          <w:color w:val="auto"/>
          <w:sz w:val="24"/>
          <w:highlight w:val="none"/>
          <w:lang w:val="en-US" w:eastAsia="zh-CN"/>
        </w:rPr>
        <w:t>承德天宝矿业集团大昌矿业有限公司东北沟排土场建设项目</w:t>
      </w:r>
      <w:r>
        <w:rPr>
          <w:rFonts w:hint="eastAsia" w:ascii="Times New Roman" w:hAnsi="Times New Roman" w:cs="Times New Roman"/>
          <w:color w:val="auto"/>
          <w:sz w:val="24"/>
          <w:highlight w:val="none"/>
          <w:lang w:val="en-US" w:eastAsia="zh-CN"/>
        </w:rPr>
        <w:t>”进行了备案，备案编号：隆数政投资备〔2024〕41号，详见附件</w:t>
      </w:r>
      <w:r>
        <w:rPr>
          <w:rFonts w:hint="eastAsia"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项目</w:t>
      </w:r>
      <w:r>
        <w:rPr>
          <w:rFonts w:hint="eastAsia" w:ascii="Times New Roman" w:hAnsi="Times New Roman" w:cs="Times New Roman"/>
          <w:color w:val="auto"/>
          <w:sz w:val="24"/>
          <w:highlight w:val="none"/>
          <w:lang w:val="en-US" w:eastAsia="zh-CN"/>
        </w:rPr>
        <w:t>占地</w:t>
      </w:r>
      <w:r>
        <w:rPr>
          <w:rFonts w:hint="eastAsia" w:cs="Times New Roman"/>
          <w:color w:val="auto"/>
          <w:sz w:val="24"/>
          <w:highlight w:val="none"/>
          <w:lang w:val="en-US" w:eastAsia="zh-CN"/>
        </w:rPr>
        <w:t>0.39km</w:t>
      </w:r>
      <w:r>
        <w:rPr>
          <w:rFonts w:hint="eastAsia" w:cs="Times New Roman"/>
          <w:color w:val="auto"/>
          <w:sz w:val="24"/>
          <w:highlight w:val="none"/>
          <w:vertAlign w:val="superscript"/>
          <w:lang w:val="en-US" w:eastAsia="zh-CN"/>
        </w:rPr>
        <w:t>2</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总库容700.4</w:t>
      </w:r>
      <w:r>
        <w:rPr>
          <w:rFonts w:hint="eastAsia" w:ascii="Times New Roman" w:hAnsi="Times New Roman" w:cs="Times New Roman"/>
          <w:color w:val="auto"/>
          <w:sz w:val="24"/>
          <w:highlight w:val="none"/>
          <w:lang w:val="en-US" w:eastAsia="zh-CN"/>
        </w:rPr>
        <w:t>m</w:t>
      </w:r>
      <w:r>
        <w:rPr>
          <w:rFonts w:hint="eastAsia"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，建设挡石坝、拦碴坝、</w:t>
      </w:r>
      <w:r>
        <w:rPr>
          <w:rFonts w:hint="eastAsia" w:cs="Times New Roman"/>
          <w:color w:val="auto"/>
          <w:sz w:val="24"/>
          <w:highlight w:val="none"/>
          <w:lang w:val="en-US" w:eastAsia="zh-CN"/>
        </w:rPr>
        <w:t>排渗</w:t>
      </w:r>
      <w:r>
        <w:rPr>
          <w:rFonts w:hint="eastAsia" w:ascii="Times New Roman" w:hAnsi="Times New Roman" w:cs="Times New Roman"/>
          <w:color w:val="auto"/>
          <w:sz w:val="24"/>
          <w:highlight w:val="none"/>
          <w:lang w:val="en-US" w:eastAsia="zh-CN"/>
        </w:rPr>
        <w:t>设施、</w:t>
      </w:r>
      <w:r>
        <w:rPr>
          <w:rFonts w:hint="eastAsia" w:cs="Times New Roman"/>
          <w:color w:val="auto"/>
          <w:sz w:val="24"/>
          <w:highlight w:val="none"/>
          <w:lang w:val="en-US" w:eastAsia="zh-CN"/>
        </w:rPr>
        <w:t>防</w:t>
      </w:r>
      <w:r>
        <w:rPr>
          <w:rFonts w:hint="eastAsia" w:ascii="Times New Roman" w:hAnsi="Times New Roman" w:cs="Times New Roman"/>
          <w:color w:val="auto"/>
          <w:sz w:val="24"/>
          <w:highlight w:val="none"/>
          <w:lang w:val="en-US" w:eastAsia="zh-CN"/>
        </w:rPr>
        <w:t>排洪、</w:t>
      </w:r>
      <w:r>
        <w:rPr>
          <w:rFonts w:hint="eastAsia" w:cs="Times New Roman"/>
          <w:color w:val="auto"/>
          <w:sz w:val="24"/>
          <w:highlight w:val="none"/>
          <w:lang w:val="en-US" w:eastAsia="zh-CN"/>
        </w:rPr>
        <w:t>监测设施及</w:t>
      </w:r>
      <w:r>
        <w:rPr>
          <w:rFonts w:hint="eastAsia" w:ascii="Times New Roman" w:hAnsi="Times New Roman" w:cs="Times New Roman"/>
          <w:color w:val="auto"/>
          <w:sz w:val="24"/>
          <w:highlight w:val="none"/>
          <w:lang w:val="en-US" w:eastAsia="zh-CN"/>
        </w:rPr>
        <w:t>辅助设施。</w:t>
      </w:r>
      <w:r>
        <w:rPr>
          <w:rFonts w:hint="eastAsia" w:cs="Times New Roman"/>
          <w:color w:val="auto"/>
          <w:sz w:val="24"/>
          <w:highlight w:val="none"/>
          <w:lang w:val="en-US" w:eastAsia="zh-CN"/>
        </w:rPr>
        <w:t>项目总投资2172万元。</w:t>
      </w:r>
    </w:p>
    <w:p w14:paraId="4084043B">
      <w:pPr>
        <w:pStyle w:val="21"/>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2025年2月，公司委托铜源国际工程设计研究有限公司编制完成《承德天宝矿业集团大昌矿业有限公司东北沟排土场工程初步设计》（工程号：2024-SJ-042）、《承德天宝矿业集团大昌矿业有限公司东北沟排土场工程安全设施设计》（工程号：2024-SJ-042），工程建设内容调整为：</w:t>
      </w:r>
      <w:r>
        <w:rPr>
          <w:rFonts w:hint="eastAsia" w:ascii="Times New Roman" w:hAnsi="Times New Roman" w:eastAsia="宋体"/>
          <w:color w:val="auto"/>
          <w:sz w:val="24"/>
          <w:szCs w:val="24"/>
          <w:highlight w:val="none"/>
        </w:rPr>
        <w:t>项目占地</w:t>
      </w:r>
      <w:r>
        <w:rPr>
          <w:rFonts w:hint="eastAsia" w:ascii="Times New Roman" w:hAnsi="Times New Roman" w:eastAsia="宋体"/>
          <w:color w:val="auto"/>
          <w:sz w:val="24"/>
          <w:szCs w:val="24"/>
          <w:highlight w:val="none"/>
          <w:lang w:val="en-US" w:eastAsia="zh-CN"/>
        </w:rPr>
        <w:t>0.39km</w:t>
      </w:r>
      <w:r>
        <w:rPr>
          <w:rFonts w:hint="eastAsia" w:ascii="Times New Roman" w:hAnsi="Times New Roman" w:eastAsia="宋体"/>
          <w:color w:val="auto"/>
          <w:sz w:val="24"/>
          <w:szCs w:val="24"/>
          <w:highlight w:val="none"/>
          <w:vertAlign w:val="superscript"/>
          <w:lang w:val="en-US" w:eastAsia="zh-CN"/>
        </w:rPr>
        <w:t>2</w:t>
      </w:r>
      <w:r>
        <w:rPr>
          <w:rFonts w:hint="eastAsia" w:ascii="Times New Roman" w:hAnsi="Times New Roman" w:eastAsia="宋体"/>
          <w:color w:val="auto"/>
          <w:sz w:val="24"/>
          <w:szCs w:val="24"/>
          <w:highlight w:val="none"/>
        </w:rPr>
        <w:t>，建设</w:t>
      </w:r>
      <w:r>
        <w:rPr>
          <w:rFonts w:hint="eastAsia" w:ascii="Times New Roman" w:hAnsi="Times New Roman" w:eastAsia="宋体"/>
          <w:color w:val="auto"/>
          <w:sz w:val="24"/>
          <w:szCs w:val="24"/>
          <w:highlight w:val="none"/>
          <w:lang w:val="en-US" w:eastAsia="zh-CN"/>
        </w:rPr>
        <w:t>1座</w:t>
      </w:r>
      <w:r>
        <w:rPr>
          <w:rFonts w:hint="eastAsia" w:ascii="Times New Roman" w:hAnsi="Times New Roman" w:eastAsia="宋体"/>
          <w:color w:val="auto"/>
          <w:sz w:val="24"/>
          <w:szCs w:val="24"/>
          <w:highlight w:val="none"/>
        </w:rPr>
        <w:t>排土场，排土场场底标高670.0m，最终标高808.0m，总堆置高度138.0m，总排土容积约652.8万m</w:t>
      </w:r>
      <w:r>
        <w:rPr>
          <w:rFonts w:hint="eastAsia" w:ascii="Times New Roman" w:hAnsi="Times New Roman" w:eastAsia="宋体"/>
          <w:color w:val="auto"/>
          <w:sz w:val="24"/>
          <w:szCs w:val="24"/>
          <w:highlight w:val="none"/>
          <w:vertAlign w:val="superscript"/>
          <w:lang w:val="en-US" w:eastAsia="zh-CN"/>
        </w:rPr>
        <w:t>3</w:t>
      </w:r>
      <w:r>
        <w:rPr>
          <w:rFonts w:hint="eastAsia" w:ascii="Times New Roman" w:hAnsi="Times New Roman" w:eastAsia="宋体"/>
          <w:color w:val="auto"/>
          <w:sz w:val="24"/>
          <w:szCs w:val="24"/>
          <w:highlight w:val="none"/>
          <w:lang w:eastAsia="zh-CN"/>
        </w:rPr>
        <w:t>，年</w:t>
      </w:r>
      <w:r>
        <w:rPr>
          <w:rFonts w:hint="eastAsia"/>
          <w:color w:val="auto"/>
          <w:sz w:val="24"/>
          <w:szCs w:val="24"/>
          <w:highlight w:val="none"/>
          <w:lang w:val="en-US" w:eastAsia="zh-CN"/>
        </w:rPr>
        <w:t>堆存</w:t>
      </w:r>
      <w:r>
        <w:rPr>
          <w:rFonts w:hint="eastAsia" w:ascii="Times New Roman" w:hAnsi="Times New Roman" w:eastAsia="宋体"/>
          <w:color w:val="auto"/>
          <w:sz w:val="24"/>
          <w:szCs w:val="24"/>
          <w:highlight w:val="none"/>
          <w:lang w:eastAsia="zh-CN"/>
        </w:rPr>
        <w:t>石量130.5万m</w:t>
      </w:r>
      <w:r>
        <w:rPr>
          <w:rFonts w:hint="eastAsia" w:ascii="Times New Roman" w:hAnsi="Times New Roman" w:eastAsia="宋体"/>
          <w:color w:val="auto"/>
          <w:sz w:val="24"/>
          <w:szCs w:val="24"/>
          <w:highlight w:val="none"/>
          <w:vertAlign w:val="superscript"/>
          <w:lang w:eastAsia="zh-CN"/>
        </w:rPr>
        <w:t>3</w:t>
      </w:r>
      <w:r>
        <w:rPr>
          <w:rFonts w:hint="eastAsia"/>
          <w:color w:val="auto"/>
          <w:sz w:val="24"/>
          <w:szCs w:val="24"/>
          <w:highlight w:val="none"/>
          <w:lang w:eastAsia="zh-CN"/>
        </w:rPr>
        <w:t>，</w:t>
      </w:r>
      <w:r>
        <w:rPr>
          <w:rFonts w:hint="eastAsia"/>
          <w:color w:val="auto"/>
          <w:sz w:val="24"/>
          <w:szCs w:val="24"/>
          <w:highlight w:val="none"/>
          <w:lang w:val="en-US" w:eastAsia="zh-CN"/>
        </w:rPr>
        <w:t>服务年限为5a，</w:t>
      </w:r>
      <w:r>
        <w:rPr>
          <w:rFonts w:hint="eastAsia" w:ascii="Times New Roman" w:hAnsi="Times New Roman" w:eastAsia="宋体"/>
          <w:color w:val="auto"/>
          <w:sz w:val="24"/>
          <w:szCs w:val="24"/>
          <w:highlight w:val="none"/>
        </w:rPr>
        <w:t>排土场等级为一级。建设</w:t>
      </w:r>
      <w:r>
        <w:rPr>
          <w:rFonts w:hint="eastAsia" w:ascii="Times New Roman" w:hAnsi="Times New Roman" w:eastAsia="宋体"/>
          <w:color w:val="auto"/>
          <w:sz w:val="24"/>
          <w:szCs w:val="24"/>
          <w:highlight w:val="none"/>
          <w:lang w:val="en-US" w:eastAsia="zh-CN"/>
        </w:rPr>
        <w:t>挡石坝、拦碴坝、</w:t>
      </w:r>
      <w:r>
        <w:rPr>
          <w:rFonts w:hint="eastAsia" w:ascii="Times New Roman" w:hAnsi="Times New Roman" w:eastAsia="宋体"/>
          <w:color w:val="auto"/>
          <w:sz w:val="24"/>
          <w:szCs w:val="24"/>
          <w:highlight w:val="none"/>
        </w:rPr>
        <w:t>观测设施、排洪设施、安全警示标志及其他辅助设施</w:t>
      </w:r>
      <w:r>
        <w:rPr>
          <w:rFonts w:hint="eastAsia" w:ascii="Times New Roman" w:hAnsi="Times New Roman"/>
          <w:color w:val="auto"/>
          <w:sz w:val="24"/>
          <w:szCs w:val="24"/>
          <w:highlight w:val="none"/>
          <w:lang w:eastAsia="zh-CN"/>
        </w:rPr>
        <w:t>，</w:t>
      </w:r>
      <w:r>
        <w:rPr>
          <w:rFonts w:hint="eastAsia" w:cs="Times New Roman"/>
          <w:color w:val="auto"/>
          <w:sz w:val="24"/>
          <w:highlight w:val="none"/>
          <w:lang w:val="en-US" w:eastAsia="zh-CN"/>
        </w:rPr>
        <w:t>项目总投资2495.5万元。</w:t>
      </w:r>
    </w:p>
    <w:p w14:paraId="6C1F7697">
      <w:pPr>
        <w:pStyle w:val="21"/>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2025年4月，《承德天宝矿业集团大昌矿业有限公司东北沟排土场工程初步设计》（铜源国际工程设计研究有限公司）通过评审，2025年4月7日，河北省应急管理厅下达了关于《承德天宝矿业集团大昌矿业有限公司东北沟排土场工程安全设施设计》的批复，文号为“冀应急函〔2025〕108号”，工程建设内容为：排土场等级一级，堆置方式覆盖式，排士方式采用汽车—推土机排土。设计排放量130.5×10</w:t>
      </w:r>
      <w:r>
        <w:rPr>
          <w:rFonts w:hint="eastAsia" w:cs="Times New Roman"/>
          <w:color w:val="auto"/>
          <w:sz w:val="24"/>
          <w:highlight w:val="none"/>
          <w:vertAlign w:val="superscript"/>
          <w:lang w:val="en-US" w:eastAsia="zh-CN"/>
        </w:rPr>
        <w:t>4</w:t>
      </w:r>
      <w:r>
        <w:rPr>
          <w:rFonts w:hint="eastAsia" w:cs="Times New Roman"/>
          <w:color w:val="auto"/>
          <w:sz w:val="24"/>
          <w:highlight w:val="none"/>
          <w:lang w:val="en-US" w:eastAsia="zh-CN"/>
        </w:rPr>
        <w:t>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/a，服务年限5.0a，设计堆置总高度138.0m，最终堆置标高最低堆置标高670.0m，阶段(台阶)高度15.0m，最808.0m，小作业平台宽度40.0m，安全平台宽度22.5m，台阶披面角33.7°，总边坡角18.4°，</w:t>
      </w:r>
      <w:r>
        <w:rPr>
          <w:rFonts w:hint="eastAsia" w:ascii="Times New Roman" w:hAnsi="Times New Roman" w:cs="Times New Roman"/>
          <w:color w:val="auto"/>
          <w:sz w:val="24"/>
          <w:highlight w:val="none"/>
          <w:lang w:val="en-US" w:eastAsia="zh-CN"/>
        </w:rPr>
        <w:t>占地</w:t>
      </w:r>
      <w:r>
        <w:rPr>
          <w:rFonts w:hint="eastAsia" w:ascii="Times New Roman" w:hAnsi="Times New Roman" w:eastAsia="宋体" w:cs="Times New Roman"/>
          <w:b w:val="0"/>
          <w:dstrike w:val="0"/>
          <w:color w:val="auto"/>
          <w:kern w:val="2"/>
          <w:sz w:val="24"/>
          <w:szCs w:val="20"/>
          <w:highlight w:val="none"/>
          <w:lang w:val="en-US" w:eastAsia="zh-CN" w:bidi="ar-SA"/>
        </w:rPr>
        <w:t>0.39k</w:t>
      </w:r>
      <w:r>
        <w:rPr>
          <w:rFonts w:hint="default" w:ascii="Times New Roman" w:hAnsi="Times New Roman" w:eastAsia="宋体" w:cs="Times New Roman"/>
          <w:b w:val="0"/>
          <w:dstrike w:val="0"/>
          <w:color w:val="auto"/>
          <w:kern w:val="2"/>
          <w:sz w:val="24"/>
          <w:szCs w:val="20"/>
          <w:highlight w:val="none"/>
          <w:lang w:val="en-GB" w:eastAsia="zh-CN" w:bidi="ar-SA"/>
        </w:rPr>
        <w:t>m</w:t>
      </w:r>
      <w:r>
        <w:rPr>
          <w:rFonts w:hint="eastAsia" w:ascii="Times New Roman" w:hAnsi="Times New Roman" w:eastAsia="宋体" w:cs="Times New Roman"/>
          <w:b w:val="0"/>
          <w:dstrike w:val="0"/>
          <w:color w:val="auto"/>
          <w:kern w:val="2"/>
          <w:sz w:val="24"/>
          <w:szCs w:val="20"/>
          <w:highlight w:val="none"/>
          <w:vertAlign w:val="superscript"/>
          <w:lang w:val="en-US" w:eastAsia="zh-CN" w:bidi="ar-SA"/>
        </w:rPr>
        <w:t>2</w:t>
      </w:r>
      <w:r>
        <w:rPr>
          <w:rFonts w:hint="eastAsia" w:ascii="Times New Roman" w:hAnsi="Times New Roman" w:cs="Times New Roman"/>
          <w:color w:val="auto"/>
          <w:sz w:val="24"/>
          <w:highlight w:val="none"/>
          <w:lang w:val="en-US" w:eastAsia="zh-CN"/>
        </w:rPr>
        <w:t>，排土场总容积</w:t>
      </w:r>
      <w:r>
        <w:rPr>
          <w:rFonts w:hint="eastAsia" w:cs="Times New Roman"/>
          <w:color w:val="auto"/>
          <w:sz w:val="24"/>
          <w:highlight w:val="none"/>
          <w:lang w:val="en-US" w:eastAsia="zh-CN"/>
        </w:rPr>
        <w:t>652.8</w:t>
      </w:r>
      <w:r>
        <w:rPr>
          <w:rFonts w:hint="eastAsia" w:ascii="Times New Roman" w:hAnsi="Times New Roman" w:cs="Times New Roman"/>
          <w:color w:val="auto"/>
          <w:sz w:val="24"/>
          <w:highlight w:val="none"/>
          <w:lang w:val="en-US" w:eastAsia="zh-CN"/>
        </w:rPr>
        <w:t>万m</w:t>
      </w:r>
      <w:r>
        <w:rPr>
          <w:rFonts w:hint="eastAsia" w:cs="Times New Roman"/>
          <w:color w:val="auto"/>
          <w:sz w:val="24"/>
          <w:highlight w:val="none"/>
          <w:vertAlign w:val="superscript"/>
          <w:lang w:val="en-US" w:eastAsia="zh-CN"/>
        </w:rPr>
        <w:t>3</w:t>
      </w:r>
      <w:r>
        <w:rPr>
          <w:rFonts w:hint="eastAsia" w:ascii="Times New Roman" w:hAnsi="Times New Roman" w:eastAsia="宋体"/>
          <w:color w:val="auto"/>
          <w:sz w:val="24"/>
          <w:szCs w:val="24"/>
          <w:highlight w:val="none"/>
        </w:rPr>
        <w:t>。</w:t>
      </w:r>
    </w:p>
    <w:p w14:paraId="49D47AE9">
      <w:pPr>
        <w:keepNext/>
        <w:keepLines/>
        <w:pageBreakBefore w:val="0"/>
        <w:widowControl w:val="0"/>
        <w:numPr>
          <w:ilvl w:val="1"/>
          <w:numId w:val="1"/>
        </w:numPr>
        <w:kinsoku/>
        <w:wordWrap/>
        <w:overflowPunct/>
        <w:topLinePunct w:val="0"/>
        <w:autoSpaceDE/>
        <w:autoSpaceDN/>
        <w:bidi w:val="0"/>
        <w:adjustRightInd w:val="0"/>
        <w:snapToGrid w:val="0"/>
        <w:spacing w:line="360" w:lineRule="auto"/>
        <w:ind w:left="0" w:firstLine="0"/>
        <w:jc w:val="both"/>
        <w:textAlignment w:val="auto"/>
        <w:outlineLvl w:val="1"/>
        <w:rPr>
          <w:rFonts w:hint="eastAsia" w:ascii="Times New Roman" w:hAnsi="Times New Roman" w:eastAsia="宋体" w:cs="Times New Roman"/>
          <w:b/>
          <w:color w:val="000000"/>
          <w:kern w:val="2"/>
          <w:sz w:val="28"/>
          <w:szCs w:val="28"/>
          <w:highlight w:val="none"/>
          <w:lang w:val="en-US" w:eastAsia="zh-CN" w:bidi="ar-SA"/>
        </w:rPr>
      </w:pPr>
      <w:bookmarkStart w:id="22" w:name="_Toc20297"/>
      <w:bookmarkStart w:id="23" w:name="_Toc25312"/>
      <w:r>
        <w:rPr>
          <w:rFonts w:hint="default" w:ascii="Times New Roman" w:hAnsi="Times New Roman" w:eastAsia="宋体" w:cs="Times New Roman"/>
          <w:b/>
          <w:color w:val="000000"/>
          <w:kern w:val="2"/>
          <w:sz w:val="28"/>
          <w:szCs w:val="28"/>
          <w:highlight w:val="none"/>
          <w:lang w:val="en-US" w:eastAsia="zh-CN" w:bidi="ar-SA"/>
        </w:rPr>
        <w:t>建设项目</w:t>
      </w:r>
      <w:r>
        <w:rPr>
          <w:rFonts w:hint="eastAsia" w:ascii="Times New Roman" w:hAnsi="Times New Roman" w:eastAsia="宋体" w:cs="Times New Roman"/>
          <w:b/>
          <w:color w:val="000000"/>
          <w:kern w:val="2"/>
          <w:sz w:val="28"/>
          <w:szCs w:val="28"/>
          <w:highlight w:val="none"/>
          <w:lang w:val="en-US" w:eastAsia="zh-CN" w:bidi="ar-SA"/>
        </w:rPr>
        <w:t>特点</w:t>
      </w:r>
      <w:bookmarkEnd w:id="22"/>
      <w:bookmarkEnd w:id="23"/>
    </w:p>
    <w:p w14:paraId="070A44B7">
      <w:pPr>
        <w:pStyle w:val="21"/>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highlight w:val="none"/>
          <w:lang w:val="en-US" w:eastAsia="zh-CN"/>
        </w:rPr>
      </w:pPr>
      <w:r>
        <w:rPr>
          <w:rFonts w:hint="eastAsia" w:cs="Times New Roman"/>
          <w:color w:val="auto"/>
          <w:sz w:val="24"/>
          <w:highlight w:val="none"/>
          <w:lang w:val="en-US" w:eastAsia="zh-CN"/>
        </w:rPr>
        <w:t>本项目在已闭库销号的东北沟尾矿库上建设，2023年2月17日，隆化县人民政府出具《关于对承德天宝矿业集团大昌矿业有限公司东北沟尾矿库予以销号的批复》，批复文号为“隆政字</w:t>
      </w:r>
      <w:r>
        <w:rPr>
          <w:rFonts w:hint="eastAsia" w:ascii="Times New Roman" w:hAnsi="Times New Roman" w:cs="Times New Roman"/>
          <w:color w:val="auto"/>
          <w:sz w:val="24"/>
          <w:highlight w:val="none"/>
          <w:lang w:val="en-US" w:eastAsia="zh-CN"/>
        </w:rPr>
        <w:t>〔2023〕6号</w:t>
      </w:r>
      <w:r>
        <w:rPr>
          <w:rFonts w:hint="eastAsia" w:cs="Times New Roman"/>
          <w:color w:val="auto"/>
          <w:sz w:val="24"/>
          <w:highlight w:val="none"/>
          <w:lang w:val="en-US" w:eastAsia="zh-CN"/>
        </w:rPr>
        <w:t>”，详见附件7。本次拟建</w:t>
      </w:r>
      <w:r>
        <w:rPr>
          <w:rFonts w:hint="eastAsia" w:ascii="Times New Roman" w:hAnsi="Times New Roman" w:eastAsia="宋体"/>
          <w:color w:val="auto"/>
          <w:sz w:val="24"/>
          <w:szCs w:val="24"/>
          <w:highlight w:val="none"/>
        </w:rPr>
        <w:t>排土场场底标高670.0m，最终标高808.0m，总堆置高度138.0m，总排土容积约652.8万m</w:t>
      </w:r>
      <w:r>
        <w:rPr>
          <w:rFonts w:hint="eastAsia" w:ascii="Times New Roman" w:hAnsi="Times New Roman" w:eastAsia="宋体"/>
          <w:color w:val="auto"/>
          <w:sz w:val="24"/>
          <w:szCs w:val="24"/>
          <w:highlight w:val="none"/>
          <w:vertAlign w:val="superscript"/>
          <w:lang w:val="en-US" w:eastAsia="zh-CN"/>
        </w:rPr>
        <w:t>3</w:t>
      </w:r>
      <w:r>
        <w:rPr>
          <w:rFonts w:hint="eastAsia" w:ascii="Times New Roman" w:hAnsi="Times New Roman" w:cs="Times New Roman"/>
          <w:color w:val="auto"/>
          <w:sz w:val="24"/>
          <w:highlight w:val="none"/>
          <w:lang w:val="en-US" w:eastAsia="zh-CN"/>
        </w:rPr>
        <w:t>，场地条件为不良，排土场等级为一级</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建设</w:t>
      </w:r>
      <w:r>
        <w:rPr>
          <w:rFonts w:hint="eastAsia"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座挡石坝</w:t>
      </w:r>
      <w:r>
        <w:rPr>
          <w:rFonts w:hint="eastAsia" w:cs="Times New Roman"/>
          <w:color w:val="auto"/>
          <w:sz w:val="24"/>
          <w:highlight w:val="none"/>
          <w:lang w:val="en-US" w:eastAsia="zh-CN"/>
        </w:rPr>
        <w:t>、1座拦碴坝、1座挡石墙。</w:t>
      </w:r>
    </w:p>
    <w:p w14:paraId="170DD3A3">
      <w:pPr>
        <w:keepNext/>
        <w:keepLines/>
        <w:pageBreakBefore w:val="0"/>
        <w:widowControl w:val="0"/>
        <w:numPr>
          <w:ilvl w:val="1"/>
          <w:numId w:val="1"/>
        </w:numPr>
        <w:kinsoku/>
        <w:wordWrap/>
        <w:overflowPunct/>
        <w:topLinePunct w:val="0"/>
        <w:autoSpaceDE/>
        <w:autoSpaceDN/>
        <w:bidi w:val="0"/>
        <w:adjustRightInd w:val="0"/>
        <w:snapToGrid w:val="0"/>
        <w:spacing w:line="360" w:lineRule="auto"/>
        <w:ind w:left="0" w:firstLine="0"/>
        <w:jc w:val="both"/>
        <w:textAlignment w:val="auto"/>
        <w:outlineLvl w:val="1"/>
        <w:rPr>
          <w:rFonts w:hint="default" w:ascii="Times New Roman" w:hAnsi="Times New Roman" w:eastAsia="宋体" w:cs="Times New Roman"/>
          <w:b/>
          <w:color w:val="000000"/>
          <w:kern w:val="2"/>
          <w:sz w:val="28"/>
          <w:szCs w:val="28"/>
          <w:highlight w:val="none"/>
          <w:lang w:val="en-US" w:eastAsia="zh-CN" w:bidi="ar-SA"/>
        </w:rPr>
      </w:pPr>
      <w:bookmarkStart w:id="24" w:name="_Toc22969"/>
      <w:bookmarkStart w:id="25" w:name="_Toc24704"/>
      <w:bookmarkStart w:id="26" w:name="_Toc5237"/>
      <w:bookmarkStart w:id="27" w:name="_Toc25515"/>
      <w:bookmarkStart w:id="28" w:name="_Toc6812"/>
      <w:bookmarkStart w:id="29" w:name="_Toc3387"/>
      <w:r>
        <w:rPr>
          <w:rFonts w:hint="default" w:ascii="Times New Roman" w:hAnsi="Times New Roman" w:eastAsia="宋体" w:cs="Times New Roman"/>
          <w:b/>
          <w:color w:val="000000"/>
          <w:kern w:val="2"/>
          <w:sz w:val="28"/>
          <w:szCs w:val="28"/>
          <w:highlight w:val="none"/>
          <w:lang w:val="en-US" w:eastAsia="zh-CN" w:bidi="ar-SA"/>
        </w:rPr>
        <w:t>分析判定相关情况</w:t>
      </w:r>
      <w:bookmarkEnd w:id="24"/>
      <w:bookmarkEnd w:id="25"/>
      <w:bookmarkEnd w:id="26"/>
      <w:bookmarkEnd w:id="27"/>
      <w:bookmarkEnd w:id="28"/>
      <w:bookmarkEnd w:id="29"/>
    </w:p>
    <w:p w14:paraId="51A9AC40">
      <w:pPr>
        <w:pStyle w:val="6"/>
        <w:keepNext/>
        <w:keepLines/>
        <w:pageBreakBefore w:val="0"/>
        <w:widowControl w:val="0"/>
        <w:kinsoku/>
        <w:wordWrap/>
        <w:overflowPunct/>
        <w:topLinePunct w:val="0"/>
        <w:autoSpaceDE/>
        <w:autoSpaceDN/>
        <w:bidi w:val="0"/>
        <w:adjustRightInd w:val="0"/>
        <w:snapToGrid w:val="0"/>
        <w:spacing w:before="0" w:beforeLines="0"/>
        <w:textAlignment w:val="auto"/>
        <w:rPr>
          <w:rFonts w:hint="default" w:ascii="Times New Roman" w:hAnsi="Times New Roman" w:eastAsia="宋体" w:cs="Times New Roman"/>
          <w:b/>
          <w:bCs/>
          <w:color w:val="auto"/>
          <w:highlight w:val="none"/>
          <w:lang w:val="en-US" w:eastAsia="zh-CN"/>
        </w:rPr>
      </w:pPr>
      <w:bookmarkStart w:id="30" w:name="_Toc14482"/>
      <w:bookmarkStart w:id="31" w:name="_Toc26859"/>
      <w:r>
        <w:rPr>
          <w:rFonts w:hint="eastAsia" w:ascii="Times New Roman" w:hAnsi="Times New Roman" w:eastAsia="宋体" w:cs="Times New Roman"/>
          <w:b/>
          <w:bCs/>
          <w:color w:val="auto"/>
          <w:highlight w:val="none"/>
          <w:lang w:val="en-US" w:eastAsia="zh-CN"/>
        </w:rPr>
        <w:t>《市场准入负面清单（</w:t>
      </w:r>
      <w:r>
        <w:rPr>
          <w:rFonts w:hint="eastAsia" w:cs="Times New Roman"/>
          <w:b/>
          <w:bCs/>
          <w:color w:val="auto"/>
          <w:highlight w:val="none"/>
          <w:lang w:val="en-US" w:eastAsia="zh-CN"/>
        </w:rPr>
        <w:t>2025年版</w:t>
      </w:r>
      <w:r>
        <w:rPr>
          <w:rFonts w:hint="eastAsia" w:ascii="Times New Roman" w:hAnsi="Times New Roman" w:eastAsia="宋体" w:cs="Times New Roman"/>
          <w:b/>
          <w:bCs/>
          <w:color w:val="auto"/>
          <w:highlight w:val="none"/>
          <w:lang w:val="en-US" w:eastAsia="zh-CN"/>
        </w:rPr>
        <w:t>）》符合性分析</w:t>
      </w:r>
    </w:p>
    <w:p w14:paraId="4CD61290">
      <w:pPr>
        <w:pStyle w:val="5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color w:val="auto"/>
          <w:highlight w:val="none"/>
        </w:rPr>
      </w:pPr>
      <w:r>
        <w:rPr>
          <w:rFonts w:hint="eastAsia" w:ascii="Times New Roman" w:hAnsi="Times New Roman" w:eastAsia="宋体" w:cs="Times New Roman"/>
          <w:color w:val="auto"/>
          <w:highlight w:val="none"/>
          <w:lang w:val="en-US" w:eastAsia="zh-CN"/>
        </w:rPr>
        <w:t>根据“国家发展改革委 商务部关于印发《</w:t>
      </w:r>
      <w:r>
        <w:rPr>
          <w:rFonts w:hint="default" w:ascii="Times New Roman" w:hAnsi="Times New Roman" w:eastAsia="宋体" w:cs="Times New Roman"/>
          <w:color w:val="auto"/>
          <w:highlight w:val="none"/>
        </w:rPr>
        <w:t>市场准入负面清单（</w:t>
      </w:r>
      <w:r>
        <w:rPr>
          <w:rFonts w:hint="eastAsia" w:ascii="Times New Roman" w:hAnsi="Times New Roman" w:cs="Times New Roman"/>
          <w:color w:val="auto"/>
          <w:highlight w:val="none"/>
          <w:lang w:eastAsia="zh-CN"/>
        </w:rPr>
        <w:t>2025年版</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》的通知（发改体改规[2022]397号）”，应严格落实“全国一张清单”管理要求，</w:t>
      </w:r>
      <w:r>
        <w:rPr>
          <w:color w:val="auto"/>
          <w:highlight w:val="none"/>
        </w:rPr>
        <w:t>坚决维护市场准入负面清单制度的统一性、严肃性和权威性，确保"一单尽列、单外无单"。按照党中央、国务院要求编制的涉及行业性、领域性、区域性等方面，需要用负面清单管理思路或管理模式出台相关措施的，应纳入全国统一的市场准入负面清单。</w:t>
      </w:r>
      <w:r>
        <w:rPr>
          <w:color w:val="auto"/>
          <w:highlight w:val="none"/>
          <w:lang w:val="en-US" w:eastAsia="zh-CN"/>
        </w:rPr>
        <w:t>产业结构调整指导目录、政府核准的投资项目目录纳入市场</w:t>
      </w:r>
      <w:r>
        <w:rPr>
          <w:rFonts w:hint="default"/>
          <w:color w:val="auto"/>
          <w:highlight w:val="none"/>
          <w:lang w:val="en-US" w:eastAsia="zh-CN"/>
        </w:rPr>
        <w:t>准入负面清单，地方对两个目录有细化规定的，从其规定。地方国家重点生态功能区和农产品主产区产业准入负面清单（或禁止限制目录）及地方按照党中央、国务院要求制定的地方性产业结构禁止准入目录，统一纳入市场准入负面清单。</w:t>
      </w:r>
    </w:p>
    <w:p w14:paraId="538D6621">
      <w:pPr>
        <w:pStyle w:val="5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rPr>
        <w:t>市场准入负面清单（</w:t>
      </w:r>
      <w:r>
        <w:rPr>
          <w:rFonts w:hint="eastAsia" w:ascii="Times New Roman" w:hAnsi="Times New Roman" w:cs="Times New Roman"/>
          <w:color w:val="auto"/>
          <w:highlight w:val="none"/>
          <w:lang w:eastAsia="zh-CN"/>
        </w:rPr>
        <w:t>2025年版</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》，禁止准入类共6项，涉及生态环境保护的3项，本项目符合性见下表</w:t>
      </w:r>
      <w:r>
        <w:rPr>
          <w:rFonts w:hint="eastAsia" w:ascii="Times New Roman" w:hAnsi="Times New Roman" w:cs="Times New Roman"/>
          <w:color w:val="auto"/>
          <w:highlight w:val="none"/>
          <w:lang w:val="en-US" w:eastAsia="zh-CN"/>
        </w:rPr>
        <w:t>。</w:t>
      </w:r>
    </w:p>
    <w:p w14:paraId="288CCF49">
      <w:pPr>
        <w:keepNext w:val="0"/>
        <w:keepLines w:val="0"/>
        <w:pageBreakBefore w:val="0"/>
        <w:numPr>
          <w:ilvl w:val="0"/>
          <w:numId w:val="10"/>
        </w:numPr>
        <w:kinsoku/>
        <w:wordWrap/>
        <w:overflowPunct/>
        <w:topLinePunct w:val="0"/>
        <w:autoSpaceDE/>
        <w:autoSpaceDN/>
        <w:bidi w:val="0"/>
        <w:adjustRightInd w:val="0"/>
        <w:snapToGrid w:val="0"/>
        <w:spacing w:line="360" w:lineRule="auto"/>
        <w:ind w:left="0" w:leftChars="0" w:firstLine="0" w:firstLineChars="0"/>
        <w:jc w:val="center"/>
        <w:textAlignment w:val="auto"/>
        <w:rPr>
          <w:rStyle w:val="66"/>
          <w:rFonts w:hint="default" w:ascii="Times New Roman" w:hAnsi="Times New Roman" w:eastAsia="宋体" w:cs="Times New Roman"/>
          <w:b/>
          <w:bCs/>
          <w:i w:val="0"/>
          <w:iCs w:val="0"/>
          <w:color w:val="auto"/>
          <w:sz w:val="21"/>
          <w:szCs w:val="18"/>
          <w:highlight w:val="none"/>
          <w:lang w:val="en-US" w:eastAsia="zh-CN"/>
        </w:rPr>
      </w:pPr>
      <w:r>
        <w:rPr>
          <w:rStyle w:val="66"/>
          <w:rFonts w:hint="eastAsia" w:ascii="Times New Roman" w:hAnsi="Times New Roman" w:eastAsia="宋体" w:cs="Times New Roman"/>
          <w:b/>
          <w:bCs/>
          <w:i w:val="0"/>
          <w:iCs w:val="0"/>
          <w:color w:val="auto"/>
          <w:sz w:val="21"/>
          <w:szCs w:val="18"/>
          <w:highlight w:val="none"/>
          <w:lang w:val="en-US" w:eastAsia="zh-CN"/>
        </w:rPr>
        <w:t>项目与《</w:t>
      </w:r>
      <w:r>
        <w:rPr>
          <w:rStyle w:val="66"/>
          <w:rFonts w:hint="default" w:ascii="Times New Roman" w:hAnsi="Times New Roman" w:eastAsia="宋体" w:cs="Times New Roman"/>
          <w:b/>
          <w:bCs/>
          <w:i w:val="0"/>
          <w:iCs w:val="0"/>
          <w:color w:val="auto"/>
          <w:sz w:val="21"/>
          <w:szCs w:val="18"/>
          <w:highlight w:val="none"/>
        </w:rPr>
        <w:t>市场准入负面清单（</w:t>
      </w:r>
      <w:r>
        <w:rPr>
          <w:rStyle w:val="66"/>
          <w:rFonts w:hint="eastAsia" w:cs="Times New Roman"/>
          <w:b/>
          <w:bCs/>
          <w:i w:val="0"/>
          <w:iCs w:val="0"/>
          <w:color w:val="auto"/>
          <w:sz w:val="21"/>
          <w:szCs w:val="18"/>
          <w:highlight w:val="none"/>
          <w:lang w:eastAsia="zh-CN"/>
        </w:rPr>
        <w:t>2025年版</w:t>
      </w:r>
      <w:r>
        <w:rPr>
          <w:rStyle w:val="66"/>
          <w:rFonts w:hint="default" w:ascii="Times New Roman" w:hAnsi="Times New Roman" w:eastAsia="宋体" w:cs="Times New Roman"/>
          <w:b/>
          <w:bCs/>
          <w:i w:val="0"/>
          <w:iCs w:val="0"/>
          <w:color w:val="auto"/>
          <w:sz w:val="21"/>
          <w:szCs w:val="18"/>
          <w:highlight w:val="none"/>
        </w:rPr>
        <w:t>）</w:t>
      </w:r>
      <w:r>
        <w:rPr>
          <w:rStyle w:val="66"/>
          <w:rFonts w:hint="eastAsia" w:ascii="Times New Roman" w:hAnsi="Times New Roman" w:eastAsia="宋体" w:cs="Times New Roman"/>
          <w:b/>
          <w:bCs/>
          <w:i w:val="0"/>
          <w:iCs w:val="0"/>
          <w:color w:val="auto"/>
          <w:sz w:val="21"/>
          <w:szCs w:val="18"/>
          <w:highlight w:val="none"/>
          <w:lang w:val="en-US" w:eastAsia="zh-CN"/>
        </w:rPr>
        <w:t>》禁止准入类符合性分析</w:t>
      </w:r>
    </w:p>
    <w:tbl>
      <w:tblPr>
        <w:tblStyle w:val="59"/>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7"/>
        <w:gridCol w:w="1423"/>
        <w:gridCol w:w="682"/>
        <w:gridCol w:w="2356"/>
        <w:gridCol w:w="3049"/>
        <w:gridCol w:w="428"/>
      </w:tblGrid>
      <w:tr w14:paraId="1A01D5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44" w:type="pct"/>
            <w:tcBorders>
              <w:tl2br w:val="nil"/>
              <w:tr2bl w:val="nil"/>
            </w:tcBorders>
            <w:noWrap w:val="0"/>
            <w:vAlign w:val="center"/>
          </w:tcPr>
          <w:p w14:paraId="3BEB05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项目号</w:t>
            </w:r>
          </w:p>
        </w:tc>
        <w:tc>
          <w:tcPr>
            <w:tcW w:w="834" w:type="pct"/>
            <w:tcBorders>
              <w:tl2br w:val="nil"/>
              <w:tr2bl w:val="nil"/>
            </w:tcBorders>
            <w:noWrap w:val="0"/>
            <w:vAlign w:val="center"/>
          </w:tcPr>
          <w:p w14:paraId="57E0E0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禁止或许可事项</w:t>
            </w:r>
          </w:p>
        </w:tc>
        <w:tc>
          <w:tcPr>
            <w:tcW w:w="400" w:type="pct"/>
            <w:tcBorders>
              <w:tl2br w:val="nil"/>
              <w:tr2bl w:val="nil"/>
            </w:tcBorders>
            <w:noWrap w:val="0"/>
            <w:vAlign w:val="center"/>
          </w:tcPr>
          <w:p w14:paraId="06223D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事项编码</w:t>
            </w:r>
          </w:p>
        </w:tc>
        <w:tc>
          <w:tcPr>
            <w:tcW w:w="1381" w:type="pct"/>
            <w:tcBorders>
              <w:tl2br w:val="nil"/>
              <w:tr2bl w:val="nil"/>
            </w:tcBorders>
            <w:noWrap w:val="0"/>
            <w:vAlign w:val="center"/>
          </w:tcPr>
          <w:p w14:paraId="1316F4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禁止或许可准入措施描述</w:t>
            </w:r>
          </w:p>
        </w:tc>
        <w:tc>
          <w:tcPr>
            <w:tcW w:w="1787" w:type="pct"/>
            <w:tcBorders>
              <w:tl2br w:val="nil"/>
              <w:tr2bl w:val="nil"/>
            </w:tcBorders>
            <w:noWrap w:val="0"/>
            <w:vAlign w:val="center"/>
          </w:tcPr>
          <w:p w14:paraId="48CD1C61">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val="0"/>
                <w:color w:val="000000"/>
                <w:kern w:val="0"/>
                <w:sz w:val="21"/>
                <w:szCs w:val="21"/>
                <w:highlight w:val="none"/>
              </w:rPr>
              <w:t>本项目情况</w:t>
            </w:r>
          </w:p>
        </w:tc>
        <w:tc>
          <w:tcPr>
            <w:tcW w:w="251" w:type="pct"/>
            <w:tcBorders>
              <w:tl2br w:val="nil"/>
              <w:tr2bl w:val="nil"/>
            </w:tcBorders>
            <w:noWrap w:val="0"/>
            <w:vAlign w:val="center"/>
          </w:tcPr>
          <w:p w14:paraId="06BB8F85">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val="0"/>
                <w:color w:val="000000"/>
                <w:sz w:val="21"/>
                <w:szCs w:val="21"/>
                <w:highlight w:val="none"/>
              </w:rPr>
              <w:t>符合性</w:t>
            </w:r>
          </w:p>
        </w:tc>
      </w:tr>
      <w:tr w14:paraId="0D3FBF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44" w:type="pct"/>
            <w:tcBorders>
              <w:tl2br w:val="nil"/>
              <w:tr2bl w:val="nil"/>
            </w:tcBorders>
            <w:noWrap w:val="0"/>
            <w:vAlign w:val="center"/>
          </w:tcPr>
          <w:p w14:paraId="45FDA2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834" w:type="pct"/>
            <w:tcBorders>
              <w:tl2br w:val="nil"/>
              <w:tr2bl w:val="nil"/>
            </w:tcBorders>
            <w:noWrap w:val="0"/>
            <w:vAlign w:val="center"/>
          </w:tcPr>
          <w:p w14:paraId="4C6C14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法律、法规、国务院决定等明确设立且与市场准入相关的禁止性规定</w:t>
            </w:r>
          </w:p>
        </w:tc>
        <w:tc>
          <w:tcPr>
            <w:tcW w:w="400" w:type="pct"/>
            <w:tcBorders>
              <w:tl2br w:val="nil"/>
              <w:tr2bl w:val="nil"/>
            </w:tcBorders>
            <w:noWrap w:val="0"/>
            <w:vAlign w:val="center"/>
          </w:tcPr>
          <w:p w14:paraId="2E159D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100001</w:t>
            </w:r>
          </w:p>
        </w:tc>
        <w:tc>
          <w:tcPr>
            <w:tcW w:w="1381" w:type="pct"/>
            <w:tcBorders>
              <w:tl2br w:val="nil"/>
              <w:tr2bl w:val="nil"/>
            </w:tcBorders>
            <w:noWrap w:val="0"/>
            <w:vAlign w:val="center"/>
          </w:tcPr>
          <w:p w14:paraId="7FC5E9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法律、法规、国务院决定等明确设立，且与市场准入相关的禁止性规定（见附件）</w:t>
            </w:r>
          </w:p>
        </w:tc>
        <w:tc>
          <w:tcPr>
            <w:tcW w:w="1787" w:type="pct"/>
            <w:tcBorders>
              <w:tl2br w:val="nil"/>
              <w:tr2bl w:val="nil"/>
            </w:tcBorders>
            <w:noWrap w:val="0"/>
            <w:vAlign w:val="center"/>
          </w:tcPr>
          <w:p w14:paraId="37CFF6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根据《国民经济行业分类》（GB/T4754-2017），</w:t>
            </w:r>
            <w:r>
              <w:rPr>
                <w:rFonts w:hint="default" w:ascii="Times New Roman" w:hAnsi="Times New Roman" w:cs="Times New Roman"/>
                <w:sz w:val="21"/>
                <w:szCs w:val="21"/>
                <w:highlight w:val="none"/>
              </w:rPr>
              <w:t>本项目行业属于B0810铁矿采选行业</w:t>
            </w:r>
            <w:r>
              <w:rPr>
                <w:rFonts w:hint="default"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经查阅</w:t>
            </w:r>
            <w:r>
              <w:rPr>
                <w:rFonts w:hint="default" w:ascii="Times New Roman" w:hAnsi="Times New Roman" w:eastAsia="宋体" w:cs="Times New Roman"/>
                <w:color w:val="auto"/>
                <w:sz w:val="21"/>
                <w:szCs w:val="21"/>
                <w:highlight w:val="none"/>
                <w:vertAlign w:val="baseline"/>
                <w:lang w:val="en-US" w:eastAsia="zh-CN"/>
              </w:rPr>
              <w:t>与市场准入相关的禁止性规定</w:t>
            </w:r>
            <w:r>
              <w:rPr>
                <w:rFonts w:hint="eastAsia" w:ascii="Times New Roman" w:hAnsi="Times New Roman" w:eastAsia="宋体" w:cs="Times New Roman"/>
                <w:color w:val="auto"/>
                <w:sz w:val="21"/>
                <w:szCs w:val="21"/>
                <w:highlight w:val="none"/>
                <w:vertAlign w:val="baseline"/>
                <w:lang w:val="en-US" w:eastAsia="zh-CN"/>
              </w:rPr>
              <w:t>，本项目所属行业未列入该清单中。</w:t>
            </w:r>
          </w:p>
        </w:tc>
        <w:tc>
          <w:tcPr>
            <w:tcW w:w="251" w:type="pct"/>
            <w:tcBorders>
              <w:tl2br w:val="nil"/>
              <w:tr2bl w:val="nil"/>
            </w:tcBorders>
            <w:noWrap w:val="0"/>
            <w:vAlign w:val="center"/>
          </w:tcPr>
          <w:p w14:paraId="2DF077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7EF2624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44" w:type="pct"/>
            <w:tcBorders>
              <w:tl2br w:val="nil"/>
              <w:tr2bl w:val="nil"/>
            </w:tcBorders>
            <w:noWrap w:val="0"/>
            <w:vAlign w:val="center"/>
          </w:tcPr>
          <w:p w14:paraId="5A073B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834" w:type="pct"/>
            <w:tcBorders>
              <w:tl2br w:val="nil"/>
              <w:tr2bl w:val="nil"/>
            </w:tcBorders>
            <w:noWrap w:val="0"/>
            <w:vAlign w:val="center"/>
          </w:tcPr>
          <w:p w14:paraId="038AC0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国家产业政策明令淘汰和限制的产品、技术、工艺、设备及行为</w:t>
            </w:r>
          </w:p>
        </w:tc>
        <w:tc>
          <w:tcPr>
            <w:tcW w:w="400" w:type="pct"/>
            <w:tcBorders>
              <w:tl2br w:val="nil"/>
              <w:tr2bl w:val="nil"/>
            </w:tcBorders>
            <w:noWrap w:val="0"/>
            <w:vAlign w:val="center"/>
          </w:tcPr>
          <w:p w14:paraId="346062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100002</w:t>
            </w:r>
          </w:p>
        </w:tc>
        <w:tc>
          <w:tcPr>
            <w:tcW w:w="1381" w:type="pct"/>
            <w:tcBorders>
              <w:tl2br w:val="nil"/>
              <w:tr2bl w:val="nil"/>
            </w:tcBorders>
            <w:noWrap w:val="0"/>
            <w:vAlign w:val="center"/>
          </w:tcPr>
          <w:p w14:paraId="110471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《产业结构调整指导目录》中的淘汰类项目，禁止投资；限制类项目，禁止新建；</w:t>
            </w:r>
          </w:p>
          <w:p w14:paraId="344CE3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禁止投资建设《汽车产业投资管理规定》所列的汽车投资禁止类事项</w:t>
            </w:r>
          </w:p>
        </w:tc>
        <w:tc>
          <w:tcPr>
            <w:tcW w:w="1787" w:type="pct"/>
            <w:tcBorders>
              <w:tl2br w:val="nil"/>
              <w:tr2bl w:val="nil"/>
            </w:tcBorders>
            <w:noWrap w:val="0"/>
            <w:vAlign w:val="center"/>
          </w:tcPr>
          <w:p w14:paraId="39A8AE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经查阅《产业结构调整指导目录(20</w:t>
            </w:r>
            <w:r>
              <w:rPr>
                <w:rFonts w:hint="eastAsia" w:ascii="Times New Roman" w:hAnsi="Times New Roman" w:eastAsia="宋体" w:cs="Times New Roman"/>
                <w:color w:val="auto"/>
                <w:sz w:val="21"/>
                <w:szCs w:val="21"/>
                <w:highlight w:val="none"/>
                <w:vertAlign w:val="baseline"/>
                <w:lang w:val="en-US" w:eastAsia="zh-CN"/>
              </w:rPr>
              <w:t>24</w:t>
            </w:r>
            <w:r>
              <w:rPr>
                <w:rFonts w:hint="default" w:ascii="Times New Roman" w:hAnsi="Times New Roman" w:eastAsia="宋体" w:cs="Times New Roman"/>
                <w:color w:val="auto"/>
                <w:sz w:val="21"/>
                <w:szCs w:val="21"/>
                <w:highlight w:val="none"/>
                <w:vertAlign w:val="baseline"/>
                <w:lang w:val="en-US" w:eastAsia="zh-CN"/>
              </w:rPr>
              <w:t>年本)》，本项目不属于限制类、淘汰类</w:t>
            </w:r>
            <w:r>
              <w:rPr>
                <w:rFonts w:hint="default" w:ascii="Times New Roman" w:hAnsi="Times New Roman" w:cs="Times New Roman"/>
                <w:kern w:val="0"/>
                <w:sz w:val="21"/>
                <w:szCs w:val="21"/>
                <w:highlight w:val="none"/>
              </w:rPr>
              <w:t>，符合国家产业政策</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cs="Times New Roman"/>
                <w:kern w:val="0"/>
                <w:sz w:val="21"/>
                <w:szCs w:val="21"/>
                <w:highlight w:val="none"/>
              </w:rPr>
              <w:t>项目于</w:t>
            </w:r>
            <w:r>
              <w:rPr>
                <w:rFonts w:hint="eastAsia" w:cs="Times New Roman"/>
                <w:kern w:val="0"/>
                <w:sz w:val="21"/>
                <w:szCs w:val="21"/>
                <w:highlight w:val="none"/>
                <w:lang w:eastAsia="zh-CN"/>
              </w:rPr>
              <w:t>2024年7月2日</w:t>
            </w:r>
            <w:r>
              <w:rPr>
                <w:rFonts w:hint="default" w:ascii="Times New Roman" w:hAnsi="Times New Roman" w:cs="Times New Roman"/>
                <w:kern w:val="0"/>
                <w:sz w:val="21"/>
                <w:szCs w:val="21"/>
                <w:highlight w:val="none"/>
              </w:rPr>
              <w:t>取得</w:t>
            </w:r>
            <w:r>
              <w:rPr>
                <w:rFonts w:hint="eastAsia" w:cs="Times New Roman"/>
                <w:kern w:val="0"/>
                <w:sz w:val="21"/>
                <w:szCs w:val="21"/>
                <w:highlight w:val="none"/>
                <w:lang w:eastAsia="zh-CN"/>
              </w:rPr>
              <w:t>隆化县数据和政务服务局</w:t>
            </w:r>
            <w:r>
              <w:rPr>
                <w:rFonts w:hint="default" w:ascii="Times New Roman" w:hAnsi="Times New Roman" w:cs="Times New Roman"/>
                <w:kern w:val="0"/>
                <w:sz w:val="21"/>
                <w:szCs w:val="21"/>
                <w:highlight w:val="none"/>
              </w:rPr>
              <w:t>备案</w:t>
            </w:r>
            <w:r>
              <w:rPr>
                <w:rFonts w:hint="eastAsia" w:ascii="Times New Roman" w:hAnsi="Times New Roman" w:cs="Times New Roman"/>
                <w:kern w:val="0"/>
                <w:sz w:val="21"/>
                <w:szCs w:val="21"/>
                <w:highlight w:val="none"/>
                <w:lang w:eastAsia="zh-CN"/>
              </w:rPr>
              <w:t>；</w:t>
            </w:r>
          </w:p>
          <w:p w14:paraId="0EEE00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项目不涉及汽车投资。</w:t>
            </w:r>
          </w:p>
        </w:tc>
        <w:tc>
          <w:tcPr>
            <w:tcW w:w="251" w:type="pct"/>
            <w:tcBorders>
              <w:tl2br w:val="nil"/>
              <w:tr2bl w:val="nil"/>
            </w:tcBorders>
            <w:noWrap w:val="0"/>
            <w:vAlign w:val="center"/>
          </w:tcPr>
          <w:p w14:paraId="3AA59A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3F8848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44" w:type="pct"/>
            <w:tcBorders>
              <w:tl2br w:val="nil"/>
              <w:tr2bl w:val="nil"/>
            </w:tcBorders>
            <w:noWrap w:val="0"/>
            <w:vAlign w:val="center"/>
          </w:tcPr>
          <w:p w14:paraId="7CA904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w:t>
            </w:r>
          </w:p>
        </w:tc>
        <w:tc>
          <w:tcPr>
            <w:tcW w:w="834" w:type="pct"/>
            <w:tcBorders>
              <w:tl2br w:val="nil"/>
              <w:tr2bl w:val="nil"/>
            </w:tcBorders>
            <w:noWrap w:val="0"/>
            <w:vAlign w:val="center"/>
          </w:tcPr>
          <w:p w14:paraId="3FACE5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不符合主体功能区建设要求的各类开发活动</w:t>
            </w:r>
          </w:p>
        </w:tc>
        <w:tc>
          <w:tcPr>
            <w:tcW w:w="400" w:type="pct"/>
            <w:tcBorders>
              <w:tl2br w:val="nil"/>
              <w:tr2bl w:val="nil"/>
            </w:tcBorders>
            <w:noWrap w:val="0"/>
            <w:vAlign w:val="center"/>
          </w:tcPr>
          <w:p w14:paraId="4D0CCF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100003</w:t>
            </w:r>
          </w:p>
        </w:tc>
        <w:tc>
          <w:tcPr>
            <w:tcW w:w="1381" w:type="pct"/>
            <w:tcBorders>
              <w:tl2br w:val="nil"/>
              <w:tr2bl w:val="nil"/>
            </w:tcBorders>
            <w:noWrap w:val="0"/>
            <w:vAlign w:val="center"/>
          </w:tcPr>
          <w:p w14:paraId="792DB8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地方国家重点生态功能区产业准入负面清单（或禁止限制目录）、农产品主产区产业准入负面清单（或禁止限制目录）所列有关事项</w:t>
            </w:r>
          </w:p>
        </w:tc>
        <w:tc>
          <w:tcPr>
            <w:tcW w:w="1787" w:type="pct"/>
            <w:tcBorders>
              <w:tl2br w:val="nil"/>
              <w:tr2bl w:val="nil"/>
            </w:tcBorders>
            <w:noWrap w:val="0"/>
            <w:vAlign w:val="center"/>
          </w:tcPr>
          <w:p w14:paraId="1D7052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kern w:val="0"/>
                <w:sz w:val="21"/>
                <w:szCs w:val="16"/>
                <w:highlight w:val="none"/>
              </w:rPr>
              <w:t>经对项目位置进行主体功能区符合性分析，项目的建设符合区域主体功能区建设要求</w:t>
            </w:r>
          </w:p>
        </w:tc>
        <w:tc>
          <w:tcPr>
            <w:tcW w:w="251" w:type="pct"/>
            <w:tcBorders>
              <w:tl2br w:val="nil"/>
              <w:tr2bl w:val="nil"/>
            </w:tcBorders>
            <w:noWrap w:val="0"/>
            <w:vAlign w:val="center"/>
          </w:tcPr>
          <w:p w14:paraId="7C9196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bl>
    <w:p w14:paraId="683D54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由以上分析可知，本项目不属于《市场准入负面清单（</w:t>
      </w:r>
      <w:r>
        <w:rPr>
          <w:rFonts w:hint="eastAsia" w:cs="Times New Roman"/>
          <w:color w:val="auto"/>
          <w:sz w:val="24"/>
          <w:szCs w:val="24"/>
          <w:highlight w:val="none"/>
          <w:lang w:val="en-US" w:eastAsia="zh-CN"/>
        </w:rPr>
        <w:t>2025年版</w:t>
      </w:r>
      <w:r>
        <w:rPr>
          <w:rFonts w:hint="eastAsia" w:ascii="Times New Roman" w:hAnsi="Times New Roman" w:eastAsia="宋体" w:cs="Times New Roman"/>
          <w:color w:val="auto"/>
          <w:sz w:val="24"/>
          <w:szCs w:val="24"/>
          <w:highlight w:val="none"/>
          <w:lang w:val="en-US" w:eastAsia="zh-CN"/>
        </w:rPr>
        <w:t>）》禁止准入类项目，</w:t>
      </w:r>
      <w:r>
        <w:rPr>
          <w:rFonts w:hint="default" w:ascii="Times New Roman" w:hAnsi="Times New Roman" w:eastAsia="宋体" w:cs="Times New Roman"/>
          <w:color w:val="auto"/>
          <w:sz w:val="24"/>
          <w:szCs w:val="24"/>
          <w:highlight w:val="none"/>
        </w:rPr>
        <w:t>项目符合相关产业政策要求。</w:t>
      </w:r>
    </w:p>
    <w:bookmarkEnd w:id="30"/>
    <w:bookmarkEnd w:id="31"/>
    <w:p w14:paraId="0B973796">
      <w:pPr>
        <w:keepNext/>
        <w:keepLines/>
        <w:pageBreakBefore w:val="0"/>
        <w:widowControl w:val="0"/>
        <w:numPr>
          <w:ilvl w:val="2"/>
          <w:numId w:val="1"/>
        </w:numPr>
        <w:kinsoku/>
        <w:wordWrap/>
        <w:overflowPunct/>
        <w:bidi w:val="0"/>
        <w:adjustRightInd w:val="0"/>
        <w:snapToGrid w:val="0"/>
        <w:spacing w:line="360" w:lineRule="auto"/>
        <w:ind w:left="0" w:firstLine="0" w:firstLineChars="0"/>
        <w:jc w:val="both"/>
        <w:outlineLvl w:val="2"/>
        <w:rPr>
          <w:rFonts w:ascii="Times New Roman" w:hAnsi="Times New Roman" w:eastAsia="宋体" w:cs="Times New Roman"/>
          <w:b/>
          <w:bCs/>
          <w:kern w:val="2"/>
          <w:sz w:val="24"/>
          <w:szCs w:val="32"/>
          <w:highlight w:val="none"/>
          <w:lang w:val="en-US" w:eastAsia="zh-CN" w:bidi="ar-SA"/>
        </w:rPr>
      </w:pPr>
      <w:r>
        <w:rPr>
          <w:rFonts w:hint="eastAsia" w:ascii="Times New Roman" w:hAnsi="Times New Roman" w:eastAsia="宋体" w:cs="Times New Roman"/>
          <w:b/>
          <w:bCs/>
          <w:kern w:val="2"/>
          <w:sz w:val="24"/>
          <w:szCs w:val="32"/>
          <w:highlight w:val="none"/>
          <w:lang w:val="en-US" w:eastAsia="zh-CN" w:bidi="ar-SA"/>
        </w:rPr>
        <w:t>“三线一单”符合性分析</w:t>
      </w:r>
    </w:p>
    <w:p w14:paraId="7D9AC6B5">
      <w:pPr>
        <w:pageBreakBefore w:val="0"/>
        <w:widowControl w:val="0"/>
        <w:kinsoku/>
        <w:wordWrap/>
        <w:overflowPunct/>
        <w:bidi w:val="0"/>
        <w:spacing w:line="360" w:lineRule="auto"/>
        <w:ind w:left="0" w:firstLine="48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（1）生态红线</w:t>
      </w:r>
    </w:p>
    <w:p w14:paraId="4B65ECC9">
      <w:pPr>
        <w:pageBreakBefore w:val="0"/>
        <w:widowControl w:val="0"/>
        <w:kinsoku/>
        <w:wordWrap/>
        <w:overflowPunct/>
        <w:autoSpaceDE w:val="0"/>
        <w:autoSpaceDN w:val="0"/>
        <w:bidi w:val="0"/>
        <w:adjustRightInd w:val="0"/>
        <w:spacing w:line="360" w:lineRule="auto"/>
        <w:ind w:left="0" w:firstLine="480" w:firstLineChars="200"/>
        <w:jc w:val="both"/>
        <w:rPr>
          <w:rFonts w:hint="default" w:ascii="Times New Roman" w:hAnsi="Times New Roman" w:eastAsia="宋体" w:cs="Times New Roman"/>
          <w:color w:val="000000"/>
          <w:sz w:val="24"/>
          <w:szCs w:val="24"/>
          <w:highlight w:val="none"/>
          <w:lang w:val="en-US" w:eastAsia="zh-CN" w:bidi="ar-SA"/>
        </w:rPr>
      </w:pPr>
      <w:r>
        <w:rPr>
          <w:rFonts w:hint="eastAsia" w:ascii="Times New Roman" w:hAnsi="Times New Roman" w:eastAsia="宋体" w:cs="宋体"/>
          <w:color w:val="000000"/>
          <w:sz w:val="24"/>
          <w:szCs w:val="24"/>
          <w:highlight w:val="none"/>
          <w:lang w:val="en-US" w:eastAsia="zh-CN" w:bidi="ar-SA"/>
        </w:rPr>
        <w:t>项目选址位于河北省</w:t>
      </w:r>
      <w:r>
        <w:rPr>
          <w:rFonts w:hint="eastAsia" w:cs="宋体"/>
          <w:color w:val="000000"/>
          <w:sz w:val="24"/>
          <w:szCs w:val="24"/>
          <w:highlight w:val="none"/>
          <w:lang w:val="en-US" w:eastAsia="zh-CN" w:bidi="ar-SA"/>
        </w:rPr>
        <w:t>承德市隆化县韩麻营镇东兴村东北沟</w:t>
      </w:r>
      <w:r>
        <w:rPr>
          <w:rFonts w:hint="eastAsia" w:ascii="Times New Roman" w:hAnsi="Times New Roman" w:eastAsia="宋体" w:cs="宋体"/>
          <w:color w:val="000000"/>
          <w:sz w:val="24"/>
          <w:szCs w:val="24"/>
          <w:highlight w:val="none"/>
          <w:lang w:val="en-US" w:eastAsia="zh-CN" w:bidi="ar-SA"/>
        </w:rPr>
        <w:t>。根据承德市生态保护红线划分成果，项目矿区不在生态保护红线范围内，距离</w:t>
      </w:r>
      <w:r>
        <w:rPr>
          <w:rFonts w:hint="eastAsia" w:cs="宋体"/>
          <w:color w:val="000000"/>
          <w:sz w:val="24"/>
          <w:szCs w:val="24"/>
          <w:highlight w:val="none"/>
          <w:lang w:val="en-US" w:eastAsia="zh-CN" w:bidi="ar-SA"/>
        </w:rPr>
        <w:t>排土场场区</w:t>
      </w:r>
      <w:r>
        <w:rPr>
          <w:rFonts w:hint="eastAsia" w:ascii="Times New Roman" w:hAnsi="Times New Roman" w:eastAsia="宋体" w:cs="宋体"/>
          <w:color w:val="000000"/>
          <w:sz w:val="24"/>
          <w:szCs w:val="24"/>
          <w:highlight w:val="none"/>
          <w:lang w:val="en-US" w:eastAsia="zh-CN" w:bidi="ar-SA"/>
        </w:rPr>
        <w:t>最近生态保护红线位于</w:t>
      </w:r>
      <w:r>
        <w:rPr>
          <w:rFonts w:hint="eastAsia" w:ascii="Times New Roman" w:cs="宋体"/>
          <w:color w:val="000000"/>
          <w:sz w:val="24"/>
          <w:szCs w:val="24"/>
          <w:highlight w:val="none"/>
          <w:lang w:val="en-US" w:eastAsia="zh-CN" w:bidi="ar-SA"/>
        </w:rPr>
        <w:t>其</w:t>
      </w:r>
      <w:r>
        <w:rPr>
          <w:rFonts w:hint="eastAsia" w:cs="宋体"/>
          <w:color w:val="000000"/>
          <w:sz w:val="24"/>
          <w:szCs w:val="24"/>
          <w:highlight w:val="none"/>
          <w:lang w:val="en-US" w:eastAsia="zh-CN" w:bidi="ar-SA"/>
        </w:rPr>
        <w:t>东北</w:t>
      </w:r>
      <w:r>
        <w:rPr>
          <w:rFonts w:hint="eastAsia" w:ascii="Times New Roman" w:hAnsi="Times New Roman" w:eastAsia="宋体" w:cs="宋体"/>
          <w:color w:val="000000"/>
          <w:sz w:val="24"/>
          <w:szCs w:val="24"/>
          <w:highlight w:val="none"/>
          <w:lang w:val="en-US" w:eastAsia="zh-CN" w:bidi="ar-SA"/>
        </w:rPr>
        <w:t>侧</w:t>
      </w:r>
      <w:r>
        <w:rPr>
          <w:rFonts w:hint="eastAsia" w:cs="宋体"/>
          <w:color w:val="000000"/>
          <w:sz w:val="24"/>
          <w:szCs w:val="24"/>
          <w:highlight w:val="none"/>
          <w:lang w:val="en-US" w:eastAsia="zh-CN" w:bidi="ar-SA"/>
        </w:rPr>
        <w:t>1822m</w:t>
      </w:r>
      <w:r>
        <w:rPr>
          <w:rFonts w:hint="eastAsia" w:ascii="Times New Roman" w:cs="宋体"/>
          <w:color w:val="000000"/>
          <w:sz w:val="24"/>
          <w:szCs w:val="24"/>
          <w:highlight w:val="none"/>
          <w:lang w:val="en-US" w:eastAsia="zh-CN" w:bidi="ar-SA"/>
        </w:rPr>
        <w:t>。</w:t>
      </w:r>
      <w:r>
        <w:rPr>
          <w:rFonts w:hint="eastAsia" w:ascii="Times New Roman" w:hAnsi="Times New Roman" w:eastAsia="宋体" w:cs="宋体"/>
          <w:color w:val="000000"/>
          <w:sz w:val="24"/>
          <w:szCs w:val="24"/>
          <w:highlight w:val="none"/>
          <w:lang w:val="en-US" w:eastAsia="zh-CN" w:bidi="ar-SA"/>
        </w:rPr>
        <w:t>项目环境影响评价范围内的生态保护红线类型为：水源涵养；红线命名为：燕山水源涵养、生物多样性维护生态保护红线；生态系统与植被类型为：森林生态系统，暖温带落叶阔叶林。</w:t>
      </w:r>
    </w:p>
    <w:p w14:paraId="342E1DAF">
      <w:pPr>
        <w:pageBreakBefore w:val="0"/>
        <w:widowControl w:val="0"/>
        <w:kinsoku/>
        <w:wordWrap/>
        <w:overflowPunct/>
        <w:autoSpaceDE w:val="0"/>
        <w:autoSpaceDN w:val="0"/>
        <w:bidi w:val="0"/>
        <w:adjustRightInd w:val="0"/>
        <w:spacing w:line="360" w:lineRule="auto"/>
        <w:ind w:left="0" w:firstLine="482" w:firstLineChars="200"/>
        <w:jc w:val="both"/>
        <w:rPr>
          <w:rFonts w:hint="default" w:ascii="Times New Roman" w:hAnsi="Times New Roman" w:eastAsia="宋体" w:cs="Times New Roman"/>
          <w:b/>
          <w:bCs/>
          <w:color w:val="000000"/>
          <w:sz w:val="24"/>
          <w:szCs w:val="24"/>
          <w:highlight w:val="none"/>
          <w:lang w:val="en-US" w:eastAsia="zh-CN" w:bidi="ar-SA"/>
        </w:rPr>
      </w:pPr>
      <w:r>
        <w:rPr>
          <w:rFonts w:hint="default" w:ascii="Times New Roman" w:hAnsi="Times New Roman" w:eastAsia="宋体" w:cs="Times New Roman"/>
          <w:b/>
          <w:bCs/>
          <w:color w:val="000000"/>
          <w:sz w:val="24"/>
          <w:szCs w:val="24"/>
          <w:highlight w:val="none"/>
          <w:lang w:val="en-US" w:eastAsia="zh-CN" w:bidi="ar-SA"/>
        </w:rPr>
        <w:t>（2）环境质量底线</w:t>
      </w:r>
    </w:p>
    <w:p w14:paraId="2E1B954C">
      <w:pPr>
        <w:pageBreakBefore w:val="0"/>
        <w:widowControl w:val="0"/>
        <w:kinsoku/>
        <w:wordWrap/>
        <w:overflowPunct/>
        <w:autoSpaceDE w:val="0"/>
        <w:autoSpaceDN w:val="0"/>
        <w:bidi w:val="0"/>
        <w:adjustRightInd w:val="0"/>
        <w:spacing w:line="360" w:lineRule="auto"/>
        <w:ind w:left="0" w:firstLine="480" w:firstLineChars="200"/>
        <w:jc w:val="both"/>
        <w:rPr>
          <w:rFonts w:hint="eastAsia" w:ascii="Times New Roman" w:hAnsi="Times New Roman" w:cs="Times New Roman"/>
          <w:sz w:val="24"/>
          <w:highlight w:val="none"/>
          <w:lang w:eastAsia="zh-CN"/>
        </w:rPr>
      </w:pPr>
      <w:r>
        <w:rPr>
          <w:rFonts w:ascii="Times New Roman" w:hAnsi="Times New Roman"/>
          <w:sz w:val="24"/>
          <w:szCs w:val="24"/>
          <w:highlight w:val="none"/>
        </w:rPr>
        <w:t>根据</w:t>
      </w:r>
      <w:r>
        <w:rPr>
          <w:rFonts w:hint="eastAsia" w:ascii="Times New Roman" w:hAnsi="Times New Roman" w:cs="Times New Roman"/>
          <w:sz w:val="24"/>
          <w:highlight w:val="none"/>
          <w:lang w:eastAsia="zh-CN"/>
        </w:rPr>
        <w:t>《关于2023年12月份全市空气质量预警监测结果的通报》（承气领办〔2024〕12号）</w:t>
      </w:r>
      <w:r>
        <w:rPr>
          <w:rFonts w:hint="default" w:ascii="Times New Roman" w:hAnsi="Times New Roman" w:cs="Times New Roman"/>
          <w:color w:val="auto"/>
          <w:sz w:val="24"/>
          <w:szCs w:val="24"/>
          <w:highlight w:val="none"/>
        </w:rPr>
        <w:t>中</w:t>
      </w:r>
      <w:r>
        <w:rPr>
          <w:rFonts w:hint="eastAsia" w:cs="Times New Roman"/>
          <w:color w:val="auto"/>
          <w:sz w:val="24"/>
          <w:szCs w:val="24"/>
          <w:highlight w:val="none"/>
          <w:lang w:val="en-US" w:eastAsia="zh-CN"/>
        </w:rPr>
        <w:t>隆化县</w:t>
      </w:r>
      <w:r>
        <w:rPr>
          <w:rFonts w:hint="default" w:ascii="Times New Roman" w:hAnsi="Times New Roman" w:cs="Times New Roman"/>
          <w:color w:val="auto"/>
          <w:sz w:val="24"/>
          <w:szCs w:val="24"/>
          <w:highlight w:val="none"/>
        </w:rPr>
        <w:t>环境空气常规现状监测统计资料，</w:t>
      </w:r>
      <w:r>
        <w:rPr>
          <w:rFonts w:hint="default" w:ascii="Times New Roman" w:hAnsi="Times New Roman" w:cs="Times New Roman"/>
          <w:color w:val="auto"/>
          <w:sz w:val="24"/>
          <w:szCs w:val="24"/>
          <w:highlight w:val="none"/>
          <w:lang w:val="en-US" w:eastAsia="zh-CN"/>
        </w:rPr>
        <w:t>除O</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日最大8小时平均浓度第90百分位数超标外，</w:t>
      </w:r>
      <w:r>
        <w:rPr>
          <w:color w:val="auto"/>
          <w:sz w:val="24"/>
          <w:szCs w:val="40"/>
          <w:highlight w:val="none"/>
        </w:rPr>
        <w:t>PM</w:t>
      </w:r>
      <w:r>
        <w:rPr>
          <w:color w:val="auto"/>
          <w:sz w:val="24"/>
          <w:szCs w:val="40"/>
          <w:highlight w:val="none"/>
          <w:vertAlign w:val="subscript"/>
        </w:rPr>
        <w:t>10</w:t>
      </w:r>
      <w:r>
        <w:rPr>
          <w:color w:val="auto"/>
          <w:sz w:val="24"/>
          <w:szCs w:val="24"/>
          <w:highlight w:val="none"/>
        </w:rPr>
        <w:t>年均值</w:t>
      </w:r>
      <w:r>
        <w:rPr>
          <w:color w:val="auto"/>
          <w:sz w:val="24"/>
          <w:szCs w:val="40"/>
          <w:highlight w:val="none"/>
        </w:rPr>
        <w:t>、PM</w:t>
      </w:r>
      <w:r>
        <w:rPr>
          <w:color w:val="auto"/>
          <w:sz w:val="24"/>
          <w:szCs w:val="40"/>
          <w:highlight w:val="none"/>
          <w:vertAlign w:val="subscript"/>
        </w:rPr>
        <w:t>2.5</w:t>
      </w:r>
      <w:r>
        <w:rPr>
          <w:color w:val="auto"/>
          <w:sz w:val="24"/>
          <w:szCs w:val="24"/>
          <w:highlight w:val="none"/>
        </w:rPr>
        <w:t>年均值</w:t>
      </w:r>
      <w:r>
        <w:rPr>
          <w:rFonts w:hint="eastAsia"/>
          <w:color w:val="auto"/>
          <w:sz w:val="24"/>
          <w:szCs w:val="24"/>
          <w:highlight w:val="none"/>
        </w:rPr>
        <w:t>、</w:t>
      </w:r>
      <w:r>
        <w:rPr>
          <w:color w:val="auto"/>
          <w:sz w:val="24"/>
          <w:szCs w:val="24"/>
          <w:highlight w:val="none"/>
        </w:rPr>
        <w:t>SO</w:t>
      </w:r>
      <w:r>
        <w:rPr>
          <w:color w:val="auto"/>
          <w:sz w:val="24"/>
          <w:szCs w:val="24"/>
          <w:highlight w:val="none"/>
          <w:vertAlign w:val="subscript"/>
        </w:rPr>
        <w:t>2</w:t>
      </w:r>
      <w:r>
        <w:rPr>
          <w:color w:val="auto"/>
          <w:sz w:val="24"/>
          <w:szCs w:val="24"/>
          <w:highlight w:val="none"/>
        </w:rPr>
        <w:t>年均值、NO</w:t>
      </w:r>
      <w:r>
        <w:rPr>
          <w:color w:val="auto"/>
          <w:sz w:val="24"/>
          <w:szCs w:val="24"/>
          <w:highlight w:val="none"/>
          <w:vertAlign w:val="subscript"/>
        </w:rPr>
        <w:t>2</w:t>
      </w:r>
      <w:r>
        <w:rPr>
          <w:color w:val="auto"/>
          <w:sz w:val="24"/>
          <w:szCs w:val="24"/>
          <w:highlight w:val="none"/>
        </w:rPr>
        <w:t>年均值</w:t>
      </w:r>
      <w:r>
        <w:rPr>
          <w:rFonts w:hint="eastAsia"/>
          <w:color w:val="auto"/>
          <w:sz w:val="24"/>
          <w:szCs w:val="24"/>
          <w:highlight w:val="none"/>
        </w:rPr>
        <w:t>、</w:t>
      </w:r>
      <w:r>
        <w:rPr>
          <w:color w:val="auto"/>
          <w:sz w:val="24"/>
          <w:szCs w:val="24"/>
          <w:highlight w:val="none"/>
        </w:rPr>
        <w:t>CO24小时平均浓度第95百分位数</w:t>
      </w:r>
      <w:r>
        <w:rPr>
          <w:rFonts w:hint="default" w:ascii="Times New Roman" w:hAnsi="Times New Roman" w:cs="Times New Roman"/>
          <w:color w:val="auto"/>
          <w:sz w:val="24"/>
          <w:szCs w:val="24"/>
          <w:highlight w:val="none"/>
          <w:lang w:val="en-US" w:eastAsia="zh-CN"/>
        </w:rPr>
        <w:t>均满足《环境空气质量标准》（GB3095-2012）及其修改单的二级标准要求</w:t>
      </w:r>
      <w:r>
        <w:rPr>
          <w:rFonts w:hint="eastAsia" w:ascii="Times New Roman" w:hAnsi="Times New Roman" w:cs="Times New Roman"/>
          <w:color w:val="auto"/>
          <w:sz w:val="24"/>
          <w:szCs w:val="24"/>
          <w:highlight w:val="none"/>
          <w:lang w:val="en-US" w:eastAsia="zh-CN"/>
        </w:rPr>
        <w:t>，隆化县区域</w:t>
      </w:r>
      <w:r>
        <w:rPr>
          <w:rFonts w:hint="default" w:ascii="Times New Roman" w:hAnsi="Times New Roman" w:cs="Times New Roman"/>
          <w:color w:val="auto"/>
          <w:sz w:val="24"/>
          <w:szCs w:val="24"/>
          <w:highlight w:val="none"/>
          <w:lang w:val="en-US" w:eastAsia="zh-CN"/>
        </w:rPr>
        <w:t>为不达标区</w:t>
      </w:r>
      <w:r>
        <w:rPr>
          <w:rFonts w:hint="eastAsia" w:ascii="Times New Roman" w:hAnsi="Times New Roman" w:cs="Times New Roman"/>
          <w:color w:val="auto"/>
          <w:sz w:val="24"/>
          <w:szCs w:val="24"/>
          <w:highlight w:val="none"/>
          <w:lang w:val="en-US" w:eastAsia="zh-CN"/>
        </w:rPr>
        <w:t>。</w:t>
      </w:r>
      <w:r>
        <w:rPr>
          <w:rFonts w:hint="eastAsia"/>
          <w:color w:val="auto"/>
          <w:sz w:val="24"/>
          <w:szCs w:val="24"/>
          <w:highlight w:val="none"/>
        </w:rPr>
        <w:t>根据项目环境质量补充监测，TSP现状环境质量满足《环境空气质量标准》（GB3095-2012）</w:t>
      </w:r>
      <w:r>
        <w:rPr>
          <w:color w:val="auto"/>
          <w:sz w:val="24"/>
          <w:szCs w:val="24"/>
          <w:highlight w:val="none"/>
        </w:rPr>
        <w:t>及其修改单</w:t>
      </w:r>
      <w:r>
        <w:rPr>
          <w:rFonts w:hint="eastAsia"/>
          <w:color w:val="auto"/>
          <w:sz w:val="24"/>
          <w:szCs w:val="24"/>
          <w:highlight w:val="none"/>
        </w:rPr>
        <w:t>中的</w:t>
      </w:r>
      <w:r>
        <w:rPr>
          <w:color w:val="auto"/>
          <w:sz w:val="24"/>
          <w:szCs w:val="40"/>
          <w:highlight w:val="none"/>
        </w:rPr>
        <w:t>二级标准</w:t>
      </w:r>
      <w:r>
        <w:rPr>
          <w:rFonts w:hint="eastAsia"/>
          <w:color w:val="auto"/>
          <w:sz w:val="24"/>
          <w:szCs w:val="24"/>
          <w:highlight w:val="none"/>
        </w:rPr>
        <w:t>。</w:t>
      </w:r>
    </w:p>
    <w:p w14:paraId="32D641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ascii="Times New Roman"/>
          <w:sz w:val="24"/>
          <w:szCs w:val="24"/>
          <w:highlight w:val="none"/>
        </w:rPr>
        <w:t>根据《</w:t>
      </w:r>
      <w:r>
        <w:rPr>
          <w:rFonts w:hint="eastAsia" w:ascii="Times New Roman" w:hAnsi="Times New Roman" w:cs="Times New Roman"/>
          <w:color w:val="000000"/>
          <w:sz w:val="24"/>
          <w:szCs w:val="24"/>
          <w:highlight w:val="none"/>
          <w:lang w:eastAsia="zh-CN"/>
        </w:rPr>
        <w:t>2023年承德市生态环境状况公报</w:t>
      </w:r>
      <w:r>
        <w:rPr>
          <w:rFonts w:ascii="Times New Roman"/>
          <w:sz w:val="24"/>
          <w:szCs w:val="24"/>
          <w:highlight w:val="none"/>
        </w:rPr>
        <w:t>》</w:t>
      </w:r>
      <w:r>
        <w:rPr>
          <w:rFonts w:hint="eastAsia" w:ascii="Times New Roman"/>
          <w:sz w:val="24"/>
          <w:szCs w:val="24"/>
          <w:highlight w:val="none"/>
          <w:lang w:eastAsia="zh-CN"/>
        </w:rPr>
        <w:t>，</w:t>
      </w:r>
      <w:r>
        <w:rPr>
          <w:rFonts w:hint="default" w:ascii="Times New Roman" w:hAnsi="Times New Roman" w:cs="Times New Roman"/>
          <w:color w:val="auto"/>
          <w:sz w:val="24"/>
          <w:szCs w:val="24"/>
          <w:highlight w:val="none"/>
        </w:rPr>
        <w:t>2023年武烈河水质总体为优，与2022年持平</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根据项目区域环境质量现状监测，地下水环境质量现状满足《地下水质量标准》（GB/T14848-2017）中的Ⅲ类标准要求</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地下水中石油类、总磷满足《地表水环境质量标准》（GB3838-2002）中的Ⅲ类标准</w:t>
      </w:r>
      <w:r>
        <w:rPr>
          <w:rFonts w:hint="eastAsia" w:ascii="Times New Roman" w:hAnsi="Times New Roman" w:cs="Times New Roman"/>
          <w:color w:val="auto"/>
          <w:sz w:val="24"/>
          <w:szCs w:val="24"/>
          <w:highlight w:val="none"/>
          <w:lang w:eastAsia="zh-CN"/>
        </w:rPr>
        <w:t>，钒、钛</w:t>
      </w:r>
      <w:r>
        <w:rPr>
          <w:rFonts w:hint="eastAsia" w:ascii="Times New Roman" w:hAnsi="Times New Roman" w:cs="Times New Roman"/>
          <w:color w:val="auto"/>
          <w:sz w:val="24"/>
          <w:szCs w:val="24"/>
          <w:highlight w:val="none"/>
          <w:lang w:val="en-US" w:eastAsia="zh-CN"/>
        </w:rPr>
        <w:t>满足</w:t>
      </w:r>
      <w:r>
        <w:rPr>
          <w:rFonts w:hint="eastAsia" w:ascii="Times New Roman" w:hAnsi="Times New Roman" w:cs="Times New Roman"/>
          <w:color w:val="auto"/>
          <w:sz w:val="24"/>
          <w:szCs w:val="24"/>
          <w:highlight w:val="none"/>
          <w:lang w:eastAsia="zh-CN"/>
        </w:rPr>
        <w:t>《地表水环境质量标准》（GB3838-2002）中的表3集中式生活饮用水地表水源地特定项目标准限值</w:t>
      </w:r>
      <w:r>
        <w:rPr>
          <w:rFonts w:hint="default" w:ascii="Times New Roman" w:hAnsi="Times New Roman" w:cs="Times New Roman"/>
          <w:color w:val="auto"/>
          <w:sz w:val="24"/>
          <w:szCs w:val="24"/>
          <w:highlight w:val="none"/>
        </w:rPr>
        <w:t>；项目区域声环境质量现状满足《声环境质量标准》（GB3096-2008）中的2类区标准要求；项目区域建设用地土壤环境质量现状满足《土壤环境质量 建设用地土壤污染风险管控标准》（GB36600-2018）表1中第二类建设用地筛选值标准及《建设用地土壤污染风险筛选值》（DB13/T5216-2022）表1中第二类建设用地土壤污染风险筛选值</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sz w:val="24"/>
          <w:szCs w:val="24"/>
          <w:highlight w:val="none"/>
        </w:rPr>
        <w:t>农用地土壤环境质量满足《土壤环境质量 农用地土壤污染风险管控标准（试行）》（GB15618-2018）表1农用地土壤污染其他用地类型风险筛选值</w:t>
      </w:r>
      <w:r>
        <w:rPr>
          <w:rFonts w:hint="default" w:ascii="Times New Roman" w:hAnsi="Times New Roman" w:cs="Times New Roman"/>
          <w:color w:val="auto"/>
          <w:sz w:val="24"/>
          <w:szCs w:val="24"/>
          <w:highlight w:val="none"/>
        </w:rPr>
        <w:t>。</w:t>
      </w:r>
    </w:p>
    <w:p w14:paraId="2ED7F6BB">
      <w:pPr>
        <w:keepNext w:val="0"/>
        <w:keepLines w:val="0"/>
        <w:pageBreakBefore w:val="0"/>
        <w:widowControl w:val="0"/>
        <w:kinsoku/>
        <w:wordWrap/>
        <w:overflowPunct/>
        <w:topLinePunct w:val="0"/>
        <w:autoSpaceDE w:val="0"/>
        <w:autoSpaceDN w:val="0"/>
        <w:bidi w:val="0"/>
        <w:adjustRightInd w:val="0"/>
        <w:snapToGrid/>
        <w:spacing w:line="360" w:lineRule="auto"/>
        <w:ind w:left="0" w:firstLine="480" w:firstLineChars="200"/>
        <w:jc w:val="both"/>
        <w:textAlignment w:val="auto"/>
        <w:rPr>
          <w:rFonts w:hint="eastAsia" w:ascii="Times New Roman" w:hAnsi="Times New Roman" w:cs="Times New Roman"/>
          <w:sz w:val="24"/>
          <w:highlight w:val="none"/>
          <w:lang w:eastAsia="zh-CN"/>
        </w:rPr>
      </w:pPr>
      <w:r>
        <w:rPr>
          <w:rFonts w:hint="default" w:ascii="Times New Roman" w:hAnsi="Times New Roman" w:cs="Times New Roman"/>
          <w:color w:val="auto"/>
          <w:sz w:val="24"/>
          <w:szCs w:val="24"/>
          <w:highlight w:val="none"/>
        </w:rPr>
        <w:t>经环境影响评价，通过采取相关环保措施，项目建设完成投产后，项目排放的污染物对评价范围内各环境要素的影响可接受，不会改变评价范围内各环境要素的环境质量要求，不会突破环境质量底线。故项目的建设符合环境质量底线的要求。</w:t>
      </w:r>
    </w:p>
    <w:p w14:paraId="53BBC723">
      <w:pPr>
        <w:pageBreakBefore w:val="0"/>
        <w:widowControl w:val="0"/>
        <w:kinsoku/>
        <w:wordWrap/>
        <w:overflowPunct/>
        <w:autoSpaceDE w:val="0"/>
        <w:autoSpaceDN w:val="0"/>
        <w:bidi w:val="0"/>
        <w:adjustRightInd w:val="0"/>
        <w:spacing w:line="360" w:lineRule="auto"/>
        <w:ind w:left="0" w:firstLine="482" w:firstLineChars="200"/>
        <w:jc w:val="both"/>
        <w:rPr>
          <w:rFonts w:hint="default" w:ascii="Times New Roman" w:hAnsi="Times New Roman" w:eastAsia="宋体" w:cs="Times New Roman"/>
          <w:color w:val="000000"/>
          <w:sz w:val="24"/>
          <w:szCs w:val="24"/>
          <w:highlight w:val="none"/>
          <w:lang w:val="en-US" w:eastAsia="zh-CN" w:bidi="ar-SA"/>
        </w:rPr>
      </w:pPr>
      <w:r>
        <w:rPr>
          <w:rFonts w:ascii="Times New Roman" w:hAnsi="Times New Roman" w:eastAsia="宋体" w:cs="宋体"/>
          <w:b/>
          <w:bCs/>
          <w:color w:val="000000"/>
          <w:sz w:val="24"/>
          <w:szCs w:val="24"/>
          <w:highlight w:val="none"/>
          <w:lang w:val="en-US" w:eastAsia="zh-CN" w:bidi="ar-SA"/>
        </w:rPr>
        <w:t>（3）资源利用上线</w:t>
      </w:r>
    </w:p>
    <w:p w14:paraId="7CC6B190">
      <w:pPr>
        <w:pageBreakBefore w:val="0"/>
        <w:widowControl w:val="0"/>
        <w:kinsoku/>
        <w:wordWrap/>
        <w:overflowPunct/>
        <w:autoSpaceDE w:val="0"/>
        <w:autoSpaceDN w:val="0"/>
        <w:bidi w:val="0"/>
        <w:adjustRightInd w:val="0"/>
        <w:spacing w:line="360" w:lineRule="auto"/>
        <w:ind w:left="0" w:firstLine="480" w:firstLineChars="200"/>
        <w:jc w:val="both"/>
        <w:rPr>
          <w:rFonts w:hint="default" w:ascii="Times New Roman" w:hAnsi="Times New Roman" w:eastAsia="宋体" w:cs="Times New Roman"/>
          <w:color w:val="000000"/>
          <w:sz w:val="24"/>
          <w:szCs w:val="24"/>
          <w:highlight w:val="none"/>
          <w:lang w:val="en-US" w:eastAsia="zh-CN" w:bidi="ar-SA"/>
        </w:rPr>
      </w:pPr>
      <w:r>
        <w:rPr>
          <w:rFonts w:hint="default" w:ascii="Times New Roman" w:hAnsi="Times New Roman" w:eastAsia="宋体" w:cs="Times New Roman"/>
          <w:color w:val="auto"/>
          <w:kern w:val="0"/>
          <w:sz w:val="24"/>
          <w:szCs w:val="21"/>
          <w:highlight w:val="none"/>
          <w:lang w:val="en-US" w:eastAsia="zh-CN"/>
        </w:rPr>
        <w:t>本项目</w:t>
      </w:r>
      <w:r>
        <w:rPr>
          <w:rFonts w:hint="default" w:ascii="Times New Roman" w:hAnsi="Times New Roman" w:eastAsia="宋体" w:cs="Times New Roman"/>
          <w:color w:val="auto"/>
          <w:sz w:val="24"/>
          <w:highlight w:val="none"/>
          <w:lang w:val="en-US" w:eastAsia="zh-CN"/>
        </w:rPr>
        <w:t>占地</w:t>
      </w:r>
      <w:r>
        <w:rPr>
          <w:rFonts w:hint="eastAsia" w:ascii="Times New Roman" w:hAnsi="Times New Roman" w:eastAsia="宋体" w:cs="Times New Roman"/>
          <w:color w:val="auto"/>
          <w:sz w:val="24"/>
          <w:highlight w:val="none"/>
          <w:lang w:val="en-US" w:eastAsia="zh-CN"/>
        </w:rPr>
        <w:t>面积</w:t>
      </w:r>
      <w:r>
        <w:rPr>
          <w:rFonts w:hint="eastAsia" w:ascii="Times New Roman" w:hAnsi="Times New Roman" w:eastAsia="宋体"/>
          <w:color w:val="auto"/>
          <w:sz w:val="24"/>
          <w:szCs w:val="24"/>
          <w:highlight w:val="none"/>
          <w:lang w:val="en-US" w:eastAsia="zh-CN"/>
        </w:rPr>
        <w:t>0.39km</w:t>
      </w:r>
      <w:r>
        <w:rPr>
          <w:rFonts w:hint="eastAsia" w:ascii="Times New Roman" w:hAnsi="Times New Roman" w:eastAsia="宋体"/>
          <w:color w:val="auto"/>
          <w:sz w:val="24"/>
          <w:szCs w:val="24"/>
          <w:highlight w:val="none"/>
          <w:vertAlign w:val="superscript"/>
          <w:lang w:val="en-US" w:eastAsia="zh-CN"/>
        </w:rPr>
        <w:t>2</w:t>
      </w:r>
      <w:r>
        <w:rPr>
          <w:rFonts w:hint="eastAsia" w:cs="Times New Roman"/>
          <w:color w:val="auto"/>
          <w:kern w:val="0"/>
          <w:sz w:val="24"/>
          <w:szCs w:val="21"/>
          <w:highlight w:val="none"/>
          <w:lang w:val="en-US" w:eastAsia="zh-CN"/>
        </w:rPr>
        <w:t>，在已闭库东北沟尾矿库上建设</w:t>
      </w:r>
      <w:r>
        <w:rPr>
          <w:rFonts w:hint="default" w:ascii="Times New Roman" w:hAnsi="Times New Roman" w:cs="Times New Roman"/>
          <w:color w:val="auto"/>
          <w:sz w:val="24"/>
          <w:highlight w:val="none"/>
          <w:lang w:val="en-US" w:eastAsia="zh-CN"/>
        </w:rPr>
        <w:t>，年用水量</w:t>
      </w:r>
      <w:r>
        <w:rPr>
          <w:rFonts w:hint="eastAsia" w:cs="Times New Roman"/>
          <w:color w:val="auto"/>
          <w:sz w:val="24"/>
          <w:highlight w:val="none"/>
          <w:lang w:val="en-US" w:eastAsia="zh-CN"/>
        </w:rPr>
        <w:t>3300</w:t>
      </w:r>
      <w:r>
        <w:rPr>
          <w:rFonts w:hint="default" w:ascii="Times New Roman" w:hAnsi="Times New Roman" w:cs="Times New Roman"/>
          <w:color w:val="auto"/>
          <w:sz w:val="24"/>
          <w:highlight w:val="none"/>
          <w:lang w:val="en-US" w:eastAsia="zh-CN"/>
        </w:rPr>
        <w:t>t/a；</w:t>
      </w:r>
      <w:r>
        <w:rPr>
          <w:rFonts w:hint="eastAsia"/>
          <w:kern w:val="0"/>
          <w:sz w:val="24"/>
          <w:szCs w:val="24"/>
          <w:highlight w:val="none"/>
        </w:rPr>
        <w:t>堆存区封场后进行覆土绿化，将恢复其生态环境</w:t>
      </w:r>
      <w:r>
        <w:rPr>
          <w:rFonts w:hint="eastAsia" w:ascii="Times New Roman" w:hAnsi="Times New Roman" w:eastAsia="宋体" w:cs="Times New Roman"/>
          <w:color w:val="000000"/>
          <w:sz w:val="24"/>
          <w:szCs w:val="24"/>
          <w:highlight w:val="none"/>
          <w:lang w:val="en-US" w:eastAsia="zh-CN"/>
        </w:rPr>
        <w:t>。</w:t>
      </w:r>
      <w:r>
        <w:rPr>
          <w:rFonts w:hint="eastAsia" w:ascii="Times New Roman" w:hAnsi="Times New Roman" w:eastAsia="宋体" w:cs="Times New Roman"/>
          <w:color w:val="000000"/>
          <w:sz w:val="24"/>
          <w:highlight w:val="none"/>
          <w:lang w:val="en-US" w:eastAsia="zh-CN"/>
        </w:rPr>
        <w:t>因此，本项目</w:t>
      </w:r>
      <w:r>
        <w:rPr>
          <w:rFonts w:hint="default" w:ascii="Times New Roman" w:hAnsi="Times New Roman" w:eastAsia="宋体" w:cs="Times New Roman"/>
          <w:color w:val="000000"/>
          <w:sz w:val="24"/>
          <w:highlight w:val="none"/>
          <w:lang w:val="en-US" w:eastAsia="zh-CN"/>
        </w:rPr>
        <w:t>不属于高污染、高消耗型企业，</w:t>
      </w:r>
      <w:r>
        <w:rPr>
          <w:rFonts w:hint="eastAsia" w:cs="Times New Roman"/>
          <w:color w:val="000000"/>
          <w:sz w:val="24"/>
          <w:highlight w:val="none"/>
          <w:lang w:val="en-US" w:eastAsia="zh-CN"/>
        </w:rPr>
        <w:t>不会达到资源利用上线</w:t>
      </w:r>
      <w:r>
        <w:rPr>
          <w:rFonts w:hint="default" w:ascii="Times New Roman" w:hAnsi="Times New Roman" w:eastAsia="宋体" w:cs="Times New Roman"/>
          <w:color w:val="000000"/>
          <w:sz w:val="24"/>
          <w:szCs w:val="24"/>
          <w:highlight w:val="none"/>
          <w:lang w:val="en-US" w:eastAsia="zh-CN" w:bidi="ar-SA"/>
        </w:rPr>
        <w:t>。</w:t>
      </w:r>
    </w:p>
    <w:p w14:paraId="54ED889C">
      <w:pPr>
        <w:pageBreakBefore w:val="0"/>
        <w:widowControl w:val="0"/>
        <w:kinsoku/>
        <w:wordWrap/>
        <w:overflowPunct/>
        <w:autoSpaceDE w:val="0"/>
        <w:autoSpaceDN w:val="0"/>
        <w:bidi w:val="0"/>
        <w:adjustRightInd w:val="0"/>
        <w:spacing w:line="360" w:lineRule="auto"/>
        <w:ind w:left="0" w:firstLine="482" w:firstLineChars="200"/>
        <w:jc w:val="both"/>
        <w:rPr>
          <w:rFonts w:hint="default" w:ascii="Times New Roman" w:hAnsi="Times New Roman" w:eastAsia="宋体" w:cs="Times New Roman"/>
          <w:color w:val="000000"/>
          <w:sz w:val="24"/>
          <w:szCs w:val="24"/>
          <w:highlight w:val="none"/>
          <w:lang w:val="en-US" w:eastAsia="zh-CN" w:bidi="ar-SA"/>
        </w:rPr>
      </w:pPr>
      <w:r>
        <w:rPr>
          <w:rFonts w:ascii="Times New Roman" w:hAnsi="Times New Roman" w:eastAsia="宋体" w:cs="宋体"/>
          <w:b/>
          <w:bCs/>
          <w:color w:val="000000"/>
          <w:sz w:val="24"/>
          <w:szCs w:val="24"/>
          <w:highlight w:val="none"/>
          <w:lang w:val="en-US" w:eastAsia="zh-CN" w:bidi="ar-SA"/>
        </w:rPr>
        <w:t>（4）负面清单</w:t>
      </w:r>
    </w:p>
    <w:p w14:paraId="50332306">
      <w:pPr>
        <w:pageBreakBefore w:val="0"/>
        <w:widowControl w:val="0"/>
        <w:kinsoku/>
        <w:wordWrap/>
        <w:overflowPunct/>
        <w:autoSpaceDE w:val="0"/>
        <w:autoSpaceDN w:val="0"/>
        <w:bidi w:val="0"/>
        <w:adjustRightInd w:val="0"/>
        <w:spacing w:line="360" w:lineRule="auto"/>
        <w:ind w:left="0" w:firstLine="480" w:firstLineChars="200"/>
        <w:jc w:val="both"/>
        <w:rPr>
          <w:rFonts w:hint="default" w:ascii="Times New Roman" w:hAnsi="Times New Roman" w:eastAsia="宋体" w:cs="Times New Roman"/>
          <w:color w:val="000000"/>
          <w:sz w:val="24"/>
          <w:szCs w:val="24"/>
          <w:highlight w:val="none"/>
          <w:lang w:val="en-US" w:eastAsia="zh-CN" w:bidi="ar-SA"/>
        </w:rPr>
      </w:pPr>
      <w:r>
        <w:rPr>
          <w:rFonts w:hint="default" w:ascii="Times New Roman" w:hAnsi="Times New Roman" w:eastAsia="宋体" w:cs="Times New Roman"/>
          <w:color w:val="000000"/>
          <w:kern w:val="0"/>
          <w:sz w:val="24"/>
          <w:szCs w:val="21"/>
          <w:highlight w:val="none"/>
        </w:rPr>
        <w:t>本项目不属于《市场准入负面清单（</w:t>
      </w:r>
      <w:r>
        <w:rPr>
          <w:rFonts w:hint="eastAsia" w:cs="Times New Roman"/>
          <w:color w:val="000000"/>
          <w:kern w:val="0"/>
          <w:sz w:val="24"/>
          <w:szCs w:val="21"/>
          <w:highlight w:val="none"/>
          <w:lang w:eastAsia="zh-CN"/>
        </w:rPr>
        <w:t>2025年版</w:t>
      </w:r>
      <w:r>
        <w:rPr>
          <w:rFonts w:hint="default" w:ascii="Times New Roman" w:hAnsi="Times New Roman" w:eastAsia="宋体" w:cs="Times New Roman"/>
          <w:color w:val="000000"/>
          <w:kern w:val="0"/>
          <w:sz w:val="24"/>
          <w:szCs w:val="21"/>
          <w:highlight w:val="none"/>
        </w:rPr>
        <w:t>）》禁止准入类和许可准入类项目。因此，项目建设符合《市场准入负面清单（</w:t>
      </w:r>
      <w:r>
        <w:rPr>
          <w:rFonts w:hint="eastAsia" w:cs="Times New Roman"/>
          <w:color w:val="000000"/>
          <w:kern w:val="0"/>
          <w:sz w:val="24"/>
          <w:szCs w:val="21"/>
          <w:highlight w:val="none"/>
          <w:lang w:eastAsia="zh-CN"/>
        </w:rPr>
        <w:t>2025年版</w:t>
      </w:r>
      <w:r>
        <w:rPr>
          <w:rFonts w:hint="default" w:ascii="Times New Roman" w:hAnsi="Times New Roman" w:eastAsia="宋体" w:cs="Times New Roman"/>
          <w:color w:val="000000"/>
          <w:kern w:val="0"/>
          <w:sz w:val="24"/>
          <w:szCs w:val="21"/>
          <w:highlight w:val="none"/>
        </w:rPr>
        <w:t>）》的相关要求</w:t>
      </w:r>
      <w:r>
        <w:rPr>
          <w:rFonts w:hint="eastAsia" w:ascii="Times New Roman" w:hAnsi="Times New Roman" w:cs="Times New Roman"/>
          <w:color w:val="auto"/>
          <w:sz w:val="24"/>
          <w:szCs w:val="24"/>
          <w:highlight w:val="none"/>
          <w:lang w:val="en-US" w:eastAsia="zh-CN"/>
        </w:rPr>
        <w:t>。</w:t>
      </w:r>
    </w:p>
    <w:p w14:paraId="501E074D">
      <w:pPr>
        <w:pStyle w:val="6"/>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生态环境准入清单</w:t>
      </w:r>
    </w:p>
    <w:p w14:paraId="40BDF5B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2024</w:t>
      </w:r>
      <w:r>
        <w:rPr>
          <w:rFonts w:hint="eastAsia" w:ascii="Times New Roman" w:hAnsi="Times New Roman" w:cs="Times New Roman"/>
          <w:color w:val="auto"/>
          <w:sz w:val="24"/>
          <w:szCs w:val="24"/>
          <w:highlight w:val="none"/>
          <w:lang w:val="en-US" w:eastAsia="zh-CN"/>
        </w:rPr>
        <w:t>年</w:t>
      </w:r>
      <w:r>
        <w:rPr>
          <w:rFonts w:hint="default" w:ascii="Times New Roman" w:hAnsi="Times New Roman" w:eastAsia="宋体" w:cs="Times New Roman"/>
          <w:color w:val="auto"/>
          <w:sz w:val="24"/>
          <w:szCs w:val="24"/>
          <w:highlight w:val="none"/>
          <w:lang w:val="en-US" w:eastAsia="zh-CN"/>
        </w:rPr>
        <w:t>5</w:t>
      </w:r>
      <w:r>
        <w:rPr>
          <w:rFonts w:hint="eastAsia" w:ascii="Times New Roman" w:hAnsi="Times New Roman" w:cs="Times New Roman"/>
          <w:color w:val="auto"/>
          <w:sz w:val="24"/>
          <w:szCs w:val="24"/>
          <w:highlight w:val="none"/>
          <w:lang w:val="en-US" w:eastAsia="zh-CN"/>
        </w:rPr>
        <w:t>月</w:t>
      </w:r>
      <w:r>
        <w:rPr>
          <w:rFonts w:hint="default" w:ascii="Times New Roman" w:hAnsi="Times New Roman" w:eastAsia="宋体" w:cs="Times New Roman"/>
          <w:color w:val="auto"/>
          <w:sz w:val="24"/>
          <w:szCs w:val="24"/>
          <w:highlight w:val="none"/>
          <w:lang w:val="en-US" w:eastAsia="zh-CN"/>
        </w:rPr>
        <w:t>27</w:t>
      </w:r>
      <w:r>
        <w:rPr>
          <w:rFonts w:hint="eastAsia" w:ascii="Times New Roman" w:hAnsi="Times New Roman" w:cs="Times New Roman"/>
          <w:color w:val="auto"/>
          <w:sz w:val="24"/>
          <w:szCs w:val="24"/>
          <w:highlight w:val="none"/>
          <w:lang w:val="en-US" w:eastAsia="zh-CN"/>
        </w:rPr>
        <w:t>日，</w:t>
      </w:r>
      <w:r>
        <w:rPr>
          <w:rFonts w:hint="eastAsia" w:ascii="Times New Roman" w:hAnsi="Times New Roman"/>
          <w:b w:val="0"/>
          <w:bCs w:val="0"/>
          <w:color w:val="auto"/>
          <w:sz w:val="24"/>
          <w:szCs w:val="24"/>
          <w:highlight w:val="none"/>
          <w:lang w:eastAsia="zh-CN"/>
        </w:rPr>
        <w:t>承德市人民政府发布了</w:t>
      </w:r>
      <w:r>
        <w:rPr>
          <w:rFonts w:hint="eastAsia"/>
          <w:b w:val="0"/>
          <w:bCs w:val="0"/>
          <w:color w:val="auto"/>
          <w:sz w:val="24"/>
          <w:szCs w:val="24"/>
          <w:highlight w:val="none"/>
          <w:lang w:eastAsia="zh-CN"/>
        </w:rPr>
        <w:t>“关于发布《承德市生态环境分区管控准入清单(2023年版)》的通知”</w:t>
      </w:r>
      <w:r>
        <w:rPr>
          <w:rFonts w:hint="eastAsia" w:ascii="Times New Roman" w:hAnsi="Times New Roman"/>
          <w:b w:val="0"/>
          <w:bCs w:val="0"/>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项目位于</w:t>
      </w:r>
      <w:r>
        <w:rPr>
          <w:rFonts w:hint="eastAsia" w:cs="宋体"/>
          <w:color w:val="000000"/>
          <w:sz w:val="24"/>
          <w:szCs w:val="24"/>
          <w:highlight w:val="none"/>
          <w:lang w:val="en-US" w:eastAsia="zh-CN" w:bidi="ar-SA"/>
        </w:rPr>
        <w:t>隆化县韩麻营镇东兴村东北沟</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项目</w:t>
      </w:r>
      <w:r>
        <w:rPr>
          <w:rFonts w:hint="eastAsia" w:cs="Times New Roman"/>
          <w:color w:val="auto"/>
          <w:sz w:val="24"/>
          <w:szCs w:val="24"/>
          <w:highlight w:val="none"/>
          <w:lang w:val="en-US" w:eastAsia="zh-CN"/>
        </w:rPr>
        <w:t>所在区域</w:t>
      </w:r>
      <w:r>
        <w:rPr>
          <w:rFonts w:hint="eastAsia" w:ascii="Times New Roman" w:hAnsi="Times New Roman" w:cs="Times New Roman"/>
          <w:color w:val="auto"/>
          <w:sz w:val="24"/>
          <w:szCs w:val="24"/>
          <w:highlight w:val="none"/>
          <w:lang w:val="en-US" w:eastAsia="zh-CN"/>
        </w:rPr>
        <w:t>编号</w:t>
      </w:r>
      <w:r>
        <w:rPr>
          <w:rFonts w:hint="default" w:ascii="Times New Roman" w:hAnsi="Times New Roman" w:cs="Times New Roman"/>
          <w:color w:val="auto"/>
          <w:sz w:val="24"/>
          <w:szCs w:val="24"/>
          <w:highlight w:val="none"/>
          <w:lang w:val="en-US" w:eastAsia="zh-CN"/>
        </w:rPr>
        <w:t>为ZH130</w:t>
      </w:r>
      <w:r>
        <w:rPr>
          <w:rFonts w:hint="eastAsia" w:cs="Times New Roman"/>
          <w:color w:val="auto"/>
          <w:sz w:val="24"/>
          <w:szCs w:val="24"/>
          <w:highlight w:val="none"/>
          <w:lang w:val="en-US" w:eastAsia="zh-CN"/>
        </w:rPr>
        <w:t>82530001</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ZH130</w:t>
      </w:r>
      <w:r>
        <w:rPr>
          <w:rFonts w:hint="eastAsia" w:cs="Times New Roman"/>
          <w:color w:val="auto"/>
          <w:sz w:val="24"/>
          <w:szCs w:val="24"/>
          <w:highlight w:val="none"/>
          <w:lang w:val="en-US" w:eastAsia="zh-CN"/>
        </w:rPr>
        <w:t>82510009</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管控类别为一般管控单元、优先保护单元。</w:t>
      </w:r>
    </w:p>
    <w:p w14:paraId="111DFD1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color w:val="auto"/>
          <w:highlight w:val="none"/>
        </w:rPr>
      </w:pPr>
      <w:r>
        <w:rPr>
          <w:rFonts w:hint="eastAsia" w:cs="Times New Roman"/>
          <w:color w:val="auto"/>
          <w:sz w:val="24"/>
          <w:szCs w:val="24"/>
          <w:highlight w:val="none"/>
          <w:lang w:val="en-US" w:eastAsia="zh-CN"/>
        </w:rPr>
        <w:t>本</w:t>
      </w:r>
      <w:r>
        <w:rPr>
          <w:rFonts w:hint="eastAsia" w:ascii="Times New Roman" w:hAnsi="Times New Roman"/>
          <w:color w:val="auto"/>
          <w:sz w:val="24"/>
          <w:szCs w:val="24"/>
          <w:highlight w:val="none"/>
        </w:rPr>
        <w:t>项目选址与承德市环境管控单元图位置关系</w:t>
      </w:r>
      <w:r>
        <w:rPr>
          <w:rFonts w:hint="eastAsia"/>
          <w:color w:val="auto"/>
          <w:sz w:val="24"/>
          <w:szCs w:val="24"/>
          <w:highlight w:val="none"/>
          <w:lang w:val="en-US" w:eastAsia="zh-CN"/>
        </w:rPr>
        <w:t>见下图：</w:t>
      </w:r>
    </w:p>
    <w:p w14:paraId="46B0E5A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drawing>
          <wp:inline distT="0" distB="0" distL="114300" distR="114300">
            <wp:extent cx="5273675" cy="3582670"/>
            <wp:effectExtent l="0" t="0" r="0" b="0"/>
            <wp:docPr id="46" name="图片 46" descr="三线一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三线一单"/>
                    <pic:cNvPicPr>
                      <a:picLocks noChangeAspect="1"/>
                    </pic:cNvPicPr>
                  </pic:nvPicPr>
                  <pic:blipFill>
                    <a:blip r:embed="rId12"/>
                    <a:srcRect b="3901"/>
                    <a:stretch>
                      <a:fillRect/>
                    </a:stretch>
                  </pic:blipFill>
                  <pic:spPr>
                    <a:xfrm>
                      <a:off x="0" y="0"/>
                      <a:ext cx="5273675" cy="3582670"/>
                    </a:xfrm>
                    <a:prstGeom prst="rect">
                      <a:avLst/>
                    </a:prstGeom>
                  </pic:spPr>
                </pic:pic>
              </a:graphicData>
            </a:graphic>
          </wp:inline>
        </w:drawing>
      </w:r>
    </w:p>
    <w:p w14:paraId="38015F45">
      <w:pPr>
        <w:pageBreakBefore w:val="0"/>
        <w:widowControl w:val="0"/>
        <w:kinsoku/>
        <w:wordWrap/>
        <w:overflowPunct/>
        <w:autoSpaceDE w:val="0"/>
        <w:autoSpaceDN w:val="0"/>
        <w:bidi w:val="0"/>
        <w:adjustRightInd w:val="0"/>
        <w:spacing w:line="360" w:lineRule="auto"/>
        <w:ind w:left="0" w:firstLine="422" w:firstLineChars="200"/>
        <w:jc w:val="center"/>
        <w:rPr>
          <w:rFonts w:hint="default" w:ascii="Times New Roman" w:hAnsi="Times New Roman" w:eastAsia="宋体" w:cs="Times New Roman"/>
          <w:b/>
          <w:bCs w:val="0"/>
          <w:color w:val="000000"/>
          <w:sz w:val="21"/>
          <w:szCs w:val="21"/>
          <w:highlight w:val="none"/>
          <w:lang w:val="en-US" w:eastAsia="zh-CN" w:bidi="ar-SA"/>
        </w:rPr>
      </w:pPr>
      <w:r>
        <w:rPr>
          <w:rFonts w:hint="default" w:ascii="Times New Roman" w:hAnsi="Times New Roman" w:cs="Times New Roman"/>
          <w:b/>
          <w:bCs w:val="0"/>
          <w:color w:val="auto"/>
          <w:sz w:val="21"/>
          <w:szCs w:val="21"/>
          <w:highlight w:val="none"/>
        </w:rPr>
        <w:t>图</w:t>
      </w:r>
      <w:r>
        <w:rPr>
          <w:rFonts w:hint="eastAsia" w:ascii="Times New Roman" w:hAnsi="Times New Roman" w:cs="Times New Roman"/>
          <w:b/>
          <w:bCs w:val="0"/>
          <w:color w:val="auto"/>
          <w:sz w:val="21"/>
          <w:szCs w:val="21"/>
          <w:highlight w:val="none"/>
          <w:lang w:val="en-US" w:eastAsia="zh-CN"/>
        </w:rPr>
        <w:t>1</w:t>
      </w:r>
      <w:r>
        <w:rPr>
          <w:rFonts w:hint="default" w:ascii="Times New Roman" w:hAnsi="Times New Roman" w:cs="Times New Roman"/>
          <w:b/>
          <w:bCs w:val="0"/>
          <w:color w:val="auto"/>
          <w:sz w:val="21"/>
          <w:szCs w:val="21"/>
          <w:highlight w:val="none"/>
          <w:lang w:val="en-US" w:eastAsia="zh-CN"/>
        </w:rPr>
        <w:t>-</w:t>
      </w:r>
      <w:r>
        <w:rPr>
          <w:rFonts w:hint="eastAsia" w:cs="Times New Roman"/>
          <w:b/>
          <w:bCs w:val="0"/>
          <w:color w:val="auto"/>
          <w:sz w:val="21"/>
          <w:szCs w:val="21"/>
          <w:highlight w:val="none"/>
          <w:lang w:val="en-US" w:eastAsia="zh-CN"/>
        </w:rPr>
        <w:t>1</w:t>
      </w:r>
      <w:r>
        <w:rPr>
          <w:rFonts w:hint="default" w:ascii="Times New Roman" w:hAnsi="Times New Roman" w:cs="Times New Roman"/>
          <w:b/>
          <w:bCs w:val="0"/>
          <w:color w:val="auto"/>
          <w:sz w:val="21"/>
          <w:szCs w:val="21"/>
          <w:highlight w:val="none"/>
          <w:lang w:val="en-US" w:eastAsia="zh-CN"/>
        </w:rPr>
        <w:t xml:space="preserve"> </w:t>
      </w:r>
      <w:r>
        <w:rPr>
          <w:rFonts w:hint="default" w:ascii="Times New Roman" w:hAnsi="Times New Roman" w:cs="Times New Roman"/>
          <w:b/>
          <w:bCs w:val="0"/>
          <w:color w:val="auto"/>
          <w:sz w:val="21"/>
          <w:szCs w:val="21"/>
          <w:highlight w:val="none"/>
        </w:rPr>
        <w:t xml:space="preserve"> </w:t>
      </w:r>
      <w:r>
        <w:rPr>
          <w:rFonts w:hint="eastAsia" w:cs="Times New Roman"/>
          <w:b/>
          <w:bCs w:val="0"/>
          <w:color w:val="000000"/>
          <w:sz w:val="21"/>
          <w:szCs w:val="21"/>
          <w:highlight w:val="none"/>
          <w:lang w:val="en-US" w:eastAsia="zh-CN" w:bidi="ar-SA"/>
        </w:rPr>
        <w:t>项目与承德市环境管控单元图位置关系图</w:t>
      </w:r>
    </w:p>
    <w:p w14:paraId="5FC5B290">
      <w:pPr>
        <w:keepNext w:val="0"/>
        <w:keepLines w:val="0"/>
        <w:pageBreakBefore w:val="0"/>
        <w:widowControl w:val="0"/>
        <w:kinsoku/>
        <w:wordWrap/>
        <w:overflowPunct/>
        <w:topLinePunct w:val="0"/>
        <w:autoSpaceDE/>
        <w:autoSpaceDN/>
        <w:bidi w:val="0"/>
        <w:spacing w:line="360" w:lineRule="auto"/>
        <w:ind w:firstLine="480"/>
        <w:textAlignment w:val="auto"/>
        <w:rPr>
          <w:rFonts w:hint="eastAsia" w:ascii="Times New Roman" w:hAnsi="Times New Roman" w:eastAsia="宋体"/>
          <w:color w:val="auto"/>
          <w:highlight w:val="none"/>
          <w:lang w:eastAsia="zh-CN"/>
        </w:rPr>
      </w:pPr>
      <w:r>
        <w:rPr>
          <w:rFonts w:hint="eastAsia" w:ascii="Times New Roman" w:hAnsi="Times New Roman" w:eastAsia="宋体" w:cs="Times New Roman"/>
          <w:color w:val="auto"/>
          <w:sz w:val="24"/>
          <w:highlight w:val="none"/>
        </w:rPr>
        <w:t>项目环境管控单元准入清单符合性分析判定内容如下表所示：</w:t>
      </w:r>
    </w:p>
    <w:p w14:paraId="0946C7E8">
      <w:pPr>
        <w:keepNext w:val="0"/>
        <w:keepLines w:val="0"/>
        <w:pageBreakBefore w:val="0"/>
        <w:numPr>
          <w:ilvl w:val="0"/>
          <w:numId w:val="10"/>
        </w:numPr>
        <w:kinsoku/>
        <w:wordWrap/>
        <w:overflowPunct/>
        <w:topLinePunct w:val="0"/>
        <w:autoSpaceDE/>
        <w:autoSpaceDN/>
        <w:bidi w:val="0"/>
        <w:adjustRightInd w:val="0"/>
        <w:snapToGrid w:val="0"/>
        <w:spacing w:line="360" w:lineRule="auto"/>
        <w:ind w:left="0" w:leftChars="0" w:firstLine="0" w:firstLineChars="0"/>
        <w:jc w:val="center"/>
        <w:textAlignment w:val="auto"/>
        <w:rPr>
          <w:rStyle w:val="152"/>
          <w:rFonts w:hint="eastAsia" w:ascii="Times New Roman" w:hAnsi="Times New Roman" w:eastAsia="宋体" w:cs="Times New Roman"/>
          <w:b/>
          <w:bCs w:val="0"/>
          <w:color w:val="auto"/>
          <w:szCs w:val="21"/>
          <w:highlight w:val="none"/>
          <w:lang w:val="en-US" w:eastAsia="zh-CN" w:bidi="ar-SA"/>
        </w:rPr>
      </w:pPr>
      <w:r>
        <w:rPr>
          <w:rStyle w:val="152"/>
          <w:rFonts w:hint="eastAsia" w:cs="Times New Roman"/>
          <w:b/>
          <w:bCs w:val="0"/>
          <w:color w:val="auto"/>
          <w:szCs w:val="21"/>
          <w:highlight w:val="none"/>
          <w:lang w:val="en-US" w:eastAsia="zh-CN" w:bidi="ar-SA"/>
        </w:rPr>
        <w:t xml:space="preserve"> </w:t>
      </w:r>
      <w:r>
        <w:rPr>
          <w:rStyle w:val="152"/>
          <w:rFonts w:hint="eastAsia" w:ascii="Times New Roman" w:hAnsi="Times New Roman" w:eastAsia="宋体" w:cs="Times New Roman"/>
          <w:b/>
          <w:bCs w:val="0"/>
          <w:color w:val="auto"/>
          <w:szCs w:val="21"/>
          <w:highlight w:val="none"/>
          <w:lang w:val="en-US" w:eastAsia="zh-CN" w:bidi="ar-SA"/>
        </w:rPr>
        <w:t>项目环境管控单元准入清单符合性分析表</w:t>
      </w:r>
    </w:p>
    <w:tbl>
      <w:tblPr>
        <w:tblStyle w:val="5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1"/>
        <w:gridCol w:w="661"/>
        <w:gridCol w:w="827"/>
        <w:gridCol w:w="866"/>
        <w:gridCol w:w="3377"/>
        <w:gridCol w:w="1664"/>
        <w:gridCol w:w="427"/>
      </w:tblGrid>
      <w:tr w14:paraId="3B40C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tcBorders>
              <w:tl2br w:val="nil"/>
              <w:tr2bl w:val="nil"/>
            </w:tcBorders>
            <w:noWrap w:val="0"/>
            <w:vAlign w:val="center"/>
          </w:tcPr>
          <w:p w14:paraId="64E7A73C">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编号</w:t>
            </w:r>
          </w:p>
        </w:tc>
        <w:tc>
          <w:tcPr>
            <w:tcW w:w="387" w:type="pct"/>
            <w:tcBorders>
              <w:tl2br w:val="nil"/>
              <w:tr2bl w:val="nil"/>
            </w:tcBorders>
            <w:shd w:val="clear" w:color="auto" w:fill="auto"/>
            <w:noWrap w:val="0"/>
            <w:vAlign w:val="center"/>
          </w:tcPr>
          <w:p w14:paraId="211C779A">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cs="Times New Roman"/>
                <w:b/>
                <w:bCs/>
                <w:color w:val="auto"/>
                <w:sz w:val="21"/>
                <w:szCs w:val="21"/>
                <w:highlight w:val="none"/>
                <w:vertAlign w:val="baseline"/>
                <w:lang w:val="en-US" w:eastAsia="zh-CN"/>
              </w:rPr>
              <w:t>管控类别</w:t>
            </w:r>
          </w:p>
        </w:tc>
        <w:tc>
          <w:tcPr>
            <w:tcW w:w="485" w:type="pct"/>
            <w:tcBorders>
              <w:tl2br w:val="nil"/>
              <w:tr2bl w:val="nil"/>
            </w:tcBorders>
            <w:noWrap w:val="0"/>
            <w:vAlign w:val="center"/>
          </w:tcPr>
          <w:p w14:paraId="26B8E8B4">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bCs/>
                <w:color w:val="auto"/>
                <w:sz w:val="21"/>
                <w:szCs w:val="21"/>
                <w:highlight w:val="none"/>
                <w:vertAlign w:val="baseline"/>
              </w:rPr>
            </w:pPr>
            <w:r>
              <w:rPr>
                <w:rFonts w:hint="eastAsia" w:ascii="Times New Roman" w:hAnsi="Times New Roman" w:eastAsia="宋体" w:cs="Times New Roman"/>
                <w:b/>
                <w:bCs/>
                <w:color w:val="auto"/>
                <w:sz w:val="21"/>
                <w:szCs w:val="21"/>
                <w:highlight w:val="none"/>
                <w:vertAlign w:val="baseline"/>
              </w:rPr>
              <w:t>环境要素类别</w:t>
            </w:r>
          </w:p>
        </w:tc>
        <w:tc>
          <w:tcPr>
            <w:tcW w:w="508" w:type="pct"/>
            <w:tcBorders>
              <w:tl2br w:val="nil"/>
              <w:tr2bl w:val="nil"/>
            </w:tcBorders>
            <w:noWrap w:val="0"/>
            <w:vAlign w:val="center"/>
          </w:tcPr>
          <w:p w14:paraId="000EC0A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维度</w:t>
            </w:r>
          </w:p>
        </w:tc>
        <w:tc>
          <w:tcPr>
            <w:tcW w:w="1981" w:type="pct"/>
            <w:tcBorders>
              <w:tl2br w:val="nil"/>
              <w:tr2bl w:val="nil"/>
            </w:tcBorders>
            <w:noWrap w:val="0"/>
            <w:vAlign w:val="center"/>
          </w:tcPr>
          <w:p w14:paraId="680D446C">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管控措施</w:t>
            </w:r>
          </w:p>
        </w:tc>
        <w:tc>
          <w:tcPr>
            <w:tcW w:w="976" w:type="pct"/>
            <w:tcBorders>
              <w:tl2br w:val="nil"/>
              <w:tr2bl w:val="nil"/>
            </w:tcBorders>
            <w:noWrap w:val="0"/>
            <w:vAlign w:val="center"/>
          </w:tcPr>
          <w:p w14:paraId="59569328">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企业情况</w:t>
            </w:r>
          </w:p>
        </w:tc>
        <w:tc>
          <w:tcPr>
            <w:tcW w:w="250" w:type="pct"/>
            <w:tcBorders>
              <w:tl2br w:val="nil"/>
              <w:tr2bl w:val="nil"/>
            </w:tcBorders>
            <w:noWrap w:val="0"/>
            <w:vAlign w:val="center"/>
          </w:tcPr>
          <w:p w14:paraId="5D4CB1E1">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符合性</w:t>
            </w:r>
          </w:p>
        </w:tc>
      </w:tr>
      <w:tr w14:paraId="61CA5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tcBorders>
              <w:tl2br w:val="nil"/>
              <w:tr2bl w:val="nil"/>
            </w:tcBorders>
            <w:noWrap w:val="0"/>
            <w:vAlign w:val="center"/>
          </w:tcPr>
          <w:p w14:paraId="72DC5D4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ZH13082530001</w:t>
            </w:r>
          </w:p>
        </w:tc>
        <w:tc>
          <w:tcPr>
            <w:tcW w:w="387" w:type="pct"/>
            <w:vMerge w:val="restart"/>
            <w:tcBorders>
              <w:tl2br w:val="nil"/>
              <w:tr2bl w:val="nil"/>
            </w:tcBorders>
            <w:shd w:val="clear" w:color="auto" w:fill="auto"/>
            <w:noWrap w:val="0"/>
            <w:vAlign w:val="center"/>
          </w:tcPr>
          <w:p w14:paraId="13C0D116">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一般管控单元</w:t>
            </w:r>
          </w:p>
        </w:tc>
        <w:tc>
          <w:tcPr>
            <w:tcW w:w="485" w:type="pct"/>
            <w:vMerge w:val="restart"/>
            <w:tcBorders>
              <w:tl2br w:val="nil"/>
              <w:tr2bl w:val="nil"/>
            </w:tcBorders>
            <w:noWrap w:val="0"/>
            <w:vAlign w:val="center"/>
          </w:tcPr>
          <w:p w14:paraId="498FA4D6">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rPr>
            </w:pPr>
            <w:r>
              <w:rPr>
                <w:rFonts w:hint="eastAsia" w:ascii="Times New Roman" w:hAnsi="Times New Roman" w:eastAsia="宋体" w:cs="Times New Roman"/>
                <w:b w:val="0"/>
                <w:bCs w:val="0"/>
                <w:color w:val="auto"/>
                <w:sz w:val="21"/>
                <w:szCs w:val="21"/>
                <w:highlight w:val="none"/>
                <w:vertAlign w:val="baseline"/>
              </w:rPr>
              <w:t>水环境其他区域</w:t>
            </w:r>
          </w:p>
          <w:p w14:paraId="68D4639D">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rPr>
            </w:pPr>
            <w:r>
              <w:rPr>
                <w:rFonts w:hint="eastAsia" w:ascii="Times New Roman" w:hAnsi="Times New Roman" w:eastAsia="宋体" w:cs="Times New Roman"/>
                <w:b w:val="0"/>
                <w:bCs w:val="0"/>
                <w:color w:val="auto"/>
                <w:sz w:val="21"/>
                <w:szCs w:val="21"/>
                <w:highlight w:val="none"/>
                <w:vertAlign w:val="baseline"/>
              </w:rPr>
              <w:t>大气一般管控区</w:t>
            </w:r>
          </w:p>
        </w:tc>
        <w:tc>
          <w:tcPr>
            <w:tcW w:w="508" w:type="pct"/>
            <w:tcBorders>
              <w:tl2br w:val="nil"/>
              <w:tr2bl w:val="nil"/>
            </w:tcBorders>
            <w:shd w:val="clear" w:color="auto" w:fill="auto"/>
            <w:noWrap w:val="0"/>
            <w:vAlign w:val="center"/>
          </w:tcPr>
          <w:p w14:paraId="2405D46E">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rPr>
              <w:t>空间布局</w:t>
            </w:r>
          </w:p>
        </w:tc>
        <w:tc>
          <w:tcPr>
            <w:tcW w:w="1981" w:type="pct"/>
            <w:tcBorders>
              <w:tl2br w:val="nil"/>
              <w:tr2bl w:val="nil"/>
            </w:tcBorders>
            <w:noWrap w:val="0"/>
            <w:vAlign w:val="center"/>
          </w:tcPr>
          <w:p w14:paraId="56A5E53B">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1、在沙化土地范围内从事开发建设活动的，必须事先就该项目可能对当地及相关地区生态产生的影响进行环境影响评价，依法提交环境影响报告；环境影响报告应当包括有关防沙治沙的内容。</w:t>
            </w:r>
          </w:p>
        </w:tc>
        <w:tc>
          <w:tcPr>
            <w:tcW w:w="976" w:type="pct"/>
            <w:tcBorders>
              <w:tl2br w:val="nil"/>
              <w:tr2bl w:val="nil"/>
            </w:tcBorders>
            <w:noWrap w:val="0"/>
            <w:vAlign w:val="center"/>
          </w:tcPr>
          <w:p w14:paraId="72DA4659">
            <w:pPr>
              <w:pStyle w:val="72"/>
              <w:keepNext w:val="0"/>
              <w:keepLines w:val="0"/>
              <w:pageBreakBefore w:val="0"/>
              <w:widowControl w:val="0"/>
              <w:kinsoku/>
              <w:wordWrap/>
              <w:overflowPunct/>
              <w:topLinePunct w:val="0"/>
              <w:autoSpaceDE/>
              <w:autoSpaceDN/>
              <w:bidi w:val="0"/>
              <w:adjustRightInd w:val="0"/>
              <w:spacing w:line="240" w:lineRule="atLeast"/>
              <w:ind w:left="0" w:leftChars="0" w:firstLine="0" w:firstLineChars="0"/>
              <w:jc w:val="center"/>
              <w:textAlignment w:val="auto"/>
              <w:rPr>
                <w:rFonts w:hint="default"/>
                <w:sz w:val="21"/>
                <w:szCs w:val="21"/>
                <w:highlight w:val="none"/>
                <w:lang w:val="en-US" w:eastAsia="zh-CN"/>
              </w:rPr>
            </w:pPr>
            <w:r>
              <w:rPr>
                <w:rFonts w:hint="eastAsia" w:ascii="Times New Roman" w:hAnsi="Times New Roman" w:eastAsia="宋体" w:cs="Times New Roman"/>
                <w:color w:val="auto"/>
                <w:w w:val="100"/>
                <w:sz w:val="21"/>
                <w:szCs w:val="21"/>
                <w:highlight w:val="none"/>
                <w:vertAlign w:val="baseline"/>
                <w:lang w:val="en-US" w:eastAsia="zh-CN"/>
              </w:rPr>
              <w:t>1、本项目不在沙化土地范围内。</w:t>
            </w:r>
          </w:p>
        </w:tc>
        <w:tc>
          <w:tcPr>
            <w:tcW w:w="250" w:type="pct"/>
            <w:tcBorders>
              <w:tl2br w:val="nil"/>
              <w:tr2bl w:val="nil"/>
            </w:tcBorders>
            <w:noWrap w:val="0"/>
            <w:vAlign w:val="center"/>
          </w:tcPr>
          <w:p w14:paraId="2EB704F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71494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1C2F2718">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bCs/>
                <w:color w:val="auto"/>
                <w:sz w:val="21"/>
                <w:szCs w:val="21"/>
                <w:highlight w:val="none"/>
                <w:vertAlign w:val="baseline"/>
                <w:lang w:val="en-US" w:eastAsia="zh-CN"/>
              </w:rPr>
            </w:pPr>
          </w:p>
        </w:tc>
        <w:tc>
          <w:tcPr>
            <w:tcW w:w="387" w:type="pct"/>
            <w:vMerge w:val="continue"/>
            <w:tcBorders>
              <w:tl2br w:val="nil"/>
              <w:tr2bl w:val="nil"/>
            </w:tcBorders>
            <w:shd w:val="clear" w:color="auto" w:fill="auto"/>
            <w:noWrap w:val="0"/>
            <w:vAlign w:val="center"/>
          </w:tcPr>
          <w:p w14:paraId="137D7CA8">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val="0"/>
                <w:bCs w:val="0"/>
                <w:color w:val="auto"/>
                <w:sz w:val="21"/>
                <w:szCs w:val="21"/>
                <w:highlight w:val="none"/>
                <w:vertAlign w:val="baseline"/>
                <w:lang w:val="en-US" w:eastAsia="zh-CN"/>
              </w:rPr>
            </w:pPr>
          </w:p>
        </w:tc>
        <w:tc>
          <w:tcPr>
            <w:tcW w:w="485" w:type="pct"/>
            <w:vMerge w:val="continue"/>
            <w:tcBorders>
              <w:tl2br w:val="nil"/>
              <w:tr2bl w:val="nil"/>
            </w:tcBorders>
            <w:noWrap w:val="0"/>
            <w:vAlign w:val="center"/>
          </w:tcPr>
          <w:p w14:paraId="370AB45A">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rPr>
            </w:pPr>
          </w:p>
        </w:tc>
        <w:tc>
          <w:tcPr>
            <w:tcW w:w="508" w:type="pct"/>
            <w:tcBorders>
              <w:tl2br w:val="nil"/>
              <w:tr2bl w:val="nil"/>
            </w:tcBorders>
            <w:shd w:val="clear" w:color="auto" w:fill="auto"/>
            <w:noWrap w:val="0"/>
            <w:vAlign w:val="center"/>
          </w:tcPr>
          <w:p w14:paraId="57D55F1C">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rPr>
              <w:t>污染物排放管控</w:t>
            </w:r>
          </w:p>
        </w:tc>
        <w:tc>
          <w:tcPr>
            <w:tcW w:w="1981" w:type="pct"/>
            <w:tcBorders>
              <w:tl2br w:val="nil"/>
              <w:tr2bl w:val="nil"/>
            </w:tcBorders>
            <w:noWrap w:val="0"/>
            <w:vAlign w:val="center"/>
          </w:tcPr>
          <w:p w14:paraId="570759E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1、贯彻实施国家、河北省大气污染物排放标准，完善脱硫、脱硝、除尘等污染治理设施，实现达标排放。</w:t>
            </w:r>
          </w:p>
        </w:tc>
        <w:tc>
          <w:tcPr>
            <w:tcW w:w="976" w:type="pct"/>
            <w:tcBorders>
              <w:tl2br w:val="nil"/>
              <w:tr2bl w:val="nil"/>
            </w:tcBorders>
            <w:noWrap w:val="0"/>
            <w:vAlign w:val="center"/>
          </w:tcPr>
          <w:p w14:paraId="099CEE0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r>
              <w:rPr>
                <w:rFonts w:hint="eastAsia" w:ascii="Times New Roman" w:hAnsi="Times New Roman" w:eastAsia="宋体" w:cs="Times New Roman"/>
                <w:color w:val="auto"/>
                <w:w w:val="100"/>
                <w:sz w:val="21"/>
                <w:szCs w:val="21"/>
                <w:highlight w:val="none"/>
                <w:vertAlign w:val="baseline"/>
                <w:lang w:val="en-US" w:eastAsia="zh-CN"/>
              </w:rPr>
              <w:t>不涉及。</w:t>
            </w:r>
          </w:p>
        </w:tc>
        <w:tc>
          <w:tcPr>
            <w:tcW w:w="250" w:type="pct"/>
            <w:tcBorders>
              <w:tl2br w:val="nil"/>
              <w:tr2bl w:val="nil"/>
            </w:tcBorders>
            <w:noWrap w:val="0"/>
            <w:vAlign w:val="center"/>
          </w:tcPr>
          <w:p w14:paraId="1D1C1FD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2069B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2258A1BF">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bCs/>
                <w:color w:val="auto"/>
                <w:sz w:val="21"/>
                <w:szCs w:val="21"/>
                <w:highlight w:val="none"/>
                <w:vertAlign w:val="baseline"/>
                <w:lang w:val="en-US" w:eastAsia="zh-CN"/>
              </w:rPr>
            </w:pPr>
          </w:p>
        </w:tc>
        <w:tc>
          <w:tcPr>
            <w:tcW w:w="387" w:type="pct"/>
            <w:vMerge w:val="continue"/>
            <w:tcBorders>
              <w:tl2br w:val="nil"/>
              <w:tr2bl w:val="nil"/>
            </w:tcBorders>
            <w:shd w:val="clear" w:color="auto" w:fill="auto"/>
            <w:noWrap w:val="0"/>
            <w:vAlign w:val="center"/>
          </w:tcPr>
          <w:p w14:paraId="2CD5F199">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val="0"/>
                <w:bCs w:val="0"/>
                <w:color w:val="auto"/>
                <w:sz w:val="21"/>
                <w:szCs w:val="21"/>
                <w:highlight w:val="none"/>
                <w:vertAlign w:val="baseline"/>
                <w:lang w:val="en-US" w:eastAsia="zh-CN"/>
              </w:rPr>
            </w:pPr>
          </w:p>
        </w:tc>
        <w:tc>
          <w:tcPr>
            <w:tcW w:w="485" w:type="pct"/>
            <w:vMerge w:val="continue"/>
            <w:tcBorders>
              <w:tl2br w:val="nil"/>
              <w:tr2bl w:val="nil"/>
            </w:tcBorders>
            <w:noWrap w:val="0"/>
            <w:vAlign w:val="center"/>
          </w:tcPr>
          <w:p w14:paraId="360CDF68">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rPr>
            </w:pPr>
          </w:p>
        </w:tc>
        <w:tc>
          <w:tcPr>
            <w:tcW w:w="508" w:type="pct"/>
            <w:tcBorders>
              <w:tl2br w:val="nil"/>
              <w:tr2bl w:val="nil"/>
            </w:tcBorders>
            <w:shd w:val="clear" w:color="auto" w:fill="auto"/>
            <w:noWrap w:val="0"/>
            <w:vAlign w:val="center"/>
          </w:tcPr>
          <w:p w14:paraId="2E4595B9">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rPr>
              <w:t>环境风险防控</w:t>
            </w:r>
          </w:p>
        </w:tc>
        <w:tc>
          <w:tcPr>
            <w:tcW w:w="1981" w:type="pct"/>
            <w:tcBorders>
              <w:tl2br w:val="nil"/>
              <w:tr2bl w:val="nil"/>
            </w:tcBorders>
            <w:noWrap w:val="0"/>
            <w:vAlign w:val="center"/>
          </w:tcPr>
          <w:p w14:paraId="40DE784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1、矿山企业应当依据国家有关规定编制矿山生态环境保护与恢复治理等方案，严格履行责任义务，边开采、边治理、边恢复；依法依规有序退出的矿山及时进行生态评估并实施生态恢复。</w:t>
            </w:r>
          </w:p>
          <w:p w14:paraId="5382683B">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2、推进企业建立健全尾矿库全生命周期风险防控和隐患治理机制，落实管控措施，确保尾矿库安全运行、闭库。</w:t>
            </w:r>
          </w:p>
        </w:tc>
        <w:tc>
          <w:tcPr>
            <w:tcW w:w="976" w:type="pct"/>
            <w:tcBorders>
              <w:tl2br w:val="nil"/>
              <w:tr2bl w:val="nil"/>
            </w:tcBorders>
            <w:noWrap w:val="0"/>
            <w:vAlign w:val="center"/>
          </w:tcPr>
          <w:p w14:paraId="36F7D86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r>
              <w:rPr>
                <w:rFonts w:hint="eastAsia" w:ascii="Times New Roman" w:hAnsi="Times New Roman" w:eastAsia="宋体" w:cs="Times New Roman"/>
                <w:b w:val="0"/>
                <w:bCs w:val="0"/>
                <w:color w:val="auto"/>
                <w:sz w:val="21"/>
                <w:szCs w:val="21"/>
                <w:highlight w:val="none"/>
                <w:vertAlign w:val="baseline"/>
                <w:lang w:val="en-US" w:eastAsia="zh-CN"/>
              </w:rPr>
              <w:t>企业依据国家有关规定编制矿山生态环境保护与恢复治理等方案，</w:t>
            </w:r>
            <w:r>
              <w:rPr>
                <w:rFonts w:hint="eastAsia" w:cs="Times New Roman"/>
                <w:b w:val="0"/>
                <w:bCs w:val="0"/>
                <w:color w:val="auto"/>
                <w:sz w:val="21"/>
                <w:szCs w:val="21"/>
                <w:highlight w:val="none"/>
                <w:vertAlign w:val="baseline"/>
                <w:lang w:val="en-US" w:eastAsia="zh-CN"/>
              </w:rPr>
              <w:t>项目运营阶段及时进行生态恢复，服务期满后进行封场、生态恢复。</w:t>
            </w:r>
          </w:p>
          <w:p w14:paraId="054582F4">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w:t>
            </w:r>
            <w:r>
              <w:rPr>
                <w:rFonts w:hint="eastAsia" w:ascii="Times New Roman" w:hAnsi="Times New Roman" w:eastAsia="宋体" w:cs="Times New Roman"/>
                <w:color w:val="auto"/>
                <w:w w:val="100"/>
                <w:sz w:val="21"/>
                <w:szCs w:val="21"/>
                <w:highlight w:val="none"/>
                <w:vertAlign w:val="baseline"/>
                <w:lang w:val="en-US" w:eastAsia="zh-CN"/>
              </w:rPr>
              <w:t>不涉及</w:t>
            </w:r>
            <w:r>
              <w:rPr>
                <w:rFonts w:hint="eastAsia" w:cs="Times New Roman"/>
                <w:b w:val="0"/>
                <w:bCs w:val="0"/>
                <w:color w:val="auto"/>
                <w:sz w:val="21"/>
                <w:szCs w:val="21"/>
                <w:highlight w:val="none"/>
                <w:vertAlign w:val="baseline"/>
                <w:lang w:val="en-US" w:eastAsia="zh-CN"/>
              </w:rPr>
              <w:t>。</w:t>
            </w:r>
          </w:p>
        </w:tc>
        <w:tc>
          <w:tcPr>
            <w:tcW w:w="250" w:type="pct"/>
            <w:tcBorders>
              <w:tl2br w:val="nil"/>
              <w:tr2bl w:val="nil"/>
            </w:tcBorders>
            <w:noWrap w:val="0"/>
            <w:vAlign w:val="center"/>
          </w:tcPr>
          <w:p w14:paraId="13F7F42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26D65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01C01E1F">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bCs/>
                <w:color w:val="auto"/>
                <w:sz w:val="21"/>
                <w:szCs w:val="21"/>
                <w:highlight w:val="none"/>
                <w:vertAlign w:val="baseline"/>
                <w:lang w:val="en-US" w:eastAsia="zh-CN"/>
              </w:rPr>
            </w:pPr>
          </w:p>
        </w:tc>
        <w:tc>
          <w:tcPr>
            <w:tcW w:w="387" w:type="pct"/>
            <w:vMerge w:val="continue"/>
            <w:tcBorders>
              <w:tl2br w:val="nil"/>
              <w:tr2bl w:val="nil"/>
            </w:tcBorders>
            <w:shd w:val="clear" w:color="auto" w:fill="auto"/>
            <w:noWrap w:val="0"/>
            <w:vAlign w:val="center"/>
          </w:tcPr>
          <w:p w14:paraId="7E9FBCF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b w:val="0"/>
                <w:bCs w:val="0"/>
                <w:color w:val="auto"/>
                <w:sz w:val="21"/>
                <w:szCs w:val="21"/>
                <w:highlight w:val="none"/>
                <w:vertAlign w:val="baseline"/>
                <w:lang w:val="en-US" w:eastAsia="zh-CN"/>
              </w:rPr>
            </w:pPr>
          </w:p>
        </w:tc>
        <w:tc>
          <w:tcPr>
            <w:tcW w:w="485" w:type="pct"/>
            <w:vMerge w:val="continue"/>
            <w:tcBorders>
              <w:tl2br w:val="nil"/>
              <w:tr2bl w:val="nil"/>
            </w:tcBorders>
            <w:noWrap w:val="0"/>
            <w:vAlign w:val="center"/>
          </w:tcPr>
          <w:p w14:paraId="294E34FC">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rPr>
            </w:pPr>
          </w:p>
        </w:tc>
        <w:tc>
          <w:tcPr>
            <w:tcW w:w="508" w:type="pct"/>
            <w:tcBorders>
              <w:tl2br w:val="nil"/>
              <w:tr2bl w:val="nil"/>
            </w:tcBorders>
            <w:shd w:val="clear" w:color="auto" w:fill="auto"/>
            <w:noWrap w:val="0"/>
            <w:vAlign w:val="center"/>
          </w:tcPr>
          <w:p w14:paraId="78DAC227">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rPr>
              <w:t>资源利用效率</w:t>
            </w:r>
          </w:p>
        </w:tc>
        <w:tc>
          <w:tcPr>
            <w:tcW w:w="1981" w:type="pct"/>
            <w:tcBorders>
              <w:tl2br w:val="nil"/>
              <w:tr2bl w:val="nil"/>
            </w:tcBorders>
            <w:noWrap w:val="0"/>
            <w:vAlign w:val="center"/>
          </w:tcPr>
          <w:p w14:paraId="627809B0">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1、按照宜乔则乔、宜灌则灌、宜草则草，乔灌草结合的原则，因地制宜开展沙地治理。</w:t>
            </w:r>
          </w:p>
        </w:tc>
        <w:tc>
          <w:tcPr>
            <w:tcW w:w="976" w:type="pct"/>
            <w:tcBorders>
              <w:tl2br w:val="nil"/>
              <w:tr2bl w:val="nil"/>
            </w:tcBorders>
            <w:noWrap w:val="0"/>
            <w:vAlign w:val="center"/>
          </w:tcPr>
          <w:p w14:paraId="1830E5CA">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1、本项目不在沙化土地范围内。</w:t>
            </w:r>
          </w:p>
        </w:tc>
        <w:tc>
          <w:tcPr>
            <w:tcW w:w="250" w:type="pct"/>
            <w:tcBorders>
              <w:tl2br w:val="nil"/>
              <w:tr2bl w:val="nil"/>
            </w:tcBorders>
            <w:noWrap w:val="0"/>
            <w:vAlign w:val="center"/>
          </w:tcPr>
          <w:p w14:paraId="4F86AA3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4494A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tcBorders>
              <w:tl2br w:val="nil"/>
              <w:tr2bl w:val="nil"/>
            </w:tcBorders>
            <w:noWrap w:val="0"/>
            <w:vAlign w:val="center"/>
          </w:tcPr>
          <w:p w14:paraId="5473A50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lang w:val="en-US" w:eastAsia="zh-CN"/>
              </w:rPr>
              <w:t>ZH13082510009</w:t>
            </w:r>
          </w:p>
        </w:tc>
        <w:tc>
          <w:tcPr>
            <w:tcW w:w="387" w:type="pct"/>
            <w:vMerge w:val="restart"/>
            <w:tcBorders>
              <w:tl2br w:val="nil"/>
              <w:tr2bl w:val="nil"/>
            </w:tcBorders>
            <w:shd w:val="clear" w:color="auto" w:fill="auto"/>
            <w:noWrap w:val="0"/>
            <w:vAlign w:val="center"/>
          </w:tcPr>
          <w:p w14:paraId="6FCFF2FD">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优先保护单元</w:t>
            </w:r>
          </w:p>
        </w:tc>
        <w:tc>
          <w:tcPr>
            <w:tcW w:w="485" w:type="pct"/>
            <w:vMerge w:val="restart"/>
            <w:tcBorders>
              <w:tl2br w:val="nil"/>
              <w:tr2bl w:val="nil"/>
            </w:tcBorders>
            <w:noWrap w:val="0"/>
            <w:vAlign w:val="center"/>
          </w:tcPr>
          <w:p w14:paraId="29D1DB7E">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一般生态空间</w:t>
            </w:r>
          </w:p>
          <w:p w14:paraId="15FE7432">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水环境其他区域</w:t>
            </w:r>
          </w:p>
          <w:p w14:paraId="470BE9B3">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大气一般管控区</w:t>
            </w:r>
          </w:p>
        </w:tc>
        <w:tc>
          <w:tcPr>
            <w:tcW w:w="508" w:type="pct"/>
            <w:tcBorders>
              <w:tl2br w:val="nil"/>
              <w:tr2bl w:val="nil"/>
            </w:tcBorders>
            <w:noWrap w:val="0"/>
            <w:vAlign w:val="center"/>
          </w:tcPr>
          <w:p w14:paraId="364AD184">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空间布局</w:t>
            </w:r>
          </w:p>
        </w:tc>
        <w:tc>
          <w:tcPr>
            <w:tcW w:w="1981" w:type="pct"/>
            <w:tcBorders>
              <w:tl2br w:val="nil"/>
              <w:tr2bl w:val="nil"/>
            </w:tcBorders>
            <w:noWrap w:val="0"/>
            <w:vAlign w:val="center"/>
          </w:tcPr>
          <w:p w14:paraId="3846AAD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1、执行承德市总体准入清单中一般生态空间准入要求。</w:t>
            </w:r>
          </w:p>
          <w:p w14:paraId="61F86B6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2、在沙化土地范围内从事开发建设活动的，必须事先就该项目可能对当地及相关地区生态产生的影响进行环境影响评价，依法提交环境影响报告；环境影响报告应当包括有关防沙治沙的内容。</w:t>
            </w:r>
          </w:p>
        </w:tc>
        <w:tc>
          <w:tcPr>
            <w:tcW w:w="976" w:type="pct"/>
            <w:tcBorders>
              <w:tl2br w:val="nil"/>
              <w:tr2bl w:val="nil"/>
            </w:tcBorders>
            <w:noWrap w:val="0"/>
            <w:vAlign w:val="center"/>
          </w:tcPr>
          <w:p w14:paraId="3995509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1、本项目符合承德市总体准入清单中一般生态空间准入要求，分析内容详见表1-3；</w:t>
            </w:r>
          </w:p>
          <w:p w14:paraId="6534615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2、本项目不在沙化土地范围内</w:t>
            </w:r>
            <w:r>
              <w:rPr>
                <w:rFonts w:hint="eastAsia" w:cs="Times New Roman"/>
                <w:color w:val="auto"/>
                <w:sz w:val="21"/>
                <w:szCs w:val="21"/>
                <w:highlight w:val="none"/>
                <w:vertAlign w:val="baseline"/>
                <w:lang w:val="en-US" w:eastAsia="zh-CN"/>
              </w:rPr>
              <w:t>。</w:t>
            </w:r>
          </w:p>
        </w:tc>
        <w:tc>
          <w:tcPr>
            <w:tcW w:w="250" w:type="pct"/>
            <w:tcBorders>
              <w:tl2br w:val="nil"/>
              <w:tr2bl w:val="nil"/>
            </w:tcBorders>
            <w:noWrap w:val="0"/>
            <w:vAlign w:val="center"/>
          </w:tcPr>
          <w:p w14:paraId="61575EB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符合</w:t>
            </w:r>
          </w:p>
        </w:tc>
      </w:tr>
      <w:tr w14:paraId="5899C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2A4DA391">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387" w:type="pct"/>
            <w:vMerge w:val="continue"/>
            <w:tcBorders>
              <w:tl2br w:val="nil"/>
              <w:tr2bl w:val="nil"/>
            </w:tcBorders>
            <w:noWrap w:val="0"/>
            <w:vAlign w:val="center"/>
          </w:tcPr>
          <w:p w14:paraId="69BB2692">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485" w:type="pct"/>
            <w:vMerge w:val="continue"/>
            <w:tcBorders>
              <w:tl2br w:val="nil"/>
              <w:tr2bl w:val="nil"/>
            </w:tcBorders>
            <w:noWrap w:val="0"/>
            <w:vAlign w:val="center"/>
          </w:tcPr>
          <w:p w14:paraId="20EAED82">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508" w:type="pct"/>
            <w:tcBorders>
              <w:tl2br w:val="nil"/>
              <w:tr2bl w:val="nil"/>
            </w:tcBorders>
            <w:noWrap w:val="0"/>
            <w:vAlign w:val="center"/>
          </w:tcPr>
          <w:p w14:paraId="1A323A26">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污染物排放管控</w:t>
            </w:r>
          </w:p>
        </w:tc>
        <w:tc>
          <w:tcPr>
            <w:tcW w:w="1981" w:type="pct"/>
            <w:tcBorders>
              <w:tl2br w:val="nil"/>
              <w:tr2bl w:val="nil"/>
            </w:tcBorders>
            <w:noWrap w:val="0"/>
            <w:vAlign w:val="center"/>
          </w:tcPr>
          <w:p w14:paraId="70F6E27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976" w:type="pct"/>
            <w:tcBorders>
              <w:tl2br w:val="nil"/>
              <w:tr2bl w:val="nil"/>
            </w:tcBorders>
            <w:noWrap w:val="0"/>
            <w:vAlign w:val="center"/>
          </w:tcPr>
          <w:p w14:paraId="7CDABEA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w:t>
            </w:r>
          </w:p>
        </w:tc>
        <w:tc>
          <w:tcPr>
            <w:tcW w:w="250" w:type="pct"/>
            <w:tcBorders>
              <w:tl2br w:val="nil"/>
              <w:tr2bl w:val="nil"/>
            </w:tcBorders>
            <w:noWrap w:val="0"/>
            <w:vAlign w:val="center"/>
          </w:tcPr>
          <w:p w14:paraId="430606B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w:t>
            </w:r>
          </w:p>
        </w:tc>
      </w:tr>
      <w:tr w14:paraId="790BC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48FBA6CF">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387" w:type="pct"/>
            <w:vMerge w:val="continue"/>
            <w:tcBorders>
              <w:tl2br w:val="nil"/>
              <w:tr2bl w:val="nil"/>
            </w:tcBorders>
            <w:noWrap w:val="0"/>
            <w:vAlign w:val="center"/>
          </w:tcPr>
          <w:p w14:paraId="7BA8715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485" w:type="pct"/>
            <w:vMerge w:val="continue"/>
            <w:tcBorders>
              <w:tl2br w:val="nil"/>
              <w:tr2bl w:val="nil"/>
            </w:tcBorders>
            <w:noWrap w:val="0"/>
            <w:vAlign w:val="center"/>
          </w:tcPr>
          <w:p w14:paraId="78F44101">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508" w:type="pct"/>
            <w:tcBorders>
              <w:tl2br w:val="nil"/>
              <w:tr2bl w:val="nil"/>
            </w:tcBorders>
            <w:noWrap w:val="0"/>
            <w:vAlign w:val="center"/>
          </w:tcPr>
          <w:p w14:paraId="187B5DBF">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环境风险防控</w:t>
            </w:r>
          </w:p>
        </w:tc>
        <w:tc>
          <w:tcPr>
            <w:tcW w:w="1981" w:type="pct"/>
            <w:tcBorders>
              <w:tl2br w:val="nil"/>
              <w:tr2bl w:val="nil"/>
            </w:tcBorders>
            <w:noWrap w:val="0"/>
            <w:vAlign w:val="center"/>
          </w:tcPr>
          <w:p w14:paraId="7EBE707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1、加强危险废物全过程环境监管，尽快形成需求与能力相匹配、平常与应急相兼顾的危险废物处置网络。</w:t>
            </w:r>
          </w:p>
          <w:p w14:paraId="0A35D4B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2、完善生活垃圾收运处置体系，按照可回收物、有害垃圾、厨余垃圾、其他垃圾分类标准，合理设置垃圾收集设施和棚亭、站点。</w:t>
            </w:r>
          </w:p>
          <w:p w14:paraId="239EF6B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3、加强对森林的培育和抚育，提高林分质量，增加林木蓄积量，调整优化树种结构，精准提升森林质量和生态服务价值。</w:t>
            </w:r>
          </w:p>
          <w:p w14:paraId="1AC0B53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4、在沙化区按照宜乔则乔、宜灌则灌、宜草则草，乔灌草结合的原则，因地制宜开展沙地治理。</w:t>
            </w:r>
          </w:p>
        </w:tc>
        <w:tc>
          <w:tcPr>
            <w:tcW w:w="976" w:type="pct"/>
            <w:tcBorders>
              <w:tl2br w:val="nil"/>
              <w:tr2bl w:val="nil"/>
            </w:tcBorders>
            <w:noWrap w:val="0"/>
            <w:vAlign w:val="center"/>
          </w:tcPr>
          <w:p w14:paraId="4D930D9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1、不涉及；</w:t>
            </w:r>
          </w:p>
          <w:p w14:paraId="2F33249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2、不涉及；</w:t>
            </w:r>
          </w:p>
          <w:p w14:paraId="6F729C2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3、不涉及；</w:t>
            </w:r>
          </w:p>
          <w:p w14:paraId="5A53463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4、</w:t>
            </w:r>
            <w:r>
              <w:rPr>
                <w:rFonts w:hint="eastAsia" w:ascii="Times New Roman" w:hAnsi="Times New Roman" w:eastAsia="宋体" w:cs="Times New Roman"/>
                <w:color w:val="auto"/>
                <w:sz w:val="21"/>
                <w:szCs w:val="21"/>
                <w:highlight w:val="none"/>
                <w:vertAlign w:val="baseline"/>
                <w:lang w:val="en-US" w:eastAsia="zh-CN"/>
              </w:rPr>
              <w:t>本项目不在沙化土地范围内</w:t>
            </w:r>
            <w:r>
              <w:rPr>
                <w:rFonts w:hint="eastAsia" w:cs="Times New Roman"/>
                <w:color w:val="auto"/>
                <w:kern w:val="2"/>
                <w:sz w:val="21"/>
                <w:szCs w:val="21"/>
                <w:highlight w:val="none"/>
                <w:vertAlign w:val="baseline"/>
                <w:lang w:val="en-US" w:eastAsia="zh-CN" w:bidi="ar-SA"/>
              </w:rPr>
              <w:t>。</w:t>
            </w:r>
          </w:p>
        </w:tc>
        <w:tc>
          <w:tcPr>
            <w:tcW w:w="250" w:type="pct"/>
            <w:tcBorders>
              <w:tl2br w:val="nil"/>
              <w:tr2bl w:val="nil"/>
            </w:tcBorders>
            <w:noWrap w:val="0"/>
            <w:vAlign w:val="center"/>
          </w:tcPr>
          <w:p w14:paraId="0499889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vertAlign w:val="baseline"/>
                <w:lang w:val="en-US" w:eastAsia="zh-CN" w:bidi="ar-SA"/>
              </w:rPr>
              <w:t>/</w:t>
            </w:r>
          </w:p>
        </w:tc>
      </w:tr>
      <w:tr w14:paraId="0FF10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tcBorders>
              <w:tl2br w:val="nil"/>
              <w:tr2bl w:val="nil"/>
            </w:tcBorders>
            <w:noWrap w:val="0"/>
            <w:vAlign w:val="center"/>
          </w:tcPr>
          <w:p w14:paraId="139E5686">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387" w:type="pct"/>
            <w:vMerge w:val="continue"/>
            <w:tcBorders>
              <w:tl2br w:val="nil"/>
              <w:tr2bl w:val="nil"/>
            </w:tcBorders>
            <w:noWrap w:val="0"/>
            <w:vAlign w:val="center"/>
          </w:tcPr>
          <w:p w14:paraId="76BCAABA">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485" w:type="pct"/>
            <w:vMerge w:val="continue"/>
            <w:tcBorders>
              <w:tl2br w:val="nil"/>
              <w:tr2bl w:val="nil"/>
            </w:tcBorders>
            <w:noWrap w:val="0"/>
            <w:vAlign w:val="center"/>
          </w:tcPr>
          <w:p w14:paraId="59F0D7E9">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color w:val="auto"/>
                <w:highlight w:val="none"/>
              </w:rPr>
            </w:pPr>
          </w:p>
        </w:tc>
        <w:tc>
          <w:tcPr>
            <w:tcW w:w="508" w:type="pct"/>
            <w:tcBorders>
              <w:tl2br w:val="nil"/>
              <w:tr2bl w:val="nil"/>
            </w:tcBorders>
            <w:noWrap w:val="0"/>
            <w:vAlign w:val="center"/>
          </w:tcPr>
          <w:p w14:paraId="4D3A8BCE">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资源利用效率</w:t>
            </w:r>
          </w:p>
        </w:tc>
        <w:tc>
          <w:tcPr>
            <w:tcW w:w="1981" w:type="pct"/>
            <w:tcBorders>
              <w:tl2br w:val="nil"/>
              <w:tr2bl w:val="nil"/>
            </w:tcBorders>
            <w:noWrap w:val="0"/>
            <w:vAlign w:val="center"/>
          </w:tcPr>
          <w:p w14:paraId="67ABA9F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Chars="0"/>
              <w:jc w:val="center"/>
              <w:textAlignment w:val="auto"/>
              <w:rPr>
                <w:rFonts w:hint="eastAsia"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rPr>
              <w:t>1、在严格保护生态环境前提下，鼓励采取多样化模式和路径，科学合理推动生态产品价值实现。</w:t>
            </w:r>
          </w:p>
        </w:tc>
        <w:tc>
          <w:tcPr>
            <w:tcW w:w="976" w:type="pct"/>
            <w:tcBorders>
              <w:tl2br w:val="nil"/>
              <w:tr2bl w:val="nil"/>
            </w:tcBorders>
            <w:noWrap w:val="0"/>
            <w:vAlign w:val="center"/>
          </w:tcPr>
          <w:p w14:paraId="7D8EEF9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1、不涉及。</w:t>
            </w:r>
          </w:p>
        </w:tc>
        <w:tc>
          <w:tcPr>
            <w:tcW w:w="250" w:type="pct"/>
            <w:tcBorders>
              <w:tl2br w:val="nil"/>
              <w:tr2bl w:val="nil"/>
            </w:tcBorders>
            <w:noWrap w:val="0"/>
            <w:vAlign w:val="center"/>
          </w:tcPr>
          <w:p w14:paraId="7F869F7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符合</w:t>
            </w:r>
          </w:p>
        </w:tc>
      </w:tr>
    </w:tbl>
    <w:p w14:paraId="02C79574">
      <w:pPr>
        <w:keepNext w:val="0"/>
        <w:keepLines w:val="0"/>
        <w:pageBreakBefore w:val="0"/>
        <w:numPr>
          <w:ilvl w:val="0"/>
          <w:numId w:val="10"/>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项目</w:t>
      </w:r>
      <w:r>
        <w:rPr>
          <w:rFonts w:hint="eastAsia" w:ascii="Times New Roman" w:hAnsi="Times New Roman" w:eastAsia="宋体" w:cs="Times New Roman"/>
          <w:b/>
          <w:bCs/>
          <w:color w:val="auto"/>
          <w:szCs w:val="21"/>
          <w:highlight w:val="none"/>
          <w:lang w:val="en-US" w:eastAsia="zh-CN"/>
        </w:rPr>
        <w:t>与一般生态空间</w:t>
      </w:r>
      <w:r>
        <w:rPr>
          <w:rFonts w:hint="default" w:ascii="Times New Roman" w:hAnsi="Times New Roman" w:eastAsia="宋体" w:cs="Times New Roman"/>
          <w:b/>
          <w:bCs/>
          <w:color w:val="auto"/>
          <w:szCs w:val="21"/>
          <w:highlight w:val="none"/>
        </w:rPr>
        <w:t>符合性分析表</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4833"/>
        <w:gridCol w:w="1971"/>
        <w:gridCol w:w="650"/>
      </w:tblGrid>
      <w:tr w14:paraId="3A2F0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14:paraId="33484A3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Cs w:val="21"/>
                <w:highlight w:val="none"/>
                <w:lang w:val="en-US" w:eastAsia="zh-CN"/>
              </w:rPr>
            </w:pPr>
            <w:r>
              <w:rPr>
                <w:rFonts w:hint="eastAsia" w:ascii="Times New Roman" w:hAnsi="Times New Roman" w:eastAsia="宋体" w:cs="Times New Roman"/>
                <w:b/>
                <w:bCs/>
                <w:szCs w:val="21"/>
                <w:highlight w:val="none"/>
                <w:lang w:val="en-US" w:eastAsia="zh-CN"/>
              </w:rPr>
              <w:t>类别</w:t>
            </w:r>
          </w:p>
        </w:tc>
        <w:tc>
          <w:tcPr>
            <w:tcW w:w="2834" w:type="pct"/>
            <w:noWrap w:val="0"/>
            <w:vAlign w:val="center"/>
          </w:tcPr>
          <w:p w14:paraId="1FDAA1F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Cs w:val="21"/>
                <w:highlight w:val="none"/>
                <w:lang w:val="en-US" w:eastAsia="zh-CN"/>
              </w:rPr>
            </w:pPr>
            <w:r>
              <w:rPr>
                <w:rFonts w:hint="eastAsia" w:ascii="Times New Roman" w:hAnsi="Times New Roman" w:eastAsia="宋体" w:cs="Times New Roman"/>
                <w:b/>
                <w:bCs/>
                <w:szCs w:val="21"/>
                <w:highlight w:val="none"/>
                <w:lang w:val="en-US" w:eastAsia="zh-CN"/>
              </w:rPr>
              <w:t>管控要求</w:t>
            </w:r>
          </w:p>
        </w:tc>
        <w:tc>
          <w:tcPr>
            <w:tcW w:w="1156" w:type="pct"/>
            <w:noWrap w:val="0"/>
            <w:vAlign w:val="center"/>
          </w:tcPr>
          <w:p w14:paraId="377675E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Cs w:val="21"/>
                <w:highlight w:val="none"/>
                <w:lang w:val="en-US" w:eastAsia="zh-CN"/>
              </w:rPr>
            </w:pPr>
            <w:r>
              <w:rPr>
                <w:rFonts w:hint="eastAsia" w:ascii="Times New Roman" w:hAnsi="Times New Roman" w:eastAsia="宋体" w:cs="Times New Roman"/>
                <w:b/>
                <w:bCs/>
                <w:szCs w:val="21"/>
                <w:highlight w:val="none"/>
                <w:lang w:val="en-US" w:eastAsia="zh-CN"/>
              </w:rPr>
              <w:t>本项目情况</w:t>
            </w:r>
          </w:p>
        </w:tc>
        <w:tc>
          <w:tcPr>
            <w:tcW w:w="381" w:type="pct"/>
            <w:noWrap w:val="0"/>
            <w:vAlign w:val="center"/>
          </w:tcPr>
          <w:p w14:paraId="73775DC8">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Cs w:val="21"/>
                <w:highlight w:val="none"/>
                <w:lang w:val="en-US" w:eastAsia="zh-CN"/>
              </w:rPr>
            </w:pPr>
            <w:r>
              <w:rPr>
                <w:rFonts w:hint="eastAsia" w:ascii="Times New Roman" w:hAnsi="Times New Roman" w:eastAsia="宋体" w:cs="Times New Roman"/>
                <w:b/>
                <w:bCs/>
                <w:szCs w:val="21"/>
                <w:highlight w:val="none"/>
                <w:lang w:val="en-US" w:eastAsia="zh-CN"/>
              </w:rPr>
              <w:t>符合性</w:t>
            </w:r>
          </w:p>
        </w:tc>
      </w:tr>
      <w:tr w14:paraId="0C68B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14:paraId="5446BB83">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总体管控要求</w:t>
            </w:r>
          </w:p>
        </w:tc>
        <w:tc>
          <w:tcPr>
            <w:tcW w:w="2834" w:type="pct"/>
            <w:noWrap w:val="0"/>
            <w:vAlign w:val="center"/>
          </w:tcPr>
          <w:p w14:paraId="3FE2E22C">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w:t>
            </w:r>
            <w:r>
              <w:rPr>
                <w:rFonts w:hint="eastAsia" w:ascii="Times New Roman" w:hAnsi="Times New Roman" w:eastAsia="宋体" w:cs="Times New Roman"/>
                <w:szCs w:val="21"/>
                <w:highlight w:val="none"/>
                <w:lang w:val="en-US" w:eastAsia="zh-CN"/>
              </w:rPr>
              <w:t>承德市生态功能主要为水源涵养与防风固沙，重点执行河北省一般生态空间总体管控要求中“水源涵养”与“防风固沙”管控要求。</w:t>
            </w:r>
          </w:p>
        </w:tc>
        <w:tc>
          <w:tcPr>
            <w:tcW w:w="1156" w:type="pct"/>
            <w:noWrap w:val="0"/>
            <w:vAlign w:val="center"/>
          </w:tcPr>
          <w:p w14:paraId="2EDA72AC">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1.本项目符合河北省一般生态空间总体管控要求中“水源涵养”与“防风固沙”管控要求，分析内容详见表1-4。</w:t>
            </w:r>
          </w:p>
        </w:tc>
        <w:tc>
          <w:tcPr>
            <w:tcW w:w="381" w:type="pct"/>
            <w:noWrap w:val="0"/>
            <w:vAlign w:val="center"/>
          </w:tcPr>
          <w:p w14:paraId="24187B1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符合</w:t>
            </w:r>
          </w:p>
        </w:tc>
      </w:tr>
      <w:tr w14:paraId="77A78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14:paraId="05BE51A7">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水源涵养型</w:t>
            </w:r>
          </w:p>
        </w:tc>
        <w:tc>
          <w:tcPr>
            <w:tcW w:w="2834" w:type="pct"/>
            <w:noWrap w:val="0"/>
            <w:vAlign w:val="center"/>
          </w:tcPr>
          <w:p w14:paraId="12FBF861">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1.在不影响区域主导生态功能、不降低区域环境质量的基础上，新建与扩建项目在满足国土空间规划及有关专项规划的条件下，可适度进行合理有序的开发建设活动。</w:t>
            </w:r>
          </w:p>
          <w:p w14:paraId="401B0833">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2.禁止新建、扩建导致水体污染的产业项目，开展生态清洁小流域的建设；坚持自然恢复为主，人工造林为辅的原则。</w:t>
            </w:r>
          </w:p>
          <w:p w14:paraId="52379486">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3.严格控制载畜量，实行以草定畜，在农牧交错区提倡农牧结合，发展生态产业，培育替代产业，减轻区内畜牧业对水源和生态系统的压力。</w:t>
            </w:r>
          </w:p>
        </w:tc>
        <w:tc>
          <w:tcPr>
            <w:tcW w:w="1156" w:type="pct"/>
            <w:noWrap w:val="0"/>
            <w:vAlign w:val="center"/>
          </w:tcPr>
          <w:p w14:paraId="1AE87667">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1.本项目</w:t>
            </w:r>
            <w:r>
              <w:rPr>
                <w:rFonts w:hint="eastAsia" w:ascii="Times New Roman" w:hAnsi="Times New Roman" w:cs="Times New Roman"/>
                <w:color w:val="auto"/>
                <w:szCs w:val="21"/>
                <w:highlight w:val="none"/>
                <w:lang w:val="en-US" w:eastAsia="zh-CN"/>
              </w:rPr>
              <w:t>服务期满后进行生态恢复，不影响区域主导</w:t>
            </w:r>
            <w:r>
              <w:rPr>
                <w:rFonts w:hint="eastAsia" w:ascii="Times New Roman" w:hAnsi="Times New Roman" w:eastAsia="宋体" w:cs="Times New Roman"/>
                <w:szCs w:val="21"/>
                <w:highlight w:val="none"/>
                <w:lang w:val="en-US" w:eastAsia="zh-CN"/>
              </w:rPr>
              <w:t>生态功能，采取有效污染防治措施后不降低区域环境质量；</w:t>
            </w:r>
          </w:p>
          <w:p w14:paraId="1C4803C7">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2.本项目废水不外排；</w:t>
            </w:r>
          </w:p>
          <w:p w14:paraId="4D137C6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3.不涉及；</w:t>
            </w:r>
          </w:p>
        </w:tc>
        <w:tc>
          <w:tcPr>
            <w:tcW w:w="381" w:type="pct"/>
            <w:noWrap w:val="0"/>
            <w:vAlign w:val="center"/>
          </w:tcPr>
          <w:p w14:paraId="2C18DF43">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符合</w:t>
            </w:r>
          </w:p>
        </w:tc>
      </w:tr>
      <w:tr w14:paraId="2C5E8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14:paraId="4E152883">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防风固沙</w:t>
            </w:r>
          </w:p>
        </w:tc>
        <w:tc>
          <w:tcPr>
            <w:tcW w:w="2834" w:type="pct"/>
            <w:noWrap w:val="0"/>
            <w:vAlign w:val="center"/>
          </w:tcPr>
          <w:p w14:paraId="261F9133">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w:t>
            </w:r>
            <w:r>
              <w:rPr>
                <w:rFonts w:hint="eastAsia" w:ascii="Times New Roman" w:hAnsi="Times New Roman" w:eastAsia="宋体" w:cs="Times New Roman"/>
                <w:szCs w:val="21"/>
                <w:highlight w:val="none"/>
                <w:lang w:val="en-US" w:eastAsia="zh-CN"/>
              </w:rPr>
              <w:t>对主要沙尘源区、沙尘暴频发区实行封禁管理。</w:t>
            </w:r>
          </w:p>
          <w:p w14:paraId="40E6ED29">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2.严格控制放牧和草原生物资源的利用，加强植被恢复和保护</w:t>
            </w:r>
            <w:r>
              <w:rPr>
                <w:rFonts w:hint="eastAsia" w:ascii="Times New Roman" w:hAnsi="Times New Roman" w:eastAsia="宋体" w:cs="Times New Roman"/>
                <w:szCs w:val="21"/>
                <w:highlight w:val="none"/>
                <w:lang w:val="en-US" w:eastAsia="zh-CN"/>
              </w:rPr>
              <w:t>。</w:t>
            </w:r>
          </w:p>
          <w:p w14:paraId="5493CC6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3.严格控制过度放牧、樵采、开荒，合理利用水资源，保障生态用水，提高区域生态系统防沙固沙的能力。</w:t>
            </w:r>
          </w:p>
          <w:p w14:paraId="604E5070">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4.开展荒漠植被和沙化土地封禁保护，加强退化林带修复，禁止滥开垦、滥放牧和滥樵采，构建乔灌草相结合的防护林体系，对防风固沙林只能进行抚育和更新性质的采伐。</w:t>
            </w:r>
          </w:p>
          <w:p w14:paraId="2B1B85AC">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5.</w:t>
            </w:r>
            <w:r>
              <w:rPr>
                <w:rFonts w:hint="eastAsia" w:ascii="Times New Roman" w:hAnsi="Times New Roman" w:eastAsia="宋体" w:cs="Times New Roman"/>
                <w:szCs w:val="21"/>
                <w:highlight w:val="none"/>
                <w:lang w:val="en-US" w:eastAsia="zh-CN"/>
              </w:rPr>
              <w:t>转变畜牧业生产方式，实行禁牧休牧，推行舍饲圈养，以草定畜，严格控制载畜量。</w:t>
            </w:r>
          </w:p>
          <w:p w14:paraId="143F4A5E">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6.加大退耕还林力度，恢复草原植被。</w:t>
            </w:r>
          </w:p>
          <w:p w14:paraId="67694B9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7.加强对内陆河流的规划和管理，保护沙区湿地。</w:t>
            </w:r>
          </w:p>
        </w:tc>
        <w:tc>
          <w:tcPr>
            <w:tcW w:w="1156" w:type="pct"/>
            <w:noWrap w:val="0"/>
            <w:vAlign w:val="center"/>
          </w:tcPr>
          <w:p w14:paraId="15B34AA7">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1.本项目占地范围不属于</w:t>
            </w:r>
            <w:r>
              <w:rPr>
                <w:rFonts w:hint="eastAsia"/>
                <w:color w:val="000000"/>
                <w:kern w:val="0"/>
                <w:highlight w:val="none"/>
              </w:rPr>
              <w:t>沙尘源区、沙尘暴频发区</w:t>
            </w:r>
            <w:r>
              <w:rPr>
                <w:rFonts w:hint="eastAsia" w:ascii="Times New Roman" w:hAnsi="Times New Roman" w:eastAsia="宋体" w:cs="Times New Roman"/>
                <w:szCs w:val="21"/>
                <w:highlight w:val="none"/>
                <w:lang w:val="en-US" w:eastAsia="zh-CN"/>
              </w:rPr>
              <w:t>。</w:t>
            </w:r>
          </w:p>
          <w:p w14:paraId="0339E407">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2.不涉及；</w:t>
            </w:r>
          </w:p>
          <w:p w14:paraId="7BD49C37">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3.不涉及；</w:t>
            </w:r>
          </w:p>
          <w:p w14:paraId="72B32BAE">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4.不涉及；</w:t>
            </w:r>
          </w:p>
          <w:p w14:paraId="7A1E0903">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5.不涉及；</w:t>
            </w:r>
          </w:p>
          <w:p w14:paraId="47F1AB41">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6不涉及；</w:t>
            </w:r>
          </w:p>
          <w:p w14:paraId="4B7483A6">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7.不涉及。</w:t>
            </w:r>
          </w:p>
        </w:tc>
        <w:tc>
          <w:tcPr>
            <w:tcW w:w="381" w:type="pct"/>
            <w:noWrap w:val="0"/>
            <w:vAlign w:val="center"/>
          </w:tcPr>
          <w:p w14:paraId="09AFD4D1">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符合</w:t>
            </w:r>
          </w:p>
        </w:tc>
      </w:tr>
      <w:tr w14:paraId="7BCC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14:paraId="3ECAB8A9">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禁止开发建设活动的要求</w:t>
            </w:r>
          </w:p>
        </w:tc>
        <w:tc>
          <w:tcPr>
            <w:tcW w:w="2834" w:type="pct"/>
            <w:noWrap w:val="0"/>
            <w:vAlign w:val="center"/>
          </w:tcPr>
          <w:p w14:paraId="01350CAA">
            <w:pPr>
              <w:keepNext w:val="0"/>
              <w:keepLines w:val="0"/>
              <w:widowControl/>
              <w:suppressLineNumbers w:val="0"/>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一般生态空间内应在重要水源保护区上游干流、支流沿岸的规划建设，在河道干流、支流两岸因地制宜划定生态缓冲带和生态绿化廊道。生态缓冲带内应保持自然岸线和生态系统的完整性，严禁建设项目侵占责任生态空间和“贴边”发展。在重要的生态功能区和“四区”（水源保护区、自然保护区、风景名胜区、湿地公园）区域，严禁违规建设别墅类和高尔夫球场等项目，严禁破坏生态环境功能的开发建设活动。严格饮用水水源保护区、自然保护区、风景名胜区、森林公园、地质公园等环境敏感区域及周边地区开发建设管理。</w:t>
            </w:r>
          </w:p>
          <w:p w14:paraId="0A72C177">
            <w:pPr>
              <w:keepNext w:val="0"/>
              <w:keepLines w:val="0"/>
              <w:widowControl/>
              <w:suppressLineNumbers w:val="0"/>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在上述环境敏感区域内，严禁建设污染环境、破坏资源和景观的生产设施。对未经批准擅自建设“玻璃栈道”、观光索道等破坏生态和景观的违法建设项目，可依法责令拆除并恢复原状。对擅自在法律法规规定禁止建设区域内建成的违法违规项目和设施，要依法采取行政处罚和移交司法部门强制执行等措施，依法责令拆除并恢复原状。未纳入生态保护红线的各类自然保护地等按照相关法律法规规定进行管控。</w:t>
            </w:r>
          </w:p>
        </w:tc>
        <w:tc>
          <w:tcPr>
            <w:tcW w:w="1156" w:type="pct"/>
            <w:noWrap w:val="0"/>
            <w:vAlign w:val="center"/>
          </w:tcPr>
          <w:p w14:paraId="5A7465A1">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1.不涉及；</w:t>
            </w:r>
          </w:p>
          <w:p w14:paraId="028A0687">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2.不涉及。</w:t>
            </w:r>
          </w:p>
        </w:tc>
        <w:tc>
          <w:tcPr>
            <w:tcW w:w="381" w:type="pct"/>
            <w:noWrap w:val="0"/>
            <w:vAlign w:val="center"/>
          </w:tcPr>
          <w:p w14:paraId="6C49B4CB">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符合</w:t>
            </w:r>
          </w:p>
        </w:tc>
      </w:tr>
      <w:tr w14:paraId="78F76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14:paraId="0F25E921">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限制开发建设活动的要求</w:t>
            </w:r>
          </w:p>
        </w:tc>
        <w:tc>
          <w:tcPr>
            <w:tcW w:w="2834" w:type="pct"/>
            <w:noWrap w:val="0"/>
            <w:vAlign w:val="center"/>
          </w:tcPr>
          <w:p w14:paraId="6CFB0EBC">
            <w:pPr>
              <w:keepNext w:val="0"/>
              <w:keepLines w:val="0"/>
              <w:widowControl/>
              <w:suppressLineNumbers w:val="0"/>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严格控制矿产资源开发范围。非经国务院授权的有关主管部门同意，不得在下列地区新批固体矿产资源开发项目，严格控制新批液体、气体矿产资源开发项目：在机场、国防工程设施圈定地区以内；重要工业区、大型水利工程设施、城镇市政工程设施附近一定距离以内；永久基本农田、城镇开发边界内、自然保护区、风景名胜区、饮用水水源保护区、地质遗迹保护区、文物保护单位等保护范围内，国家规定不得开采矿产资源的其他地区。矿产资源勘查实行最严格的生态环境保护制度，全面推行绿色勘查。矿产资源勘查项目应当严格落实国土空间规划和矿产资源总体规划，符合生态保护红线管控相关要求，充分考虑区域生态环境《承德市生态环境准入清单》（2021年版）承载能力，科学评估勘查作业可能对生态环境、水源涵养的影响。勘察设计方案应当落实绿色勘察理念，严格执行国家绿色勘察有关标准和规范。勘查单位应当严格按照地质矿产勘查规范、绿色勘查规范和勘查设计方案进行施工作业。严格控制露天矿山开采，对已有露天矿山推广先进适用的开采技术；露天矿山企业应当实行平台式开采，提高生产质量、生产效率，保障矿山采后高标准复垦复绿。</w:t>
            </w:r>
          </w:p>
        </w:tc>
        <w:tc>
          <w:tcPr>
            <w:tcW w:w="1156" w:type="pct"/>
            <w:noWrap w:val="0"/>
            <w:vAlign w:val="center"/>
          </w:tcPr>
          <w:p w14:paraId="69FB7646">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1.不涉及</w:t>
            </w:r>
          </w:p>
        </w:tc>
        <w:tc>
          <w:tcPr>
            <w:tcW w:w="381" w:type="pct"/>
            <w:noWrap w:val="0"/>
            <w:vAlign w:val="center"/>
          </w:tcPr>
          <w:p w14:paraId="3843239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符合</w:t>
            </w:r>
          </w:p>
        </w:tc>
      </w:tr>
    </w:tbl>
    <w:p w14:paraId="66E7FB47">
      <w:pPr>
        <w:keepNext w:val="0"/>
        <w:keepLines w:val="0"/>
        <w:pageBreakBefore w:val="0"/>
        <w:numPr>
          <w:ilvl w:val="0"/>
          <w:numId w:val="10"/>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color w:val="auto"/>
          <w:szCs w:val="21"/>
          <w:highlight w:val="none"/>
        </w:rPr>
      </w:pPr>
      <w:r>
        <w:rPr>
          <w:rFonts w:hint="eastAsia" w:ascii="Times New Roman" w:hAnsi="Times New Roman" w:eastAsia="宋体" w:cs="Times New Roman"/>
          <w:b/>
          <w:bCs/>
          <w:color w:val="auto"/>
          <w:szCs w:val="21"/>
          <w:highlight w:val="none"/>
          <w:lang w:val="en-US" w:eastAsia="zh-CN"/>
        </w:rPr>
        <w:t>河北省一般生态空间总体管控要求中“水源涵养”与“防风固沙”符合性分析表</w:t>
      </w:r>
    </w:p>
    <w:tbl>
      <w:tblPr>
        <w:tblStyle w:val="5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421"/>
        <w:gridCol w:w="653"/>
        <w:gridCol w:w="4108"/>
        <w:gridCol w:w="2022"/>
        <w:gridCol w:w="652"/>
      </w:tblGrid>
      <w:tr w14:paraId="6BB2B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noWrap w:val="0"/>
            <w:vAlign w:val="center"/>
          </w:tcPr>
          <w:p w14:paraId="65E73DC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空间类型</w:t>
            </w:r>
          </w:p>
        </w:tc>
        <w:tc>
          <w:tcPr>
            <w:tcW w:w="246" w:type="pct"/>
            <w:noWrap w:val="0"/>
            <w:vAlign w:val="center"/>
          </w:tcPr>
          <w:p w14:paraId="2591D3E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属性</w:t>
            </w:r>
          </w:p>
        </w:tc>
        <w:tc>
          <w:tcPr>
            <w:tcW w:w="382" w:type="pct"/>
            <w:noWrap w:val="0"/>
            <w:vAlign w:val="center"/>
          </w:tcPr>
          <w:p w14:paraId="0563FA1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管控类别</w:t>
            </w:r>
          </w:p>
        </w:tc>
        <w:tc>
          <w:tcPr>
            <w:tcW w:w="2409" w:type="pct"/>
            <w:noWrap w:val="0"/>
            <w:vAlign w:val="center"/>
          </w:tcPr>
          <w:p w14:paraId="5D8CC4C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szCs w:val="21"/>
                <w:highlight w:val="none"/>
                <w:lang w:val="zh-CN"/>
              </w:rPr>
            </w:pPr>
            <w:r>
              <w:rPr>
                <w:rFonts w:hint="default" w:ascii="Times New Roman" w:hAnsi="Times New Roman" w:cs="Times New Roman"/>
                <w:b/>
                <w:bCs/>
                <w:color w:val="000000"/>
                <w:szCs w:val="21"/>
                <w:highlight w:val="none"/>
              </w:rPr>
              <w:t>管控要求</w:t>
            </w:r>
          </w:p>
        </w:tc>
        <w:tc>
          <w:tcPr>
            <w:tcW w:w="1185" w:type="pct"/>
            <w:noWrap w:val="0"/>
            <w:vAlign w:val="center"/>
          </w:tcPr>
          <w:p w14:paraId="0BF217E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符合性分析</w:t>
            </w:r>
          </w:p>
        </w:tc>
        <w:tc>
          <w:tcPr>
            <w:tcW w:w="382" w:type="pct"/>
            <w:noWrap w:val="0"/>
            <w:vAlign w:val="center"/>
          </w:tcPr>
          <w:p w14:paraId="17A7377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符合性</w:t>
            </w:r>
          </w:p>
        </w:tc>
      </w:tr>
      <w:tr w14:paraId="05CAF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392" w:type="pct"/>
            <w:vMerge w:val="restart"/>
            <w:noWrap w:val="0"/>
            <w:vAlign w:val="center"/>
          </w:tcPr>
          <w:p w14:paraId="6097012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000000"/>
                <w:szCs w:val="21"/>
                <w:highlight w:val="none"/>
                <w:lang w:val="en-US" w:eastAsia="zh-CN"/>
              </w:rPr>
            </w:pPr>
            <w:r>
              <w:rPr>
                <w:rFonts w:hint="eastAsia" w:ascii="Times New Roman" w:hAnsi="Times New Roman" w:cs="Times New Roman"/>
                <w:color w:val="000000"/>
                <w:szCs w:val="21"/>
                <w:highlight w:val="none"/>
                <w:lang w:val="en-US" w:eastAsia="zh-CN"/>
              </w:rPr>
              <w:t>一般生态空间</w:t>
            </w:r>
          </w:p>
        </w:tc>
        <w:tc>
          <w:tcPr>
            <w:tcW w:w="246" w:type="pct"/>
            <w:noWrap w:val="0"/>
            <w:vAlign w:val="center"/>
          </w:tcPr>
          <w:p w14:paraId="2DA2290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none"/>
              </w:rPr>
            </w:pPr>
            <w:r>
              <w:rPr>
                <w:rFonts w:hint="eastAsia"/>
                <w:color w:val="000000"/>
                <w:highlight w:val="none"/>
              </w:rPr>
              <w:t>水源涵养</w:t>
            </w:r>
          </w:p>
        </w:tc>
        <w:tc>
          <w:tcPr>
            <w:tcW w:w="382" w:type="pct"/>
            <w:noWrap w:val="0"/>
            <w:vAlign w:val="center"/>
          </w:tcPr>
          <w:p w14:paraId="26895CD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空间布局约束</w:t>
            </w:r>
          </w:p>
        </w:tc>
        <w:tc>
          <w:tcPr>
            <w:tcW w:w="2409" w:type="pct"/>
            <w:noWrap w:val="0"/>
            <w:vAlign w:val="center"/>
          </w:tcPr>
          <w:p w14:paraId="3BEAC38F">
            <w:pPr>
              <w:pStyle w:val="332"/>
              <w:keepNext w:val="0"/>
              <w:keepLines w:val="0"/>
              <w:suppressLineNumbers w:val="0"/>
              <w:spacing w:before="0" w:beforeAutospacing="0" w:after="0" w:afterAutospacing="0"/>
              <w:ind w:left="0" w:right="0"/>
              <w:jc w:val="center"/>
              <w:rPr>
                <w:rFonts w:hint="default"/>
                <w:color w:val="000000"/>
                <w:highlight w:val="none"/>
              </w:rPr>
            </w:pPr>
            <w:r>
              <w:rPr>
                <w:rFonts w:hint="eastAsia"/>
                <w:color w:val="000000"/>
                <w:highlight w:val="none"/>
              </w:rPr>
              <w:t>1.禁止新建与扩建各种损害生态系统水源涵养功能的项目，如无序采矿、毁林开荒、湿地和草地开垦、采砂采土等，现有相关开发建设活动，严格管控，引导其合理退出。</w:t>
            </w:r>
          </w:p>
          <w:p w14:paraId="10BBFFC0">
            <w:pPr>
              <w:pStyle w:val="332"/>
              <w:keepNext w:val="0"/>
              <w:keepLines w:val="0"/>
              <w:suppressLineNumbers w:val="0"/>
              <w:spacing w:before="0" w:beforeAutospacing="0" w:after="0" w:afterAutospacing="0"/>
              <w:ind w:left="0" w:right="0"/>
              <w:jc w:val="center"/>
              <w:rPr>
                <w:rFonts w:hint="default"/>
                <w:color w:val="000000"/>
                <w:highlight w:val="none"/>
              </w:rPr>
            </w:pPr>
            <w:r>
              <w:rPr>
                <w:rFonts w:hint="eastAsia"/>
                <w:color w:val="000000"/>
                <w:highlight w:val="none"/>
              </w:rPr>
              <w:t>2.禁止新建、扩建导致水体污染的产业项目，开展生态清洁小流域的建设。</w:t>
            </w:r>
          </w:p>
          <w:p w14:paraId="302DD9FC">
            <w:pPr>
              <w:pStyle w:val="332"/>
              <w:keepNext w:val="0"/>
              <w:keepLines w:val="0"/>
              <w:suppressLineNumbers w:val="0"/>
              <w:spacing w:before="0" w:beforeAutospacing="0" w:after="0" w:afterAutospacing="0"/>
              <w:ind w:left="0" w:right="0"/>
              <w:jc w:val="center"/>
              <w:rPr>
                <w:rFonts w:hint="default"/>
                <w:color w:val="000000"/>
                <w:highlight w:val="none"/>
              </w:rPr>
            </w:pPr>
            <w:r>
              <w:rPr>
                <w:rFonts w:hint="eastAsia"/>
                <w:color w:val="000000"/>
                <w:highlight w:val="none"/>
              </w:rPr>
              <w:t>3.坚持自然恢复为主，严格限制在水源涵养区大规模人工造林。</w:t>
            </w:r>
          </w:p>
          <w:p w14:paraId="0764F571">
            <w:pPr>
              <w:keepNext w:val="0"/>
              <w:keepLines w:val="0"/>
              <w:suppressLineNumbers w:val="0"/>
              <w:tabs>
                <w:tab w:val="left" w:pos="420"/>
              </w:tabs>
              <w:adjustRightInd w:val="0"/>
              <w:snapToGrid w:val="0"/>
              <w:spacing w:before="0" w:beforeAutospacing="0" w:after="0" w:afterAutospacing="0"/>
              <w:ind w:left="0" w:right="0"/>
              <w:jc w:val="center"/>
              <w:rPr>
                <w:rFonts w:hint="default" w:ascii="Times New Roman" w:hAnsi="Times New Roman" w:cs="Times New Roman"/>
                <w:color w:val="000000"/>
                <w:szCs w:val="21"/>
                <w:highlight w:val="none"/>
              </w:rPr>
            </w:pPr>
            <w:r>
              <w:rPr>
                <w:rFonts w:hint="eastAsia"/>
                <w:color w:val="000000"/>
                <w:highlight w:val="none"/>
              </w:rPr>
              <w:t>4.严格控制载畜量，实行以草定畜，在农牧交错区提倡农牧结合，发展生态产业，培育替代产业，减轻区内畜牧业对水源和生态系统的压力。</w:t>
            </w:r>
          </w:p>
        </w:tc>
        <w:tc>
          <w:tcPr>
            <w:tcW w:w="1185" w:type="pct"/>
            <w:noWrap w:val="0"/>
            <w:vAlign w:val="center"/>
          </w:tcPr>
          <w:p w14:paraId="734E117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color w:val="000000"/>
                <w:highlight w:val="none"/>
                <w:lang w:val="en-US" w:eastAsia="zh-CN"/>
              </w:rPr>
            </w:pPr>
            <w:r>
              <w:rPr>
                <w:rFonts w:hint="eastAsia" w:ascii="Times New Roman" w:hAnsi="Times New Roman" w:eastAsia="宋体" w:cs="Times New Roman"/>
                <w:szCs w:val="21"/>
                <w:highlight w:val="none"/>
                <w:lang w:val="en-US" w:eastAsia="zh-CN"/>
              </w:rPr>
              <w:t>1.本项目</w:t>
            </w:r>
            <w:r>
              <w:rPr>
                <w:rFonts w:hint="eastAsia" w:ascii="Times New Roman" w:hAnsi="Times New Roman" w:eastAsia="宋体" w:cs="Times New Roman"/>
                <w:color w:val="000000"/>
                <w:kern w:val="2"/>
                <w:sz w:val="21"/>
                <w:szCs w:val="24"/>
                <w:highlight w:val="none"/>
                <w:lang w:val="en-US" w:eastAsia="zh-CN" w:bidi="ar-SA"/>
              </w:rPr>
              <w:t>不属于</w:t>
            </w:r>
            <w:r>
              <w:rPr>
                <w:rFonts w:hint="eastAsia"/>
                <w:color w:val="000000"/>
                <w:highlight w:val="none"/>
              </w:rPr>
              <w:t>无序采矿、毁林开荒、湿地和草地开垦、采砂采土</w:t>
            </w:r>
            <w:r>
              <w:rPr>
                <w:rFonts w:hint="eastAsia"/>
                <w:color w:val="000000"/>
                <w:highlight w:val="none"/>
                <w:lang w:val="en-US" w:eastAsia="zh-CN"/>
              </w:rPr>
              <w:t>等；</w:t>
            </w:r>
          </w:p>
          <w:p w14:paraId="753139E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color w:val="000000"/>
                <w:highlight w:val="none"/>
                <w:lang w:val="en-US" w:eastAsia="zh-CN"/>
              </w:rPr>
            </w:pPr>
            <w:r>
              <w:rPr>
                <w:rFonts w:hint="eastAsia"/>
                <w:color w:val="000000"/>
                <w:highlight w:val="none"/>
                <w:lang w:val="en-US" w:eastAsia="zh-CN"/>
              </w:rPr>
              <w:t>2.本项目废水不外排；</w:t>
            </w:r>
          </w:p>
          <w:p w14:paraId="0CFA66D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color w:val="000000"/>
                <w:highlight w:val="none"/>
                <w:lang w:val="en-US" w:eastAsia="zh-CN"/>
              </w:rPr>
            </w:pPr>
            <w:r>
              <w:rPr>
                <w:rFonts w:hint="eastAsia"/>
                <w:color w:val="000000"/>
                <w:highlight w:val="none"/>
                <w:lang w:val="en-US" w:eastAsia="zh-CN"/>
              </w:rPr>
              <w:t>3.不涉及；</w:t>
            </w:r>
          </w:p>
          <w:p w14:paraId="233E0874">
            <w:pPr>
              <w:pStyle w:val="332"/>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highlight w:val="none"/>
                <w:lang w:val="en-US" w:eastAsia="zh-CN"/>
              </w:rPr>
            </w:pPr>
            <w:r>
              <w:rPr>
                <w:rFonts w:hint="eastAsia"/>
                <w:color w:val="000000"/>
                <w:highlight w:val="none"/>
                <w:lang w:val="en-US" w:eastAsia="zh-CN"/>
              </w:rPr>
              <w:t>4.不涉及。</w:t>
            </w:r>
          </w:p>
        </w:tc>
        <w:tc>
          <w:tcPr>
            <w:tcW w:w="382" w:type="pct"/>
            <w:noWrap w:val="0"/>
            <w:vAlign w:val="center"/>
          </w:tcPr>
          <w:p w14:paraId="39C2A8A0">
            <w:pPr>
              <w:pStyle w:val="332"/>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符合</w:t>
            </w:r>
          </w:p>
        </w:tc>
      </w:tr>
      <w:tr w14:paraId="7AEE4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392" w:type="pct"/>
            <w:vMerge w:val="continue"/>
            <w:noWrap w:val="0"/>
            <w:vAlign w:val="center"/>
          </w:tcPr>
          <w:p w14:paraId="0A1D052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none"/>
              </w:rPr>
            </w:pPr>
          </w:p>
        </w:tc>
        <w:tc>
          <w:tcPr>
            <w:tcW w:w="246" w:type="pct"/>
            <w:noWrap w:val="0"/>
            <w:vAlign w:val="center"/>
          </w:tcPr>
          <w:p w14:paraId="309FEF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none"/>
              </w:rPr>
            </w:pPr>
            <w:r>
              <w:rPr>
                <w:rFonts w:hint="eastAsia"/>
                <w:color w:val="000000"/>
                <w:highlight w:val="none"/>
              </w:rPr>
              <w:t>防风固沙</w:t>
            </w:r>
          </w:p>
        </w:tc>
        <w:tc>
          <w:tcPr>
            <w:tcW w:w="382" w:type="pct"/>
            <w:noWrap w:val="0"/>
            <w:vAlign w:val="center"/>
          </w:tcPr>
          <w:p w14:paraId="2FA32A1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空间布局约束</w:t>
            </w:r>
          </w:p>
        </w:tc>
        <w:tc>
          <w:tcPr>
            <w:tcW w:w="2409" w:type="pct"/>
            <w:noWrap w:val="0"/>
            <w:vAlign w:val="center"/>
          </w:tcPr>
          <w:p w14:paraId="7FC78B2E">
            <w:pPr>
              <w:pStyle w:val="332"/>
              <w:keepNext w:val="0"/>
              <w:keepLines w:val="0"/>
              <w:suppressLineNumbers w:val="0"/>
              <w:spacing w:before="0" w:beforeAutospacing="0" w:after="0" w:afterAutospacing="0"/>
              <w:ind w:left="0" w:right="0"/>
              <w:jc w:val="center"/>
              <w:rPr>
                <w:rFonts w:hint="eastAsia" w:eastAsiaTheme="minorEastAsia"/>
                <w:color w:val="000000"/>
                <w:kern w:val="0"/>
                <w:highlight w:val="none"/>
                <w:lang w:eastAsia="zh-CN"/>
              </w:rPr>
            </w:pPr>
            <w:r>
              <w:rPr>
                <w:rFonts w:hint="eastAsia"/>
                <w:color w:val="000000"/>
                <w:kern w:val="0"/>
                <w:highlight w:val="none"/>
              </w:rPr>
              <w:t>1.对主要沙尘源区、沙尘暴频发区实行封禁管理。</w:t>
            </w:r>
          </w:p>
          <w:p w14:paraId="2799127A">
            <w:pPr>
              <w:pStyle w:val="332"/>
              <w:keepNext w:val="0"/>
              <w:keepLines w:val="0"/>
              <w:suppressLineNumbers w:val="0"/>
              <w:spacing w:before="0" w:beforeAutospacing="0" w:after="0" w:afterAutospacing="0"/>
              <w:ind w:left="0" w:right="0"/>
              <w:jc w:val="center"/>
              <w:rPr>
                <w:rFonts w:hint="default"/>
                <w:color w:val="000000"/>
                <w:kern w:val="0"/>
                <w:highlight w:val="none"/>
              </w:rPr>
            </w:pPr>
            <w:r>
              <w:rPr>
                <w:rFonts w:hint="eastAsia"/>
                <w:color w:val="000000"/>
                <w:highlight w:val="none"/>
              </w:rPr>
              <w:t>2.严格控制放牧和草原生物资源的利用，加强植被恢复和保护。</w:t>
            </w:r>
          </w:p>
          <w:p w14:paraId="0035D375">
            <w:pPr>
              <w:pStyle w:val="332"/>
              <w:keepNext w:val="0"/>
              <w:keepLines w:val="0"/>
              <w:suppressLineNumbers w:val="0"/>
              <w:spacing w:before="0" w:beforeAutospacing="0" w:after="0" w:afterAutospacing="0"/>
              <w:ind w:left="0" w:right="0"/>
              <w:jc w:val="center"/>
              <w:rPr>
                <w:rFonts w:hint="default"/>
                <w:color w:val="000000"/>
                <w:kern w:val="0"/>
                <w:highlight w:val="none"/>
              </w:rPr>
            </w:pPr>
            <w:r>
              <w:rPr>
                <w:rFonts w:hint="eastAsia"/>
                <w:color w:val="000000"/>
                <w:kern w:val="0"/>
                <w:highlight w:val="none"/>
              </w:rPr>
              <w:t>3.</w:t>
            </w:r>
            <w:r>
              <w:rPr>
                <w:rFonts w:hint="eastAsia"/>
                <w:color w:val="000000"/>
                <w:highlight w:val="none"/>
              </w:rPr>
              <w:t>严格控制</w:t>
            </w:r>
            <w:r>
              <w:rPr>
                <w:rFonts w:hint="eastAsia"/>
                <w:color w:val="000000"/>
                <w:kern w:val="0"/>
                <w:highlight w:val="none"/>
              </w:rPr>
              <w:t>过度放牧、樵采、开荒，合理利用水资源，保障生态用水，提高区域生态系统防沙固沙的能力。</w:t>
            </w:r>
          </w:p>
          <w:p w14:paraId="38DFF18F">
            <w:pPr>
              <w:pStyle w:val="332"/>
              <w:keepNext w:val="0"/>
              <w:keepLines w:val="0"/>
              <w:suppressLineNumbers w:val="0"/>
              <w:spacing w:before="0" w:beforeAutospacing="0" w:after="0" w:afterAutospacing="0"/>
              <w:ind w:left="0" w:right="0"/>
              <w:jc w:val="center"/>
              <w:rPr>
                <w:rFonts w:hint="default"/>
                <w:color w:val="000000"/>
                <w:highlight w:val="none"/>
              </w:rPr>
            </w:pPr>
            <w:r>
              <w:rPr>
                <w:rFonts w:hint="eastAsia"/>
                <w:color w:val="000000"/>
                <w:highlight w:val="none"/>
              </w:rPr>
              <w:t>4.</w:t>
            </w:r>
            <w:r>
              <w:rPr>
                <w:rFonts w:hint="eastAsia"/>
                <w:color w:val="000000"/>
                <w:kern w:val="0"/>
                <w:highlight w:val="none"/>
              </w:rPr>
              <w:t>开展荒漠植被和沙化土地封禁保护，加强退化林带修复，禁止滥开垦、滥放牧和滥樵采，构建乔灌草相结合的防护林体系</w:t>
            </w:r>
            <w:r>
              <w:rPr>
                <w:rFonts w:hint="eastAsia"/>
                <w:color w:val="000000"/>
                <w:highlight w:val="none"/>
              </w:rPr>
              <w:t>。</w:t>
            </w:r>
          </w:p>
          <w:p w14:paraId="6B729EC8">
            <w:pPr>
              <w:pStyle w:val="332"/>
              <w:keepNext w:val="0"/>
              <w:keepLines w:val="0"/>
              <w:suppressLineNumbers w:val="0"/>
              <w:spacing w:before="0" w:beforeAutospacing="0" w:after="0" w:afterAutospacing="0"/>
              <w:ind w:left="0" w:right="0"/>
              <w:jc w:val="center"/>
              <w:rPr>
                <w:rFonts w:hint="default"/>
                <w:color w:val="000000"/>
                <w:highlight w:val="none"/>
              </w:rPr>
            </w:pPr>
            <w:r>
              <w:rPr>
                <w:rFonts w:hint="eastAsia"/>
                <w:color w:val="000000"/>
                <w:highlight w:val="none"/>
              </w:rPr>
              <w:t>5.对防风固沙林只能进行抚育和更新性质的采伐。</w:t>
            </w:r>
          </w:p>
          <w:p w14:paraId="1FA97E2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none"/>
              </w:rPr>
            </w:pPr>
            <w:r>
              <w:rPr>
                <w:rFonts w:hint="eastAsia"/>
                <w:color w:val="000000"/>
                <w:highlight w:val="none"/>
              </w:rPr>
              <w:t>6.转变畜牧业生产方式，实行禁牧休牧，推行舍饲圈养，以草定畜，严格控制载畜量；加大退耕还林力度，恢复草原植被；加强对内陆河流的规划和管理，保护沙区湿地。</w:t>
            </w:r>
          </w:p>
        </w:tc>
        <w:tc>
          <w:tcPr>
            <w:tcW w:w="1185" w:type="pct"/>
            <w:noWrap w:val="0"/>
            <w:vAlign w:val="center"/>
          </w:tcPr>
          <w:p w14:paraId="50697A63">
            <w:pPr>
              <w:pStyle w:val="332"/>
              <w:keepNext w:val="0"/>
              <w:keepLines w:val="0"/>
              <w:suppressLineNumbers w:val="0"/>
              <w:spacing w:before="0" w:beforeAutospacing="0" w:after="0" w:afterAutospacing="0"/>
              <w:ind w:left="0" w:right="0"/>
              <w:jc w:val="center"/>
              <w:rPr>
                <w:rFonts w:hint="eastAsia"/>
                <w:color w:val="000000"/>
                <w:kern w:val="0"/>
                <w:highlight w:val="none"/>
                <w:lang w:eastAsia="zh-CN"/>
              </w:rPr>
            </w:pPr>
            <w:r>
              <w:rPr>
                <w:rFonts w:hint="eastAsia" w:ascii="Times New Roman" w:hAnsi="Times New Roman" w:cs="Times New Roman"/>
                <w:color w:val="000000"/>
                <w:szCs w:val="21"/>
                <w:highlight w:val="none"/>
                <w:lang w:val="en-US" w:eastAsia="zh-CN"/>
              </w:rPr>
              <w:t>1.</w:t>
            </w:r>
            <w:r>
              <w:rPr>
                <w:rFonts w:hint="eastAsia" w:ascii="Times New Roman" w:hAnsi="Times New Roman" w:eastAsia="宋体" w:cs="Times New Roman"/>
                <w:szCs w:val="21"/>
                <w:highlight w:val="none"/>
                <w:lang w:val="en-US" w:eastAsia="zh-CN"/>
              </w:rPr>
              <w:t>本项目占地范围不属于</w:t>
            </w:r>
            <w:r>
              <w:rPr>
                <w:rFonts w:hint="eastAsia"/>
                <w:color w:val="000000"/>
                <w:kern w:val="0"/>
                <w:highlight w:val="none"/>
              </w:rPr>
              <w:t>沙尘源区、沙尘暴频发区</w:t>
            </w:r>
            <w:r>
              <w:rPr>
                <w:rFonts w:hint="eastAsia"/>
                <w:color w:val="000000"/>
                <w:kern w:val="0"/>
                <w:highlight w:val="none"/>
                <w:lang w:eastAsia="zh-CN"/>
              </w:rPr>
              <w:t>；</w:t>
            </w:r>
          </w:p>
          <w:p w14:paraId="404258C1">
            <w:pPr>
              <w:pStyle w:val="332"/>
              <w:keepNext w:val="0"/>
              <w:keepLines w:val="0"/>
              <w:suppressLineNumbers w:val="0"/>
              <w:spacing w:before="0" w:beforeAutospacing="0" w:after="0" w:afterAutospacing="0"/>
              <w:ind w:left="0" w:right="0"/>
              <w:jc w:val="center"/>
              <w:rPr>
                <w:rFonts w:hint="eastAsia"/>
                <w:color w:val="000000"/>
                <w:kern w:val="0"/>
                <w:highlight w:val="none"/>
                <w:lang w:val="en-US" w:eastAsia="zh-CN"/>
              </w:rPr>
            </w:pPr>
            <w:r>
              <w:rPr>
                <w:rFonts w:hint="eastAsia"/>
                <w:color w:val="000000"/>
                <w:kern w:val="0"/>
                <w:highlight w:val="none"/>
                <w:lang w:val="en-US" w:eastAsia="zh-CN"/>
              </w:rPr>
              <w:t>2.不涉及；</w:t>
            </w:r>
          </w:p>
          <w:p w14:paraId="2455BE2E">
            <w:pPr>
              <w:pStyle w:val="332"/>
              <w:keepNext w:val="0"/>
              <w:keepLines w:val="0"/>
              <w:suppressLineNumbers w:val="0"/>
              <w:spacing w:before="0" w:beforeAutospacing="0" w:after="0" w:afterAutospacing="0"/>
              <w:ind w:left="0" w:right="0"/>
              <w:jc w:val="center"/>
              <w:rPr>
                <w:rFonts w:hint="eastAsia"/>
                <w:color w:val="000000"/>
                <w:kern w:val="0"/>
                <w:highlight w:val="none"/>
                <w:lang w:val="en-US" w:eastAsia="zh-CN"/>
              </w:rPr>
            </w:pPr>
            <w:r>
              <w:rPr>
                <w:rFonts w:hint="eastAsia"/>
                <w:color w:val="000000"/>
                <w:kern w:val="0"/>
                <w:highlight w:val="none"/>
                <w:lang w:val="en-US" w:eastAsia="zh-CN"/>
              </w:rPr>
              <w:t>3.不涉及；</w:t>
            </w:r>
          </w:p>
          <w:p w14:paraId="17DE69F2">
            <w:pPr>
              <w:pStyle w:val="332"/>
              <w:keepNext w:val="0"/>
              <w:keepLines w:val="0"/>
              <w:suppressLineNumbers w:val="0"/>
              <w:spacing w:before="0" w:beforeAutospacing="0" w:after="0" w:afterAutospacing="0"/>
              <w:ind w:left="0" w:right="0"/>
              <w:jc w:val="center"/>
              <w:rPr>
                <w:rFonts w:hint="eastAsia"/>
                <w:color w:val="000000"/>
                <w:kern w:val="0"/>
                <w:highlight w:val="none"/>
                <w:lang w:val="en-US" w:eastAsia="zh-CN"/>
              </w:rPr>
            </w:pPr>
            <w:r>
              <w:rPr>
                <w:rFonts w:hint="eastAsia"/>
                <w:color w:val="000000"/>
                <w:kern w:val="0"/>
                <w:highlight w:val="none"/>
                <w:lang w:val="en-US" w:eastAsia="zh-CN"/>
              </w:rPr>
              <w:t>4.不涉及；</w:t>
            </w:r>
          </w:p>
          <w:p w14:paraId="5198C8F6">
            <w:pPr>
              <w:pStyle w:val="332"/>
              <w:keepNext w:val="0"/>
              <w:keepLines w:val="0"/>
              <w:suppressLineNumbers w:val="0"/>
              <w:spacing w:before="0" w:beforeAutospacing="0" w:after="0" w:afterAutospacing="0"/>
              <w:ind w:left="0" w:right="0"/>
              <w:jc w:val="center"/>
              <w:rPr>
                <w:rFonts w:hint="eastAsia"/>
                <w:color w:val="000000"/>
                <w:kern w:val="0"/>
                <w:highlight w:val="none"/>
                <w:lang w:val="en-US" w:eastAsia="zh-CN"/>
              </w:rPr>
            </w:pPr>
            <w:r>
              <w:rPr>
                <w:rFonts w:hint="eastAsia"/>
                <w:color w:val="000000"/>
                <w:kern w:val="0"/>
                <w:highlight w:val="none"/>
                <w:lang w:val="en-US" w:eastAsia="zh-CN"/>
              </w:rPr>
              <w:t>5.不涉及；</w:t>
            </w:r>
          </w:p>
          <w:p w14:paraId="1D1B6EBC">
            <w:pPr>
              <w:pStyle w:val="332"/>
              <w:keepNext w:val="0"/>
              <w:keepLines w:val="0"/>
              <w:suppressLineNumbers w:val="0"/>
              <w:spacing w:before="0" w:beforeAutospacing="0" w:after="0" w:afterAutospacing="0"/>
              <w:ind w:left="0" w:right="0"/>
              <w:jc w:val="center"/>
              <w:rPr>
                <w:rFonts w:hint="default"/>
                <w:color w:val="000000"/>
                <w:kern w:val="0"/>
                <w:highlight w:val="none"/>
                <w:lang w:val="en-US" w:eastAsia="zh-CN"/>
              </w:rPr>
            </w:pPr>
            <w:r>
              <w:rPr>
                <w:rFonts w:hint="eastAsia"/>
                <w:color w:val="000000"/>
                <w:kern w:val="0"/>
                <w:highlight w:val="none"/>
                <w:lang w:val="en-US" w:eastAsia="zh-CN"/>
              </w:rPr>
              <w:t>6.不涉及。</w:t>
            </w:r>
          </w:p>
        </w:tc>
        <w:tc>
          <w:tcPr>
            <w:tcW w:w="382" w:type="pct"/>
            <w:noWrap w:val="0"/>
            <w:vAlign w:val="center"/>
          </w:tcPr>
          <w:p w14:paraId="25F98A92">
            <w:pPr>
              <w:pStyle w:val="332"/>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cs="Times New Roman"/>
                <w:color w:val="000000"/>
                <w:szCs w:val="21"/>
                <w:highlight w:val="none"/>
                <w:lang w:val="en-US" w:eastAsia="zh-CN"/>
              </w:rPr>
              <w:t>符合</w:t>
            </w:r>
          </w:p>
        </w:tc>
      </w:tr>
    </w:tbl>
    <w:p w14:paraId="70359A32">
      <w:pPr>
        <w:pageBreakBefore w:val="0"/>
        <w:widowControl w:val="0"/>
        <w:kinsoku/>
        <w:wordWrap/>
        <w:overflowPunct/>
        <w:autoSpaceDE w:val="0"/>
        <w:autoSpaceDN w:val="0"/>
        <w:bidi w:val="0"/>
        <w:adjustRightInd w:val="0"/>
        <w:spacing w:line="360" w:lineRule="auto"/>
        <w:ind w:left="0" w:firstLine="480" w:firstLineChars="200"/>
        <w:jc w:val="both"/>
        <w:rPr>
          <w:rFonts w:hint="eastAsia"/>
          <w:color w:val="auto"/>
          <w:sz w:val="24"/>
          <w:szCs w:val="24"/>
          <w:highlight w:val="none"/>
          <w:lang w:val="en-US" w:eastAsia="zh-CN"/>
        </w:rPr>
      </w:pPr>
      <w:r>
        <w:rPr>
          <w:rFonts w:hint="eastAsia" w:ascii="Times New Roman" w:hAnsi="Times New Roman"/>
          <w:color w:val="auto"/>
          <w:sz w:val="24"/>
          <w:szCs w:val="24"/>
          <w:highlight w:val="none"/>
        </w:rPr>
        <w:t>本项目符合《</w:t>
      </w:r>
      <w:r>
        <w:rPr>
          <w:rFonts w:hint="eastAsia" w:ascii="Times New Roman" w:hAnsi="Times New Roman"/>
          <w:b w:val="0"/>
          <w:bCs w:val="0"/>
          <w:color w:val="auto"/>
          <w:sz w:val="24"/>
          <w:szCs w:val="24"/>
          <w:highlight w:val="none"/>
        </w:rPr>
        <w:t>关于</w:t>
      </w:r>
      <w:r>
        <w:rPr>
          <w:rFonts w:hint="eastAsia" w:ascii="Times New Roman" w:hAnsi="Times New Roman"/>
          <w:b w:val="0"/>
          <w:bCs w:val="0"/>
          <w:color w:val="auto"/>
          <w:sz w:val="24"/>
          <w:szCs w:val="24"/>
          <w:highlight w:val="none"/>
          <w:lang w:val="en-US" w:eastAsia="zh-CN"/>
        </w:rPr>
        <w:t>发布承德市生态环境分区管控准入清单（2023年版）</w:t>
      </w:r>
      <w:r>
        <w:rPr>
          <w:rFonts w:hint="eastAsia" w:ascii="Times New Roman" w:hAnsi="Times New Roman"/>
          <w:color w:val="auto"/>
          <w:sz w:val="24"/>
          <w:szCs w:val="24"/>
          <w:highlight w:val="none"/>
        </w:rPr>
        <w:t>》</w:t>
      </w:r>
      <w:r>
        <w:rPr>
          <w:rFonts w:hint="eastAsia" w:ascii="Times New Roman" w:hAnsi="Times New Roman"/>
          <w:color w:val="auto"/>
          <w:sz w:val="24"/>
          <w:szCs w:val="24"/>
          <w:highlight w:val="none"/>
          <w:lang w:val="en-US" w:eastAsia="zh-CN"/>
        </w:rPr>
        <w:t>相关要求</w:t>
      </w:r>
      <w:r>
        <w:rPr>
          <w:rFonts w:hint="eastAsia"/>
          <w:color w:val="auto"/>
          <w:sz w:val="24"/>
          <w:szCs w:val="24"/>
          <w:highlight w:val="none"/>
          <w:lang w:val="en-US" w:eastAsia="zh-CN"/>
        </w:rPr>
        <w:t>。</w:t>
      </w:r>
    </w:p>
    <w:p w14:paraId="74AE555E">
      <w:pPr>
        <w:keepNext/>
        <w:keepLines/>
        <w:pageBreakBefore w:val="0"/>
        <w:widowControl w:val="0"/>
        <w:numPr>
          <w:ilvl w:val="2"/>
          <w:numId w:val="1"/>
        </w:numPr>
        <w:kinsoku/>
        <w:wordWrap/>
        <w:overflowPunct/>
        <w:bidi w:val="0"/>
        <w:adjustRightInd w:val="0"/>
        <w:snapToGrid w:val="0"/>
        <w:spacing w:line="360" w:lineRule="auto"/>
        <w:ind w:left="0" w:firstLine="0" w:firstLineChars="0"/>
        <w:jc w:val="both"/>
        <w:outlineLvl w:val="2"/>
        <w:rPr>
          <w:rFonts w:ascii="Times New Roman" w:hAnsi="Times New Roman" w:eastAsia="宋体" w:cs="Times New Roman"/>
          <w:b/>
          <w:bCs/>
          <w:kern w:val="2"/>
          <w:sz w:val="24"/>
          <w:szCs w:val="32"/>
          <w:highlight w:val="none"/>
          <w:lang w:val="en-US" w:eastAsia="zh-CN" w:bidi="ar-SA"/>
        </w:rPr>
      </w:pPr>
      <w:bookmarkStart w:id="32" w:name="_Toc15746"/>
      <w:bookmarkStart w:id="33" w:name="_Toc4994"/>
      <w:r>
        <w:rPr>
          <w:rFonts w:ascii="Times New Roman" w:hAnsi="Times New Roman" w:eastAsia="宋体" w:cs="Times New Roman"/>
          <w:b/>
          <w:bCs/>
          <w:kern w:val="2"/>
          <w:sz w:val="24"/>
          <w:szCs w:val="32"/>
          <w:highlight w:val="none"/>
          <w:lang w:val="en-US" w:eastAsia="zh-CN" w:bidi="ar-SA"/>
        </w:rPr>
        <w:t>规划符合性分析</w:t>
      </w:r>
      <w:bookmarkEnd w:id="32"/>
      <w:bookmarkEnd w:id="33"/>
    </w:p>
    <w:p w14:paraId="1451B72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bidi="ar-SA"/>
        </w:rPr>
      </w:pPr>
      <w:r>
        <w:rPr>
          <w:rFonts w:ascii="Times New Roman" w:eastAsia="宋体"/>
          <w:sz w:val="24"/>
          <w:szCs w:val="24"/>
          <w:highlight w:val="none"/>
        </w:rPr>
        <w:t>项目</w:t>
      </w:r>
      <w:r>
        <w:rPr>
          <w:rFonts w:hint="eastAsia"/>
          <w:sz w:val="24"/>
          <w:szCs w:val="24"/>
          <w:highlight w:val="none"/>
          <w:lang w:val="en-US" w:eastAsia="zh-CN"/>
        </w:rPr>
        <w:t>选址位于</w:t>
      </w:r>
      <w:r>
        <w:rPr>
          <w:rFonts w:hint="eastAsia"/>
          <w:sz w:val="24"/>
          <w:szCs w:val="24"/>
          <w:highlight w:val="none"/>
          <w:lang w:eastAsia="zh-CN"/>
        </w:rPr>
        <w:t>隆化县韩麻营镇东兴村东北沟</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为</w:t>
      </w:r>
      <w:r>
        <w:rPr>
          <w:rFonts w:hint="default" w:ascii="Times New Roman" w:hAnsi="Times New Roman" w:cs="Times New Roman"/>
          <w:color w:val="000000"/>
          <w:kern w:val="0"/>
          <w:sz w:val="24"/>
          <w:szCs w:val="21"/>
          <w:highlight w:val="none"/>
        </w:rPr>
        <w:t>燕山一太行山生态涵养区，</w:t>
      </w:r>
      <w:r>
        <w:rPr>
          <w:rFonts w:ascii="Times New Roman" w:eastAsia="宋体"/>
          <w:sz w:val="24"/>
          <w:szCs w:val="24"/>
          <w:highlight w:val="none"/>
        </w:rPr>
        <w:t>属于省重点生态功能区</w:t>
      </w:r>
      <w:r>
        <w:rPr>
          <w:rFonts w:hint="eastAsia"/>
          <w:sz w:val="24"/>
          <w:szCs w:val="24"/>
          <w:highlight w:val="none"/>
          <w:lang w:eastAsia="zh-CN"/>
        </w:rPr>
        <w:t>、</w:t>
      </w:r>
      <w:r>
        <w:rPr>
          <w:rFonts w:hint="eastAsia"/>
          <w:color w:val="000000"/>
          <w:sz w:val="24"/>
          <w:szCs w:val="24"/>
          <w:highlight w:val="none"/>
        </w:rPr>
        <w:t>承德市燕山山地水源涵养重要区</w:t>
      </w:r>
      <w:r>
        <w:rPr>
          <w:rFonts w:ascii="Times New Roman" w:eastAsia="宋体"/>
          <w:sz w:val="24"/>
          <w:szCs w:val="24"/>
          <w:highlight w:val="none"/>
        </w:rPr>
        <w:t>，</w:t>
      </w:r>
      <w:r>
        <w:rPr>
          <w:rFonts w:hint="eastAsia"/>
          <w:sz w:val="24"/>
          <w:szCs w:val="24"/>
          <w:highlight w:val="none"/>
          <w:lang w:val="en-US" w:eastAsia="zh-CN"/>
        </w:rPr>
        <w:t>项目为采区、选厂配套排土场，</w:t>
      </w:r>
      <w:r>
        <w:rPr>
          <w:rFonts w:hint="default" w:ascii="Times New Roman" w:hAnsi="Times New Roman" w:cs="Times New Roman"/>
          <w:color w:val="000000"/>
          <w:kern w:val="0"/>
          <w:sz w:val="24"/>
          <w:szCs w:val="21"/>
          <w:highlight w:val="none"/>
        </w:rPr>
        <w:t>建设过程对排土场坡面及台阶进行绿化，服务期满后封场时，对排土场采取植树种草等生态恢复措施</w:t>
      </w:r>
      <w:r>
        <w:rPr>
          <w:rFonts w:hint="eastAsia" w:ascii="Times New Roman" w:hAnsi="Times New Roman" w:cs="Times New Roman"/>
          <w:color w:val="000000"/>
          <w:kern w:val="0"/>
          <w:sz w:val="24"/>
          <w:szCs w:val="21"/>
          <w:highlight w:val="none"/>
          <w:lang w:eastAsia="zh-CN"/>
        </w:rPr>
        <w:t>，</w:t>
      </w:r>
      <w:r>
        <w:rPr>
          <w:rFonts w:hint="default" w:ascii="Times New Roman" w:hAnsi="Times New Roman" w:cs="Times New Roman"/>
          <w:color w:val="000000"/>
          <w:kern w:val="0"/>
          <w:sz w:val="24"/>
          <w:szCs w:val="21"/>
          <w:highlight w:val="none"/>
        </w:rPr>
        <w:t>提高植被覆盖率，减少水土流失</w:t>
      </w:r>
      <w:r>
        <w:rPr>
          <w:rFonts w:hint="eastAsia" w:ascii="Times New Roman" w:hAnsi="Times New Roman" w:cs="Times New Roman"/>
          <w:color w:val="000000"/>
          <w:kern w:val="0"/>
          <w:sz w:val="24"/>
          <w:szCs w:val="21"/>
          <w:highlight w:val="none"/>
          <w:lang w:eastAsia="zh-CN"/>
        </w:rPr>
        <w:t>，</w:t>
      </w:r>
      <w:r>
        <w:rPr>
          <w:rFonts w:ascii="Times New Roman" w:eastAsia="宋体"/>
          <w:sz w:val="24"/>
          <w:szCs w:val="24"/>
          <w:highlight w:val="none"/>
        </w:rPr>
        <w:t>符合</w:t>
      </w:r>
      <w:r>
        <w:rPr>
          <w:rFonts w:hint="default" w:ascii="Times New Roman" w:hAnsi="Times New Roman" w:cs="Times New Roman"/>
          <w:color w:val="000000"/>
          <w:kern w:val="0"/>
          <w:sz w:val="24"/>
          <w:szCs w:val="21"/>
          <w:highlight w:val="none"/>
        </w:rPr>
        <w:t>《河北省主体功能区规划》</w:t>
      </w:r>
      <w:r>
        <w:rPr>
          <w:rFonts w:hint="eastAsia" w:cs="Times New Roman"/>
          <w:color w:val="000000"/>
          <w:kern w:val="0"/>
          <w:sz w:val="24"/>
          <w:szCs w:val="21"/>
          <w:highlight w:val="none"/>
          <w:lang w:eastAsia="zh-CN"/>
        </w:rPr>
        <w:t>、</w:t>
      </w:r>
      <w:r>
        <w:rPr>
          <w:rFonts w:hint="default" w:ascii="Times New Roman" w:hAnsi="Times New Roman" w:cs="Times New Roman"/>
          <w:color w:val="000000"/>
          <w:kern w:val="0"/>
          <w:sz w:val="24"/>
          <w:szCs w:val="24"/>
          <w:highlight w:val="none"/>
        </w:rPr>
        <w:t>《河北省生态功能区划》</w:t>
      </w:r>
      <w:r>
        <w:rPr>
          <w:rFonts w:hint="eastAsia" w:ascii="Times New Roman" w:hAnsi="Times New Roman" w:cs="Times New Roman"/>
          <w:color w:val="000000"/>
          <w:kern w:val="0"/>
          <w:sz w:val="24"/>
          <w:szCs w:val="24"/>
          <w:highlight w:val="none"/>
          <w:lang w:eastAsia="zh-CN"/>
        </w:rPr>
        <w:t>、</w:t>
      </w:r>
      <w:r>
        <w:rPr>
          <w:rFonts w:hint="eastAsia" w:ascii="Times New Roman" w:hAnsi="Times New Roman" w:cs="Times New Roman"/>
          <w:color w:val="000000"/>
          <w:kern w:val="0"/>
          <w:sz w:val="24"/>
          <w:szCs w:val="21"/>
          <w:highlight w:val="none"/>
          <w:lang w:eastAsia="zh-CN"/>
        </w:rPr>
        <w:t>《</w:t>
      </w:r>
      <w:r>
        <w:rPr>
          <w:rFonts w:hint="default" w:ascii="Times New Roman" w:hAnsi="Times New Roman" w:cs="Times New Roman"/>
          <w:color w:val="000000"/>
          <w:kern w:val="0"/>
          <w:sz w:val="24"/>
          <w:szCs w:val="21"/>
          <w:highlight w:val="none"/>
        </w:rPr>
        <w:t>河北省建设京津冀生态环境支撑区规划</w:t>
      </w:r>
      <w:r>
        <w:rPr>
          <w:rFonts w:hint="eastAsia" w:ascii="Times New Roman" w:hAnsi="Times New Roman" w:cs="Times New Roman"/>
          <w:color w:val="000000"/>
          <w:kern w:val="0"/>
          <w:sz w:val="24"/>
          <w:szCs w:val="21"/>
          <w:highlight w:val="none"/>
          <w:lang w:eastAsia="zh-CN"/>
        </w:rPr>
        <w:t>》</w:t>
      </w:r>
      <w:r>
        <w:rPr>
          <w:rFonts w:hint="default" w:ascii="Times New Roman" w:hAnsi="Times New Roman" w:cs="Times New Roman"/>
          <w:color w:val="000000"/>
          <w:kern w:val="0"/>
          <w:sz w:val="24"/>
          <w:szCs w:val="21"/>
          <w:highlight w:val="none"/>
        </w:rPr>
        <w:t>（2016-2020年）</w:t>
      </w:r>
      <w:r>
        <w:rPr>
          <w:rFonts w:hint="eastAsia" w:ascii="Times New Roman" w:hAnsi="Times New Roman" w:cs="Times New Roman"/>
          <w:color w:val="000000"/>
          <w:kern w:val="0"/>
          <w:sz w:val="24"/>
          <w:szCs w:val="21"/>
          <w:highlight w:val="none"/>
          <w:lang w:eastAsia="zh-CN"/>
        </w:rPr>
        <w:t>、《承德市重点水源涵养生态功能保护区规划》</w:t>
      </w:r>
      <w:r>
        <w:rPr>
          <w:rFonts w:hint="eastAsia" w:cs="Times New Roman"/>
          <w:color w:val="000000"/>
          <w:kern w:val="0"/>
          <w:sz w:val="24"/>
          <w:szCs w:val="21"/>
          <w:highlight w:val="none"/>
          <w:lang w:eastAsia="zh-CN"/>
        </w:rPr>
        <w:t>、《“十四五”土壤、地下水和农村生态环境保护规划》、《河北省土壤和地下水污染防治“十四五”规划》、《承德市“十四五”土壤、地下水和农村生态环境保护规划》、</w:t>
      </w:r>
      <w:r>
        <w:rPr>
          <w:rFonts w:hint="eastAsia"/>
          <w:color w:val="auto"/>
          <w:sz w:val="24"/>
          <w:szCs w:val="24"/>
          <w:highlight w:val="none"/>
        </w:rPr>
        <w:t>《河北省建设京津冀生态环境支撑区“十四五”规划》</w:t>
      </w:r>
      <w:r>
        <w:rPr>
          <w:rFonts w:hint="eastAsia"/>
          <w:color w:val="auto"/>
          <w:sz w:val="24"/>
          <w:szCs w:val="24"/>
          <w:highlight w:val="none"/>
          <w:lang w:eastAsia="zh-CN"/>
        </w:rPr>
        <w:t>、《河北省生态环境保护“十四五”规划》、</w:t>
      </w:r>
      <w:r>
        <w:rPr>
          <w:rFonts w:hint="eastAsia"/>
          <w:kern w:val="0"/>
          <w:sz w:val="24"/>
          <w:highlight w:val="none"/>
        </w:rPr>
        <w:t>《承德市生态环境保护“十四五”规划》</w:t>
      </w:r>
      <w:r>
        <w:rPr>
          <w:rFonts w:hint="eastAsia"/>
          <w:kern w:val="0"/>
          <w:sz w:val="24"/>
          <w:highlight w:val="none"/>
          <w:lang w:eastAsia="zh-CN"/>
        </w:rPr>
        <w:t>、《关于“十四五”大宗固体废弃物综合利用的指导意见》、</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隆化县国土空间总体规划</w:t>
      </w:r>
      <w:r>
        <w:rPr>
          <w:rFonts w:hint="eastAsia" w:ascii="Times New Roman" w:hAnsi="Times New Roman" w:eastAsia="宋体" w:cs="Times New Roman"/>
          <w:color w:val="auto"/>
          <w:sz w:val="24"/>
          <w:szCs w:val="24"/>
          <w:highlight w:val="none"/>
          <w:lang w:val="en-US" w:eastAsia="zh-CN"/>
        </w:rPr>
        <w:t>（2021</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2035年）》</w:t>
      </w:r>
      <w:r>
        <w:rPr>
          <w:rFonts w:ascii="Times New Roman" w:eastAsia="宋体"/>
          <w:sz w:val="24"/>
          <w:szCs w:val="24"/>
          <w:highlight w:val="none"/>
        </w:rPr>
        <w:t>要求</w:t>
      </w:r>
      <w:r>
        <w:rPr>
          <w:rFonts w:hint="default" w:ascii="Times New Roman" w:hAnsi="Times New Roman" w:cs="Times New Roman"/>
          <w:color w:val="000000"/>
          <w:kern w:val="0"/>
          <w:sz w:val="24"/>
          <w:szCs w:val="24"/>
          <w:highlight w:val="none"/>
        </w:rPr>
        <w:t>。</w:t>
      </w:r>
    </w:p>
    <w:p w14:paraId="2BDF7FF3">
      <w:pPr>
        <w:keepNext/>
        <w:keepLines/>
        <w:pageBreakBefore w:val="0"/>
        <w:widowControl w:val="0"/>
        <w:numPr>
          <w:ilvl w:val="1"/>
          <w:numId w:val="1"/>
        </w:numPr>
        <w:kinsoku/>
        <w:wordWrap/>
        <w:overflowPunct/>
        <w:topLinePunct w:val="0"/>
        <w:autoSpaceDE/>
        <w:autoSpaceDN/>
        <w:bidi w:val="0"/>
        <w:adjustRightInd w:val="0"/>
        <w:snapToGrid w:val="0"/>
        <w:spacing w:line="360" w:lineRule="auto"/>
        <w:ind w:left="0" w:firstLine="0"/>
        <w:jc w:val="both"/>
        <w:textAlignment w:val="auto"/>
        <w:outlineLvl w:val="1"/>
        <w:rPr>
          <w:rFonts w:hint="default" w:ascii="Times New Roman" w:hAnsi="Times New Roman" w:eastAsia="宋体" w:cs="Times New Roman"/>
          <w:b/>
          <w:color w:val="000000"/>
          <w:kern w:val="2"/>
          <w:sz w:val="28"/>
          <w:szCs w:val="28"/>
          <w:highlight w:val="none"/>
          <w:lang w:val="en-US" w:eastAsia="zh-CN" w:bidi="ar-SA"/>
        </w:rPr>
      </w:pPr>
      <w:bookmarkStart w:id="34" w:name="_Toc30172"/>
      <w:bookmarkStart w:id="35" w:name="_Toc2329"/>
      <w:bookmarkStart w:id="36" w:name="_Toc27512"/>
      <w:bookmarkStart w:id="37" w:name="_Toc30360"/>
      <w:bookmarkStart w:id="38" w:name="_Toc15266"/>
      <w:bookmarkStart w:id="39" w:name="_Toc2879"/>
      <w:r>
        <w:rPr>
          <w:rFonts w:hint="default" w:ascii="Times New Roman" w:hAnsi="Times New Roman" w:eastAsia="宋体" w:cs="Times New Roman"/>
          <w:b/>
          <w:color w:val="000000"/>
          <w:kern w:val="2"/>
          <w:sz w:val="28"/>
          <w:szCs w:val="28"/>
          <w:highlight w:val="none"/>
          <w:lang w:val="en-US" w:eastAsia="zh-CN" w:bidi="ar-SA"/>
        </w:rPr>
        <w:t>环境影响评价</w:t>
      </w:r>
      <w:r>
        <w:rPr>
          <w:rFonts w:hint="eastAsia" w:ascii="Times New Roman" w:hAnsi="Times New Roman" w:eastAsia="宋体" w:cs="Times New Roman"/>
          <w:b/>
          <w:color w:val="000000"/>
          <w:kern w:val="2"/>
          <w:sz w:val="28"/>
          <w:szCs w:val="28"/>
          <w:highlight w:val="none"/>
          <w:lang w:val="en-US" w:eastAsia="zh-CN" w:bidi="ar-SA"/>
        </w:rPr>
        <w:t>工作</w:t>
      </w:r>
      <w:r>
        <w:rPr>
          <w:rFonts w:hint="default" w:ascii="Times New Roman" w:hAnsi="Times New Roman" w:eastAsia="宋体" w:cs="Times New Roman"/>
          <w:b/>
          <w:color w:val="000000"/>
          <w:kern w:val="2"/>
          <w:sz w:val="28"/>
          <w:szCs w:val="28"/>
          <w:highlight w:val="none"/>
          <w:lang w:val="en-US" w:eastAsia="zh-CN" w:bidi="ar-SA"/>
        </w:rPr>
        <w:t>过程</w:t>
      </w:r>
      <w:bookmarkEnd w:id="34"/>
      <w:bookmarkEnd w:id="35"/>
      <w:bookmarkEnd w:id="36"/>
      <w:bookmarkEnd w:id="37"/>
      <w:bookmarkEnd w:id="38"/>
      <w:bookmarkEnd w:id="39"/>
    </w:p>
    <w:p w14:paraId="754B7AF4">
      <w:pPr>
        <w:pageBreakBefore w:val="0"/>
        <w:widowControl w:val="0"/>
        <w:kinsoku/>
        <w:wordWrap/>
        <w:overflowPunct/>
        <w:autoSpaceDE w:val="0"/>
        <w:autoSpaceDN w:val="0"/>
        <w:bidi w:val="0"/>
        <w:adjustRightInd w:val="0"/>
        <w:spacing w:line="360" w:lineRule="auto"/>
        <w:ind w:left="0" w:firstLine="480" w:firstLineChars="200"/>
        <w:jc w:val="both"/>
        <w:rPr>
          <w:rFonts w:hint="default" w:ascii="Times New Roman" w:hAnsi="Times New Roman" w:eastAsia="宋体"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rPr>
        <w:t>根据《中华人民共和国环境影响评价法》</w:t>
      </w:r>
      <w:r>
        <w:rPr>
          <w:rFonts w:hint="eastAsia"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rPr>
        <w:t>《建设项目环境保护管理条例》</w:t>
      </w:r>
      <w:r>
        <w:rPr>
          <w:rFonts w:hint="eastAsia" w:ascii="Times New Roman" w:hAnsi="Times New Roman" w:eastAsia="宋体" w:cs="Times New Roman"/>
          <w:color w:val="000000"/>
          <w:kern w:val="0"/>
          <w:sz w:val="24"/>
          <w:szCs w:val="21"/>
          <w:highlight w:val="none"/>
          <w:lang w:val="en-US" w:eastAsia="zh-CN"/>
        </w:rPr>
        <w:t>有关环保法律法规、政策的要求，</w:t>
      </w:r>
      <w:r>
        <w:rPr>
          <w:rFonts w:hint="default" w:ascii="Times New Roman" w:hAnsi="Times New Roman" w:cs="Times New Roman"/>
          <w:sz w:val="24"/>
          <w:szCs w:val="24"/>
          <w:highlight w:val="none"/>
        </w:rPr>
        <w:t>本项目的建设应进行环境影响评价</w:t>
      </w:r>
      <w:r>
        <w:rPr>
          <w:rFonts w:hint="eastAsia" w:ascii="Times New Roman" w:hAnsi="Times New Roman" w:eastAsia="宋体" w:cs="Times New Roman"/>
          <w:color w:val="000000"/>
          <w:kern w:val="0"/>
          <w:sz w:val="24"/>
          <w:szCs w:val="24"/>
          <w:highlight w:val="none"/>
          <w:lang w:val="en-US" w:eastAsia="zh-CN"/>
        </w:rPr>
        <w:t>。</w:t>
      </w:r>
      <w:r>
        <w:rPr>
          <w:rFonts w:hint="eastAsia" w:ascii="Times New Roman" w:hAnsi="Times New Roman" w:eastAsia="宋体" w:cs="Times New Roman"/>
          <w:color w:val="000000"/>
          <w:kern w:val="0"/>
          <w:sz w:val="24"/>
          <w:szCs w:val="21"/>
          <w:highlight w:val="none"/>
          <w:lang w:val="en-US" w:eastAsia="zh-CN"/>
        </w:rPr>
        <w:t>根据</w:t>
      </w:r>
      <w:r>
        <w:rPr>
          <w:rFonts w:hint="eastAsia" w:ascii="Times New Roman" w:hAnsi="Times New Roman" w:eastAsia="宋体" w:cs="Times New Roman"/>
          <w:color w:val="000000"/>
          <w:kern w:val="0"/>
          <w:sz w:val="24"/>
          <w:szCs w:val="21"/>
          <w:highlight w:val="none"/>
          <w:lang w:eastAsia="zh-CN"/>
        </w:rPr>
        <w:t>《建设项目环境影响评价分类管理名录》（2021年版）</w:t>
      </w:r>
      <w:r>
        <w:rPr>
          <w:rFonts w:hint="eastAsia" w:ascii="Times New Roman" w:hAnsi="Times New Roman" w:eastAsia="宋体" w:cs="Times New Roman"/>
          <w:color w:val="000000"/>
          <w:kern w:val="0"/>
          <w:sz w:val="24"/>
          <w:szCs w:val="21"/>
          <w:highlight w:val="none"/>
          <w:lang w:val="en-US" w:eastAsia="zh-CN"/>
        </w:rPr>
        <w:t>，本项</w:t>
      </w:r>
      <w:r>
        <w:rPr>
          <w:rFonts w:hint="eastAsia" w:ascii="宋体" w:hAnsi="宋体" w:eastAsia="宋体" w:cs="宋体"/>
          <w:color w:val="000000"/>
          <w:kern w:val="0"/>
          <w:sz w:val="24"/>
          <w:szCs w:val="21"/>
          <w:highlight w:val="none"/>
          <w:lang w:val="en-US" w:eastAsia="zh-CN"/>
        </w:rPr>
        <w:t>目属于</w:t>
      </w:r>
      <w:r>
        <w:rPr>
          <w:rFonts w:hint="eastAsia" w:ascii="宋体" w:hAnsi="宋体" w:eastAsia="宋体" w:cs="宋体"/>
          <w:color w:val="000000"/>
          <w:kern w:val="0"/>
          <w:sz w:val="24"/>
          <w:szCs w:val="21"/>
          <w:highlight w:val="none"/>
        </w:rPr>
        <w:t>“四十七</w:t>
      </w:r>
      <w:r>
        <w:rPr>
          <w:rFonts w:hint="default" w:ascii="Times New Roman" w:hAnsi="Times New Roman" w:eastAsia="宋体" w:cs="Times New Roman"/>
          <w:color w:val="000000"/>
          <w:kern w:val="0"/>
          <w:sz w:val="24"/>
          <w:szCs w:val="21"/>
          <w:highlight w:val="none"/>
        </w:rPr>
        <w:t>、生态保护和环境治理业-103、一般工业固体废物（含污水处理污泥）、建筑施工废弃物处置及综</w:t>
      </w:r>
      <w:r>
        <w:rPr>
          <w:rFonts w:hint="eastAsia" w:ascii="宋体" w:hAnsi="宋体" w:eastAsia="宋体" w:cs="宋体"/>
          <w:color w:val="000000"/>
          <w:kern w:val="0"/>
          <w:sz w:val="24"/>
          <w:szCs w:val="21"/>
          <w:highlight w:val="none"/>
        </w:rPr>
        <w:t>合利用”中的“一</w:t>
      </w:r>
      <w:r>
        <w:rPr>
          <w:rFonts w:hint="default" w:ascii="Times New Roman" w:hAnsi="Times New Roman" w:eastAsia="宋体" w:cs="Times New Roman"/>
          <w:color w:val="000000"/>
          <w:kern w:val="0"/>
          <w:sz w:val="24"/>
          <w:szCs w:val="21"/>
          <w:highlight w:val="none"/>
        </w:rPr>
        <w:t>般工业固体废物（含污水处理污泥）采取填埋、焚烧（水泥窑协同处置的改造项目除外</w:t>
      </w:r>
      <w:r>
        <w:rPr>
          <w:rFonts w:hint="eastAsia" w:ascii="宋体" w:hAnsi="宋体" w:eastAsia="宋体" w:cs="宋体"/>
          <w:color w:val="000000"/>
          <w:kern w:val="0"/>
          <w:sz w:val="24"/>
          <w:szCs w:val="21"/>
          <w:highlight w:val="none"/>
        </w:rPr>
        <w:t>）方式的”，</w:t>
      </w:r>
      <w:r>
        <w:rPr>
          <w:rFonts w:hint="eastAsia" w:ascii="宋体" w:hAnsi="宋体" w:eastAsia="宋体" w:cs="宋体"/>
          <w:color w:val="000000"/>
          <w:kern w:val="0"/>
          <w:sz w:val="24"/>
          <w:szCs w:val="21"/>
          <w:highlight w:val="none"/>
          <w:lang w:val="en-US" w:eastAsia="zh-CN"/>
        </w:rPr>
        <w:t>应</w:t>
      </w:r>
      <w:r>
        <w:rPr>
          <w:rFonts w:hint="default" w:ascii="Times New Roman" w:hAnsi="Times New Roman" w:eastAsia="宋体" w:cs="Times New Roman"/>
          <w:color w:val="000000"/>
          <w:kern w:val="0"/>
          <w:sz w:val="24"/>
          <w:szCs w:val="21"/>
          <w:highlight w:val="none"/>
        </w:rPr>
        <w:t>编制环境影响报告书。</w:t>
      </w:r>
    </w:p>
    <w:p w14:paraId="7B1F6F9A">
      <w:pPr>
        <w:pageBreakBefore w:val="0"/>
        <w:widowControl w:val="0"/>
        <w:kinsoku/>
        <w:wordWrap/>
        <w:overflowPunct/>
        <w:autoSpaceDE w:val="0"/>
        <w:autoSpaceDN w:val="0"/>
        <w:bidi w:val="0"/>
        <w:adjustRightInd w:val="0"/>
        <w:spacing w:line="360" w:lineRule="auto"/>
        <w:ind w:left="0" w:firstLine="480" w:firstLineChars="200"/>
        <w:jc w:val="both"/>
        <w:rPr>
          <w:rFonts w:hint="default" w:ascii="Times New Roman" w:hAnsi="Times New Roman" w:cs="Times New Roman"/>
          <w:color w:val="auto"/>
          <w:sz w:val="24"/>
          <w:szCs w:val="24"/>
          <w:highlight w:val="none"/>
        </w:rPr>
      </w:pPr>
      <w:r>
        <w:rPr>
          <w:rFonts w:hint="eastAsia" w:ascii="Times New Roman" w:hAnsi="Times New Roman" w:eastAsia="宋体" w:cs="Times New Roman"/>
          <w:color w:val="000000"/>
          <w:sz w:val="24"/>
          <w:szCs w:val="21"/>
          <w:highlight w:val="none"/>
          <w:lang w:val="en-US" w:eastAsia="zh-CN" w:bidi="ar-SA"/>
        </w:rPr>
        <w:t>202</w:t>
      </w:r>
      <w:r>
        <w:rPr>
          <w:rFonts w:hint="eastAsia" w:cs="Times New Roman"/>
          <w:color w:val="000000"/>
          <w:sz w:val="24"/>
          <w:szCs w:val="21"/>
          <w:highlight w:val="none"/>
          <w:lang w:val="en-US" w:eastAsia="zh-CN" w:bidi="ar-SA"/>
        </w:rPr>
        <w:t>4</w:t>
      </w:r>
      <w:r>
        <w:rPr>
          <w:rFonts w:hint="eastAsia" w:ascii="Times New Roman" w:hAnsi="Times New Roman" w:eastAsia="宋体" w:cs="Times New Roman"/>
          <w:color w:val="000000"/>
          <w:sz w:val="24"/>
          <w:szCs w:val="21"/>
          <w:highlight w:val="none"/>
          <w:lang w:val="en-US" w:eastAsia="zh-CN" w:bidi="ar-SA"/>
        </w:rPr>
        <w:t>年</w:t>
      </w:r>
      <w:r>
        <w:rPr>
          <w:rFonts w:hint="eastAsia" w:cs="Times New Roman"/>
          <w:color w:val="000000"/>
          <w:sz w:val="24"/>
          <w:szCs w:val="21"/>
          <w:highlight w:val="none"/>
          <w:lang w:val="en-US" w:eastAsia="zh-CN" w:bidi="ar-SA"/>
        </w:rPr>
        <w:t>8</w:t>
      </w:r>
      <w:r>
        <w:rPr>
          <w:rFonts w:hint="default" w:ascii="Times New Roman" w:hAnsi="Times New Roman" w:eastAsia="宋体" w:cs="Times New Roman"/>
          <w:color w:val="000000"/>
          <w:sz w:val="24"/>
          <w:szCs w:val="21"/>
          <w:highlight w:val="none"/>
          <w:lang w:val="en-US" w:eastAsia="zh-CN" w:bidi="ar-SA"/>
        </w:rPr>
        <w:t>月</w:t>
      </w:r>
      <w:r>
        <w:rPr>
          <w:rFonts w:hint="eastAsia" w:ascii="Times New Roman" w:hAnsi="Times New Roman" w:eastAsia="宋体" w:cs="Times New Roman"/>
          <w:color w:val="000000"/>
          <w:sz w:val="24"/>
          <w:szCs w:val="21"/>
          <w:highlight w:val="none"/>
          <w:lang w:val="en-US" w:eastAsia="zh-CN" w:bidi="ar-SA"/>
        </w:rPr>
        <w:t>，</w:t>
      </w:r>
      <w:r>
        <w:rPr>
          <w:rFonts w:hint="eastAsia" w:cs="Times New Roman"/>
          <w:color w:val="000000"/>
          <w:sz w:val="24"/>
          <w:szCs w:val="21"/>
          <w:highlight w:val="none"/>
          <w:lang w:val="en-US" w:eastAsia="zh-CN" w:bidi="ar-SA"/>
        </w:rPr>
        <w:t>承德天宝矿业集团大昌矿业有限公司</w:t>
      </w:r>
      <w:r>
        <w:rPr>
          <w:rFonts w:hint="default" w:ascii="Times New Roman" w:hAnsi="Times New Roman" w:eastAsia="宋体" w:cs="Times New Roman"/>
          <w:color w:val="000000"/>
          <w:sz w:val="24"/>
          <w:szCs w:val="21"/>
          <w:highlight w:val="none"/>
          <w:lang w:val="en-US" w:eastAsia="zh-CN" w:bidi="ar-SA"/>
        </w:rPr>
        <w:t>委托</w:t>
      </w:r>
      <w:r>
        <w:rPr>
          <w:rFonts w:hint="eastAsia" w:cs="Times New Roman"/>
          <w:color w:val="000000"/>
          <w:sz w:val="24"/>
          <w:szCs w:val="21"/>
          <w:highlight w:val="none"/>
          <w:lang w:val="en-US" w:eastAsia="zh-CN" w:bidi="ar-SA"/>
        </w:rPr>
        <w:t>承德升泰环保服务有限公司</w:t>
      </w:r>
      <w:r>
        <w:rPr>
          <w:rFonts w:hint="default" w:ascii="Times New Roman" w:hAnsi="Times New Roman" w:eastAsia="宋体" w:cs="Times New Roman"/>
          <w:color w:val="000000"/>
          <w:sz w:val="24"/>
          <w:szCs w:val="21"/>
          <w:highlight w:val="none"/>
          <w:lang w:val="en-US" w:eastAsia="zh-CN" w:bidi="ar-SA"/>
        </w:rPr>
        <w:t>对该项目进行环境影响评价工作。</w:t>
      </w:r>
      <w:r>
        <w:rPr>
          <w:rFonts w:hint="default" w:ascii="Times New Roman" w:hAnsi="Times New Roman" w:cs="Times New Roman"/>
          <w:color w:val="auto"/>
          <w:sz w:val="24"/>
          <w:szCs w:val="24"/>
          <w:highlight w:val="none"/>
        </w:rPr>
        <w:t>接受委托后，</w:t>
      </w:r>
      <w:r>
        <w:rPr>
          <w:rFonts w:hint="eastAsia" w:ascii="Times New Roman" w:hAnsi="Times New Roman" w:cs="Times New Roman"/>
          <w:color w:val="auto"/>
          <w:sz w:val="24"/>
          <w:szCs w:val="24"/>
          <w:highlight w:val="none"/>
          <w:lang w:eastAsia="zh-CN"/>
        </w:rPr>
        <w:t>环评单位</w:t>
      </w:r>
      <w:r>
        <w:rPr>
          <w:rFonts w:hint="default" w:ascii="Times New Roman" w:hAnsi="Times New Roman" w:cs="Times New Roman"/>
          <w:color w:val="auto"/>
          <w:sz w:val="24"/>
          <w:szCs w:val="24"/>
          <w:highlight w:val="none"/>
        </w:rPr>
        <w:t>立即成立项目组，</w:t>
      </w:r>
      <w:r>
        <w:rPr>
          <w:rFonts w:hint="eastAsia" w:ascii="Times New Roman" w:hAnsi="Times New Roman" w:cs="Times New Roman"/>
          <w:color w:val="auto"/>
          <w:sz w:val="24"/>
          <w:szCs w:val="24"/>
          <w:highlight w:val="none"/>
          <w:lang w:val="en-US" w:eastAsia="zh-CN"/>
        </w:rPr>
        <w:t>对项目进行分析判定，收集</w:t>
      </w:r>
      <w:r>
        <w:rPr>
          <w:rFonts w:hint="default" w:ascii="Times New Roman" w:hAnsi="Times New Roman" w:cs="Times New Roman"/>
          <w:color w:val="auto"/>
          <w:sz w:val="24"/>
          <w:szCs w:val="24"/>
          <w:highlight w:val="none"/>
        </w:rPr>
        <w:t>建设单位提供的资料进行梳理，</w:t>
      </w:r>
      <w:r>
        <w:rPr>
          <w:rFonts w:hint="eastAsia" w:ascii="Times New Roman" w:hAnsi="Times New Roman" w:cs="Times New Roman"/>
          <w:color w:val="auto"/>
          <w:sz w:val="24"/>
          <w:szCs w:val="24"/>
          <w:highlight w:val="none"/>
          <w:lang w:val="en-US" w:eastAsia="zh-CN"/>
        </w:rPr>
        <w:t>调查</w:t>
      </w:r>
      <w:r>
        <w:rPr>
          <w:rFonts w:hint="default" w:ascii="Times New Roman" w:hAnsi="Times New Roman" w:cs="Times New Roman"/>
          <w:color w:val="auto"/>
          <w:sz w:val="24"/>
          <w:szCs w:val="24"/>
          <w:highlight w:val="none"/>
        </w:rPr>
        <w:t>周边环境，</w:t>
      </w:r>
      <w:r>
        <w:rPr>
          <w:rFonts w:hint="eastAsia" w:ascii="Times New Roman" w:hAnsi="Times New Roman" w:cs="Times New Roman"/>
          <w:color w:val="auto"/>
          <w:sz w:val="24"/>
          <w:szCs w:val="24"/>
          <w:highlight w:val="none"/>
          <w:lang w:val="en-US" w:eastAsia="zh-CN"/>
        </w:rPr>
        <w:t>同时制定了《</w:t>
      </w:r>
      <w:r>
        <w:rPr>
          <w:rFonts w:hint="eastAsia" w:cs="Times New Roman"/>
          <w:color w:val="auto"/>
          <w:sz w:val="24"/>
          <w:szCs w:val="24"/>
          <w:highlight w:val="none"/>
          <w:lang w:val="en-US" w:eastAsia="zh-CN"/>
        </w:rPr>
        <w:t>承德天宝矿业集团大昌矿业有限公司东北沟排土场建设项目</w:t>
      </w:r>
      <w:r>
        <w:rPr>
          <w:rFonts w:hint="eastAsia" w:ascii="Times New Roman" w:hAnsi="Times New Roman" w:cs="Times New Roman"/>
          <w:color w:val="auto"/>
          <w:sz w:val="24"/>
          <w:szCs w:val="24"/>
          <w:highlight w:val="none"/>
          <w:lang w:val="en-US" w:eastAsia="zh-CN"/>
        </w:rPr>
        <w:t>区域环境质量现状监测任务书》、《</w:t>
      </w:r>
      <w:r>
        <w:rPr>
          <w:rFonts w:hint="eastAsia" w:cs="Times New Roman"/>
          <w:color w:val="auto"/>
          <w:sz w:val="24"/>
          <w:szCs w:val="24"/>
          <w:highlight w:val="none"/>
          <w:lang w:val="en-US" w:eastAsia="zh-CN"/>
        </w:rPr>
        <w:t>承德天宝矿业集团大昌矿业有限公司东北沟排土场建设项目</w:t>
      </w:r>
      <w:r>
        <w:rPr>
          <w:rFonts w:hint="eastAsia" w:ascii="Times New Roman" w:hAnsi="Times New Roman" w:cs="Times New Roman"/>
          <w:color w:val="auto"/>
          <w:sz w:val="24"/>
          <w:szCs w:val="24"/>
          <w:highlight w:val="none"/>
          <w:lang w:val="en-US" w:eastAsia="zh-CN"/>
        </w:rPr>
        <w:t>固体废物 危险废物鉴别 腐蚀性鉴别任务书》、《</w:t>
      </w:r>
      <w:r>
        <w:rPr>
          <w:rFonts w:hint="eastAsia" w:cs="Times New Roman"/>
          <w:color w:val="auto"/>
          <w:sz w:val="24"/>
          <w:szCs w:val="24"/>
          <w:highlight w:val="none"/>
          <w:lang w:val="en-US" w:eastAsia="zh-CN"/>
        </w:rPr>
        <w:t>承德天宝矿业集团大昌矿业有限公司东北沟排土场建设项目</w:t>
      </w:r>
      <w:r>
        <w:rPr>
          <w:rFonts w:hint="eastAsia" w:ascii="Times New Roman" w:hAnsi="Times New Roman" w:cs="Times New Roman"/>
          <w:color w:val="auto"/>
          <w:sz w:val="24"/>
          <w:szCs w:val="24"/>
          <w:highlight w:val="none"/>
          <w:lang w:val="en-US" w:eastAsia="zh-CN"/>
        </w:rPr>
        <w:t>固体废物 危险废物鉴别 浸出毒性鉴别任务书》、《</w:t>
      </w:r>
      <w:r>
        <w:rPr>
          <w:rFonts w:hint="eastAsia" w:cs="Times New Roman"/>
          <w:color w:val="auto"/>
          <w:sz w:val="24"/>
          <w:szCs w:val="24"/>
          <w:highlight w:val="none"/>
          <w:lang w:val="en-US" w:eastAsia="zh-CN"/>
        </w:rPr>
        <w:t>承德天宝矿业集团大昌矿业有限公司东北沟排土场建设项目</w:t>
      </w:r>
      <w:r>
        <w:rPr>
          <w:rFonts w:hint="eastAsia" w:ascii="Times New Roman" w:hAnsi="Times New Roman" w:cs="Times New Roman"/>
          <w:color w:val="auto"/>
          <w:sz w:val="24"/>
          <w:szCs w:val="24"/>
          <w:highlight w:val="none"/>
          <w:lang w:val="en-US" w:eastAsia="zh-CN"/>
        </w:rPr>
        <w:t>第</w:t>
      </w:r>
      <w:r>
        <w:rPr>
          <w:rFonts w:hint="default" w:ascii="Times New Roman" w:hAnsi="Times New Roman" w:cs="Times New Roman"/>
          <w:color w:val="auto"/>
          <w:sz w:val="24"/>
          <w:szCs w:val="24"/>
          <w:highlight w:val="none"/>
          <w:lang w:val="en-US" w:eastAsia="zh-CN"/>
        </w:rPr>
        <w:t>Ⅰ、Ⅱ类</w:t>
      </w:r>
      <w:r>
        <w:rPr>
          <w:rFonts w:hint="eastAsia" w:ascii="Times New Roman" w:hAnsi="Times New Roman" w:cs="Times New Roman"/>
          <w:color w:val="auto"/>
          <w:sz w:val="24"/>
          <w:szCs w:val="24"/>
          <w:highlight w:val="none"/>
          <w:lang w:val="en-US" w:eastAsia="zh-CN"/>
        </w:rPr>
        <w:t>一般工业固体废物鉴别任务书》、《</w:t>
      </w:r>
      <w:r>
        <w:rPr>
          <w:rFonts w:hint="eastAsia" w:cs="Times New Roman"/>
          <w:color w:val="auto"/>
          <w:sz w:val="24"/>
          <w:szCs w:val="24"/>
          <w:highlight w:val="none"/>
          <w:lang w:val="en-US" w:eastAsia="zh-CN"/>
        </w:rPr>
        <w:t>承德天宝矿业集团大昌矿业有限公司东北沟排土场建设项目</w:t>
      </w:r>
      <w:r>
        <w:rPr>
          <w:rFonts w:hint="eastAsia" w:ascii="Times New Roman" w:hAnsi="Times New Roman" w:cs="Times New Roman"/>
          <w:color w:val="auto"/>
          <w:sz w:val="24"/>
          <w:szCs w:val="24"/>
          <w:highlight w:val="none"/>
          <w:lang w:val="en-US" w:eastAsia="zh-CN"/>
        </w:rPr>
        <w:t>物料放射性核素活度浓度检测任务书》</w:t>
      </w:r>
      <w:r>
        <w:rPr>
          <w:rFonts w:hint="eastAsia" w:cs="Times New Roman"/>
          <w:color w:val="auto"/>
          <w:sz w:val="24"/>
          <w:szCs w:val="24"/>
          <w:highlight w:val="none"/>
          <w:lang w:val="en-US" w:eastAsia="zh-CN"/>
        </w:rPr>
        <w:t>等</w:t>
      </w:r>
      <w:r>
        <w:rPr>
          <w:rFonts w:hint="eastAsia" w:ascii="Times New Roman" w:hAnsi="Times New Roman" w:cs="Times New Roman"/>
          <w:color w:val="auto"/>
          <w:sz w:val="24"/>
          <w:szCs w:val="24"/>
          <w:highlight w:val="none"/>
          <w:lang w:val="en-US" w:eastAsia="zh-CN"/>
        </w:rPr>
        <w:t>，并开展环境影响报告书的编制工作</w:t>
      </w:r>
      <w:r>
        <w:rPr>
          <w:rFonts w:hint="default" w:ascii="Times New Roman" w:hAnsi="Times New Roman" w:cs="Times New Roman"/>
          <w:color w:val="auto"/>
          <w:sz w:val="24"/>
          <w:szCs w:val="24"/>
          <w:highlight w:val="none"/>
        </w:rPr>
        <w:t>。</w:t>
      </w:r>
    </w:p>
    <w:p w14:paraId="2CCBB580">
      <w:pPr>
        <w:pageBreakBefore w:val="0"/>
        <w:widowControl w:val="0"/>
        <w:kinsoku/>
        <w:wordWrap/>
        <w:overflowPunct/>
        <w:autoSpaceDE w:val="0"/>
        <w:autoSpaceDN w:val="0"/>
        <w:bidi w:val="0"/>
        <w:adjustRightInd w:val="0"/>
        <w:spacing w:line="360" w:lineRule="auto"/>
        <w:ind w:left="0" w:firstLine="480" w:firstLineChars="200"/>
        <w:jc w:val="both"/>
        <w:rPr>
          <w:rFonts w:hint="default" w:ascii="Times New Roman" w:hAnsi="Times New Roman" w:eastAsia="宋体" w:cs="Times New Roman"/>
          <w:color w:val="auto"/>
          <w:sz w:val="24"/>
          <w:szCs w:val="24"/>
          <w:highlight w:val="none"/>
          <w:lang w:val="en-US" w:eastAsia="zh-CN" w:bidi="ar-SA"/>
        </w:rPr>
      </w:pPr>
      <w:r>
        <w:rPr>
          <w:rFonts w:hint="eastAsia" w:cs="Times New Roman"/>
          <w:color w:val="auto"/>
          <w:kern w:val="2"/>
          <w:sz w:val="24"/>
          <w:szCs w:val="24"/>
          <w:highlight w:val="none"/>
          <w:lang w:val="en-US" w:eastAsia="zh-CN" w:bidi="ar-SA"/>
        </w:rPr>
        <w:t>2024年8月20</w:t>
      </w:r>
      <w:r>
        <w:rPr>
          <w:rFonts w:ascii="Times New Roman" w:hAnsi="Times New Roman" w:eastAsia="宋体" w:cs="Times New Roman"/>
          <w:color w:val="auto"/>
          <w:kern w:val="2"/>
          <w:sz w:val="24"/>
          <w:szCs w:val="24"/>
          <w:highlight w:val="none"/>
          <w:lang w:val="en-US" w:eastAsia="zh-CN" w:bidi="ar-SA"/>
        </w:rPr>
        <w:t>日</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sz w:val="24"/>
          <w:szCs w:val="24"/>
          <w:highlight w:val="none"/>
          <w:lang w:val="en-US" w:eastAsia="zh-CN"/>
        </w:rPr>
        <w:t>承德天宝矿业集团大昌矿业有限公司</w:t>
      </w:r>
      <w:r>
        <w:rPr>
          <w:rFonts w:hint="eastAsia" w:ascii="Times New Roman" w:hAnsi="Times New Roman" w:eastAsia="宋体" w:cs="Times New Roman"/>
          <w:color w:val="auto"/>
          <w:kern w:val="2"/>
          <w:sz w:val="24"/>
          <w:szCs w:val="24"/>
          <w:highlight w:val="none"/>
          <w:lang w:val="en-US" w:eastAsia="zh-CN" w:bidi="ar-SA"/>
        </w:rPr>
        <w:t>采用网络平台公开的方式在“和合承德网”进行第一次</w:t>
      </w:r>
      <w:r>
        <w:rPr>
          <w:rFonts w:hint="eastAsia" w:ascii="Times New Roman" w:hAnsi="Times New Roman" w:cs="Times New Roman"/>
          <w:color w:val="auto"/>
          <w:kern w:val="0"/>
          <w:sz w:val="24"/>
          <w:szCs w:val="32"/>
          <w:highlight w:val="none"/>
          <w:lang w:val="en-US" w:eastAsia="zh-CN"/>
        </w:rPr>
        <w:t>环评信息</w:t>
      </w:r>
      <w:r>
        <w:rPr>
          <w:rFonts w:hint="default" w:ascii="Times New Roman" w:hAnsi="Times New Roman" w:cs="Times New Roman"/>
          <w:color w:val="auto"/>
          <w:kern w:val="2"/>
          <w:sz w:val="24"/>
          <w:szCs w:val="24"/>
          <w:highlight w:val="none"/>
        </w:rPr>
        <w:t>公示</w:t>
      </w:r>
      <w:r>
        <w:rPr>
          <w:rFonts w:hint="eastAsia" w:ascii="Times New Roman" w:hAnsi="Times New Roman" w:eastAsia="宋体" w:cs="Times New Roman"/>
          <w:color w:val="auto"/>
          <w:kern w:val="2"/>
          <w:sz w:val="24"/>
          <w:szCs w:val="24"/>
          <w:highlight w:val="none"/>
          <w:lang w:val="en-US" w:eastAsia="zh-CN" w:bidi="ar-SA"/>
        </w:rPr>
        <w:t>。</w:t>
      </w:r>
    </w:p>
    <w:p w14:paraId="2BD5DC98">
      <w:pPr>
        <w:pageBreakBefore w:val="0"/>
        <w:widowControl w:val="0"/>
        <w:kinsoku/>
        <w:wordWrap/>
        <w:overflowPunct/>
        <w:autoSpaceDE w:val="0"/>
        <w:autoSpaceDN w:val="0"/>
        <w:bidi w:val="0"/>
        <w:adjustRightInd w:val="0"/>
        <w:spacing w:line="360" w:lineRule="auto"/>
        <w:ind w:left="0" w:firstLine="480" w:firstLineChars="200"/>
        <w:jc w:val="both"/>
        <w:rPr>
          <w:rFonts w:hint="eastAsia" w:ascii="Times New Roman" w:hAnsi="Times New Roman" w:eastAsia="宋体" w:cs="Times New Roman"/>
          <w:color w:val="auto"/>
          <w:sz w:val="24"/>
          <w:szCs w:val="24"/>
          <w:highlight w:val="none"/>
          <w:lang w:val="en-US" w:eastAsia="zh-CN" w:bidi="ar-SA"/>
        </w:rPr>
      </w:pPr>
      <w:r>
        <w:rPr>
          <w:rFonts w:hint="eastAsia" w:cs="Times New Roman"/>
          <w:sz w:val="24"/>
          <w:szCs w:val="24"/>
          <w:highlight w:val="none"/>
          <w:lang w:eastAsia="zh-CN"/>
        </w:rPr>
        <w:t>2025年3月6日，</w:t>
      </w:r>
      <w:r>
        <w:rPr>
          <w:rFonts w:hint="eastAsia" w:cs="Times New Roman"/>
          <w:color w:val="auto"/>
          <w:sz w:val="24"/>
          <w:szCs w:val="24"/>
          <w:highlight w:val="none"/>
          <w:lang w:val="en-US" w:eastAsia="zh-CN" w:bidi="ar-SA"/>
        </w:rPr>
        <w:t>辽宁卓信检验检测有限公司</w:t>
      </w:r>
      <w:r>
        <w:rPr>
          <w:rFonts w:hint="eastAsia" w:ascii="Times New Roman" w:hAnsi="Times New Roman" w:eastAsia="宋体" w:cs="Times New Roman"/>
          <w:color w:val="auto"/>
          <w:sz w:val="24"/>
          <w:szCs w:val="24"/>
          <w:highlight w:val="none"/>
          <w:lang w:val="en-US" w:eastAsia="zh-CN" w:bidi="ar-SA"/>
        </w:rPr>
        <w:t>对</w:t>
      </w:r>
      <w:r>
        <w:rPr>
          <w:rFonts w:hint="eastAsia" w:cs="Times New Roman"/>
          <w:color w:val="auto"/>
          <w:sz w:val="24"/>
          <w:szCs w:val="24"/>
          <w:highlight w:val="none"/>
          <w:lang w:val="en-US" w:eastAsia="zh-CN" w:bidi="ar-SA"/>
        </w:rPr>
        <w:t>废石</w:t>
      </w:r>
      <w:r>
        <w:rPr>
          <w:rFonts w:hint="eastAsia" w:ascii="Times New Roman" w:hAnsi="Times New Roman" w:eastAsia="宋体" w:cs="Times New Roman"/>
          <w:color w:val="auto"/>
          <w:sz w:val="24"/>
          <w:szCs w:val="24"/>
          <w:highlight w:val="none"/>
          <w:lang w:val="en-US" w:eastAsia="zh-CN" w:bidi="ar-SA"/>
        </w:rPr>
        <w:t>进行放射性检测、腐蚀性鉴别、危险废物浸出毒性鉴别、</w:t>
      </w:r>
      <w:r>
        <w:rPr>
          <w:rFonts w:hint="default" w:ascii="Times New Roman" w:hAnsi="Times New Roman" w:eastAsia="宋体" w:cs="Times New Roman"/>
          <w:color w:val="auto"/>
          <w:sz w:val="24"/>
          <w:szCs w:val="24"/>
          <w:highlight w:val="none"/>
          <w:lang w:val="en-US" w:eastAsia="zh-CN" w:bidi="ar-SA"/>
        </w:rPr>
        <w:t>第Ⅰ、Ⅱ类一般工业固体废物鉴别</w:t>
      </w:r>
      <w:r>
        <w:rPr>
          <w:rFonts w:hint="eastAsia" w:ascii="Times New Roman" w:hAnsi="Times New Roman" w:eastAsia="宋体" w:cs="Times New Roman"/>
          <w:color w:val="auto"/>
          <w:sz w:val="24"/>
          <w:szCs w:val="24"/>
          <w:highlight w:val="none"/>
          <w:lang w:val="en-US" w:eastAsia="zh-CN" w:bidi="ar-SA"/>
        </w:rPr>
        <w:t>。</w:t>
      </w:r>
    </w:p>
    <w:p w14:paraId="30046CEA">
      <w:pPr>
        <w:pageBreakBefore w:val="0"/>
        <w:widowControl w:val="0"/>
        <w:kinsoku/>
        <w:wordWrap/>
        <w:overflowPunct/>
        <w:autoSpaceDE w:val="0"/>
        <w:autoSpaceDN w:val="0"/>
        <w:bidi w:val="0"/>
        <w:adjustRightInd w:val="0"/>
        <w:spacing w:line="360" w:lineRule="auto"/>
        <w:ind w:left="0" w:firstLine="480" w:firstLineChars="200"/>
        <w:jc w:val="both"/>
        <w:rPr>
          <w:rFonts w:hint="eastAsia" w:ascii="Times New Roman" w:hAnsi="Times New Roman" w:eastAsia="宋体" w:cs="Times New Roman"/>
          <w:color w:val="auto"/>
          <w:sz w:val="24"/>
          <w:szCs w:val="24"/>
          <w:highlight w:val="none"/>
          <w:lang w:val="en-US" w:eastAsia="zh-CN" w:bidi="ar-SA"/>
        </w:rPr>
      </w:pPr>
      <w:r>
        <w:rPr>
          <w:rFonts w:hint="eastAsia" w:cs="Times New Roman"/>
          <w:color w:val="auto"/>
          <w:sz w:val="24"/>
          <w:szCs w:val="24"/>
          <w:highlight w:val="none"/>
          <w:lang w:val="en-US" w:eastAsia="zh-CN" w:bidi="ar-SA"/>
        </w:rPr>
        <w:t>2025年3月6日</w:t>
      </w:r>
      <w:r>
        <w:rPr>
          <w:rFonts w:hint="eastAsia" w:ascii="Times New Roman" w:hAnsi="Times New Roman" w:eastAsia="宋体" w:cs="Times New Roman"/>
          <w:color w:val="auto"/>
          <w:sz w:val="24"/>
          <w:szCs w:val="24"/>
          <w:highlight w:val="none"/>
          <w:lang w:val="en-US" w:eastAsia="zh-CN" w:bidi="ar-SA"/>
        </w:rPr>
        <w:t>，</w:t>
      </w:r>
      <w:r>
        <w:rPr>
          <w:rFonts w:hint="eastAsia" w:cs="Times New Roman"/>
          <w:color w:val="auto"/>
          <w:sz w:val="24"/>
          <w:szCs w:val="24"/>
          <w:highlight w:val="none"/>
          <w:lang w:val="en-US" w:eastAsia="zh-CN" w:bidi="ar-SA"/>
        </w:rPr>
        <w:t>辽宁卓信检验检测有限公司</w:t>
      </w:r>
      <w:r>
        <w:rPr>
          <w:rFonts w:hint="eastAsia" w:ascii="Times New Roman" w:hAnsi="Times New Roman" w:eastAsia="宋体" w:cs="Times New Roman"/>
          <w:color w:val="auto"/>
          <w:sz w:val="24"/>
          <w:szCs w:val="24"/>
          <w:highlight w:val="none"/>
          <w:lang w:val="en-US" w:eastAsia="zh-CN" w:bidi="ar-SA"/>
        </w:rPr>
        <w:t>对区域地下水环境质量、声环境质量、土壤环境质量进行现状监测。</w:t>
      </w:r>
    </w:p>
    <w:p w14:paraId="373C0D04">
      <w:pPr>
        <w:pageBreakBefore w:val="0"/>
        <w:widowControl w:val="0"/>
        <w:kinsoku/>
        <w:wordWrap/>
        <w:overflowPunct/>
        <w:autoSpaceDE w:val="0"/>
        <w:autoSpaceDN w:val="0"/>
        <w:bidi w:val="0"/>
        <w:adjustRightInd w:val="0"/>
        <w:spacing w:line="360" w:lineRule="auto"/>
        <w:ind w:left="0" w:firstLine="480" w:firstLineChars="200"/>
        <w:jc w:val="both"/>
        <w:rPr>
          <w:rFonts w:hint="eastAsia" w:ascii="Times New Roman" w:hAnsi="Times New Roman" w:cs="Times New Roman"/>
          <w:color w:val="auto"/>
          <w:sz w:val="24"/>
          <w:szCs w:val="24"/>
          <w:highlight w:val="none"/>
          <w:lang w:eastAsia="zh-CN"/>
        </w:rPr>
      </w:pPr>
      <w:r>
        <w:rPr>
          <w:rFonts w:hint="eastAsia" w:cs="Times New Roman"/>
          <w:color w:val="auto"/>
          <w:kern w:val="2"/>
          <w:sz w:val="24"/>
          <w:szCs w:val="24"/>
          <w:highlight w:val="none"/>
          <w:lang w:eastAsia="zh-CN"/>
        </w:rPr>
        <w:t>2025年3月</w:t>
      </w:r>
      <w:r>
        <w:rPr>
          <w:rFonts w:hint="eastAsia" w:cs="Times New Roman"/>
          <w:color w:val="auto"/>
          <w:kern w:val="2"/>
          <w:sz w:val="24"/>
          <w:szCs w:val="24"/>
          <w:highlight w:val="none"/>
          <w:lang w:val="en-US" w:eastAsia="zh-CN"/>
        </w:rPr>
        <w:t>18</w:t>
      </w:r>
      <w:r>
        <w:rPr>
          <w:rFonts w:hint="default" w:ascii="Times New Roman" w:hAnsi="Times New Roman" w:cs="Times New Roman"/>
          <w:color w:val="auto"/>
          <w:kern w:val="2"/>
          <w:sz w:val="24"/>
          <w:szCs w:val="24"/>
          <w:highlight w:val="none"/>
        </w:rPr>
        <w:t>日至</w:t>
      </w:r>
      <w:r>
        <w:rPr>
          <w:rFonts w:hint="eastAsia" w:cs="Times New Roman"/>
          <w:color w:val="auto"/>
          <w:kern w:val="2"/>
          <w:sz w:val="24"/>
          <w:szCs w:val="24"/>
          <w:highlight w:val="none"/>
          <w:lang w:val="en-US" w:eastAsia="zh-CN"/>
        </w:rPr>
        <w:t>3</w:t>
      </w:r>
      <w:r>
        <w:rPr>
          <w:rFonts w:hint="default" w:ascii="Times New Roman" w:hAnsi="Times New Roman" w:cs="Times New Roman"/>
          <w:color w:val="auto"/>
          <w:kern w:val="2"/>
          <w:sz w:val="24"/>
          <w:szCs w:val="24"/>
          <w:highlight w:val="none"/>
        </w:rPr>
        <w:t>月</w:t>
      </w:r>
      <w:r>
        <w:rPr>
          <w:rFonts w:hint="eastAsia" w:cs="Times New Roman"/>
          <w:color w:val="auto"/>
          <w:kern w:val="2"/>
          <w:sz w:val="24"/>
          <w:szCs w:val="24"/>
          <w:highlight w:val="none"/>
          <w:lang w:val="en-US" w:eastAsia="zh-CN"/>
        </w:rPr>
        <w:t>31</w:t>
      </w:r>
      <w:r>
        <w:rPr>
          <w:rFonts w:hint="default" w:ascii="Times New Roman" w:hAnsi="Times New Roman" w:cs="Times New Roman"/>
          <w:color w:val="auto"/>
          <w:kern w:val="2"/>
          <w:sz w:val="24"/>
          <w:szCs w:val="24"/>
          <w:highlight w:val="none"/>
        </w:rPr>
        <w:t>日</w:t>
      </w:r>
      <w:r>
        <w:rPr>
          <w:rFonts w:hint="eastAsia" w:cs="Times New Roman"/>
          <w:color w:val="auto"/>
          <w:kern w:val="2"/>
          <w:sz w:val="24"/>
          <w:szCs w:val="24"/>
          <w:highlight w:val="none"/>
          <w:lang w:eastAsia="zh-CN"/>
        </w:rPr>
        <w:t>，</w:t>
      </w:r>
      <w:r>
        <w:rPr>
          <w:rFonts w:hint="eastAsia" w:cs="Times New Roman"/>
          <w:color w:val="auto"/>
          <w:kern w:val="0"/>
          <w:sz w:val="24"/>
          <w:szCs w:val="32"/>
          <w:highlight w:val="none"/>
          <w:lang w:val="zh-CN"/>
        </w:rPr>
        <w:t>承德天宝矿业集团大昌矿业有限公司</w:t>
      </w:r>
      <w:r>
        <w:rPr>
          <w:rFonts w:hint="eastAsia" w:ascii="Times New Roman" w:hAnsi="Times New Roman" w:cs="Times New Roman"/>
          <w:color w:val="auto"/>
          <w:kern w:val="0"/>
          <w:sz w:val="24"/>
          <w:szCs w:val="32"/>
          <w:highlight w:val="none"/>
          <w:lang w:val="en-US" w:eastAsia="zh-CN"/>
        </w:rPr>
        <w:t>于矿区范围及周边环境保护目标开展第二次环评信息</w:t>
      </w:r>
      <w:r>
        <w:rPr>
          <w:rFonts w:hint="default" w:ascii="Times New Roman" w:hAnsi="Times New Roman" w:cs="Times New Roman"/>
          <w:color w:val="auto"/>
          <w:kern w:val="2"/>
          <w:sz w:val="24"/>
          <w:szCs w:val="24"/>
          <w:highlight w:val="none"/>
        </w:rPr>
        <w:t>公示，公示形式为</w:t>
      </w:r>
      <w:r>
        <w:rPr>
          <w:rFonts w:hint="eastAsia" w:ascii="Times New Roman" w:hAnsi="Times New Roman" w:eastAsia="宋体" w:cs="Times New Roman"/>
          <w:color w:val="auto"/>
          <w:kern w:val="2"/>
          <w:sz w:val="24"/>
          <w:szCs w:val="24"/>
          <w:highlight w:val="none"/>
          <w:lang w:val="en-US" w:eastAsia="zh-CN" w:bidi="ar-SA"/>
        </w:rPr>
        <w:t>“和合承德网”</w:t>
      </w:r>
      <w:r>
        <w:rPr>
          <w:rFonts w:hint="default" w:ascii="Times New Roman" w:hAnsi="Times New Roman" w:cs="Times New Roman"/>
          <w:color w:val="auto"/>
          <w:kern w:val="2"/>
          <w:sz w:val="24"/>
          <w:szCs w:val="24"/>
          <w:highlight w:val="none"/>
        </w:rPr>
        <w:t>、</w:t>
      </w:r>
      <w:r>
        <w:rPr>
          <w:rFonts w:hint="eastAsia" w:ascii="Times New Roman" w:hAnsi="Times New Roman" w:cs="Times New Roman"/>
          <w:color w:val="auto"/>
          <w:kern w:val="2"/>
          <w:sz w:val="24"/>
          <w:szCs w:val="24"/>
          <w:highlight w:val="none"/>
          <w:lang w:eastAsia="zh-CN"/>
        </w:rPr>
        <w:t>承德日报刊</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kern w:val="2"/>
          <w:sz w:val="24"/>
          <w:szCs w:val="24"/>
          <w:highlight w:val="none"/>
          <w:lang w:val="en-US" w:eastAsia="zh-CN" w:bidi="ar-SA"/>
        </w:rPr>
        <w:t>并在</w:t>
      </w:r>
      <w:r>
        <w:rPr>
          <w:rFonts w:hint="eastAsia" w:cs="Times New Roman"/>
          <w:color w:val="auto"/>
          <w:kern w:val="2"/>
          <w:sz w:val="24"/>
          <w:szCs w:val="24"/>
          <w:highlight w:val="none"/>
          <w:lang w:val="en-US" w:eastAsia="zh-CN" w:bidi="ar-SA"/>
        </w:rPr>
        <w:t>环境保护目标</w:t>
      </w:r>
      <w:r>
        <w:rPr>
          <w:rFonts w:hint="eastAsia" w:ascii="Times New Roman" w:hAnsi="Times New Roman" w:eastAsia="宋体" w:cs="Times New Roman"/>
          <w:color w:val="auto"/>
          <w:kern w:val="2"/>
          <w:sz w:val="24"/>
          <w:szCs w:val="24"/>
          <w:highlight w:val="none"/>
          <w:lang w:val="en-US" w:eastAsia="zh-CN" w:bidi="ar-SA"/>
        </w:rPr>
        <w:t>进行张贴公示</w:t>
      </w:r>
      <w:r>
        <w:rPr>
          <w:rFonts w:hint="eastAsia" w:ascii="Times New Roman" w:hAnsi="Times New Roman" w:eastAsia="宋体" w:cs="Times New Roman"/>
          <w:color w:val="auto"/>
          <w:kern w:val="2"/>
          <w:sz w:val="24"/>
          <w:szCs w:val="24"/>
          <w:highlight w:val="none"/>
          <w:lang w:eastAsia="zh-CN"/>
        </w:rPr>
        <w:t>，</w:t>
      </w:r>
      <w:r>
        <w:rPr>
          <w:rFonts w:hint="default" w:ascii="Times New Roman" w:hAnsi="Times New Roman" w:cs="Times New Roman"/>
          <w:color w:val="auto"/>
          <w:sz w:val="24"/>
          <w:szCs w:val="24"/>
          <w:highlight w:val="none"/>
        </w:rPr>
        <w:t>期间未收到任何反对和投诉意见</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建议</w:t>
      </w:r>
      <w:r>
        <w:rPr>
          <w:rFonts w:hint="eastAsia" w:ascii="Times New Roman" w:hAnsi="Times New Roman" w:cs="Times New Roman"/>
          <w:color w:val="auto"/>
          <w:sz w:val="24"/>
          <w:szCs w:val="24"/>
          <w:highlight w:val="none"/>
          <w:lang w:eastAsia="zh-CN"/>
        </w:rPr>
        <w:t>。</w:t>
      </w:r>
    </w:p>
    <w:p w14:paraId="7A4D2678">
      <w:pPr>
        <w:pageBreakBefore w:val="0"/>
        <w:widowControl w:val="0"/>
        <w:kinsoku/>
        <w:wordWrap/>
        <w:overflowPunct/>
        <w:autoSpaceDE w:val="0"/>
        <w:autoSpaceDN w:val="0"/>
        <w:bidi w:val="0"/>
        <w:adjustRightInd w:val="0"/>
        <w:spacing w:line="360" w:lineRule="auto"/>
        <w:ind w:left="0" w:firstLine="480" w:firstLineChars="200"/>
        <w:jc w:val="both"/>
        <w:rPr>
          <w:rFonts w:hint="eastAsia" w:ascii="Times New Roman" w:hAnsi="Times New Roman" w:eastAsia="宋体" w:cs="Times New Roman"/>
          <w:color w:val="auto"/>
          <w:sz w:val="24"/>
          <w:szCs w:val="24"/>
          <w:highlight w:val="none"/>
          <w:lang w:val="en-US" w:eastAsia="zh-CN" w:bidi="ar-SA"/>
        </w:rPr>
      </w:pPr>
      <w:r>
        <w:rPr>
          <w:rFonts w:hint="eastAsia" w:ascii="Times New Roman" w:hAnsi="Times New Roman" w:eastAsia="宋体" w:cs="Times New Roman"/>
          <w:color w:val="auto"/>
          <w:sz w:val="24"/>
          <w:szCs w:val="24"/>
          <w:highlight w:val="none"/>
          <w:lang w:val="en-US" w:eastAsia="zh-CN" w:bidi="ar-SA"/>
        </w:rPr>
        <w:t>2025年4月1日，承德天宝矿业集团大昌矿业有限公司在和合承德网站发布了《承德天宝矿业集团大昌矿业有限公司东北沟排土场建设项目环境影响评价公众参与信息公开》</w:t>
      </w:r>
      <w:r>
        <w:rPr>
          <w:rFonts w:hint="eastAsia" w:cs="Times New Roman"/>
          <w:color w:val="auto"/>
          <w:sz w:val="24"/>
          <w:szCs w:val="24"/>
          <w:highlight w:val="none"/>
          <w:lang w:val="en-US" w:eastAsia="zh-CN" w:bidi="ar-SA"/>
        </w:rPr>
        <w:t>，进行第三次环评信息公示。</w:t>
      </w:r>
    </w:p>
    <w:p w14:paraId="55A6DDF8">
      <w:pPr>
        <w:pageBreakBefore w:val="0"/>
        <w:widowControl w:val="0"/>
        <w:kinsoku/>
        <w:wordWrap/>
        <w:overflowPunct/>
        <w:autoSpaceDE w:val="0"/>
        <w:autoSpaceDN w:val="0"/>
        <w:bidi w:val="0"/>
        <w:adjustRightInd w:val="0"/>
        <w:spacing w:line="360" w:lineRule="auto"/>
        <w:ind w:left="0" w:firstLine="480" w:firstLineChars="200"/>
        <w:jc w:val="both"/>
        <w:rPr>
          <w:rFonts w:hint="default" w:ascii="Times New Roman" w:hAnsi="Times New Roman" w:eastAsia="宋体" w:cs="Times New Roman"/>
          <w:color w:val="auto"/>
          <w:sz w:val="24"/>
          <w:szCs w:val="24"/>
          <w:highlight w:val="none"/>
          <w:lang w:val="en-US" w:eastAsia="zh-CN" w:bidi="ar-SA"/>
        </w:rPr>
      </w:pPr>
      <w:r>
        <w:rPr>
          <w:rFonts w:hint="eastAsia" w:ascii="Times New Roman" w:hAnsi="Times New Roman" w:eastAsia="宋体" w:cs="Times New Roman"/>
          <w:color w:val="auto"/>
          <w:sz w:val="24"/>
          <w:szCs w:val="24"/>
          <w:highlight w:val="none"/>
          <w:lang w:val="en-US" w:eastAsia="zh-CN" w:bidi="ar-SA"/>
        </w:rPr>
        <w:t>在以上工作的基础上，评价单位编制完成了</w:t>
      </w:r>
      <w:r>
        <w:rPr>
          <w:rFonts w:hint="default" w:ascii="Times New Roman" w:hAnsi="Times New Roman" w:cs="Times New Roman"/>
          <w:color w:val="auto"/>
          <w:kern w:val="0"/>
          <w:sz w:val="24"/>
          <w:szCs w:val="32"/>
          <w:highlight w:val="none"/>
          <w:lang w:val="zh-CN"/>
        </w:rPr>
        <w:t>《</w:t>
      </w:r>
      <w:r>
        <w:rPr>
          <w:rFonts w:hint="eastAsia" w:cs="Times New Roman"/>
          <w:color w:val="auto"/>
          <w:kern w:val="0"/>
          <w:sz w:val="24"/>
          <w:szCs w:val="32"/>
          <w:highlight w:val="none"/>
          <w:lang w:val="zh-CN"/>
        </w:rPr>
        <w:t>承德天宝矿业集团大昌矿业有限公司东北沟排土场建设项目</w:t>
      </w:r>
      <w:r>
        <w:rPr>
          <w:rFonts w:hint="default" w:ascii="Times New Roman" w:hAnsi="Times New Roman" w:cs="Times New Roman"/>
          <w:color w:val="auto"/>
          <w:kern w:val="0"/>
          <w:sz w:val="24"/>
          <w:szCs w:val="32"/>
          <w:highlight w:val="none"/>
          <w:lang w:val="zh-CN"/>
        </w:rPr>
        <w:t>环境影响</w:t>
      </w:r>
      <w:r>
        <w:rPr>
          <w:rFonts w:hint="eastAsia" w:ascii="Times New Roman" w:hAnsi="Times New Roman" w:cs="Times New Roman"/>
          <w:color w:val="auto"/>
          <w:kern w:val="0"/>
          <w:sz w:val="24"/>
          <w:szCs w:val="32"/>
          <w:highlight w:val="none"/>
          <w:lang w:val="en-US" w:eastAsia="zh-CN"/>
        </w:rPr>
        <w:t>报告书</w:t>
      </w:r>
      <w:r>
        <w:rPr>
          <w:rFonts w:hint="default" w:ascii="Times New Roman" w:hAnsi="Times New Roman" w:cs="Times New Roman"/>
          <w:color w:val="auto"/>
          <w:kern w:val="0"/>
          <w:sz w:val="24"/>
          <w:szCs w:val="32"/>
          <w:highlight w:val="none"/>
          <w:lang w:val="zh-CN"/>
        </w:rPr>
        <w:t>》</w:t>
      </w:r>
      <w:r>
        <w:rPr>
          <w:rFonts w:hint="default" w:ascii="Times New Roman" w:hAnsi="Times New Roman" w:eastAsia="宋体" w:cs="Times New Roman"/>
          <w:color w:val="auto"/>
          <w:sz w:val="24"/>
          <w:szCs w:val="24"/>
          <w:highlight w:val="none"/>
          <w:lang w:val="en-US" w:eastAsia="zh-CN" w:bidi="ar-SA"/>
        </w:rPr>
        <w:t>。</w:t>
      </w:r>
    </w:p>
    <w:p w14:paraId="170BBDC1">
      <w:pPr>
        <w:keepNext/>
        <w:keepLines/>
        <w:pageBreakBefore w:val="0"/>
        <w:widowControl w:val="0"/>
        <w:numPr>
          <w:ilvl w:val="1"/>
          <w:numId w:val="1"/>
        </w:numPr>
        <w:kinsoku/>
        <w:wordWrap/>
        <w:overflowPunct/>
        <w:topLinePunct w:val="0"/>
        <w:autoSpaceDE/>
        <w:autoSpaceDN/>
        <w:bidi w:val="0"/>
        <w:adjustRightInd w:val="0"/>
        <w:snapToGrid w:val="0"/>
        <w:spacing w:line="360" w:lineRule="auto"/>
        <w:ind w:left="0" w:firstLine="0"/>
        <w:jc w:val="both"/>
        <w:textAlignment w:val="auto"/>
        <w:outlineLvl w:val="1"/>
        <w:rPr>
          <w:rFonts w:hint="default" w:ascii="Times New Roman" w:hAnsi="Times New Roman" w:eastAsia="宋体" w:cs="Times New Roman"/>
          <w:b/>
          <w:color w:val="000000"/>
          <w:kern w:val="2"/>
          <w:sz w:val="28"/>
          <w:szCs w:val="28"/>
          <w:highlight w:val="none"/>
          <w:lang w:val="en-US" w:eastAsia="zh-CN" w:bidi="ar-SA"/>
        </w:rPr>
      </w:pPr>
      <w:bookmarkStart w:id="40" w:name="_Toc23882"/>
      <w:bookmarkStart w:id="41" w:name="_Toc10752"/>
      <w:bookmarkStart w:id="42" w:name="_Toc4501"/>
      <w:bookmarkStart w:id="43" w:name="_Toc29993"/>
      <w:bookmarkStart w:id="44" w:name="_Toc30039"/>
      <w:bookmarkStart w:id="45" w:name="_Toc5860"/>
      <w:r>
        <w:rPr>
          <w:rFonts w:hint="default" w:ascii="Times New Roman" w:hAnsi="Times New Roman" w:eastAsia="宋体" w:cs="Times New Roman"/>
          <w:b/>
          <w:color w:val="000000"/>
          <w:kern w:val="2"/>
          <w:sz w:val="28"/>
          <w:szCs w:val="28"/>
          <w:highlight w:val="none"/>
          <w:lang w:val="en-US" w:eastAsia="zh-CN" w:bidi="ar-SA"/>
        </w:rPr>
        <w:t>关注的主要环境问题及环境影响</w:t>
      </w:r>
      <w:bookmarkEnd w:id="40"/>
      <w:bookmarkEnd w:id="41"/>
      <w:bookmarkEnd w:id="42"/>
      <w:bookmarkEnd w:id="43"/>
      <w:bookmarkEnd w:id="44"/>
      <w:bookmarkEnd w:id="45"/>
    </w:p>
    <w:p w14:paraId="7D8F9141">
      <w:pPr>
        <w:pageBreakBefore w:val="0"/>
        <w:widowControl w:val="0"/>
        <w:kinsoku/>
        <w:wordWrap/>
        <w:overflowPunct/>
        <w:bidi w:val="0"/>
        <w:spacing w:line="360" w:lineRule="auto"/>
        <w:ind w:left="0" w:firstLine="480" w:firstLineChars="200"/>
        <w:rPr>
          <w:rFonts w:hint="default" w:ascii="Times New Roman" w:hAnsi="Times New Roman" w:eastAsia="宋体"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rPr>
        <w:t>本项目占地范围内不涉及自然保护区、风景名胜区、饮用水水源地等环境敏感区</w:t>
      </w:r>
      <w:r>
        <w:rPr>
          <w:rFonts w:hint="eastAsia"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rPr>
        <w:t>不在生态保护红线范围内，本次评价工作将重点关注环境空气、</w:t>
      </w:r>
      <w:r>
        <w:rPr>
          <w:rFonts w:hint="eastAsia" w:ascii="Times New Roman" w:hAnsi="Times New Roman" w:eastAsia="宋体" w:cs="Times New Roman"/>
          <w:color w:val="000000"/>
          <w:kern w:val="0"/>
          <w:sz w:val="24"/>
          <w:szCs w:val="21"/>
          <w:highlight w:val="none"/>
          <w:lang w:val="en-US" w:eastAsia="zh-CN"/>
        </w:rPr>
        <w:t>声</w:t>
      </w:r>
      <w:r>
        <w:rPr>
          <w:rFonts w:hint="default" w:ascii="Times New Roman" w:hAnsi="Times New Roman" w:eastAsia="宋体" w:cs="Times New Roman"/>
          <w:color w:val="000000"/>
          <w:kern w:val="0"/>
          <w:sz w:val="24"/>
          <w:szCs w:val="21"/>
          <w:highlight w:val="none"/>
        </w:rPr>
        <w:t>环境</w:t>
      </w:r>
      <w:r>
        <w:rPr>
          <w:rFonts w:hint="eastAsia" w:ascii="Times New Roman" w:hAnsi="Times New Roman" w:eastAsia="宋体" w:cs="Times New Roman"/>
          <w:color w:val="000000"/>
          <w:kern w:val="0"/>
          <w:sz w:val="24"/>
          <w:szCs w:val="21"/>
          <w:highlight w:val="none"/>
          <w:lang w:eastAsia="zh-CN"/>
        </w:rPr>
        <w:t>、</w:t>
      </w:r>
      <w:r>
        <w:rPr>
          <w:rFonts w:hint="eastAsia" w:ascii="Times New Roman" w:hAnsi="Times New Roman" w:eastAsia="宋体" w:cs="Times New Roman"/>
          <w:color w:val="000000"/>
          <w:kern w:val="0"/>
          <w:sz w:val="24"/>
          <w:szCs w:val="21"/>
          <w:highlight w:val="none"/>
          <w:lang w:val="en-US" w:eastAsia="zh-CN"/>
        </w:rPr>
        <w:t>土壤环境</w:t>
      </w:r>
      <w:r>
        <w:rPr>
          <w:rFonts w:hint="default" w:ascii="Times New Roman" w:hAnsi="Times New Roman" w:eastAsia="宋体" w:cs="Times New Roman"/>
          <w:color w:val="000000"/>
          <w:kern w:val="0"/>
          <w:sz w:val="24"/>
          <w:szCs w:val="21"/>
          <w:highlight w:val="none"/>
        </w:rPr>
        <w:t>的影响，项目施工期、营运期、</w:t>
      </w:r>
      <w:r>
        <w:rPr>
          <w:rFonts w:hint="eastAsia" w:ascii="Times New Roman" w:hAnsi="Times New Roman" w:eastAsia="宋体" w:cs="Times New Roman"/>
          <w:color w:val="000000"/>
          <w:kern w:val="0"/>
          <w:sz w:val="24"/>
          <w:szCs w:val="21"/>
          <w:highlight w:val="none"/>
          <w:lang w:val="en-US" w:eastAsia="zh-CN"/>
        </w:rPr>
        <w:t>服务期满后</w:t>
      </w:r>
      <w:r>
        <w:rPr>
          <w:rFonts w:hint="default" w:ascii="Times New Roman" w:hAnsi="Times New Roman" w:eastAsia="宋体" w:cs="Times New Roman"/>
          <w:color w:val="000000"/>
          <w:kern w:val="0"/>
          <w:sz w:val="24"/>
          <w:szCs w:val="21"/>
          <w:highlight w:val="none"/>
        </w:rPr>
        <w:t>生态影响及生态恢复措施。</w:t>
      </w:r>
    </w:p>
    <w:p w14:paraId="0EAE1213">
      <w:pPr>
        <w:keepNext/>
        <w:keepLines/>
        <w:pageBreakBefore w:val="0"/>
        <w:widowControl w:val="0"/>
        <w:numPr>
          <w:ilvl w:val="1"/>
          <w:numId w:val="1"/>
        </w:numPr>
        <w:kinsoku/>
        <w:wordWrap/>
        <w:overflowPunct/>
        <w:topLinePunct w:val="0"/>
        <w:autoSpaceDE/>
        <w:autoSpaceDN/>
        <w:bidi w:val="0"/>
        <w:adjustRightInd w:val="0"/>
        <w:snapToGrid w:val="0"/>
        <w:spacing w:line="360" w:lineRule="auto"/>
        <w:ind w:left="0" w:firstLine="0"/>
        <w:jc w:val="both"/>
        <w:textAlignment w:val="auto"/>
        <w:outlineLvl w:val="1"/>
        <w:rPr>
          <w:rFonts w:hint="default" w:ascii="Times New Roman" w:hAnsi="Times New Roman" w:eastAsia="宋体" w:cs="Times New Roman"/>
          <w:b/>
          <w:color w:val="000000"/>
          <w:kern w:val="2"/>
          <w:sz w:val="28"/>
          <w:szCs w:val="28"/>
          <w:highlight w:val="none"/>
          <w:lang w:val="en-US" w:eastAsia="zh-CN" w:bidi="ar-SA"/>
        </w:rPr>
      </w:pPr>
      <w:bookmarkStart w:id="46" w:name="_Toc28569"/>
      <w:bookmarkStart w:id="47" w:name="_Toc26630"/>
      <w:bookmarkStart w:id="48" w:name="_Toc1591"/>
      <w:bookmarkStart w:id="49" w:name="_Toc15020"/>
      <w:bookmarkStart w:id="50" w:name="_Toc5368"/>
      <w:bookmarkStart w:id="51" w:name="_Toc10969"/>
      <w:r>
        <w:rPr>
          <w:rFonts w:hint="default" w:ascii="Times New Roman" w:hAnsi="Times New Roman" w:eastAsia="宋体" w:cs="Times New Roman"/>
          <w:b/>
          <w:color w:val="000000"/>
          <w:kern w:val="2"/>
          <w:sz w:val="28"/>
          <w:szCs w:val="28"/>
          <w:highlight w:val="none"/>
          <w:lang w:val="en-US" w:eastAsia="zh-CN" w:bidi="ar-SA"/>
        </w:rPr>
        <w:t>环境影响评价结论</w:t>
      </w:r>
      <w:bookmarkEnd w:id="46"/>
      <w:bookmarkEnd w:id="47"/>
      <w:bookmarkEnd w:id="48"/>
      <w:bookmarkEnd w:id="49"/>
      <w:bookmarkEnd w:id="50"/>
      <w:bookmarkEnd w:id="51"/>
    </w:p>
    <w:p w14:paraId="0B30D6F9">
      <w:pPr>
        <w:pageBreakBefore w:val="0"/>
        <w:widowControl w:val="0"/>
        <w:kinsoku/>
        <w:wordWrap/>
        <w:overflowPunct/>
        <w:bidi w:val="0"/>
        <w:spacing w:line="360" w:lineRule="auto"/>
        <w:ind w:left="0" w:firstLine="480" w:firstLineChars="200"/>
        <w:rPr>
          <w:rFonts w:hint="default" w:ascii="Times New Roman" w:hAnsi="Times New Roman" w:eastAsia="宋体" w:cs="Times New Roman"/>
          <w:color w:val="000000"/>
          <w:sz w:val="24"/>
          <w:highlight w:val="none"/>
        </w:rPr>
      </w:pPr>
      <w:r>
        <w:rPr>
          <w:rFonts w:hint="eastAsia" w:ascii="Times New Roman" w:hAnsi="Times New Roman"/>
          <w:color w:val="000000" w:themeColor="text1"/>
          <w:sz w:val="24"/>
          <w:szCs w:val="32"/>
          <w:highlight w:val="none"/>
          <w14:textFill>
            <w14:solidFill>
              <w14:schemeClr w14:val="tx1"/>
            </w14:solidFill>
          </w14:textFill>
        </w:rPr>
        <w:t>本项目满足相关规划要求，建设内容满足国家及地方相关政策的要求。项目采取了完善的污染治理措施并制定了完善的环境管理与监测计划，可确保废气、废水、噪声各类污染物达标排放，固体废物全部综合利用或妥善处置。经分析，本项目不会对环境空气、声环境、地表水环境</w:t>
      </w:r>
      <w:r>
        <w:rPr>
          <w:rFonts w:hint="eastAsia" w:ascii="Times New Roman" w:hAnsi="Times New Roman"/>
          <w:color w:val="000000" w:themeColor="text1"/>
          <w:sz w:val="24"/>
          <w:szCs w:val="32"/>
          <w:highlight w:val="none"/>
          <w:lang w:eastAsia="zh-CN"/>
          <w14:textFill>
            <w14:solidFill>
              <w14:schemeClr w14:val="tx1"/>
            </w14:solidFill>
          </w14:textFill>
        </w:rPr>
        <w:t>、土壤环境、</w:t>
      </w:r>
      <w:r>
        <w:rPr>
          <w:rFonts w:hint="eastAsia" w:ascii="Times New Roman" w:hAnsi="Times New Roman"/>
          <w:color w:val="000000" w:themeColor="text1"/>
          <w:sz w:val="24"/>
          <w:szCs w:val="32"/>
          <w:highlight w:val="none"/>
          <w14:textFill>
            <w14:solidFill>
              <w14:schemeClr w14:val="tx1"/>
            </w14:solidFill>
          </w14:textFill>
        </w:rPr>
        <w:t>生态环境产生明显影响，对区域地下水环境影响可接受。根据建设单位开展的公众参与调查结论，公示期间均未收到反对意见。为此，本评价从环保角度认为，该项目建设是可行的</w:t>
      </w:r>
      <w:r>
        <w:rPr>
          <w:rFonts w:hint="default" w:ascii="Times New Roman" w:hAnsi="Times New Roman" w:eastAsia="宋体" w:cs="Times New Roman"/>
          <w:color w:val="000000"/>
          <w:kern w:val="0"/>
          <w:sz w:val="24"/>
          <w:szCs w:val="21"/>
          <w:highlight w:val="none"/>
        </w:rPr>
        <w:t>。</w:t>
      </w:r>
    </w:p>
    <w:bookmarkEnd w:id="20"/>
    <w:bookmarkEnd w:id="21"/>
    <w:p w14:paraId="5A111248">
      <w:pPr>
        <w:pStyle w:val="2"/>
        <w:rPr>
          <w:rFonts w:hint="default" w:ascii="Times New Roman" w:hAnsi="Times New Roman" w:cs="Times New Roman"/>
          <w:color w:val="000000"/>
          <w:highlight w:val="none"/>
        </w:rPr>
        <w:sectPr>
          <w:footerReference r:id="rId7" w:type="default"/>
          <w:pgSz w:w="11906" w:h="16838"/>
          <w:pgMar w:top="1440" w:right="1797" w:bottom="1440" w:left="1797" w:header="851" w:footer="992" w:gutter="0"/>
          <w:pgBorders w:offsetFrom="page">
            <w:top w:val="none" w:sz="0" w:space="0"/>
            <w:left w:val="none" w:sz="0" w:space="0"/>
            <w:bottom w:val="none" w:sz="0" w:space="0"/>
            <w:right w:val="none" w:sz="0" w:space="0"/>
          </w:pgBorders>
          <w:pgNumType w:start="1"/>
          <w:cols w:space="720" w:num="1"/>
          <w:docGrid w:type="lines" w:linePitch="312" w:charSpace="0"/>
        </w:sectPr>
      </w:pPr>
    </w:p>
    <w:p w14:paraId="71EB9137">
      <w:pPr>
        <w:pStyle w:val="187"/>
        <w:rPr>
          <w:rFonts w:hint="default" w:ascii="Times New Roman" w:hAnsi="Times New Roman" w:cs="Times New Roman"/>
          <w:color w:val="000000"/>
          <w:highlight w:val="none"/>
        </w:rPr>
      </w:pPr>
      <w:bookmarkStart w:id="52" w:name="_Toc22873"/>
      <w:bookmarkStart w:id="53" w:name="_Toc31021"/>
      <w:bookmarkStart w:id="54" w:name="_Toc13262"/>
      <w:bookmarkStart w:id="55" w:name="_Toc21795"/>
      <w:bookmarkStart w:id="56" w:name="_Toc23831"/>
      <w:r>
        <w:rPr>
          <w:rFonts w:hint="default" w:ascii="Times New Roman" w:hAnsi="Times New Roman" w:cs="Times New Roman"/>
          <w:color w:val="000000"/>
          <w:highlight w:val="none"/>
        </w:rPr>
        <w:t>总则</w:t>
      </w:r>
      <w:bookmarkEnd w:id="52"/>
      <w:bookmarkEnd w:id="53"/>
      <w:bookmarkEnd w:id="54"/>
      <w:bookmarkEnd w:id="55"/>
      <w:bookmarkEnd w:id="56"/>
    </w:p>
    <w:p w14:paraId="494D8E4A">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cs="Times New Roman"/>
          <w:color w:val="000000"/>
          <w:sz w:val="28"/>
          <w:szCs w:val="28"/>
          <w:highlight w:val="none"/>
        </w:rPr>
      </w:pPr>
      <w:bookmarkStart w:id="57" w:name="_Toc216"/>
      <w:bookmarkStart w:id="58" w:name="_Toc17615"/>
      <w:bookmarkStart w:id="59" w:name="_Toc13764"/>
      <w:bookmarkStart w:id="60" w:name="_Toc2099"/>
      <w:bookmarkStart w:id="61" w:name="_Toc14824"/>
      <w:r>
        <w:rPr>
          <w:rFonts w:hint="default" w:ascii="Times New Roman" w:hAnsi="Times New Roman" w:cs="Times New Roman"/>
          <w:color w:val="000000"/>
          <w:sz w:val="28"/>
          <w:szCs w:val="28"/>
          <w:highlight w:val="none"/>
        </w:rPr>
        <w:t>编制依据</w:t>
      </w:r>
      <w:bookmarkEnd w:id="57"/>
      <w:bookmarkEnd w:id="58"/>
      <w:bookmarkEnd w:id="59"/>
      <w:bookmarkEnd w:id="60"/>
      <w:bookmarkEnd w:id="61"/>
    </w:p>
    <w:p w14:paraId="4DE23EB7">
      <w:pPr>
        <w:pStyle w:val="6"/>
        <w:rPr>
          <w:rFonts w:hint="default" w:ascii="Times New Roman" w:hAnsi="Times New Roman" w:cs="Times New Roman"/>
          <w:highlight w:val="none"/>
        </w:rPr>
      </w:pPr>
      <w:bookmarkStart w:id="62" w:name="_Toc17826"/>
      <w:bookmarkStart w:id="63" w:name="_Toc470785805"/>
      <w:r>
        <w:rPr>
          <w:rFonts w:hint="eastAsia" w:ascii="Times New Roman" w:hAnsi="Times New Roman" w:cs="Times New Roman"/>
          <w:highlight w:val="none"/>
          <w:lang w:val="en-US" w:eastAsia="zh-CN"/>
        </w:rPr>
        <w:t xml:space="preserve"> </w:t>
      </w:r>
      <w:r>
        <w:rPr>
          <w:rFonts w:hint="default" w:ascii="Times New Roman" w:hAnsi="Times New Roman" w:cs="Times New Roman"/>
          <w:highlight w:val="none"/>
        </w:rPr>
        <w:t>环境保护法律</w:t>
      </w:r>
      <w:bookmarkEnd w:id="62"/>
      <w:bookmarkEnd w:id="63"/>
    </w:p>
    <w:p w14:paraId="4699BE3A">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《中华人民共和国环境保护法》（自2015年1月1日起实行）；</w:t>
      </w:r>
    </w:p>
    <w:p w14:paraId="3963E459">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《中华人民共和国环境影响评价法》（2018年12月29日修正）；</w:t>
      </w:r>
    </w:p>
    <w:p w14:paraId="0E845099">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《中华人民共和国大气污染防治法》（2018年10月26日修正）；</w:t>
      </w:r>
    </w:p>
    <w:p w14:paraId="429E6B34">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《中华人民共和国水污染防治法》（自2018年1月1日起施行）；</w:t>
      </w:r>
    </w:p>
    <w:p w14:paraId="34A92DC2">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《中华人民共和国噪声污染防治法》（2022年6月5日）；</w:t>
      </w:r>
    </w:p>
    <w:p w14:paraId="296BC167">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《中华人民共和国固体废物污染环境防治法》（自2020年9月1日起施行）；</w:t>
      </w:r>
    </w:p>
    <w:p w14:paraId="39F6849E">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《中华人民共和国土壤污染防治法》（2019年1月1日起施行）；</w:t>
      </w:r>
    </w:p>
    <w:p w14:paraId="48AC6B5A">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《中华人民共和国放射性污染防治法》（自2003年10月1日起施行）；</w:t>
      </w:r>
    </w:p>
    <w:p w14:paraId="5543189C">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《中华人民共和国矿产资源法》（2009年8月27日修正）；</w:t>
      </w:r>
    </w:p>
    <w:p w14:paraId="5021F7E6">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《中华人民共和国水土保持法》（自2011年3月1日起施行）；</w:t>
      </w:r>
    </w:p>
    <w:p w14:paraId="5B1FE5ED">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《中华人民共和国清洁生产促进法》（2012年2月29日修正）；</w:t>
      </w:r>
    </w:p>
    <w:p w14:paraId="2B4C8B00">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《中华人民共和国水法》（2016年7月2日修改）；</w:t>
      </w:r>
    </w:p>
    <w:p w14:paraId="0936205E">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《中华人民共和国循环经济促进法》（2018年10月26日修正）；</w:t>
      </w:r>
    </w:p>
    <w:p w14:paraId="4049DD16">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《中华人民共和国节约能源法》（修订）（2018年10月26日实施）；</w:t>
      </w:r>
    </w:p>
    <w:p w14:paraId="13D3F246">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《中华人民共和国野生动物保护法》（2018年10月26日修正）；</w:t>
      </w:r>
    </w:p>
    <w:p w14:paraId="08488182">
      <w:pPr>
        <w:pStyle w:val="45"/>
        <w:numPr>
          <w:ilvl w:val="0"/>
          <w:numId w:val="11"/>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《中华人民共和国森林法》（2020年7月1日起施行）；</w:t>
      </w:r>
    </w:p>
    <w:p w14:paraId="0197D154">
      <w:pPr>
        <w:pStyle w:val="45"/>
        <w:numPr>
          <w:ilvl w:val="0"/>
          <w:numId w:val="11"/>
        </w:numPr>
        <w:spacing w:after="0" w:line="360" w:lineRule="auto"/>
        <w:ind w:left="0" w:leftChars="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《中华人民共和国土地管理法》(2020年1月1日)</w:t>
      </w:r>
      <w:r>
        <w:rPr>
          <w:rFonts w:hint="default" w:ascii="Times New Roman" w:hAnsi="Times New Roman" w:cs="Times New Roman"/>
          <w:color w:val="auto"/>
          <w:sz w:val="24"/>
          <w:szCs w:val="24"/>
          <w:highlight w:val="none"/>
          <w:lang w:eastAsia="zh-CN"/>
        </w:rPr>
        <w:t>。</w:t>
      </w:r>
    </w:p>
    <w:p w14:paraId="3A1AF219">
      <w:pPr>
        <w:pStyle w:val="6"/>
        <w:rPr>
          <w:rFonts w:hint="default" w:ascii="Times New Roman" w:hAnsi="Times New Roman" w:cs="Times New Roman"/>
          <w:highlight w:val="none"/>
        </w:rPr>
      </w:pPr>
      <w:bookmarkStart w:id="64" w:name="_Toc470785806"/>
      <w:bookmarkStart w:id="65" w:name="_Toc3526"/>
      <w:r>
        <w:rPr>
          <w:rFonts w:hint="eastAsia" w:ascii="Times New Roman" w:hAnsi="Times New Roman" w:cs="Times New Roman"/>
          <w:highlight w:val="none"/>
          <w:lang w:val="en-US" w:eastAsia="zh-CN"/>
        </w:rPr>
        <w:t xml:space="preserve"> </w:t>
      </w:r>
      <w:r>
        <w:rPr>
          <w:rFonts w:hint="default" w:ascii="Times New Roman" w:hAnsi="Times New Roman" w:cs="Times New Roman"/>
          <w:highlight w:val="none"/>
        </w:rPr>
        <w:t>环境保护法规、规章</w:t>
      </w:r>
    </w:p>
    <w:p w14:paraId="59816B64">
      <w:pPr>
        <w:spacing w:line="360" w:lineRule="auto"/>
        <w:ind w:left="0" w:leftChars="0" w:firstLine="0" w:firstLineChars="0"/>
        <w:rPr>
          <w:rFonts w:hint="default"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2.1.2.1国家环境保护法规和规章</w:t>
      </w:r>
    </w:p>
    <w:p w14:paraId="748420E6">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《建设项目环境保护管理条例》（自2017年10月1日起施行）</w:t>
      </w:r>
      <w:r>
        <w:rPr>
          <w:rFonts w:hint="eastAsia" w:ascii="Times New Roman" w:hAnsi="Times New Roman" w:cs="Times New Roman"/>
          <w:sz w:val="24"/>
          <w:szCs w:val="24"/>
          <w:highlight w:val="none"/>
          <w:lang w:eastAsia="zh-CN"/>
        </w:rPr>
        <w:t>；</w:t>
      </w:r>
    </w:p>
    <w:p w14:paraId="6D260B19">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highlight w:val="none"/>
          <w:lang w:eastAsia="zh-CN"/>
        </w:rPr>
      </w:pPr>
      <w:r>
        <w:rPr>
          <w:rFonts w:hint="default" w:ascii="Times New Roman" w:hAnsi="Times New Roman" w:cs="Times New Roman"/>
          <w:color w:val="000000"/>
          <w:sz w:val="24"/>
          <w:szCs w:val="24"/>
          <w:highlight w:val="none"/>
        </w:rPr>
        <w:t>《建设项目环境影响评价分类管理名录（2021年版）》（自2021年1月1日起施行）；</w:t>
      </w:r>
    </w:p>
    <w:p w14:paraId="50308E15">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rPr>
      </w:pPr>
      <w:r>
        <w:rPr>
          <w:rFonts w:hint="eastAsia" w:ascii="Times New Roman" w:hAnsi="Times New Roman" w:cs="Times New Roman"/>
          <w:color w:val="000000"/>
          <w:sz w:val="24"/>
          <w:szCs w:val="24"/>
          <w:highlight w:val="none"/>
          <w:lang w:eastAsia="zh-CN"/>
        </w:rPr>
        <w:t>《产业结构调整指导目录（2024年本）》(自202</w:t>
      </w:r>
      <w:r>
        <w:rPr>
          <w:rFonts w:hint="eastAsia" w:ascii="Times New Roman" w:hAnsi="Times New Roman" w:cs="Times New Roman"/>
          <w:color w:val="000000"/>
          <w:sz w:val="24"/>
          <w:szCs w:val="24"/>
          <w:highlight w:val="none"/>
          <w:lang w:val="en-US" w:eastAsia="zh-CN"/>
        </w:rPr>
        <w:t>4</w:t>
      </w:r>
      <w:r>
        <w:rPr>
          <w:rFonts w:hint="eastAsia" w:ascii="Times New Roman" w:hAnsi="Times New Roman" w:cs="Times New Roman"/>
          <w:color w:val="000000"/>
          <w:sz w:val="24"/>
          <w:szCs w:val="24"/>
          <w:highlight w:val="none"/>
          <w:lang w:eastAsia="zh-CN"/>
        </w:rPr>
        <w:t>年</w:t>
      </w:r>
      <w:r>
        <w:rPr>
          <w:rFonts w:hint="eastAsia" w:ascii="Times New Roman" w:hAnsi="Times New Roman" w:cs="Times New Roman"/>
          <w:color w:val="000000"/>
          <w:sz w:val="24"/>
          <w:szCs w:val="24"/>
          <w:highlight w:val="none"/>
          <w:lang w:val="en-US" w:eastAsia="zh-CN"/>
        </w:rPr>
        <w:t>2</w:t>
      </w:r>
      <w:r>
        <w:rPr>
          <w:rFonts w:hint="eastAsia" w:ascii="Times New Roman" w:hAnsi="Times New Roman" w:cs="Times New Roman"/>
          <w:color w:val="000000"/>
          <w:sz w:val="24"/>
          <w:szCs w:val="24"/>
          <w:highlight w:val="none"/>
          <w:lang w:eastAsia="zh-CN"/>
        </w:rPr>
        <w:t>月1日起施行)</w:t>
      </w:r>
      <w:r>
        <w:rPr>
          <w:rFonts w:hint="default" w:ascii="Times New Roman" w:hAnsi="Times New Roman" w:cs="Times New Roman"/>
          <w:color w:val="000000"/>
          <w:sz w:val="24"/>
          <w:szCs w:val="24"/>
          <w:highlight w:val="none"/>
        </w:rPr>
        <w:t>；</w:t>
      </w:r>
    </w:p>
    <w:p w14:paraId="74A66FE0">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lang w:eastAsia="zh-CN"/>
        </w:rPr>
      </w:pPr>
      <w:r>
        <w:rPr>
          <w:rFonts w:hint="default" w:ascii="Times New Roman" w:hAnsi="Times New Roman" w:cs="Times New Roman"/>
          <w:color w:val="000000"/>
          <w:sz w:val="24"/>
          <w:szCs w:val="24"/>
          <w:highlight w:val="none"/>
        </w:rPr>
        <w:t>《国务院关于印发&lt;大气污染防治行动计划&gt;的通知》(国发[2013]37号)；</w:t>
      </w:r>
    </w:p>
    <w:p w14:paraId="3780E099">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lang w:eastAsia="zh-CN"/>
        </w:rPr>
      </w:pPr>
      <w:r>
        <w:rPr>
          <w:rFonts w:hint="default" w:ascii="Times New Roman" w:hAnsi="Times New Roman" w:cs="Times New Roman"/>
          <w:color w:val="000000"/>
          <w:sz w:val="24"/>
          <w:szCs w:val="24"/>
          <w:highlight w:val="none"/>
        </w:rPr>
        <w:t>《国务院关于印发水污染防治行动计划的通知》（国发[2015]17号）；</w:t>
      </w:r>
    </w:p>
    <w:p w14:paraId="467DC5CD">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lang w:eastAsia="zh-CN"/>
        </w:rPr>
      </w:pPr>
      <w:r>
        <w:rPr>
          <w:rFonts w:hint="default" w:ascii="Times New Roman" w:hAnsi="Times New Roman" w:cs="Times New Roman"/>
          <w:color w:val="000000"/>
          <w:sz w:val="24"/>
          <w:szCs w:val="24"/>
          <w:highlight w:val="none"/>
        </w:rPr>
        <w:t>《国务院关于印发土壤污染防治行动计划的通知》（国发[2016]31号）</w:t>
      </w:r>
      <w:r>
        <w:rPr>
          <w:rFonts w:hint="eastAsia" w:ascii="Times New Roman" w:hAnsi="Times New Roman" w:cs="Times New Roman"/>
          <w:color w:val="000000"/>
          <w:sz w:val="24"/>
          <w:szCs w:val="24"/>
          <w:highlight w:val="none"/>
          <w:lang w:eastAsia="zh-CN"/>
        </w:rPr>
        <w:t>；</w:t>
      </w:r>
    </w:p>
    <w:p w14:paraId="0B51935E">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lang w:eastAsia="zh-CN"/>
        </w:rPr>
      </w:pPr>
      <w:r>
        <w:rPr>
          <w:rFonts w:hint="default" w:ascii="Times New Roman" w:hAnsi="Times New Roman" w:cs="Times New Roman"/>
          <w:sz w:val="24"/>
          <w:szCs w:val="24"/>
          <w:highlight w:val="none"/>
          <w:lang w:eastAsia="zh-CN"/>
        </w:rPr>
        <w:t>《地下水管理条例》（自2021年12月1日起施行）；</w:t>
      </w:r>
    </w:p>
    <w:p w14:paraId="36998510">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highlight w:val="none"/>
          <w:lang w:eastAsia="zh-CN"/>
        </w:rPr>
      </w:pPr>
      <w:r>
        <w:rPr>
          <w:rFonts w:hint="default" w:ascii="Times New Roman" w:hAnsi="Times New Roman" w:cs="Times New Roman"/>
          <w:color w:val="000000"/>
          <w:sz w:val="24"/>
          <w:szCs w:val="24"/>
          <w:highlight w:val="none"/>
        </w:rPr>
        <w:t>《关于做好环境影响评价制度与排污许可制衔接相关工作的通知》(环办环评[2017]84号)</w:t>
      </w:r>
      <w:r>
        <w:rPr>
          <w:rFonts w:hint="eastAsia" w:ascii="Times New Roman" w:hAnsi="Times New Roman" w:eastAsia="宋体" w:cs="Times New Roman"/>
          <w:color w:val="000000"/>
          <w:sz w:val="24"/>
          <w:szCs w:val="24"/>
          <w:highlight w:val="none"/>
          <w:lang w:eastAsia="zh-CN"/>
        </w:rPr>
        <w:t>；</w:t>
      </w:r>
    </w:p>
    <w:p w14:paraId="4FB169D5">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highlight w:val="none"/>
          <w:lang w:eastAsia="zh-CN"/>
        </w:rPr>
      </w:pPr>
      <w:r>
        <w:rPr>
          <w:rFonts w:hint="default" w:ascii="Times New Roman" w:hAnsi="Times New Roman" w:cs="Times New Roman"/>
          <w:color w:val="000000"/>
          <w:sz w:val="24"/>
          <w:szCs w:val="24"/>
          <w:highlight w:val="none"/>
        </w:rPr>
        <w:t>《以改善环境质量为核心加强环境影响评价管理的通知》（环环评[2016]150号）；</w:t>
      </w:r>
    </w:p>
    <w:p w14:paraId="62D05BEA">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highlight w:val="none"/>
          <w:lang w:eastAsia="zh-CN"/>
        </w:rPr>
      </w:pPr>
      <w:r>
        <w:rPr>
          <w:rFonts w:hint="eastAsia" w:ascii="Times New Roman" w:hAnsi="Times New Roman" w:cs="Times New Roman"/>
          <w:sz w:val="24"/>
          <w:szCs w:val="24"/>
          <w:highlight w:val="none"/>
          <w:lang w:eastAsia="zh-CN"/>
        </w:rPr>
        <w:t>《突发环境事件应急管理办法》（2015年6月5日实施）；</w:t>
      </w:r>
    </w:p>
    <w:p w14:paraId="24E53076">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highlight w:val="none"/>
          <w:lang w:eastAsia="zh-CN"/>
        </w:rPr>
      </w:pPr>
      <w:r>
        <w:rPr>
          <w:rFonts w:hint="default" w:ascii="Times New Roman" w:hAnsi="Times New Roman" w:cs="Times New Roman"/>
          <w:color w:val="000000"/>
          <w:sz w:val="24"/>
          <w:szCs w:val="24"/>
          <w:highlight w:val="none"/>
        </w:rPr>
        <w:t>《关于印发&lt;企业事业单位突发环境事件应急预案备案管理办法（试行）&gt;的通知》（环发[2015]4号）</w:t>
      </w:r>
      <w:r>
        <w:rPr>
          <w:rFonts w:hint="eastAsia" w:ascii="Times New Roman" w:hAnsi="Times New Roman" w:cs="Times New Roman"/>
          <w:color w:val="000000"/>
          <w:sz w:val="24"/>
          <w:szCs w:val="24"/>
          <w:highlight w:val="none"/>
          <w:lang w:eastAsia="zh-CN"/>
        </w:rPr>
        <w:t>；</w:t>
      </w:r>
    </w:p>
    <w:p w14:paraId="543DF256">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《关于进一步加强环境影响评价管理防范环境风险的通知》(环发[2012]77号)；</w:t>
      </w:r>
    </w:p>
    <w:p w14:paraId="53BE5534">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szCs w:val="24"/>
          <w:highlight w:val="none"/>
          <w:lang w:eastAsia="zh-CN"/>
        </w:rPr>
      </w:pPr>
      <w:r>
        <w:rPr>
          <w:rFonts w:hint="eastAsia" w:ascii="Times New Roman" w:hAnsi="Times New Roman" w:cs="Times New Roman"/>
          <w:sz w:val="24"/>
          <w:szCs w:val="24"/>
          <w:highlight w:val="none"/>
          <w:lang w:eastAsia="zh-CN"/>
        </w:rPr>
        <w:t>《矿产资源节约和综合利用先进适用技术目录(2019年版）》(2019年12月24日发布并实施)；</w:t>
      </w:r>
    </w:p>
    <w:p w14:paraId="28D3996A">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《关于落实大气污染防治行动计划严格环境影响评价准入的通知》（环办[2014]30号）；</w:t>
      </w:r>
    </w:p>
    <w:p w14:paraId="606A2663">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《关于发布&lt;矿山生态环境保护与污染防治技术政策&gt;的通知》(环发[2005]109号)；</w:t>
      </w:r>
    </w:p>
    <w:p w14:paraId="403AAD9A">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《关于调整部分矿种矿山生产建设规模标准的通知》(国土资发[2004]208号)；</w:t>
      </w:r>
    </w:p>
    <w:p w14:paraId="38078426">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《关于加快建设绿色矿山的实施意见》（国土资规[2017]4号）。</w:t>
      </w:r>
    </w:p>
    <w:p w14:paraId="01342FE4">
      <w:pPr>
        <w:spacing w:line="360" w:lineRule="auto"/>
        <w:ind w:left="0" w:leftChars="0" w:firstLine="0" w:firstLineChars="0"/>
        <w:rPr>
          <w:rFonts w:hint="default" w:ascii="Times New Roman" w:hAnsi="Times New Roman" w:cs="Times New Roman"/>
          <w:b/>
          <w:bCs/>
          <w:sz w:val="24"/>
          <w:szCs w:val="28"/>
          <w:highlight w:val="none"/>
          <w:lang w:val="en-US" w:eastAsia="zh-CN"/>
        </w:rPr>
      </w:pPr>
      <w:r>
        <w:rPr>
          <w:rFonts w:hint="default" w:ascii="Times New Roman" w:hAnsi="Times New Roman" w:cs="Times New Roman"/>
          <w:b/>
          <w:bCs/>
          <w:sz w:val="24"/>
          <w:szCs w:val="28"/>
          <w:highlight w:val="none"/>
          <w:lang w:val="en-US" w:eastAsia="zh-CN"/>
        </w:rPr>
        <w:t>2.1.</w:t>
      </w:r>
      <w:r>
        <w:rPr>
          <w:rFonts w:hint="eastAsia" w:ascii="Times New Roman" w:hAnsi="Times New Roman" w:cs="Times New Roman"/>
          <w:b/>
          <w:bCs/>
          <w:sz w:val="24"/>
          <w:szCs w:val="28"/>
          <w:highlight w:val="none"/>
          <w:lang w:val="en-US" w:eastAsia="zh-CN"/>
        </w:rPr>
        <w:t>2.2</w:t>
      </w:r>
      <w:r>
        <w:rPr>
          <w:rFonts w:hint="default" w:ascii="Times New Roman" w:hAnsi="Times New Roman" w:cs="Times New Roman"/>
          <w:b/>
          <w:bCs/>
          <w:sz w:val="24"/>
          <w:szCs w:val="28"/>
          <w:highlight w:val="none"/>
          <w:lang w:val="en-US" w:eastAsia="zh-CN"/>
        </w:rPr>
        <w:t xml:space="preserve"> </w:t>
      </w:r>
      <w:r>
        <w:rPr>
          <w:rFonts w:hint="eastAsia" w:ascii="Times New Roman" w:hAnsi="Times New Roman" w:cs="Times New Roman"/>
          <w:b/>
          <w:bCs/>
          <w:sz w:val="24"/>
          <w:szCs w:val="28"/>
          <w:highlight w:val="none"/>
          <w:lang w:val="en-US" w:eastAsia="zh-CN"/>
        </w:rPr>
        <w:t>地方</w:t>
      </w:r>
      <w:r>
        <w:rPr>
          <w:rFonts w:hint="default" w:ascii="Times New Roman" w:hAnsi="Times New Roman" w:cs="Times New Roman"/>
          <w:b/>
          <w:bCs/>
          <w:sz w:val="24"/>
          <w:szCs w:val="28"/>
          <w:highlight w:val="none"/>
          <w:lang w:val="en-US" w:eastAsia="zh-CN"/>
        </w:rPr>
        <w:t>环境保护法规规章文件</w:t>
      </w:r>
      <w:bookmarkEnd w:id="64"/>
      <w:bookmarkEnd w:id="65"/>
    </w:p>
    <w:p w14:paraId="526C24C8">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《河北省土壤污染防治条例》（自2022年1月1日起施行）；</w:t>
      </w:r>
    </w:p>
    <w:p w14:paraId="5552EC29">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《河北省大气污染防治条例》（2021年9月29日修正）；</w:t>
      </w:r>
    </w:p>
    <w:p w14:paraId="0E5CFF37">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《河北省非煤矿山综合治理条例》（自2020年10月1日起施行）；</w:t>
      </w:r>
    </w:p>
    <w:p w14:paraId="6EEA0AA8">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《河北省人民代表大会常务委员会关于加强滦河流域水资源保护和管理的决定》（2020年</w:t>
      </w:r>
      <w:r>
        <w:rPr>
          <w:rFonts w:hint="eastAsia" w:cs="Times New Roman"/>
          <w:color w:val="auto"/>
          <w:sz w:val="24"/>
          <w:szCs w:val="24"/>
          <w:highlight w:val="none"/>
          <w:lang w:eastAsia="zh-CN"/>
        </w:rPr>
        <w:t>9月11日</w:t>
      </w:r>
      <w:r>
        <w:rPr>
          <w:rFonts w:hint="default" w:ascii="Times New Roman" w:hAnsi="Times New Roman" w:cs="Times New Roman"/>
          <w:color w:val="auto"/>
          <w:sz w:val="24"/>
          <w:szCs w:val="24"/>
          <w:highlight w:val="none"/>
        </w:rPr>
        <w:t>起施行）；</w:t>
      </w:r>
    </w:p>
    <w:p w14:paraId="5F999666">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《河北省辐射污染防治条例》（2020年7月30日修正）；</w:t>
      </w:r>
    </w:p>
    <w:p w14:paraId="309E585D">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《河北省环境保护公众参与条例》（2020年7月30日修正）;</w:t>
      </w:r>
    </w:p>
    <w:p w14:paraId="04729895">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《河北省生态环境保护条例》（自2020年7月1日起施行）；</w:t>
      </w:r>
    </w:p>
    <w:p w14:paraId="575CF35D">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《河北省扬尘污染防治办法》（自2020年4月1日起施行）</w:t>
      </w:r>
      <w:r>
        <w:rPr>
          <w:rFonts w:hint="default" w:ascii="Times New Roman" w:hAnsi="Times New Roman" w:cs="Times New Roman"/>
          <w:color w:val="auto"/>
          <w:sz w:val="24"/>
          <w:szCs w:val="24"/>
          <w:highlight w:val="none"/>
          <w:lang w:eastAsia="zh-CN"/>
        </w:rPr>
        <w:t>；</w:t>
      </w:r>
    </w:p>
    <w:p w14:paraId="78252CD9">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《河北省大气污染防治工作领导小组关于印发&lt;河北省2022年大气污染综合治理工作要点&gt;的通知》（冀气领组[2022]2号）；</w:t>
      </w:r>
    </w:p>
    <w:p w14:paraId="46BA2C6B">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《河北省达标排污许可管理办法（试行）》（2019年12月28日修改）；</w:t>
      </w:r>
    </w:p>
    <w:p w14:paraId="3D8E61B0">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《河北省地下水管理条例》（自2018年11月1日起施行）；</w:t>
      </w:r>
    </w:p>
    <w:p w14:paraId="456ACBCE">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《河北省水污染防治条例》（自2018年9月1日起施行）；</w:t>
      </w:r>
    </w:p>
    <w:p w14:paraId="5C47EF7A">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《河北省减少污染物排放条例》（2016年9月22日修正）；</w:t>
      </w:r>
    </w:p>
    <w:p w14:paraId="24D5CDE2">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《河北省陆生野生动物保护条例》（2016年9月22日修正）；</w:t>
      </w:r>
    </w:p>
    <w:p w14:paraId="0A1D44AE">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《河北省固体废物污染环境防治条例》（20</w:t>
      </w:r>
      <w:r>
        <w:rPr>
          <w:rFonts w:hint="eastAsia" w:ascii="Times New Roman" w:hAnsi="Times New Roman" w:cs="Times New Roman"/>
          <w:color w:val="auto"/>
          <w:sz w:val="24"/>
          <w:szCs w:val="24"/>
          <w:highlight w:val="none"/>
          <w:lang w:val="en-US" w:eastAsia="zh-CN"/>
        </w:rPr>
        <w:t>22</w:t>
      </w:r>
      <w:r>
        <w:rPr>
          <w:rFonts w:hint="default"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月1日起施行）</w:t>
      </w:r>
      <w:r>
        <w:rPr>
          <w:rFonts w:hint="eastAsia" w:ascii="Times New Roman" w:hAnsi="Times New Roman" w:cs="Times New Roman"/>
          <w:color w:val="auto"/>
          <w:sz w:val="24"/>
          <w:szCs w:val="24"/>
          <w:highlight w:val="none"/>
          <w:lang w:eastAsia="zh-CN"/>
        </w:rPr>
        <w:t>；</w:t>
      </w:r>
    </w:p>
    <w:p w14:paraId="125ED3D6">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《河北省自然资源厅关于印发&lt;河北省2021年度矿山综合治理工作方案》的通知&gt;（冀自然资发[2021]10号）；</w:t>
      </w:r>
    </w:p>
    <w:p w14:paraId="1C627B26">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《河北省人民政府办公厅关于进一步加强全省土壤污染防治工作的实施意见》（冀政办字[2020]11号）；</w:t>
      </w:r>
    </w:p>
    <w:p w14:paraId="2A946790">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《河北省人民政府办公厅关于转发河北省矿山综合治理攻坚行动方案的通知》(冀政办字[2020]75号)；</w:t>
      </w:r>
    </w:p>
    <w:p w14:paraId="682E2C16">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《关于加强重要生态功能区及周边区域环境管理工作的通知》（冀环便函[2020]407号）；</w:t>
      </w:r>
    </w:p>
    <w:p w14:paraId="5DD97271">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《关于加强矿山建设项目环境管理意见的通知》（冀环办发[2018]136号）；</w:t>
      </w:r>
    </w:p>
    <w:p w14:paraId="0BA5D07C">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《河北省人民政府关于加快实施“三线一单”生态环境分区管控的意见》（冀政字[2020]71号）；</w:t>
      </w:r>
    </w:p>
    <w:p w14:paraId="7C489F31">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《河北省人民政府关于发布&lt;河北省生态保护红线&gt;的通知》(冀政字[2018]23号)；</w:t>
      </w:r>
    </w:p>
    <w:p w14:paraId="278EAB8A">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《中共河北省委河北省人民政府关于印发&lt;河北省水污染防治工作方案&gt;的通知》（冀发[2015]28号）；</w:t>
      </w:r>
    </w:p>
    <w:p w14:paraId="3CCF20CD">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《中共河北省委、河北省人民政府关于强力推进大气污染综合治理的意见》(冀发[2017]7号)；</w:t>
      </w:r>
    </w:p>
    <w:p w14:paraId="30FB8238">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《关于印发河北省“净土行动”土壤污染防治工作方案的通知》(冀政发[2017]3号)；</w:t>
      </w:r>
    </w:p>
    <w:p w14:paraId="149A6EEF">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《关于印发&lt;建设项目环境影响评价文件审批及建设单位自主开展环境保护设施验收工作指引(试行)&gt;的通知》(冀环办字函[2017]727号）；</w:t>
      </w:r>
    </w:p>
    <w:p w14:paraId="0D0299EC">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《河北省2024年建筑施工扬尘污染防治工作方案》；</w:t>
      </w:r>
    </w:p>
    <w:p w14:paraId="1051BF33">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《关于调整公布&lt;河北省水功能区划&gt;的通知》（冀水资[2017]127号）</w:t>
      </w:r>
      <w:r>
        <w:rPr>
          <w:rFonts w:hint="eastAsia" w:ascii="Times New Roman" w:hAnsi="Times New Roman" w:cs="Times New Roman"/>
          <w:color w:val="auto"/>
          <w:sz w:val="24"/>
          <w:szCs w:val="24"/>
          <w:highlight w:val="none"/>
          <w:lang w:eastAsia="zh-CN"/>
        </w:rPr>
        <w:t>；</w:t>
      </w:r>
    </w:p>
    <w:p w14:paraId="679946BC">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《关于进一步做好矿山生态环境综合治理工作的通知》（承环办[2021]21号）；</w:t>
      </w:r>
    </w:p>
    <w:p w14:paraId="25A7969A">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《承德市人民政府办公室关于转发承德市矿山综合治理攻坚行动方案的通知》（承市政办字[2020]50号）；</w:t>
      </w:r>
    </w:p>
    <w:p w14:paraId="002DB5B5">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《关于印发&lt;承德市建设国家绿色矿业发展示范区攻坚行动（2019年）实施方案&gt;的通知》（承办发[2019]3号）；</w:t>
      </w:r>
    </w:p>
    <w:p w14:paraId="60C31CF5">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《承德市大气污染防治工作领导小组办公室关于进一步加强扬尘精细化管理的通知》（承气领办（2018）26号）；</w:t>
      </w:r>
    </w:p>
    <w:p w14:paraId="4163DC74">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《中共承德市委承德市人民政府关于印发《承德市水污染防治工作方案》的通知》（承发（2016）13号）</w:t>
      </w:r>
      <w:r>
        <w:rPr>
          <w:rFonts w:hint="default" w:ascii="Times New Roman" w:hAnsi="Times New Roman" w:cs="Times New Roman"/>
          <w:color w:val="auto"/>
          <w:sz w:val="24"/>
          <w:szCs w:val="24"/>
          <w:highlight w:val="none"/>
          <w:lang w:eastAsia="zh-CN"/>
        </w:rPr>
        <w:t>；</w:t>
      </w:r>
    </w:p>
    <w:p w14:paraId="01C96577">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《承德市人民政府办公室关于印发承德市突发环境事件应急预案的通 知》(2016年6月29日发布并实施)；</w:t>
      </w:r>
    </w:p>
    <w:p w14:paraId="593862A3">
      <w:pPr>
        <w:pStyle w:val="45"/>
        <w:numPr>
          <w:ilvl w:val="0"/>
          <w:numId w:val="13"/>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《中共承德市委承德市人民政府关于加快京津冀水源涵养功能区建设 的若干意见》(2014年12月31日发布并实施)；</w:t>
      </w:r>
    </w:p>
    <w:p w14:paraId="1D10151C">
      <w:pPr>
        <w:pStyle w:val="45"/>
        <w:numPr>
          <w:ilvl w:val="0"/>
          <w:numId w:val="13"/>
        </w:numPr>
        <w:spacing w:after="0" w:line="360" w:lineRule="auto"/>
        <w:ind w:left="0" w:leftChars="0" w:firstLine="480" w:firstLineChars="200"/>
        <w:jc w:val="left"/>
        <w:rPr>
          <w:rFonts w:hint="default" w:ascii="Times New Roman" w:hAnsi="Times New Roman" w:cs="Times New Roman"/>
          <w:sz w:val="24"/>
          <w:szCs w:val="24"/>
          <w:highlight w:val="none"/>
        </w:rPr>
      </w:pPr>
      <w:r>
        <w:rPr>
          <w:rFonts w:hint="eastAsia" w:cs="Times New Roman"/>
          <w:color w:val="auto"/>
          <w:sz w:val="24"/>
          <w:szCs w:val="24"/>
          <w:highlight w:val="none"/>
          <w:lang w:eastAsia="zh-CN"/>
        </w:rPr>
        <w:t>“关于发布《承德市生态环境分区管控准入清单(2023年版)》的通知”</w:t>
      </w:r>
      <w:r>
        <w:rPr>
          <w:rFonts w:hint="default" w:ascii="Times New Roman" w:hAnsi="Times New Roman" w:cs="Times New Roman"/>
          <w:color w:val="auto"/>
          <w:sz w:val="24"/>
          <w:szCs w:val="24"/>
          <w:highlight w:val="none"/>
          <w:lang w:eastAsia="zh-CN"/>
        </w:rPr>
        <w:t>。</w:t>
      </w:r>
    </w:p>
    <w:p w14:paraId="0A2D7F7A">
      <w:pPr>
        <w:pStyle w:val="6"/>
        <w:jc w:val="both"/>
        <w:rPr>
          <w:rFonts w:hint="default" w:ascii="Times New Roman" w:hAnsi="Times New Roman" w:cs="Times New Roman"/>
          <w:highlight w:val="none"/>
        </w:rPr>
      </w:pPr>
      <w:bookmarkStart w:id="66" w:name="_Toc27332"/>
      <w:bookmarkStart w:id="67" w:name="_Toc470785809"/>
      <w:r>
        <w:rPr>
          <w:rFonts w:hint="default" w:ascii="Times New Roman" w:hAnsi="Times New Roman" w:cs="Times New Roman"/>
          <w:highlight w:val="none"/>
        </w:rPr>
        <w:t xml:space="preserve"> 环境影响评价技术导则、技术规范</w:t>
      </w:r>
      <w:bookmarkEnd w:id="66"/>
      <w:bookmarkEnd w:id="67"/>
    </w:p>
    <w:p w14:paraId="0B3AB3FC">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《建设项目环境影响评价技术导则  总纲》（HJ2.1-2016）；</w:t>
      </w:r>
    </w:p>
    <w:p w14:paraId="3A7871CB">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《环境影响评价技术导则  大气环境》（HJ2.2-2018）；</w:t>
      </w:r>
    </w:p>
    <w:p w14:paraId="5BEE7098">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《环境影响评价技术导则  地表水环境》（HJ2.3-2018）；</w:t>
      </w:r>
    </w:p>
    <w:p w14:paraId="45DDE7A7">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《环境影响评价技术导则  地下水环境》（HJ610-2016）；</w:t>
      </w:r>
    </w:p>
    <w:p w14:paraId="54ECEE05">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《环境影响评价技术导则  声环境》（</w:t>
      </w:r>
      <w:r>
        <w:rPr>
          <w:rFonts w:hint="default" w:ascii="Times New Roman" w:hAnsi="Times New Roman" w:cs="Times New Roman"/>
          <w:color w:val="auto"/>
          <w:sz w:val="24"/>
          <w:szCs w:val="24"/>
          <w:highlight w:val="none"/>
          <w:lang w:eastAsia="zh-CN"/>
        </w:rPr>
        <w:t>HJ2.4-2021</w:t>
      </w:r>
      <w:r>
        <w:rPr>
          <w:rFonts w:hint="default" w:ascii="Times New Roman" w:hAnsi="Times New Roman" w:cs="Times New Roman"/>
          <w:color w:val="auto"/>
          <w:sz w:val="24"/>
          <w:szCs w:val="24"/>
          <w:highlight w:val="none"/>
        </w:rPr>
        <w:t>）；</w:t>
      </w:r>
    </w:p>
    <w:p w14:paraId="643FA20C">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《环境影响评价技术导则 土壤环境（试行）》（HJ964-2018）；</w:t>
      </w:r>
    </w:p>
    <w:p w14:paraId="06127405">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《环境影响评价技术导则  生态影响》（</w:t>
      </w:r>
      <w:r>
        <w:rPr>
          <w:rFonts w:hint="default" w:ascii="Times New Roman" w:hAnsi="Times New Roman" w:cs="Times New Roman"/>
          <w:color w:val="auto"/>
          <w:sz w:val="24"/>
          <w:szCs w:val="24"/>
          <w:highlight w:val="none"/>
          <w:lang w:eastAsia="zh-CN"/>
        </w:rPr>
        <w:t>HJ19-2022</w:t>
      </w:r>
      <w:r>
        <w:rPr>
          <w:rFonts w:hint="default" w:ascii="Times New Roman" w:hAnsi="Times New Roman" w:cs="Times New Roman"/>
          <w:color w:val="auto"/>
          <w:sz w:val="24"/>
          <w:szCs w:val="24"/>
          <w:highlight w:val="none"/>
        </w:rPr>
        <w:t>）；</w:t>
      </w:r>
    </w:p>
    <w:p w14:paraId="6460F757">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《建设项目环境风险评价技术导则》（HJ169-2018）；</w:t>
      </w:r>
    </w:p>
    <w:p w14:paraId="35A56C5A">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《固体废物鉴别标准 通则》（GB 34330-2017）；</w:t>
      </w:r>
    </w:p>
    <w:p w14:paraId="73391F76">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《危险废物鉴别标准 通则》（GB 5085.7-2019）；</w:t>
      </w:r>
    </w:p>
    <w:p w14:paraId="6DF35CA1">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《排污单位自行监测技术指南  总则》(HJ819-2017)；</w:t>
      </w:r>
    </w:p>
    <w:p w14:paraId="1C757904">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《施工场地扬尘排放标准》（DB13/2934-2019）；</w:t>
      </w:r>
    </w:p>
    <w:p w14:paraId="2065D8BA">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《矿山生态环境保护与恢复治理方案(规划)编制规范(试行)》(HJ651-2013)；</w:t>
      </w:r>
    </w:p>
    <w:p w14:paraId="2695BDEA">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eastAsia" w:ascii="Times New Roman" w:hAnsi="Times New Roman" w:eastAsia="宋体" w:cs="Times New Roman"/>
          <w:highlight w:val="none"/>
          <w:lang w:eastAsia="zh-CN"/>
        </w:rPr>
      </w:pPr>
      <w:r>
        <w:rPr>
          <w:rFonts w:hint="default" w:ascii="Times New Roman" w:hAnsi="Times New Roman" w:cs="Times New Roman"/>
          <w:color w:val="auto"/>
          <w:sz w:val="24"/>
          <w:szCs w:val="24"/>
          <w:highlight w:val="none"/>
        </w:rPr>
        <w:t>《扬尘在线监测系统建设及运行技术规范》(DB13/T2935-2019)</w:t>
      </w:r>
      <w:r>
        <w:rPr>
          <w:rFonts w:hint="eastAsia" w:ascii="Times New Roman" w:hAnsi="Times New Roman" w:cs="Times New Roman"/>
          <w:color w:val="auto"/>
          <w:sz w:val="24"/>
          <w:szCs w:val="24"/>
          <w:highlight w:val="none"/>
          <w:lang w:eastAsia="zh-CN"/>
        </w:rPr>
        <w:t>；</w:t>
      </w:r>
    </w:p>
    <w:p w14:paraId="381FD3E7">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eastAsia" w:ascii="Times New Roman" w:hAnsi="Times New Roman" w:eastAsia="宋体" w:cs="Times New Roman"/>
          <w:highlight w:val="none"/>
          <w:lang w:eastAsia="zh-CN"/>
        </w:rPr>
      </w:pPr>
      <w:r>
        <w:rPr>
          <w:rFonts w:hint="default" w:ascii="Times New Roman" w:hAnsi="Times New Roman" w:cs="Times New Roman"/>
          <w:color w:val="auto"/>
          <w:sz w:val="24"/>
          <w:szCs w:val="24"/>
          <w:highlight w:val="none"/>
        </w:rPr>
        <w:t>《地下水环境监测技术规范》（HJ 164-2020）；</w:t>
      </w:r>
    </w:p>
    <w:p w14:paraId="22D18DA7">
      <w:pPr>
        <w:pStyle w:val="45"/>
        <w:keepNext w:val="0"/>
        <w:keepLines w:val="0"/>
        <w:pageBreakBefore w:val="0"/>
        <w:widowControl w:val="0"/>
        <w:numPr>
          <w:ilvl w:val="0"/>
          <w:numId w:val="14"/>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highlight w:val="none"/>
          <w:lang w:eastAsia="zh-CN"/>
        </w:rPr>
      </w:pPr>
      <w:r>
        <w:rPr>
          <w:rFonts w:hint="default" w:ascii="Times New Roman" w:hAnsi="Times New Roman" w:cs="Times New Roman"/>
          <w:color w:val="auto"/>
          <w:sz w:val="24"/>
          <w:szCs w:val="24"/>
          <w:highlight w:val="none"/>
        </w:rPr>
        <w:t>《生活与服务业用水定额第1部分：居民生活》（DB13∕T5450.2-2021）</w:t>
      </w:r>
      <w:r>
        <w:rPr>
          <w:rFonts w:hint="eastAsia" w:ascii="Times New Roman" w:hAnsi="Times New Roman" w:cs="Times New Roman"/>
          <w:color w:val="auto"/>
          <w:sz w:val="24"/>
          <w:szCs w:val="24"/>
          <w:highlight w:val="none"/>
          <w:lang w:eastAsia="zh-CN"/>
        </w:rPr>
        <w:t>。</w:t>
      </w:r>
    </w:p>
    <w:p w14:paraId="78CD6B8B">
      <w:pPr>
        <w:pStyle w:val="6"/>
        <w:jc w:val="both"/>
        <w:rPr>
          <w:rFonts w:hint="eastAsia" w:ascii="Times New Roman" w:hAnsi="Times New Roman" w:cs="Times New Roman"/>
          <w:highlight w:val="none"/>
          <w:lang w:eastAsia="zh-CN"/>
        </w:rPr>
      </w:pPr>
      <w:r>
        <w:rPr>
          <w:rFonts w:hint="default" w:ascii="Times New Roman" w:hAnsi="Times New Roman" w:cs="Times New Roman"/>
          <w:highlight w:val="none"/>
        </w:rPr>
        <w:t xml:space="preserve"> 相关规划</w:t>
      </w:r>
    </w:p>
    <w:p w14:paraId="63FFEA4D">
      <w:pPr>
        <w:pStyle w:val="45"/>
        <w:numPr>
          <w:ilvl w:val="0"/>
          <w:numId w:val="15"/>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《河北省主体功能区规划》；</w:t>
      </w:r>
    </w:p>
    <w:p w14:paraId="079FC380">
      <w:pPr>
        <w:pStyle w:val="45"/>
        <w:numPr>
          <w:ilvl w:val="0"/>
          <w:numId w:val="15"/>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《河北省生态功能区划》</w:t>
      </w:r>
      <w:r>
        <w:rPr>
          <w:rFonts w:hint="default" w:ascii="Times New Roman" w:hAnsi="Times New Roman" w:cs="Times New Roman"/>
          <w:color w:val="auto"/>
          <w:sz w:val="24"/>
          <w:szCs w:val="24"/>
          <w:highlight w:val="none"/>
          <w:lang w:eastAsia="zh-CN"/>
        </w:rPr>
        <w:t>；</w:t>
      </w:r>
    </w:p>
    <w:p w14:paraId="3CAA2C6A">
      <w:pPr>
        <w:pStyle w:val="45"/>
        <w:numPr>
          <w:ilvl w:val="0"/>
          <w:numId w:val="15"/>
        </w:numPr>
        <w:spacing w:after="0" w:line="360" w:lineRule="auto"/>
        <w:ind w:left="0" w:leftChars="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《河北省建设京津冀生态环境支撑区规划（2016-2020年）》；</w:t>
      </w:r>
    </w:p>
    <w:p w14:paraId="09CA042B">
      <w:pPr>
        <w:pStyle w:val="45"/>
        <w:numPr>
          <w:ilvl w:val="0"/>
          <w:numId w:val="15"/>
        </w:numPr>
        <w:spacing w:after="0" w:line="360" w:lineRule="auto"/>
        <w:ind w:left="0" w:leftChars="0" w:firstLine="480" w:firstLineChars="200"/>
        <w:jc w:val="left"/>
        <w:rPr>
          <w:rFonts w:hint="default"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rPr>
        <w:t>《承德市重点水源涵养生态功能保护区规划》；</w:t>
      </w:r>
    </w:p>
    <w:p w14:paraId="3072206F">
      <w:pPr>
        <w:pStyle w:val="45"/>
        <w:numPr>
          <w:ilvl w:val="0"/>
          <w:numId w:val="15"/>
        </w:numPr>
        <w:spacing w:after="0" w:line="360" w:lineRule="auto"/>
        <w:ind w:left="0" w:leftChars="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关于</w:t>
      </w:r>
      <w:r>
        <w:rPr>
          <w:rFonts w:hint="eastAsia" w:ascii="宋体" w:hAnsi="宋体" w:eastAsia="宋体" w:cs="宋体"/>
          <w:color w:val="auto"/>
          <w:sz w:val="24"/>
          <w:szCs w:val="24"/>
          <w:highlight w:val="none"/>
          <w:lang w:val="en-US" w:eastAsia="zh-CN"/>
        </w:rPr>
        <w:t>印发</w:t>
      </w:r>
      <w:r>
        <w:rPr>
          <w:rFonts w:hint="eastAsia" w:ascii="宋体" w:hAnsi="宋体" w:eastAsia="宋体" w:cs="宋体"/>
          <w:color w:val="auto"/>
          <w:sz w:val="24"/>
          <w:szCs w:val="24"/>
          <w:highlight w:val="none"/>
        </w:rPr>
        <w:t>“十四五”土</w:t>
      </w:r>
      <w:r>
        <w:rPr>
          <w:rFonts w:hint="default" w:ascii="Times New Roman" w:hAnsi="Times New Roman" w:eastAsia="宋体" w:cs="Times New Roman"/>
          <w:color w:val="auto"/>
          <w:sz w:val="24"/>
          <w:szCs w:val="24"/>
          <w:highlight w:val="none"/>
        </w:rPr>
        <w:t>壤、地下水和农村生态环境保护规划</w:t>
      </w:r>
      <w:r>
        <w:rPr>
          <w:rFonts w:hint="default" w:ascii="Times New Roman" w:hAnsi="Times New Roman" w:cs="Times New Roman"/>
          <w:color w:val="auto"/>
          <w:sz w:val="24"/>
          <w:szCs w:val="24"/>
          <w:highlight w:val="none"/>
          <w:lang w:val="en-US" w:eastAsia="zh-CN"/>
        </w:rPr>
        <w:t>的通知</w:t>
      </w:r>
      <w:r>
        <w:rPr>
          <w:rFonts w:hint="default" w:ascii="Times New Roman" w:hAnsi="Times New Roman" w:eastAsia="宋体" w:cs="Times New Roman"/>
          <w:color w:val="auto"/>
          <w:sz w:val="24"/>
          <w:szCs w:val="24"/>
          <w:highlight w:val="none"/>
        </w:rPr>
        <w:t>》(环土壤[2021]120号)</w:t>
      </w:r>
      <w:r>
        <w:rPr>
          <w:rFonts w:hint="eastAsia" w:ascii="Times New Roman" w:hAnsi="Times New Roman" w:cs="Times New Roman"/>
          <w:color w:val="auto"/>
          <w:sz w:val="24"/>
          <w:szCs w:val="24"/>
          <w:highlight w:val="none"/>
          <w:lang w:eastAsia="zh-CN"/>
        </w:rPr>
        <w:t>；</w:t>
      </w:r>
    </w:p>
    <w:p w14:paraId="5A07ACAA">
      <w:pPr>
        <w:pStyle w:val="45"/>
        <w:numPr>
          <w:ilvl w:val="0"/>
          <w:numId w:val="15"/>
        </w:numPr>
        <w:spacing w:after="0" w:line="360" w:lineRule="auto"/>
        <w:ind w:left="0" w:leftChars="0"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《河北省土壤和地下水污染防治“十四五”规划》</w:t>
      </w:r>
      <w:r>
        <w:rPr>
          <w:rFonts w:hint="eastAsia" w:cs="宋体"/>
          <w:color w:val="auto"/>
          <w:sz w:val="24"/>
          <w:szCs w:val="24"/>
          <w:highlight w:val="none"/>
          <w:lang w:eastAsia="zh-CN"/>
        </w:rPr>
        <w:t>；</w:t>
      </w:r>
    </w:p>
    <w:p w14:paraId="51B62FCA">
      <w:pPr>
        <w:pStyle w:val="45"/>
        <w:numPr>
          <w:ilvl w:val="0"/>
          <w:numId w:val="15"/>
        </w:numPr>
        <w:spacing w:after="0" w:line="360" w:lineRule="auto"/>
        <w:ind w:left="0" w:leftChars="0"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《河北省建设京津冀生态环境支撑区“十四五”规划》</w:t>
      </w:r>
      <w:r>
        <w:rPr>
          <w:rFonts w:hint="eastAsia" w:ascii="宋体" w:hAnsi="宋体" w:eastAsia="宋体" w:cs="宋体"/>
          <w:color w:val="auto"/>
          <w:sz w:val="24"/>
          <w:szCs w:val="24"/>
          <w:highlight w:val="none"/>
          <w:lang w:eastAsia="zh-CN"/>
        </w:rPr>
        <w:t>；</w:t>
      </w:r>
    </w:p>
    <w:p w14:paraId="4DBF9888">
      <w:pPr>
        <w:pStyle w:val="45"/>
        <w:numPr>
          <w:ilvl w:val="0"/>
          <w:numId w:val="15"/>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《河北省人民政府关于印发河北省生态环境保护“十四五”规划的通知》（冀政字[2022]2号）</w:t>
      </w:r>
      <w:r>
        <w:rPr>
          <w:rFonts w:hint="eastAsia" w:ascii="Times New Roman" w:hAnsi="Times New Roman" w:cs="Times New Roman"/>
          <w:color w:val="auto"/>
          <w:sz w:val="24"/>
          <w:szCs w:val="24"/>
          <w:highlight w:val="none"/>
          <w:lang w:eastAsia="zh-CN"/>
        </w:rPr>
        <w:t>；</w:t>
      </w:r>
    </w:p>
    <w:p w14:paraId="49D694C4">
      <w:pPr>
        <w:pStyle w:val="45"/>
        <w:numPr>
          <w:ilvl w:val="0"/>
          <w:numId w:val="15"/>
        </w:numPr>
        <w:spacing w:after="0" w:line="360" w:lineRule="auto"/>
        <w:ind w:left="0" w:leftChars="0" w:firstLine="480" w:firstLineChars="200"/>
        <w:jc w:val="left"/>
        <w:rPr>
          <w:rFonts w:hint="default" w:ascii="Times New Roman" w:hAnsi="Times New Roman" w:cs="Times New Roman"/>
          <w:color w:val="auto"/>
          <w:sz w:val="24"/>
          <w:szCs w:val="24"/>
          <w:highlight w:val="none"/>
        </w:rPr>
      </w:pPr>
      <w:r>
        <w:rPr>
          <w:rFonts w:hint="eastAsia" w:ascii="宋体" w:hAnsi="宋体" w:eastAsia="宋体" w:cs="宋体"/>
          <w:color w:val="auto"/>
          <w:sz w:val="24"/>
          <w:szCs w:val="24"/>
          <w:highlight w:val="none"/>
        </w:rPr>
        <w:t>《承德市</w:t>
      </w:r>
      <w:r>
        <w:rPr>
          <w:rFonts w:hint="eastAsia" w:ascii="宋体" w:hAnsi="宋体" w:eastAsia="宋体" w:cs="宋体"/>
          <w:color w:val="auto"/>
          <w:sz w:val="24"/>
          <w:szCs w:val="24"/>
          <w:highlight w:val="none"/>
          <w:lang w:val="en-US" w:eastAsia="zh-CN"/>
        </w:rPr>
        <w:t>生态环境保护“十四五”</w:t>
      </w:r>
      <w:r>
        <w:rPr>
          <w:rFonts w:hint="eastAsia" w:ascii="宋体" w:hAnsi="宋体" w:eastAsia="宋体" w:cs="宋体"/>
          <w:color w:val="auto"/>
          <w:sz w:val="24"/>
          <w:szCs w:val="24"/>
          <w:highlight w:val="none"/>
        </w:rPr>
        <w:t>规划》</w:t>
      </w:r>
      <w:r>
        <w:rPr>
          <w:rFonts w:hint="eastAsia" w:cs="宋体"/>
          <w:color w:val="auto"/>
          <w:sz w:val="24"/>
          <w:szCs w:val="24"/>
          <w:highlight w:val="none"/>
          <w:lang w:eastAsia="zh-CN"/>
        </w:rPr>
        <w:t>；</w:t>
      </w:r>
    </w:p>
    <w:p w14:paraId="2A70196C">
      <w:pPr>
        <w:pStyle w:val="45"/>
        <w:numPr>
          <w:ilvl w:val="0"/>
          <w:numId w:val="15"/>
        </w:numPr>
        <w:spacing w:after="0" w:line="360" w:lineRule="auto"/>
        <w:ind w:left="0" w:leftChars="0" w:firstLine="480" w:firstLineChars="200"/>
        <w:jc w:val="left"/>
        <w:rPr>
          <w:rFonts w:hint="eastAsia"/>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隆化县国土空间总体规划</w:t>
      </w:r>
      <w:r>
        <w:rPr>
          <w:rFonts w:hint="default" w:ascii="Times New Roman" w:hAnsi="Times New Roman" w:cs="Times New Roman"/>
          <w:color w:val="auto"/>
          <w:sz w:val="24"/>
          <w:szCs w:val="24"/>
          <w:highlight w:val="none"/>
        </w:rPr>
        <w:t>（2021-2035年）》</w:t>
      </w:r>
      <w:r>
        <w:rPr>
          <w:rFonts w:hint="eastAsia"/>
          <w:color w:val="auto"/>
          <w:sz w:val="24"/>
          <w:szCs w:val="24"/>
          <w:highlight w:val="none"/>
          <w:lang w:val="en-US" w:eastAsia="zh-CN"/>
        </w:rPr>
        <w:t>。</w:t>
      </w:r>
    </w:p>
    <w:p w14:paraId="5C1E236C">
      <w:pPr>
        <w:pStyle w:val="6"/>
        <w:pageBreakBefore w:val="0"/>
        <w:widowControl w:val="0"/>
        <w:kinsoku/>
        <w:wordWrap/>
        <w:overflowPunct/>
        <w:topLinePunct w:val="0"/>
        <w:autoSpaceDE/>
        <w:autoSpaceDN/>
        <w:bidi w:val="0"/>
        <w:spacing w:before="0" w:beforeLines="0" w:line="360" w:lineRule="auto"/>
        <w:ind w:left="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相关</w:t>
      </w:r>
      <w:r>
        <w:rPr>
          <w:rFonts w:hint="eastAsia" w:ascii="Times New Roman" w:hAnsi="Times New Roman" w:cs="Times New Roman"/>
          <w:color w:val="000000"/>
          <w:highlight w:val="none"/>
          <w:lang w:val="en-US" w:eastAsia="zh-CN"/>
        </w:rPr>
        <w:t>文件</w:t>
      </w:r>
      <w:r>
        <w:rPr>
          <w:rFonts w:hint="default" w:ascii="Times New Roman" w:hAnsi="Times New Roman" w:cs="Times New Roman"/>
          <w:color w:val="000000"/>
          <w:highlight w:val="none"/>
        </w:rPr>
        <w:t>及技术资料</w:t>
      </w:r>
    </w:p>
    <w:p w14:paraId="6A7EC7E3">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eastAsia" w:ascii="Times New Roman" w:hAnsi="Times New Roman" w:cs="Times New Roman"/>
          <w:color w:val="auto"/>
          <w:sz w:val="24"/>
          <w:szCs w:val="24"/>
          <w:highlight w:val="none"/>
        </w:rPr>
        <w:t>可行性研究报告》</w:t>
      </w:r>
      <w:r>
        <w:rPr>
          <w:rFonts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2024年6月</w:t>
      </w:r>
      <w:r>
        <w:rPr>
          <w:rFonts w:ascii="Times New Roman" w:hAnsi="Times New Roman" w:cs="Times New Roman"/>
          <w:color w:val="auto"/>
          <w:sz w:val="24"/>
          <w:szCs w:val="24"/>
          <w:highlight w:val="none"/>
        </w:rPr>
        <w:t>）；</w:t>
      </w:r>
    </w:p>
    <w:p w14:paraId="2F161324">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项目备案证</w:t>
      </w:r>
      <w:r>
        <w:rPr>
          <w:rFonts w:hint="eastAsia" w:ascii="Times New Roman" w:hAnsi="Times New Roman" w:cs="Times New Roman"/>
          <w:color w:val="auto"/>
          <w:sz w:val="24"/>
          <w:szCs w:val="24"/>
          <w:highlight w:val="none"/>
          <w:lang w:eastAsia="zh-CN"/>
        </w:rPr>
        <w:t>；</w:t>
      </w:r>
    </w:p>
    <w:p w14:paraId="341589AA">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初步设计》（铜源国际工程设计研究有限公司</w:t>
      </w:r>
      <w:r>
        <w:rPr>
          <w:rFonts w:hint="eastAsia"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2025年3月</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p>
    <w:p w14:paraId="5DF75614">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eastAsia" w:cs="Times New Roman"/>
          <w:color w:val="auto"/>
          <w:sz w:val="24"/>
          <w:highlight w:val="none"/>
          <w:lang w:val="en-US" w:eastAsia="zh-CN"/>
        </w:rPr>
        <w:t>安全设施设计</w:t>
      </w:r>
      <w:r>
        <w:rPr>
          <w:rFonts w:hint="default" w:ascii="Times New Roman" w:hAnsi="Times New Roman" w:cs="Times New Roman"/>
          <w:color w:val="auto"/>
          <w:sz w:val="24"/>
          <w:szCs w:val="24"/>
          <w:highlight w:val="none"/>
        </w:rPr>
        <w:t>》（铜源国际工程设计研究有限公司</w:t>
      </w:r>
      <w:r>
        <w:rPr>
          <w:rFonts w:hint="eastAsia"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2025年3月</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p>
    <w:p w14:paraId="7EFBB7D4">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sz w:val="24"/>
          <w:szCs w:val="24"/>
          <w:highlight w:val="none"/>
          <w:lang w:val="en-US" w:eastAsia="zh-CN"/>
        </w:rPr>
        <w:t>隆化县大昌矿业有限责任公司年处理低品位铁矿石120万吨选矿厂建设项目环境影响报告书</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批复及验收手续；</w:t>
      </w:r>
    </w:p>
    <w:p w14:paraId="00BAED44">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sz w:val="24"/>
          <w:szCs w:val="24"/>
          <w:highlight w:val="none"/>
          <w:lang w:val="en-US" w:eastAsia="zh-CN"/>
        </w:rPr>
        <w:t>承德天宝矿业集团大昌矿业有限公司矿山废弃资源综合利用项目环境影响报告书</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批复及验收手续；</w:t>
      </w:r>
    </w:p>
    <w:p w14:paraId="7010BDCA">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固体废物腐蚀性鉴别检测报告》（</w:t>
      </w:r>
      <w:r>
        <w:rPr>
          <w:rFonts w:hint="eastAsia" w:cs="Times New Roman"/>
          <w:color w:val="auto"/>
          <w:sz w:val="24"/>
          <w:szCs w:val="24"/>
          <w:highlight w:val="none"/>
          <w:lang w:eastAsia="zh-CN"/>
        </w:rPr>
        <w:t>ZXLN（T）202503026</w:t>
      </w:r>
      <w:r>
        <w:rPr>
          <w:rFonts w:hint="default" w:ascii="Times New Roman" w:hAnsi="Times New Roman" w:cs="Times New Roman"/>
          <w:color w:val="auto"/>
          <w:sz w:val="24"/>
          <w:szCs w:val="24"/>
          <w:highlight w:val="none"/>
        </w:rPr>
        <w:t>）；</w:t>
      </w:r>
    </w:p>
    <w:p w14:paraId="3C9575DD">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固体废物危险废物浸出毒性鉴别检测报告》（</w:t>
      </w:r>
      <w:r>
        <w:rPr>
          <w:rFonts w:hint="eastAsia" w:cs="Times New Roman"/>
          <w:color w:val="000000"/>
          <w:sz w:val="24"/>
          <w:szCs w:val="24"/>
          <w:highlight w:val="none"/>
          <w:lang w:val="en-US" w:eastAsia="zh-CN"/>
        </w:rPr>
        <w:t>ZXLN（T）202503027</w:t>
      </w:r>
      <w:r>
        <w:rPr>
          <w:rFonts w:hint="default" w:ascii="Times New Roman" w:hAnsi="Times New Roman" w:cs="Times New Roman"/>
          <w:color w:val="auto"/>
          <w:sz w:val="24"/>
          <w:szCs w:val="24"/>
          <w:highlight w:val="none"/>
        </w:rPr>
        <w:t>）；</w:t>
      </w:r>
    </w:p>
    <w:p w14:paraId="4DF20A3C">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第Ⅰ、Ⅱ类一般工业固体废物鉴别检测报告》（</w:t>
      </w:r>
      <w:r>
        <w:rPr>
          <w:rFonts w:hint="eastAsia" w:cs="Times New Roman"/>
          <w:color w:val="000000"/>
          <w:sz w:val="24"/>
          <w:szCs w:val="24"/>
          <w:highlight w:val="none"/>
          <w:lang w:val="en-US" w:eastAsia="zh-CN"/>
        </w:rPr>
        <w:t>ZXLN（T）202503028</w:t>
      </w:r>
      <w:r>
        <w:rPr>
          <w:rFonts w:hint="default" w:ascii="Times New Roman" w:hAnsi="Times New Roman" w:cs="Times New Roman"/>
          <w:color w:val="auto"/>
          <w:sz w:val="24"/>
          <w:szCs w:val="24"/>
          <w:highlight w:val="none"/>
        </w:rPr>
        <w:t>）；</w:t>
      </w:r>
    </w:p>
    <w:p w14:paraId="212096A4">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有机质、水溶性盐总量检测报告》（</w:t>
      </w:r>
      <w:r>
        <w:rPr>
          <w:rFonts w:hint="eastAsia" w:cs="Times New Roman"/>
          <w:color w:val="000000"/>
          <w:sz w:val="24"/>
          <w:szCs w:val="24"/>
          <w:highlight w:val="none"/>
          <w:lang w:val="en-US" w:eastAsia="zh-CN"/>
        </w:rPr>
        <w:t>ZXLN（T）202503030</w:t>
      </w:r>
      <w:r>
        <w:rPr>
          <w:rFonts w:hint="default" w:ascii="Times New Roman" w:hAnsi="Times New Roman" w:cs="Times New Roman"/>
          <w:color w:val="auto"/>
          <w:sz w:val="24"/>
          <w:szCs w:val="24"/>
          <w:highlight w:val="none"/>
        </w:rPr>
        <w:t>）；</w:t>
      </w:r>
    </w:p>
    <w:p w14:paraId="2FB80FAD">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物料放射性核素活度浓度检测报告》（</w:t>
      </w:r>
      <w:r>
        <w:rPr>
          <w:rFonts w:hint="eastAsia" w:cs="Times New Roman"/>
          <w:color w:val="auto"/>
          <w:sz w:val="24"/>
          <w:szCs w:val="24"/>
          <w:highlight w:val="none"/>
          <w:lang w:eastAsia="zh-CN"/>
        </w:rPr>
        <w:t>（辽鹏环测）字PY2503078-001号</w:t>
      </w:r>
      <w:r>
        <w:rPr>
          <w:rFonts w:hint="default" w:ascii="Times New Roman" w:hAnsi="Times New Roman" w:cs="Times New Roman"/>
          <w:color w:val="auto"/>
          <w:sz w:val="24"/>
          <w:szCs w:val="24"/>
          <w:highlight w:val="none"/>
        </w:rPr>
        <w:t>）；</w:t>
      </w:r>
    </w:p>
    <w:p w14:paraId="097B7D8A">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000000"/>
          <w:sz w:val="24"/>
          <w:szCs w:val="24"/>
          <w:highlight w:val="none"/>
          <w:lang w:val="en-US" w:eastAsia="zh-CN"/>
        </w:rPr>
        <w:t>承德天宝矿业集团大昌矿业有限公司东北沟排土场建设项目区域环境质量现状检测报告</w:t>
      </w:r>
      <w:r>
        <w:rPr>
          <w:rFonts w:hint="default" w:ascii="Times New Roman" w:hAnsi="Times New Roman" w:cs="Times New Roman"/>
          <w:color w:val="auto"/>
          <w:sz w:val="24"/>
          <w:szCs w:val="24"/>
          <w:highlight w:val="none"/>
        </w:rPr>
        <w:t>》（</w:t>
      </w:r>
      <w:r>
        <w:rPr>
          <w:rFonts w:hint="eastAsia" w:cs="Times New Roman"/>
          <w:color w:val="000000"/>
          <w:sz w:val="24"/>
          <w:szCs w:val="24"/>
          <w:highlight w:val="none"/>
          <w:lang w:val="en-US" w:eastAsia="zh-CN"/>
        </w:rPr>
        <w:t>ZXLN（T）202503029</w:t>
      </w:r>
      <w:r>
        <w:rPr>
          <w:rFonts w:hint="default" w:ascii="Times New Roman" w:hAnsi="Times New Roman" w:cs="Times New Roman"/>
          <w:color w:val="auto"/>
          <w:sz w:val="24"/>
          <w:szCs w:val="24"/>
          <w:highlight w:val="none"/>
        </w:rPr>
        <w:t>）；</w:t>
      </w:r>
    </w:p>
    <w:p w14:paraId="055E3DFC">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承德天宝矿业集团大昌矿业有限公司东北沟排土场建设项目</w:t>
      </w:r>
      <w:r>
        <w:rPr>
          <w:rFonts w:hint="default" w:ascii="Times New Roman" w:hAnsi="Times New Roman" w:cs="Times New Roman"/>
          <w:color w:val="auto"/>
          <w:sz w:val="24"/>
          <w:szCs w:val="24"/>
          <w:highlight w:val="none"/>
        </w:rPr>
        <w:t>浸溶试验检测报告》（</w:t>
      </w:r>
      <w:r>
        <w:rPr>
          <w:rFonts w:hint="eastAsia" w:cs="Times New Roman"/>
          <w:color w:val="000000"/>
          <w:sz w:val="24"/>
          <w:szCs w:val="24"/>
          <w:highlight w:val="none"/>
          <w:lang w:val="en-US" w:eastAsia="zh-CN"/>
        </w:rPr>
        <w:t>ZXLN（T）202503029</w:t>
      </w:r>
      <w:r>
        <w:rPr>
          <w:rFonts w:hint="default" w:ascii="Times New Roman" w:hAnsi="Times New Roman" w:cs="Times New Roman"/>
          <w:color w:val="auto"/>
          <w:sz w:val="24"/>
          <w:szCs w:val="24"/>
          <w:highlight w:val="none"/>
        </w:rPr>
        <w:t>）</w:t>
      </w:r>
    </w:p>
    <w:p w14:paraId="510BADFF">
      <w:pPr>
        <w:pStyle w:val="45"/>
        <w:keepNext w:val="0"/>
        <w:keepLines w:val="0"/>
        <w:pageBreakBefore w:val="0"/>
        <w:widowControl w:val="0"/>
        <w:numPr>
          <w:ilvl w:val="0"/>
          <w:numId w:val="16"/>
        </w:numPr>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建设单位提供的其他技术资料</w:t>
      </w:r>
      <w:r>
        <w:rPr>
          <w:rFonts w:hint="default" w:ascii="Times New Roman" w:hAnsi="Times New Roman" w:cs="Times New Roman"/>
          <w:color w:val="auto"/>
          <w:sz w:val="24"/>
          <w:szCs w:val="24"/>
          <w:highlight w:val="none"/>
        </w:rPr>
        <w:t>。</w:t>
      </w:r>
    </w:p>
    <w:p w14:paraId="7773068D">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cs="Times New Roman"/>
          <w:color w:val="000000"/>
          <w:sz w:val="28"/>
          <w:szCs w:val="28"/>
          <w:highlight w:val="none"/>
        </w:rPr>
      </w:pPr>
      <w:bookmarkStart w:id="68" w:name="_Toc17592"/>
      <w:bookmarkStart w:id="69" w:name="_Toc13898"/>
      <w:bookmarkStart w:id="70" w:name="_Toc25793"/>
      <w:bookmarkStart w:id="71" w:name="_Toc23721"/>
      <w:bookmarkStart w:id="72" w:name="_Toc13436"/>
      <w:r>
        <w:rPr>
          <w:rFonts w:hint="default" w:ascii="Times New Roman" w:hAnsi="Times New Roman" w:cs="Times New Roman"/>
          <w:color w:val="000000"/>
          <w:sz w:val="28"/>
          <w:szCs w:val="28"/>
          <w:highlight w:val="none"/>
        </w:rPr>
        <w:t>评价原则</w:t>
      </w:r>
      <w:bookmarkEnd w:id="68"/>
      <w:bookmarkEnd w:id="69"/>
      <w:bookmarkEnd w:id="70"/>
      <w:bookmarkEnd w:id="71"/>
      <w:bookmarkEnd w:id="72"/>
    </w:p>
    <w:p w14:paraId="66445A8B">
      <w:pPr>
        <w:pStyle w:val="10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在贯彻执行国家和地方环境保护相关法律、法规、标准、政策、规划和区划等的基础上，运用规范的环境影响评价方法，科学分析项目建设对环境质量的影响，应用最新科技成果，优化项目建设，充分利用符合时效的数据资料及成果，尽量减少重复工作，突出重点，结论明确</w:t>
      </w:r>
      <w:r>
        <w:rPr>
          <w:rFonts w:hint="eastAsia" w:cs="Times New Roman"/>
          <w:color w:val="000000"/>
          <w:sz w:val="24"/>
          <w:szCs w:val="24"/>
          <w:highlight w:val="none"/>
          <w:lang w:val="en-US" w:eastAsia="zh-CN"/>
        </w:rPr>
        <w:t>。</w:t>
      </w:r>
    </w:p>
    <w:p w14:paraId="2541CC4D">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cs="Times New Roman"/>
          <w:color w:val="000000"/>
          <w:sz w:val="28"/>
          <w:szCs w:val="28"/>
          <w:highlight w:val="none"/>
        </w:rPr>
      </w:pPr>
      <w:bookmarkStart w:id="73" w:name="_Toc18509"/>
      <w:bookmarkStart w:id="74" w:name="_Toc11132"/>
      <w:bookmarkStart w:id="75" w:name="_Toc6799"/>
      <w:bookmarkStart w:id="76" w:name="_Toc3143"/>
      <w:bookmarkStart w:id="77" w:name="_Toc3124"/>
      <w:r>
        <w:rPr>
          <w:rFonts w:hint="default" w:ascii="Times New Roman" w:hAnsi="Times New Roman" w:cs="Times New Roman"/>
          <w:color w:val="000000"/>
          <w:sz w:val="28"/>
          <w:szCs w:val="28"/>
          <w:highlight w:val="none"/>
        </w:rPr>
        <w:t>环境影响因素识别与评价因子筛选</w:t>
      </w:r>
      <w:bookmarkEnd w:id="73"/>
      <w:bookmarkEnd w:id="74"/>
      <w:bookmarkEnd w:id="75"/>
      <w:bookmarkEnd w:id="76"/>
      <w:bookmarkEnd w:id="77"/>
    </w:p>
    <w:p w14:paraId="5B71348D">
      <w:pPr>
        <w:pStyle w:val="6"/>
        <w:pageBreakBefore w:val="0"/>
        <w:widowControl w:val="0"/>
        <w:kinsoku/>
        <w:wordWrap/>
        <w:overflowPunct/>
        <w:topLinePunct w:val="0"/>
        <w:autoSpaceDE/>
        <w:autoSpaceDN/>
        <w:bidi w:val="0"/>
        <w:spacing w:before="0" w:beforeLines="0" w:line="360" w:lineRule="auto"/>
        <w:ind w:left="0"/>
        <w:textAlignment w:val="auto"/>
        <w:rPr>
          <w:rFonts w:hint="default" w:ascii="Times New Roman" w:hAnsi="Times New Roman" w:cs="Times New Roman"/>
          <w:color w:val="000000"/>
          <w:highlight w:val="none"/>
        </w:rPr>
      </w:pPr>
      <w:bookmarkStart w:id="78" w:name="_Toc5997"/>
      <w:r>
        <w:rPr>
          <w:rFonts w:hint="default" w:ascii="Times New Roman" w:hAnsi="Times New Roman" w:cs="Times New Roman"/>
          <w:color w:val="000000"/>
          <w:highlight w:val="none"/>
        </w:rPr>
        <w:t>环境影响因素识别</w:t>
      </w:r>
      <w:bookmarkEnd w:id="78"/>
    </w:p>
    <w:p w14:paraId="06569BDF">
      <w:pPr>
        <w:pageBreakBefore w:val="0"/>
        <w:widowControl w:val="0"/>
        <w:kinsoku/>
        <w:wordWrap/>
        <w:overflowPunct/>
        <w:topLinePunct w:val="0"/>
        <w:autoSpaceDE/>
        <w:autoSpaceDN/>
        <w:bidi w:val="0"/>
        <w:spacing w:line="360" w:lineRule="auto"/>
        <w:ind w:left="0" w:firstLine="480" w:firstLineChars="200"/>
        <w:textAlignment w:val="auto"/>
        <w:rPr>
          <w:rFonts w:hint="default" w:ascii="Times New Roman" w:hAnsi="Times New Roman" w:cs="Times New Roman"/>
          <w:color w:val="000000"/>
          <w:kern w:val="0"/>
          <w:sz w:val="24"/>
          <w:szCs w:val="24"/>
          <w:highlight w:val="none"/>
        </w:rPr>
      </w:pPr>
      <w:r>
        <w:rPr>
          <w:rFonts w:ascii="Times New Roman"/>
          <w:color w:val="auto"/>
          <w:sz w:val="24"/>
          <w:szCs w:val="24"/>
          <w:highlight w:val="none"/>
        </w:rPr>
        <w:t>根据项目工程特点，结合建设项目所在区域发展规划、环境保护规划、环境功能区划、生态功能区划及环境现状，采用矩阵法对可能受项目影响的因素进行识别，</w:t>
      </w:r>
      <w:r>
        <w:rPr>
          <w:rFonts w:hint="default" w:ascii="Times New Roman" w:hAnsi="Times New Roman" w:cs="Times New Roman"/>
          <w:color w:val="auto"/>
          <w:kern w:val="0"/>
          <w:sz w:val="24"/>
          <w:highlight w:val="none"/>
        </w:rPr>
        <w:t>污染影响、生态影响因素识别结果见下表</w:t>
      </w:r>
      <w:r>
        <w:rPr>
          <w:rFonts w:ascii="Times New Roman"/>
          <w:color w:val="auto"/>
          <w:sz w:val="24"/>
          <w:szCs w:val="24"/>
          <w:highlight w:val="none"/>
        </w:rPr>
        <w:t>。</w:t>
      </w:r>
    </w:p>
    <w:p w14:paraId="33B21062">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jc w:val="center"/>
        <w:textAlignment w:val="auto"/>
        <w:rPr>
          <w:rStyle w:val="152"/>
          <w:rFonts w:hint="default" w:ascii="Times New Roman" w:hAnsi="Times New Roman" w:eastAsia="宋体" w:cs="Times New Roman"/>
          <w:color w:val="000000"/>
          <w:szCs w:val="21"/>
          <w:highlight w:val="none"/>
        </w:rPr>
      </w:pPr>
      <w:r>
        <w:rPr>
          <w:rStyle w:val="152"/>
          <w:rFonts w:hint="eastAsia" w:eastAsia="宋体" w:cs="Times New Roman"/>
          <w:color w:val="000000"/>
          <w:szCs w:val="21"/>
          <w:highlight w:val="none"/>
          <w:lang w:val="en-US" w:eastAsia="zh-CN"/>
        </w:rPr>
        <w:t>污染</w:t>
      </w:r>
      <w:r>
        <w:rPr>
          <w:rStyle w:val="152"/>
          <w:rFonts w:hint="default" w:ascii="Times New Roman" w:hAnsi="Times New Roman" w:eastAsia="宋体" w:cs="Times New Roman"/>
          <w:color w:val="000000"/>
          <w:szCs w:val="21"/>
          <w:highlight w:val="none"/>
        </w:rPr>
        <w:t>影响因素识别结果</w:t>
      </w:r>
      <w:r>
        <w:rPr>
          <w:rStyle w:val="152"/>
          <w:rFonts w:hint="eastAsia" w:ascii="Times New Roman" w:hAnsi="Times New Roman" w:eastAsia="宋体" w:cs="Times New Roman"/>
          <w:b/>
          <w:color w:val="auto"/>
          <w:szCs w:val="21"/>
          <w:highlight w:val="none"/>
          <w:lang w:val="en-US" w:eastAsia="zh-CN"/>
        </w:rPr>
        <w:t>表</w:t>
      </w:r>
    </w:p>
    <w:tbl>
      <w:tblPr>
        <w:tblStyle w:val="5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43"/>
        <w:gridCol w:w="1539"/>
        <w:gridCol w:w="1124"/>
        <w:gridCol w:w="1392"/>
        <w:gridCol w:w="1392"/>
        <w:gridCol w:w="1083"/>
        <w:gridCol w:w="1090"/>
      </w:tblGrid>
      <w:tr w14:paraId="59E5C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noWrap w:val="0"/>
            <w:vAlign w:val="center"/>
          </w:tcPr>
          <w:p w14:paraId="71719C19">
            <w:pPr>
              <w:adjustRightInd w:val="0"/>
              <w:snapToGrid w:val="0"/>
              <w:spacing w:line="240" w:lineRule="auto"/>
              <w:jc w:val="center"/>
              <w:rPr>
                <w:rFonts w:hint="default" w:ascii="Times New Roman" w:hAnsi="Times New Roman" w:cs="Times New Roman"/>
                <w:b/>
                <w:color w:val="auto"/>
                <w:sz w:val="21"/>
                <w:szCs w:val="21"/>
                <w:highlight w:val="none"/>
                <w:lang w:val="en-US" w:eastAsia="zh-CN" w:bidi="ar-SA"/>
              </w:rPr>
            </w:pPr>
            <w:r>
              <w:rPr>
                <w:rFonts w:hint="default" w:ascii="Times New Roman" w:hAnsi="Times New Roman" w:cs="Times New Roman"/>
                <w:b/>
                <w:color w:val="auto"/>
                <w:sz w:val="21"/>
                <w:szCs w:val="21"/>
                <w:highlight w:val="none"/>
              </w:rPr>
              <w:t>时段</w:t>
            </w:r>
          </w:p>
        </w:tc>
        <w:tc>
          <w:tcPr>
            <w:tcW w:w="920" w:type="pct"/>
            <w:noWrap w:val="0"/>
            <w:vAlign w:val="center"/>
          </w:tcPr>
          <w:p w14:paraId="15873550">
            <w:pPr>
              <w:adjustRightInd w:val="0"/>
              <w:snapToGrid w:val="0"/>
              <w:spacing w:line="240" w:lineRule="auto"/>
              <w:jc w:val="center"/>
              <w:rPr>
                <w:rFonts w:hint="default" w:ascii="Times New Roman" w:hAnsi="Times New Roman" w:cs="Times New Roman"/>
                <w:b/>
                <w:color w:val="auto"/>
                <w:sz w:val="21"/>
                <w:szCs w:val="21"/>
                <w:highlight w:val="none"/>
                <w:lang w:val="en-US" w:eastAsia="zh-CN" w:bidi="ar-SA"/>
              </w:rPr>
            </w:pPr>
            <w:r>
              <w:rPr>
                <w:rFonts w:hint="default" w:ascii="Times New Roman" w:hAnsi="Times New Roman" w:cs="Times New Roman"/>
                <w:b/>
                <w:color w:val="auto"/>
                <w:sz w:val="21"/>
                <w:szCs w:val="21"/>
                <w:highlight w:val="none"/>
              </w:rPr>
              <w:t>工艺类别</w:t>
            </w:r>
          </w:p>
        </w:tc>
        <w:tc>
          <w:tcPr>
            <w:tcW w:w="672" w:type="pct"/>
            <w:noWrap w:val="0"/>
            <w:vAlign w:val="center"/>
          </w:tcPr>
          <w:p w14:paraId="15AB4448">
            <w:pPr>
              <w:adjustRightInd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环境空气</w:t>
            </w:r>
          </w:p>
        </w:tc>
        <w:tc>
          <w:tcPr>
            <w:tcW w:w="832" w:type="pct"/>
            <w:noWrap w:val="0"/>
            <w:vAlign w:val="center"/>
          </w:tcPr>
          <w:p w14:paraId="6A11C334">
            <w:pPr>
              <w:adjustRightInd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地表水环境</w:t>
            </w:r>
          </w:p>
        </w:tc>
        <w:tc>
          <w:tcPr>
            <w:tcW w:w="832" w:type="pct"/>
            <w:noWrap w:val="0"/>
            <w:vAlign w:val="center"/>
          </w:tcPr>
          <w:p w14:paraId="17B70CE8">
            <w:pPr>
              <w:adjustRightInd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地下水环境</w:t>
            </w:r>
          </w:p>
        </w:tc>
        <w:tc>
          <w:tcPr>
            <w:tcW w:w="647" w:type="pct"/>
            <w:noWrap w:val="0"/>
            <w:vAlign w:val="center"/>
          </w:tcPr>
          <w:p w14:paraId="27A36087">
            <w:pPr>
              <w:adjustRightInd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声环境</w:t>
            </w:r>
          </w:p>
        </w:tc>
        <w:tc>
          <w:tcPr>
            <w:tcW w:w="651" w:type="pct"/>
            <w:noWrap w:val="0"/>
            <w:vAlign w:val="center"/>
          </w:tcPr>
          <w:p w14:paraId="0C11D3FE">
            <w:pPr>
              <w:adjustRightInd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土壤环境</w:t>
            </w:r>
          </w:p>
        </w:tc>
      </w:tr>
      <w:tr w14:paraId="4339E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vMerge w:val="restart"/>
            <w:noWrap w:val="0"/>
            <w:vAlign w:val="center"/>
          </w:tcPr>
          <w:p w14:paraId="3BAFC5E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建设阶段</w:t>
            </w:r>
          </w:p>
        </w:tc>
        <w:tc>
          <w:tcPr>
            <w:tcW w:w="920" w:type="pct"/>
            <w:noWrap w:val="0"/>
            <w:vAlign w:val="center"/>
          </w:tcPr>
          <w:p w14:paraId="0FFDE731">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场地平整、</w:t>
            </w:r>
            <w:r>
              <w:rPr>
                <w:rFonts w:hint="eastAsia" w:cs="Times New Roman"/>
                <w:color w:val="auto"/>
                <w:sz w:val="21"/>
                <w:szCs w:val="21"/>
                <w:highlight w:val="none"/>
                <w:lang w:val="en-US" w:eastAsia="zh-CN"/>
              </w:rPr>
              <w:t>拦石坝</w:t>
            </w:r>
            <w:r>
              <w:rPr>
                <w:rFonts w:hint="default" w:ascii="Times New Roman" w:hAnsi="Times New Roman" w:eastAsia="宋体" w:cs="Times New Roman"/>
                <w:color w:val="auto"/>
                <w:sz w:val="21"/>
                <w:szCs w:val="21"/>
                <w:highlight w:val="none"/>
                <w:lang w:val="en-US" w:eastAsia="zh-CN"/>
              </w:rPr>
              <w:t>、排洪设施等施工</w:t>
            </w:r>
          </w:p>
        </w:tc>
        <w:tc>
          <w:tcPr>
            <w:tcW w:w="672" w:type="pct"/>
            <w:noWrap w:val="0"/>
            <w:vAlign w:val="center"/>
          </w:tcPr>
          <w:p w14:paraId="2FCEA523">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832" w:type="pct"/>
            <w:noWrap w:val="0"/>
            <w:vAlign w:val="center"/>
          </w:tcPr>
          <w:p w14:paraId="32AC3667">
            <w:pPr>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w:t>
            </w:r>
          </w:p>
        </w:tc>
        <w:tc>
          <w:tcPr>
            <w:tcW w:w="832" w:type="pct"/>
            <w:noWrap w:val="0"/>
            <w:vAlign w:val="center"/>
          </w:tcPr>
          <w:p w14:paraId="54C438F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47" w:type="pct"/>
            <w:noWrap w:val="0"/>
            <w:vAlign w:val="center"/>
          </w:tcPr>
          <w:p w14:paraId="55FBE191">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651" w:type="pct"/>
            <w:noWrap w:val="0"/>
            <w:vAlign w:val="center"/>
          </w:tcPr>
          <w:p w14:paraId="0171F1E5">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D</w:t>
            </w:r>
          </w:p>
        </w:tc>
      </w:tr>
      <w:tr w14:paraId="345AC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vMerge w:val="continue"/>
            <w:noWrap w:val="0"/>
            <w:vAlign w:val="center"/>
          </w:tcPr>
          <w:p w14:paraId="62E4534B">
            <w:pPr>
              <w:adjustRightInd w:val="0"/>
              <w:snapToGrid w:val="0"/>
              <w:spacing w:line="240" w:lineRule="auto"/>
              <w:jc w:val="center"/>
              <w:rPr>
                <w:rFonts w:hint="default" w:ascii="Times New Roman" w:hAnsi="Times New Roman" w:cs="Times New Roman"/>
                <w:color w:val="auto"/>
                <w:sz w:val="21"/>
                <w:szCs w:val="21"/>
                <w:highlight w:val="none"/>
              </w:rPr>
            </w:pPr>
          </w:p>
        </w:tc>
        <w:tc>
          <w:tcPr>
            <w:tcW w:w="920" w:type="pct"/>
            <w:noWrap w:val="0"/>
            <w:vAlign w:val="center"/>
          </w:tcPr>
          <w:p w14:paraId="368029F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道路施工</w:t>
            </w:r>
          </w:p>
        </w:tc>
        <w:tc>
          <w:tcPr>
            <w:tcW w:w="672" w:type="pct"/>
            <w:noWrap w:val="0"/>
            <w:vAlign w:val="center"/>
          </w:tcPr>
          <w:p w14:paraId="12F6D0ED">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832" w:type="pct"/>
            <w:noWrap w:val="0"/>
            <w:vAlign w:val="center"/>
          </w:tcPr>
          <w:p w14:paraId="6B0248F7">
            <w:pPr>
              <w:spacing w:line="240" w:lineRule="auto"/>
              <w:jc w:val="center"/>
              <w:rPr>
                <w:rFonts w:hint="default" w:ascii="Times New Roman" w:hAnsi="Times New Roman"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w:t>
            </w:r>
          </w:p>
        </w:tc>
        <w:tc>
          <w:tcPr>
            <w:tcW w:w="832" w:type="pct"/>
            <w:noWrap w:val="0"/>
            <w:vAlign w:val="center"/>
          </w:tcPr>
          <w:p w14:paraId="07561822">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47" w:type="pct"/>
            <w:noWrap w:val="0"/>
            <w:vAlign w:val="center"/>
          </w:tcPr>
          <w:p w14:paraId="44C60C5B">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651" w:type="pct"/>
            <w:noWrap w:val="0"/>
            <w:vAlign w:val="center"/>
          </w:tcPr>
          <w:p w14:paraId="2989B434">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D</w:t>
            </w:r>
          </w:p>
        </w:tc>
      </w:tr>
      <w:tr w14:paraId="75096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vMerge w:val="continue"/>
            <w:noWrap w:val="0"/>
            <w:vAlign w:val="center"/>
          </w:tcPr>
          <w:p w14:paraId="522D8F46">
            <w:pPr>
              <w:adjustRightInd w:val="0"/>
              <w:snapToGrid w:val="0"/>
              <w:spacing w:line="240" w:lineRule="auto"/>
              <w:jc w:val="center"/>
              <w:rPr>
                <w:rFonts w:hint="default" w:ascii="Times New Roman" w:hAnsi="Times New Roman" w:cs="Times New Roman"/>
                <w:color w:val="auto"/>
                <w:sz w:val="21"/>
                <w:szCs w:val="21"/>
                <w:highlight w:val="none"/>
              </w:rPr>
            </w:pPr>
          </w:p>
        </w:tc>
        <w:tc>
          <w:tcPr>
            <w:tcW w:w="920" w:type="pct"/>
            <w:noWrap w:val="0"/>
            <w:vAlign w:val="center"/>
          </w:tcPr>
          <w:p w14:paraId="651B1823">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车辆运输</w:t>
            </w:r>
          </w:p>
        </w:tc>
        <w:tc>
          <w:tcPr>
            <w:tcW w:w="672" w:type="pct"/>
            <w:noWrap w:val="0"/>
            <w:vAlign w:val="center"/>
          </w:tcPr>
          <w:p w14:paraId="7E375BD6">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832" w:type="pct"/>
            <w:noWrap w:val="0"/>
            <w:vAlign w:val="center"/>
          </w:tcPr>
          <w:p w14:paraId="0BEA6BD5">
            <w:pPr>
              <w:spacing w:line="240" w:lineRule="auto"/>
              <w:jc w:val="center"/>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z w:val="21"/>
                <w:szCs w:val="21"/>
                <w:highlight w:val="none"/>
              </w:rPr>
              <w:t>/</w:t>
            </w:r>
          </w:p>
        </w:tc>
        <w:tc>
          <w:tcPr>
            <w:tcW w:w="832" w:type="pct"/>
            <w:noWrap w:val="0"/>
            <w:vAlign w:val="center"/>
          </w:tcPr>
          <w:p w14:paraId="0BDA44EB">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647" w:type="pct"/>
            <w:noWrap w:val="0"/>
            <w:vAlign w:val="center"/>
          </w:tcPr>
          <w:p w14:paraId="060B1FA1">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651" w:type="pct"/>
            <w:noWrap w:val="0"/>
            <w:vAlign w:val="center"/>
          </w:tcPr>
          <w:p w14:paraId="22FB4A9D">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37B46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vMerge w:val="restart"/>
            <w:noWrap w:val="0"/>
            <w:vAlign w:val="center"/>
          </w:tcPr>
          <w:p w14:paraId="40FE55FD">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生产运行阶段</w:t>
            </w:r>
          </w:p>
        </w:tc>
        <w:tc>
          <w:tcPr>
            <w:tcW w:w="920" w:type="pct"/>
            <w:noWrap w:val="0"/>
            <w:vAlign w:val="center"/>
          </w:tcPr>
          <w:p w14:paraId="6303849A">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废石运输</w:t>
            </w:r>
          </w:p>
        </w:tc>
        <w:tc>
          <w:tcPr>
            <w:tcW w:w="672" w:type="pct"/>
            <w:noWrap w:val="0"/>
            <w:vAlign w:val="center"/>
          </w:tcPr>
          <w:p w14:paraId="208555D8">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832" w:type="pct"/>
            <w:noWrap w:val="0"/>
            <w:vAlign w:val="center"/>
          </w:tcPr>
          <w:p w14:paraId="4D05CFA8">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832" w:type="pct"/>
            <w:noWrap w:val="0"/>
            <w:vAlign w:val="center"/>
          </w:tcPr>
          <w:p w14:paraId="43696FC8">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647" w:type="pct"/>
            <w:noWrap w:val="0"/>
            <w:vAlign w:val="center"/>
          </w:tcPr>
          <w:p w14:paraId="62250EC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651" w:type="pct"/>
            <w:noWrap w:val="0"/>
            <w:vAlign w:val="center"/>
          </w:tcPr>
          <w:p w14:paraId="0BC6D62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18605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vMerge w:val="continue"/>
            <w:noWrap w:val="0"/>
            <w:vAlign w:val="center"/>
          </w:tcPr>
          <w:p w14:paraId="0AE39E40">
            <w:pPr>
              <w:adjustRightInd w:val="0"/>
              <w:snapToGrid w:val="0"/>
              <w:spacing w:line="240" w:lineRule="auto"/>
              <w:jc w:val="center"/>
              <w:rPr>
                <w:rFonts w:hint="default" w:ascii="Times New Roman" w:hAnsi="Times New Roman" w:cs="Times New Roman"/>
                <w:color w:val="auto"/>
                <w:sz w:val="21"/>
                <w:szCs w:val="21"/>
                <w:highlight w:val="none"/>
              </w:rPr>
            </w:pPr>
          </w:p>
        </w:tc>
        <w:tc>
          <w:tcPr>
            <w:tcW w:w="920" w:type="pct"/>
            <w:noWrap w:val="0"/>
            <w:vAlign w:val="center"/>
          </w:tcPr>
          <w:p w14:paraId="75CBAC89">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废石堆存</w:t>
            </w:r>
          </w:p>
        </w:tc>
        <w:tc>
          <w:tcPr>
            <w:tcW w:w="672" w:type="pct"/>
            <w:noWrap w:val="0"/>
            <w:vAlign w:val="center"/>
          </w:tcPr>
          <w:p w14:paraId="667B3CC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-2C</w:t>
            </w:r>
          </w:p>
        </w:tc>
        <w:tc>
          <w:tcPr>
            <w:tcW w:w="832" w:type="pct"/>
            <w:noWrap w:val="0"/>
            <w:vAlign w:val="center"/>
          </w:tcPr>
          <w:p w14:paraId="445B903F">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832" w:type="pct"/>
            <w:noWrap w:val="0"/>
            <w:vAlign w:val="center"/>
          </w:tcPr>
          <w:p w14:paraId="00B02C9A">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-1C</w:t>
            </w:r>
          </w:p>
        </w:tc>
        <w:tc>
          <w:tcPr>
            <w:tcW w:w="647" w:type="pct"/>
            <w:noWrap w:val="0"/>
            <w:vAlign w:val="center"/>
          </w:tcPr>
          <w:p w14:paraId="7715E49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-1C</w:t>
            </w:r>
          </w:p>
        </w:tc>
        <w:tc>
          <w:tcPr>
            <w:tcW w:w="651" w:type="pct"/>
            <w:noWrap w:val="0"/>
            <w:vAlign w:val="center"/>
          </w:tcPr>
          <w:p w14:paraId="6735F30C">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-1C</w:t>
            </w:r>
          </w:p>
        </w:tc>
      </w:tr>
      <w:tr w14:paraId="41FEE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vMerge w:val="restart"/>
            <w:noWrap w:val="0"/>
            <w:vAlign w:val="center"/>
          </w:tcPr>
          <w:p w14:paraId="5E0A0A38">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服务期满后</w:t>
            </w:r>
          </w:p>
        </w:tc>
        <w:tc>
          <w:tcPr>
            <w:tcW w:w="920" w:type="pct"/>
            <w:noWrap w:val="0"/>
            <w:vAlign w:val="center"/>
          </w:tcPr>
          <w:p w14:paraId="69EB3C1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封场</w:t>
            </w:r>
            <w:r>
              <w:rPr>
                <w:rFonts w:hint="default" w:ascii="Times New Roman" w:hAnsi="Times New Roman" w:cs="Times New Roman"/>
                <w:color w:val="auto"/>
                <w:sz w:val="21"/>
                <w:szCs w:val="21"/>
                <w:highlight w:val="none"/>
              </w:rPr>
              <w:t>阶段</w:t>
            </w:r>
          </w:p>
        </w:tc>
        <w:tc>
          <w:tcPr>
            <w:tcW w:w="672" w:type="pct"/>
            <w:noWrap w:val="0"/>
            <w:vAlign w:val="center"/>
          </w:tcPr>
          <w:p w14:paraId="309E3205">
            <w:pPr>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832" w:type="pct"/>
            <w:noWrap w:val="0"/>
            <w:vAlign w:val="center"/>
          </w:tcPr>
          <w:p w14:paraId="452DC933">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832" w:type="pct"/>
            <w:noWrap w:val="0"/>
            <w:vAlign w:val="center"/>
          </w:tcPr>
          <w:p w14:paraId="5A9D6F41">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647" w:type="pct"/>
            <w:noWrap w:val="0"/>
            <w:vAlign w:val="center"/>
          </w:tcPr>
          <w:p w14:paraId="144ECC4F">
            <w:pPr>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-1D</w:t>
            </w:r>
          </w:p>
        </w:tc>
        <w:tc>
          <w:tcPr>
            <w:tcW w:w="651" w:type="pct"/>
            <w:noWrap w:val="0"/>
            <w:vAlign w:val="center"/>
          </w:tcPr>
          <w:p w14:paraId="70F9BEAC">
            <w:pPr>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6E0E2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44" w:type="pct"/>
            <w:vMerge w:val="continue"/>
            <w:noWrap w:val="0"/>
            <w:vAlign w:val="center"/>
          </w:tcPr>
          <w:p w14:paraId="78B435CE">
            <w:pPr>
              <w:widowControl/>
              <w:spacing w:line="240" w:lineRule="auto"/>
              <w:jc w:val="center"/>
              <w:textAlignment w:val="center"/>
              <w:rPr>
                <w:rFonts w:hint="default" w:ascii="Times New Roman" w:hAnsi="Times New Roman" w:cs="Times New Roman"/>
                <w:color w:val="auto"/>
                <w:sz w:val="21"/>
                <w:szCs w:val="21"/>
                <w:highlight w:val="none"/>
              </w:rPr>
            </w:pPr>
          </w:p>
        </w:tc>
        <w:tc>
          <w:tcPr>
            <w:tcW w:w="920" w:type="pct"/>
            <w:noWrap w:val="0"/>
            <w:vAlign w:val="center"/>
          </w:tcPr>
          <w:p w14:paraId="60DA3618">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封场</w:t>
            </w:r>
            <w:r>
              <w:rPr>
                <w:rFonts w:hint="default" w:ascii="Times New Roman" w:hAnsi="Times New Roman" w:cs="Times New Roman"/>
                <w:color w:val="auto"/>
                <w:sz w:val="21"/>
                <w:szCs w:val="21"/>
                <w:highlight w:val="none"/>
              </w:rPr>
              <w:t>后</w:t>
            </w:r>
          </w:p>
        </w:tc>
        <w:tc>
          <w:tcPr>
            <w:tcW w:w="672" w:type="pct"/>
            <w:noWrap w:val="0"/>
            <w:vAlign w:val="center"/>
          </w:tcPr>
          <w:p w14:paraId="0EA56DC1">
            <w:pPr>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+1C</w:t>
            </w:r>
          </w:p>
        </w:tc>
        <w:tc>
          <w:tcPr>
            <w:tcW w:w="832" w:type="pct"/>
            <w:noWrap w:val="0"/>
            <w:vAlign w:val="center"/>
          </w:tcPr>
          <w:p w14:paraId="75AFB0AC">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832" w:type="pct"/>
            <w:noWrap w:val="0"/>
            <w:vAlign w:val="center"/>
          </w:tcPr>
          <w:p w14:paraId="2379417B">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-1C</w:t>
            </w:r>
          </w:p>
        </w:tc>
        <w:tc>
          <w:tcPr>
            <w:tcW w:w="647" w:type="pct"/>
            <w:noWrap w:val="0"/>
            <w:vAlign w:val="center"/>
          </w:tcPr>
          <w:p w14:paraId="7B747E41">
            <w:pPr>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651" w:type="pct"/>
            <w:noWrap w:val="0"/>
            <w:vAlign w:val="center"/>
          </w:tcPr>
          <w:p w14:paraId="78B4A1DF">
            <w:pPr>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+1C</w:t>
            </w:r>
          </w:p>
        </w:tc>
      </w:tr>
    </w:tbl>
    <w:p w14:paraId="38CF22F8">
      <w:pPr>
        <w:keepNext w:val="0"/>
        <w:keepLines w:val="0"/>
        <w:pageBreakBefore w:val="0"/>
        <w:widowControl w:val="0"/>
        <w:kinsoku/>
        <w:wordWrap/>
        <w:overflowPunct/>
        <w:topLinePunct w:val="0"/>
        <w:autoSpaceDE/>
        <w:autoSpaceDN/>
        <w:bidi w:val="0"/>
        <w:adjustRightInd/>
        <w:snapToGrid/>
        <w:spacing w:line="240" w:lineRule="atLeast"/>
        <w:ind w:firstLine="360"/>
        <w:textAlignment w:val="auto"/>
        <w:rPr>
          <w:rFonts w:hint="default" w:ascii="Times New Roman" w:hAnsi="Times New Roman" w:eastAsia="楷体_GB2312" w:cs="Times New Roman"/>
          <w:color w:val="000000"/>
          <w:highlight w:val="none"/>
        </w:rPr>
      </w:pPr>
      <w:r>
        <w:rPr>
          <w:rFonts w:hint="default" w:ascii="Times New Roman" w:hAnsi="Times New Roman" w:cs="Times New Roman"/>
          <w:color w:val="000000"/>
          <w:sz w:val="18"/>
          <w:szCs w:val="18"/>
          <w:highlight w:val="none"/>
        </w:rPr>
        <w:t>注：上表中：1－轻度影响；2－中等影响；3－重大影响；负号（-）为不利影响；正号（+）为有利影响；D表示短期影响；C表示长期影响。</w:t>
      </w:r>
    </w:p>
    <w:p w14:paraId="052209D7">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jc w:val="center"/>
        <w:textAlignment w:val="auto"/>
        <w:rPr>
          <w:rStyle w:val="152"/>
          <w:rFonts w:eastAsia="宋体"/>
          <w:b/>
          <w:color w:val="auto"/>
          <w:szCs w:val="21"/>
          <w:highlight w:val="none"/>
        </w:rPr>
      </w:pPr>
      <w:r>
        <w:rPr>
          <w:rStyle w:val="152"/>
          <w:rFonts w:eastAsia="宋体"/>
          <w:b/>
          <w:color w:val="auto"/>
          <w:szCs w:val="21"/>
          <w:highlight w:val="none"/>
        </w:rPr>
        <w:t>生态影响</w:t>
      </w:r>
      <w:r>
        <w:rPr>
          <w:rStyle w:val="152"/>
          <w:rFonts w:hint="eastAsia" w:eastAsia="宋体"/>
          <w:b/>
          <w:color w:val="auto"/>
          <w:szCs w:val="21"/>
          <w:highlight w:val="none"/>
        </w:rPr>
        <w:t>因素识别结果</w:t>
      </w:r>
      <w:r>
        <w:rPr>
          <w:rStyle w:val="152"/>
          <w:rFonts w:hint="eastAsia" w:ascii="Times New Roman" w:hAnsi="Times New Roman" w:eastAsia="宋体" w:cs="Times New Roman"/>
          <w:b/>
          <w:color w:val="auto"/>
          <w:szCs w:val="21"/>
          <w:highlight w:val="none"/>
          <w:lang w:val="en-US" w:eastAsia="zh-CN"/>
        </w:rPr>
        <w:t>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1" w:type="dxa"/>
          <w:bottom w:w="0" w:type="dxa"/>
          <w:right w:w="11" w:type="dxa"/>
        </w:tblCellMar>
      </w:tblPr>
      <w:tblGrid>
        <w:gridCol w:w="571"/>
        <w:gridCol w:w="936"/>
        <w:gridCol w:w="1733"/>
        <w:gridCol w:w="3496"/>
        <w:gridCol w:w="719"/>
        <w:gridCol w:w="879"/>
      </w:tblGrid>
      <w:tr w14:paraId="4BAAC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tcBorders>
              <w:tl2br w:val="nil"/>
              <w:tr2bl w:val="nil"/>
            </w:tcBorders>
            <w:vAlign w:val="center"/>
          </w:tcPr>
          <w:p w14:paraId="712B4B67">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b/>
                <w:bCs/>
                <w:spacing w:val="-4"/>
                <w:kern w:val="0"/>
                <w:sz w:val="21"/>
                <w:szCs w:val="21"/>
                <w:highlight w:val="none"/>
              </w:rPr>
            </w:pPr>
            <w:r>
              <w:rPr>
                <w:rFonts w:ascii="Times New Roman" w:hAnsi="Times New Roman" w:eastAsia="宋体"/>
                <w:b/>
                <w:bCs/>
                <w:spacing w:val="-4"/>
                <w:kern w:val="0"/>
                <w:sz w:val="21"/>
                <w:szCs w:val="21"/>
                <w:highlight w:val="none"/>
              </w:rPr>
              <w:t>评价</w:t>
            </w:r>
          </w:p>
          <w:p w14:paraId="2FF3D89A">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b/>
                <w:bCs/>
                <w:spacing w:val="-4"/>
                <w:kern w:val="0"/>
                <w:sz w:val="21"/>
                <w:szCs w:val="21"/>
                <w:highlight w:val="none"/>
              </w:rPr>
            </w:pPr>
            <w:r>
              <w:rPr>
                <w:rFonts w:ascii="Times New Roman" w:hAnsi="Times New Roman" w:eastAsia="宋体"/>
                <w:b/>
                <w:bCs/>
                <w:spacing w:val="-4"/>
                <w:kern w:val="0"/>
                <w:sz w:val="21"/>
                <w:szCs w:val="21"/>
                <w:highlight w:val="none"/>
              </w:rPr>
              <w:t>时段</w:t>
            </w:r>
          </w:p>
        </w:tc>
        <w:tc>
          <w:tcPr>
            <w:tcW w:w="561" w:type="pct"/>
            <w:tcBorders>
              <w:tl2br w:val="nil"/>
              <w:tr2bl w:val="nil"/>
            </w:tcBorders>
            <w:vAlign w:val="center"/>
          </w:tcPr>
          <w:p w14:paraId="2A2F8AE6">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b/>
                <w:bCs/>
                <w:spacing w:val="-4"/>
                <w:kern w:val="0"/>
                <w:sz w:val="21"/>
                <w:szCs w:val="21"/>
                <w:highlight w:val="none"/>
              </w:rPr>
            </w:pPr>
            <w:r>
              <w:rPr>
                <w:rFonts w:ascii="Times New Roman" w:hAnsi="Times New Roman" w:eastAsia="宋体"/>
                <w:b/>
                <w:bCs/>
                <w:spacing w:val="-4"/>
                <w:kern w:val="0"/>
                <w:sz w:val="21"/>
                <w:szCs w:val="21"/>
                <w:highlight w:val="none"/>
              </w:rPr>
              <w:t>受影响对象</w:t>
            </w:r>
          </w:p>
        </w:tc>
        <w:tc>
          <w:tcPr>
            <w:tcW w:w="1039" w:type="pct"/>
            <w:tcBorders>
              <w:tl2br w:val="nil"/>
              <w:tr2bl w:val="nil"/>
            </w:tcBorders>
            <w:vAlign w:val="center"/>
          </w:tcPr>
          <w:p w14:paraId="3A01F383">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b/>
                <w:bCs/>
                <w:spacing w:val="-4"/>
                <w:kern w:val="0"/>
                <w:sz w:val="21"/>
                <w:szCs w:val="21"/>
                <w:highlight w:val="none"/>
              </w:rPr>
            </w:pPr>
            <w:r>
              <w:rPr>
                <w:rFonts w:ascii="Times New Roman" w:hAnsi="Times New Roman" w:eastAsia="宋体"/>
                <w:b/>
                <w:bCs/>
                <w:spacing w:val="-4"/>
                <w:kern w:val="0"/>
                <w:sz w:val="21"/>
                <w:szCs w:val="21"/>
                <w:highlight w:val="none"/>
              </w:rPr>
              <w:t>评价因子</w:t>
            </w:r>
          </w:p>
        </w:tc>
        <w:tc>
          <w:tcPr>
            <w:tcW w:w="2096" w:type="pct"/>
            <w:tcBorders>
              <w:tl2br w:val="nil"/>
              <w:tr2bl w:val="nil"/>
            </w:tcBorders>
            <w:vAlign w:val="center"/>
          </w:tcPr>
          <w:p w14:paraId="3B04B28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b/>
                <w:bCs/>
                <w:spacing w:val="-4"/>
                <w:kern w:val="0"/>
                <w:sz w:val="21"/>
                <w:szCs w:val="21"/>
                <w:highlight w:val="none"/>
              </w:rPr>
            </w:pPr>
            <w:r>
              <w:rPr>
                <w:rFonts w:ascii="Times New Roman" w:hAnsi="Times New Roman" w:eastAsia="宋体"/>
                <w:b/>
                <w:bCs/>
                <w:spacing w:val="-4"/>
                <w:kern w:val="0"/>
                <w:sz w:val="21"/>
                <w:szCs w:val="21"/>
                <w:highlight w:val="none"/>
              </w:rPr>
              <w:t>工程内容及影响方式</w:t>
            </w:r>
          </w:p>
        </w:tc>
        <w:tc>
          <w:tcPr>
            <w:tcW w:w="431" w:type="pct"/>
            <w:tcBorders>
              <w:tl2br w:val="nil"/>
              <w:tr2bl w:val="nil"/>
            </w:tcBorders>
            <w:vAlign w:val="center"/>
          </w:tcPr>
          <w:p w14:paraId="7E5CC5B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b/>
                <w:bCs/>
                <w:spacing w:val="-4"/>
                <w:kern w:val="0"/>
                <w:sz w:val="21"/>
                <w:szCs w:val="21"/>
                <w:highlight w:val="none"/>
              </w:rPr>
            </w:pPr>
            <w:r>
              <w:rPr>
                <w:rFonts w:ascii="Times New Roman" w:hAnsi="Times New Roman" w:eastAsia="宋体"/>
                <w:b/>
                <w:bCs/>
                <w:spacing w:val="-4"/>
                <w:kern w:val="0"/>
                <w:sz w:val="21"/>
                <w:szCs w:val="21"/>
                <w:highlight w:val="none"/>
              </w:rPr>
              <w:t>影响性质</w:t>
            </w:r>
          </w:p>
        </w:tc>
        <w:tc>
          <w:tcPr>
            <w:tcW w:w="527" w:type="pct"/>
            <w:tcBorders>
              <w:tl2br w:val="nil"/>
              <w:tr2bl w:val="nil"/>
            </w:tcBorders>
            <w:vAlign w:val="center"/>
          </w:tcPr>
          <w:p w14:paraId="20EFE3AB">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b/>
                <w:bCs/>
                <w:spacing w:val="-4"/>
                <w:kern w:val="0"/>
                <w:sz w:val="21"/>
                <w:szCs w:val="21"/>
                <w:highlight w:val="none"/>
              </w:rPr>
            </w:pPr>
            <w:r>
              <w:rPr>
                <w:rFonts w:ascii="Times New Roman" w:hAnsi="Times New Roman" w:eastAsia="宋体"/>
                <w:b/>
                <w:bCs/>
                <w:spacing w:val="-4"/>
                <w:kern w:val="0"/>
                <w:sz w:val="21"/>
                <w:szCs w:val="21"/>
                <w:highlight w:val="none"/>
              </w:rPr>
              <w:t>影响程度</w:t>
            </w:r>
          </w:p>
        </w:tc>
      </w:tr>
      <w:tr w14:paraId="5EA36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vMerge w:val="restart"/>
            <w:tcBorders>
              <w:tl2br w:val="nil"/>
              <w:tr2bl w:val="nil"/>
            </w:tcBorders>
            <w:vAlign w:val="center"/>
          </w:tcPr>
          <w:p w14:paraId="6680114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hint="eastAsia" w:ascii="Times New Roman" w:hAnsi="Times New Roman" w:eastAsia="宋体"/>
                <w:spacing w:val="-4"/>
                <w:kern w:val="0"/>
                <w:sz w:val="21"/>
                <w:szCs w:val="21"/>
                <w:highlight w:val="none"/>
              </w:rPr>
              <w:t>建设阶段</w:t>
            </w:r>
          </w:p>
        </w:tc>
        <w:tc>
          <w:tcPr>
            <w:tcW w:w="561" w:type="pct"/>
            <w:tcBorders>
              <w:tl2br w:val="nil"/>
              <w:tr2bl w:val="nil"/>
            </w:tcBorders>
            <w:vAlign w:val="center"/>
          </w:tcPr>
          <w:p w14:paraId="43B4F48E">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物种</w:t>
            </w:r>
          </w:p>
        </w:tc>
        <w:tc>
          <w:tcPr>
            <w:tcW w:w="1039" w:type="pct"/>
            <w:tcBorders>
              <w:tl2br w:val="nil"/>
              <w:tr2bl w:val="nil"/>
            </w:tcBorders>
            <w:vAlign w:val="center"/>
          </w:tcPr>
          <w:p w14:paraId="51DD8BDE">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spacing w:val="-4"/>
                <w:kern w:val="0"/>
                <w:sz w:val="21"/>
                <w:szCs w:val="21"/>
                <w:highlight w:val="none"/>
              </w:rPr>
            </w:pPr>
            <w:r>
              <w:rPr>
                <w:bCs/>
                <w:spacing w:val="-4"/>
                <w:kern w:val="24"/>
                <w:sz w:val="21"/>
                <w:szCs w:val="21"/>
                <w:highlight w:val="none"/>
              </w:rPr>
              <w:t>分布范围、种群数量</w:t>
            </w:r>
          </w:p>
        </w:tc>
        <w:tc>
          <w:tcPr>
            <w:tcW w:w="2096" w:type="pct"/>
            <w:tcBorders>
              <w:tl2br w:val="nil"/>
              <w:tr2bl w:val="nil"/>
            </w:tcBorders>
            <w:vAlign w:val="center"/>
          </w:tcPr>
          <w:p w14:paraId="3A1C5CBB">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kern w:val="0"/>
                <w:sz w:val="21"/>
                <w:szCs w:val="21"/>
                <w:highlight w:val="none"/>
              </w:rPr>
            </w:pPr>
            <w:r>
              <w:rPr>
                <w:bCs/>
                <w:kern w:val="24"/>
                <w:sz w:val="21"/>
                <w:szCs w:val="21"/>
                <w:highlight w:val="none"/>
              </w:rPr>
              <w:t>工程不新增占地，不会破坏物种</w:t>
            </w:r>
          </w:p>
        </w:tc>
        <w:tc>
          <w:tcPr>
            <w:tcW w:w="431" w:type="pct"/>
            <w:tcBorders>
              <w:tl2br w:val="nil"/>
              <w:tr2bl w:val="nil"/>
            </w:tcBorders>
            <w:vAlign w:val="center"/>
          </w:tcPr>
          <w:p w14:paraId="18497261">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w:t>
            </w:r>
          </w:p>
        </w:tc>
        <w:tc>
          <w:tcPr>
            <w:tcW w:w="527" w:type="pct"/>
            <w:tcBorders>
              <w:tl2br w:val="nil"/>
              <w:tr2bl w:val="nil"/>
            </w:tcBorders>
            <w:vAlign w:val="center"/>
          </w:tcPr>
          <w:p w14:paraId="4B53E2E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无影响</w:t>
            </w:r>
          </w:p>
        </w:tc>
      </w:tr>
      <w:tr w14:paraId="2DF01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vMerge w:val="continue"/>
            <w:tcBorders>
              <w:tl2br w:val="nil"/>
              <w:tr2bl w:val="nil"/>
            </w:tcBorders>
            <w:vAlign w:val="center"/>
          </w:tcPr>
          <w:p w14:paraId="7E18795E">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p>
        </w:tc>
        <w:tc>
          <w:tcPr>
            <w:tcW w:w="561" w:type="pct"/>
            <w:tcBorders>
              <w:tl2br w:val="nil"/>
              <w:tr2bl w:val="nil"/>
            </w:tcBorders>
            <w:vAlign w:val="center"/>
          </w:tcPr>
          <w:p w14:paraId="59E8452F">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生境</w:t>
            </w:r>
          </w:p>
        </w:tc>
        <w:tc>
          <w:tcPr>
            <w:tcW w:w="1039" w:type="pct"/>
            <w:tcBorders>
              <w:tl2br w:val="nil"/>
              <w:tr2bl w:val="nil"/>
            </w:tcBorders>
            <w:vAlign w:val="center"/>
          </w:tcPr>
          <w:p w14:paraId="2E0F7F55">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生境面积、质量、连通性</w:t>
            </w:r>
          </w:p>
        </w:tc>
        <w:tc>
          <w:tcPr>
            <w:tcW w:w="2096" w:type="pct"/>
            <w:tcBorders>
              <w:tl2br w:val="nil"/>
              <w:tr2bl w:val="nil"/>
            </w:tcBorders>
            <w:vAlign w:val="center"/>
          </w:tcPr>
          <w:p w14:paraId="161D11F6">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kern w:val="0"/>
                <w:sz w:val="21"/>
                <w:szCs w:val="21"/>
                <w:highlight w:val="none"/>
              </w:rPr>
            </w:pPr>
            <w:r>
              <w:rPr>
                <w:rFonts w:ascii="Times New Roman" w:hAnsi="Times New Roman" w:eastAsia="宋体"/>
                <w:bCs/>
                <w:kern w:val="24"/>
                <w:sz w:val="21"/>
                <w:szCs w:val="21"/>
                <w:highlight w:val="none"/>
              </w:rPr>
              <w:t>工程不新增占地，不会影响生境</w:t>
            </w:r>
            <w:r>
              <w:rPr>
                <w:rFonts w:ascii="Times New Roman" w:hAnsi="Times New Roman" w:eastAsia="宋体"/>
                <w:spacing w:val="-4"/>
                <w:kern w:val="0"/>
                <w:sz w:val="21"/>
                <w:szCs w:val="21"/>
                <w:highlight w:val="none"/>
              </w:rPr>
              <w:t>面积、质量、连通性</w:t>
            </w:r>
          </w:p>
        </w:tc>
        <w:tc>
          <w:tcPr>
            <w:tcW w:w="431" w:type="pct"/>
            <w:tcBorders>
              <w:tl2br w:val="nil"/>
              <w:tr2bl w:val="nil"/>
            </w:tcBorders>
            <w:vAlign w:val="center"/>
          </w:tcPr>
          <w:p w14:paraId="1449152A">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w:t>
            </w:r>
          </w:p>
        </w:tc>
        <w:tc>
          <w:tcPr>
            <w:tcW w:w="527" w:type="pct"/>
            <w:tcBorders>
              <w:tl2br w:val="nil"/>
              <w:tr2bl w:val="nil"/>
            </w:tcBorders>
            <w:vAlign w:val="center"/>
          </w:tcPr>
          <w:p w14:paraId="7171A1D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无影响</w:t>
            </w:r>
          </w:p>
        </w:tc>
      </w:tr>
      <w:tr w14:paraId="37306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vMerge w:val="continue"/>
            <w:tcBorders>
              <w:tl2br w:val="nil"/>
              <w:tr2bl w:val="nil"/>
            </w:tcBorders>
            <w:vAlign w:val="center"/>
          </w:tcPr>
          <w:p w14:paraId="2A22161F">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p>
        </w:tc>
        <w:tc>
          <w:tcPr>
            <w:tcW w:w="561" w:type="pct"/>
            <w:tcBorders>
              <w:tl2br w:val="nil"/>
              <w:tr2bl w:val="nil"/>
            </w:tcBorders>
            <w:vAlign w:val="center"/>
          </w:tcPr>
          <w:p w14:paraId="0B22566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生物群落</w:t>
            </w:r>
          </w:p>
        </w:tc>
        <w:tc>
          <w:tcPr>
            <w:tcW w:w="1039" w:type="pct"/>
            <w:tcBorders>
              <w:tl2br w:val="nil"/>
              <w:tr2bl w:val="nil"/>
            </w:tcBorders>
            <w:vAlign w:val="center"/>
          </w:tcPr>
          <w:p w14:paraId="080FC0DD">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物种组成、群落结构</w:t>
            </w:r>
          </w:p>
        </w:tc>
        <w:tc>
          <w:tcPr>
            <w:tcW w:w="2096" w:type="pct"/>
            <w:tcBorders>
              <w:tl2br w:val="nil"/>
              <w:tr2bl w:val="nil"/>
            </w:tcBorders>
            <w:vAlign w:val="center"/>
          </w:tcPr>
          <w:p w14:paraId="3CC0A52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bCs/>
                <w:kern w:val="24"/>
                <w:sz w:val="21"/>
                <w:szCs w:val="21"/>
                <w:highlight w:val="none"/>
              </w:rPr>
              <w:t>工程不新增占地，不会影响生物群落</w:t>
            </w:r>
          </w:p>
        </w:tc>
        <w:tc>
          <w:tcPr>
            <w:tcW w:w="431" w:type="pct"/>
            <w:tcBorders>
              <w:tl2br w:val="nil"/>
              <w:tr2bl w:val="nil"/>
            </w:tcBorders>
            <w:vAlign w:val="center"/>
          </w:tcPr>
          <w:p w14:paraId="748CBD18">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w:t>
            </w:r>
          </w:p>
        </w:tc>
        <w:tc>
          <w:tcPr>
            <w:tcW w:w="527" w:type="pct"/>
            <w:tcBorders>
              <w:tl2br w:val="nil"/>
              <w:tr2bl w:val="nil"/>
            </w:tcBorders>
            <w:vAlign w:val="center"/>
          </w:tcPr>
          <w:p w14:paraId="2B006014">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无影响</w:t>
            </w:r>
          </w:p>
        </w:tc>
      </w:tr>
      <w:tr w14:paraId="2D282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vMerge w:val="continue"/>
            <w:tcBorders>
              <w:tl2br w:val="nil"/>
              <w:tr2bl w:val="nil"/>
            </w:tcBorders>
            <w:vAlign w:val="center"/>
          </w:tcPr>
          <w:p w14:paraId="6704ED40">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p>
        </w:tc>
        <w:tc>
          <w:tcPr>
            <w:tcW w:w="561" w:type="pct"/>
            <w:tcBorders>
              <w:tl2br w:val="nil"/>
              <w:tr2bl w:val="nil"/>
            </w:tcBorders>
            <w:vAlign w:val="center"/>
          </w:tcPr>
          <w:p w14:paraId="1D879F89">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生态系统</w:t>
            </w:r>
          </w:p>
        </w:tc>
        <w:tc>
          <w:tcPr>
            <w:tcW w:w="1039" w:type="pct"/>
            <w:tcBorders>
              <w:tl2br w:val="nil"/>
              <w:tr2bl w:val="nil"/>
            </w:tcBorders>
            <w:vAlign w:val="center"/>
          </w:tcPr>
          <w:p w14:paraId="68232100">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植被覆盖度、生产力、生物量、生态系统功能</w:t>
            </w:r>
          </w:p>
        </w:tc>
        <w:tc>
          <w:tcPr>
            <w:tcW w:w="2096" w:type="pct"/>
            <w:tcBorders>
              <w:tl2br w:val="nil"/>
              <w:tr2bl w:val="nil"/>
            </w:tcBorders>
            <w:vAlign w:val="center"/>
          </w:tcPr>
          <w:p w14:paraId="44200F67">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kern w:val="0"/>
                <w:sz w:val="21"/>
                <w:szCs w:val="21"/>
                <w:highlight w:val="none"/>
              </w:rPr>
            </w:pPr>
            <w:r>
              <w:rPr>
                <w:bCs/>
                <w:kern w:val="24"/>
                <w:sz w:val="21"/>
                <w:szCs w:val="21"/>
                <w:highlight w:val="none"/>
              </w:rPr>
              <w:t>工程不新增占地，不会破坏植被，不会降低区域植被覆盖区、生产力和生物量</w:t>
            </w:r>
          </w:p>
        </w:tc>
        <w:tc>
          <w:tcPr>
            <w:tcW w:w="431" w:type="pct"/>
            <w:tcBorders>
              <w:tl2br w:val="nil"/>
              <w:tr2bl w:val="nil"/>
            </w:tcBorders>
            <w:vAlign w:val="center"/>
          </w:tcPr>
          <w:p w14:paraId="121053D8">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w:t>
            </w:r>
          </w:p>
        </w:tc>
        <w:tc>
          <w:tcPr>
            <w:tcW w:w="527" w:type="pct"/>
            <w:tcBorders>
              <w:tl2br w:val="nil"/>
              <w:tr2bl w:val="nil"/>
            </w:tcBorders>
            <w:vAlign w:val="center"/>
          </w:tcPr>
          <w:p w14:paraId="08DE3B28">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无影响</w:t>
            </w:r>
          </w:p>
        </w:tc>
      </w:tr>
      <w:tr w14:paraId="089FE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vMerge w:val="continue"/>
            <w:tcBorders>
              <w:tl2br w:val="nil"/>
              <w:tr2bl w:val="nil"/>
            </w:tcBorders>
            <w:vAlign w:val="center"/>
          </w:tcPr>
          <w:p w14:paraId="561F4F7B">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spacing w:val="-4"/>
                <w:kern w:val="0"/>
                <w:sz w:val="21"/>
                <w:szCs w:val="21"/>
                <w:highlight w:val="none"/>
              </w:rPr>
            </w:pPr>
          </w:p>
        </w:tc>
        <w:tc>
          <w:tcPr>
            <w:tcW w:w="561" w:type="pct"/>
            <w:tcBorders>
              <w:tl2br w:val="nil"/>
              <w:tr2bl w:val="nil"/>
            </w:tcBorders>
            <w:vAlign w:val="center"/>
          </w:tcPr>
          <w:p w14:paraId="2C79FBB9">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spacing w:val="-4"/>
                <w:kern w:val="0"/>
                <w:sz w:val="21"/>
                <w:szCs w:val="21"/>
                <w:highlight w:val="none"/>
              </w:rPr>
            </w:pPr>
            <w:r>
              <w:rPr>
                <w:bCs/>
                <w:spacing w:val="-4"/>
                <w:kern w:val="24"/>
                <w:sz w:val="21"/>
                <w:szCs w:val="21"/>
                <w:highlight w:val="none"/>
              </w:rPr>
              <w:t>生物多样性</w:t>
            </w:r>
          </w:p>
        </w:tc>
        <w:tc>
          <w:tcPr>
            <w:tcW w:w="1039" w:type="pct"/>
            <w:tcBorders>
              <w:tl2br w:val="nil"/>
              <w:tr2bl w:val="nil"/>
            </w:tcBorders>
            <w:vAlign w:val="center"/>
          </w:tcPr>
          <w:p w14:paraId="382F590B">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物种丰富度、均匀度、优势度</w:t>
            </w:r>
          </w:p>
        </w:tc>
        <w:tc>
          <w:tcPr>
            <w:tcW w:w="2096" w:type="pct"/>
            <w:tcBorders>
              <w:tl2br w:val="nil"/>
              <w:tr2bl w:val="nil"/>
            </w:tcBorders>
            <w:vAlign w:val="center"/>
          </w:tcPr>
          <w:p w14:paraId="63C35048">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bCs/>
                <w:kern w:val="24"/>
                <w:sz w:val="21"/>
                <w:szCs w:val="21"/>
                <w:highlight w:val="none"/>
              </w:rPr>
              <w:t>工程不新增占地，不会破坏植被，不会影响野生动物，不会降低区域生物多样性</w:t>
            </w:r>
          </w:p>
        </w:tc>
        <w:tc>
          <w:tcPr>
            <w:tcW w:w="431" w:type="pct"/>
            <w:tcBorders>
              <w:tl2br w:val="nil"/>
              <w:tr2bl w:val="nil"/>
            </w:tcBorders>
            <w:vAlign w:val="center"/>
          </w:tcPr>
          <w:p w14:paraId="5E9E63E0">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w:t>
            </w:r>
          </w:p>
        </w:tc>
        <w:tc>
          <w:tcPr>
            <w:tcW w:w="527" w:type="pct"/>
            <w:tcBorders>
              <w:tl2br w:val="nil"/>
              <w:tr2bl w:val="nil"/>
            </w:tcBorders>
            <w:vAlign w:val="center"/>
          </w:tcPr>
          <w:p w14:paraId="61369AB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无影响</w:t>
            </w:r>
          </w:p>
        </w:tc>
      </w:tr>
      <w:tr w14:paraId="5EE41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vMerge w:val="continue"/>
            <w:tcBorders>
              <w:tl2br w:val="nil"/>
              <w:tr2bl w:val="nil"/>
            </w:tcBorders>
            <w:vAlign w:val="center"/>
          </w:tcPr>
          <w:p w14:paraId="74C7DBF0">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bCs/>
                <w:spacing w:val="-4"/>
                <w:kern w:val="24"/>
                <w:sz w:val="21"/>
                <w:szCs w:val="21"/>
                <w:highlight w:val="none"/>
              </w:rPr>
            </w:pPr>
          </w:p>
        </w:tc>
        <w:tc>
          <w:tcPr>
            <w:tcW w:w="561" w:type="pct"/>
            <w:tcBorders>
              <w:tl2br w:val="nil"/>
              <w:tr2bl w:val="nil"/>
            </w:tcBorders>
            <w:vAlign w:val="center"/>
          </w:tcPr>
          <w:p w14:paraId="399E4BC2">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bCs/>
                <w:spacing w:val="-4"/>
                <w:kern w:val="24"/>
                <w:sz w:val="21"/>
                <w:szCs w:val="21"/>
                <w:highlight w:val="none"/>
              </w:rPr>
            </w:pPr>
            <w:r>
              <w:rPr>
                <w:bCs/>
                <w:spacing w:val="-4"/>
                <w:kern w:val="24"/>
                <w:sz w:val="21"/>
                <w:szCs w:val="21"/>
                <w:highlight w:val="none"/>
              </w:rPr>
              <w:t>生态敏感区</w:t>
            </w:r>
          </w:p>
        </w:tc>
        <w:tc>
          <w:tcPr>
            <w:tcW w:w="1039" w:type="pct"/>
            <w:tcBorders>
              <w:tl2br w:val="nil"/>
              <w:tr2bl w:val="nil"/>
            </w:tcBorders>
            <w:vAlign w:val="center"/>
          </w:tcPr>
          <w:p w14:paraId="48AD03EC">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spacing w:val="-4"/>
                <w:kern w:val="0"/>
                <w:sz w:val="21"/>
                <w:szCs w:val="21"/>
                <w:highlight w:val="none"/>
              </w:rPr>
            </w:pPr>
            <w:r>
              <w:rPr>
                <w:bCs/>
                <w:spacing w:val="-4"/>
                <w:kern w:val="24"/>
                <w:sz w:val="21"/>
                <w:szCs w:val="21"/>
                <w:highlight w:val="none"/>
              </w:rPr>
              <w:t>主要保护对象、生态功能</w:t>
            </w:r>
          </w:p>
        </w:tc>
        <w:tc>
          <w:tcPr>
            <w:tcW w:w="2096" w:type="pct"/>
            <w:tcBorders>
              <w:tl2br w:val="nil"/>
              <w:tr2bl w:val="nil"/>
            </w:tcBorders>
            <w:vAlign w:val="center"/>
          </w:tcPr>
          <w:p w14:paraId="352F2959">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hint="eastAsia" w:ascii="Times New Roman" w:hAnsi="Times New Roman" w:eastAsia="宋体"/>
                <w:spacing w:val="-4"/>
                <w:kern w:val="0"/>
                <w:sz w:val="21"/>
                <w:szCs w:val="21"/>
                <w:highlight w:val="none"/>
              </w:rPr>
              <w:t>距离项目最近生态保护红线位于</w:t>
            </w:r>
            <w:r>
              <w:rPr>
                <w:rFonts w:hint="eastAsia" w:ascii="Times New Roman" w:hAnsi="Times New Roman" w:eastAsia="宋体"/>
                <w:spacing w:val="-4"/>
                <w:kern w:val="0"/>
                <w:sz w:val="21"/>
                <w:szCs w:val="21"/>
                <w:highlight w:val="none"/>
                <w:lang w:val="en-US" w:eastAsia="zh-CN"/>
              </w:rPr>
              <w:t>东</w:t>
            </w:r>
            <w:r>
              <w:rPr>
                <w:rFonts w:hint="eastAsia" w:ascii="Times New Roman" w:hAnsi="Times New Roman" w:eastAsia="宋体"/>
                <w:spacing w:val="-4"/>
                <w:kern w:val="0"/>
                <w:sz w:val="21"/>
                <w:szCs w:val="21"/>
                <w:highlight w:val="none"/>
              </w:rPr>
              <w:t>北侧1</w:t>
            </w:r>
            <w:r>
              <w:rPr>
                <w:rFonts w:hint="eastAsia" w:ascii="Times New Roman" w:hAnsi="Times New Roman" w:eastAsia="宋体"/>
                <w:spacing w:val="-4"/>
                <w:kern w:val="0"/>
                <w:sz w:val="21"/>
                <w:szCs w:val="21"/>
                <w:highlight w:val="none"/>
                <w:lang w:val="en-US" w:eastAsia="zh-CN"/>
              </w:rPr>
              <w:t>822</w:t>
            </w:r>
            <w:r>
              <w:rPr>
                <w:rFonts w:hint="eastAsia" w:ascii="Times New Roman" w:hAnsi="Times New Roman" w:eastAsia="宋体"/>
                <w:spacing w:val="-4"/>
                <w:kern w:val="0"/>
                <w:sz w:val="21"/>
                <w:szCs w:val="21"/>
                <w:highlight w:val="none"/>
              </w:rPr>
              <w:t>m</w:t>
            </w:r>
            <w:r>
              <w:rPr>
                <w:rFonts w:hint="eastAsia" w:ascii="Times New Roman" w:hAnsi="Times New Roman"/>
                <w:spacing w:val="-4"/>
                <w:kern w:val="0"/>
                <w:sz w:val="21"/>
                <w:szCs w:val="21"/>
                <w:highlight w:val="none"/>
                <w:lang w:eastAsia="zh-CN"/>
              </w:rPr>
              <w:t>，</w:t>
            </w:r>
            <w:r>
              <w:rPr>
                <w:rFonts w:ascii="Times New Roman" w:hAnsi="Times New Roman" w:eastAsia="宋体"/>
                <w:bCs/>
                <w:kern w:val="24"/>
                <w:sz w:val="21"/>
                <w:szCs w:val="21"/>
                <w:highlight w:val="none"/>
              </w:rPr>
              <w:t>工程不新增占地，不破坏植被，不会影响</w:t>
            </w:r>
            <w:r>
              <w:rPr>
                <w:rFonts w:ascii="Times New Roman" w:hAnsi="Times New Roman" w:eastAsia="宋体"/>
                <w:spacing w:val="-4"/>
                <w:kern w:val="0"/>
                <w:sz w:val="21"/>
                <w:szCs w:val="21"/>
                <w:highlight w:val="none"/>
              </w:rPr>
              <w:t>生态保护红线功能（燕山水源涵养、生物多样性维护功能）</w:t>
            </w:r>
          </w:p>
        </w:tc>
        <w:tc>
          <w:tcPr>
            <w:tcW w:w="431" w:type="pct"/>
            <w:tcBorders>
              <w:tl2br w:val="nil"/>
              <w:tr2bl w:val="nil"/>
            </w:tcBorders>
            <w:vAlign w:val="center"/>
          </w:tcPr>
          <w:p w14:paraId="57B439CB">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w:t>
            </w:r>
          </w:p>
        </w:tc>
        <w:tc>
          <w:tcPr>
            <w:tcW w:w="527" w:type="pct"/>
            <w:tcBorders>
              <w:tl2br w:val="nil"/>
              <w:tr2bl w:val="nil"/>
            </w:tcBorders>
            <w:vAlign w:val="center"/>
          </w:tcPr>
          <w:p w14:paraId="3F49DD3C">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无影响</w:t>
            </w:r>
          </w:p>
        </w:tc>
      </w:tr>
      <w:tr w14:paraId="646C1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vMerge w:val="continue"/>
            <w:tcBorders>
              <w:tl2br w:val="nil"/>
              <w:tr2bl w:val="nil"/>
            </w:tcBorders>
            <w:vAlign w:val="center"/>
          </w:tcPr>
          <w:p w14:paraId="34AF7B42">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p>
        </w:tc>
        <w:tc>
          <w:tcPr>
            <w:tcW w:w="561" w:type="pct"/>
            <w:tcBorders>
              <w:tl2br w:val="nil"/>
              <w:tr2bl w:val="nil"/>
            </w:tcBorders>
            <w:vAlign w:val="center"/>
          </w:tcPr>
          <w:p w14:paraId="5BBE2D01">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自然景观</w:t>
            </w:r>
          </w:p>
        </w:tc>
        <w:tc>
          <w:tcPr>
            <w:tcW w:w="1039" w:type="pct"/>
            <w:tcBorders>
              <w:tl2br w:val="nil"/>
              <w:tr2bl w:val="nil"/>
            </w:tcBorders>
            <w:vAlign w:val="center"/>
          </w:tcPr>
          <w:p w14:paraId="2427AFE6">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景观多样性、完整性</w:t>
            </w:r>
          </w:p>
        </w:tc>
        <w:tc>
          <w:tcPr>
            <w:tcW w:w="2096" w:type="pct"/>
            <w:tcBorders>
              <w:tl2br w:val="nil"/>
              <w:tr2bl w:val="nil"/>
            </w:tcBorders>
            <w:vAlign w:val="center"/>
          </w:tcPr>
          <w:p w14:paraId="3CAF27FF">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bCs/>
                <w:kern w:val="24"/>
                <w:sz w:val="21"/>
                <w:szCs w:val="21"/>
                <w:highlight w:val="none"/>
              </w:rPr>
              <w:t>工程不新增占地，不会破坏景观，不会影响景观完整性</w:t>
            </w:r>
          </w:p>
        </w:tc>
        <w:tc>
          <w:tcPr>
            <w:tcW w:w="431" w:type="pct"/>
            <w:tcBorders>
              <w:tl2br w:val="nil"/>
              <w:tr2bl w:val="nil"/>
            </w:tcBorders>
            <w:vAlign w:val="center"/>
          </w:tcPr>
          <w:p w14:paraId="3251F04B">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w:t>
            </w:r>
          </w:p>
        </w:tc>
        <w:tc>
          <w:tcPr>
            <w:tcW w:w="527" w:type="pct"/>
            <w:tcBorders>
              <w:tl2br w:val="nil"/>
              <w:tr2bl w:val="nil"/>
            </w:tcBorders>
            <w:vAlign w:val="center"/>
          </w:tcPr>
          <w:p w14:paraId="3B2824F1">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无影响</w:t>
            </w:r>
          </w:p>
        </w:tc>
      </w:tr>
      <w:tr w14:paraId="70C58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343" w:type="pct"/>
            <w:tcBorders>
              <w:tl2br w:val="nil"/>
              <w:tr2bl w:val="nil"/>
            </w:tcBorders>
            <w:vAlign w:val="center"/>
          </w:tcPr>
          <w:p w14:paraId="50FBA9C9">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hint="eastAsia" w:ascii="Times New Roman" w:hAnsi="Times New Roman" w:eastAsia="宋体"/>
                <w:spacing w:val="-4"/>
                <w:kern w:val="0"/>
                <w:sz w:val="21"/>
                <w:szCs w:val="21"/>
                <w:highlight w:val="none"/>
              </w:rPr>
              <w:t>生产运行阶段</w:t>
            </w:r>
          </w:p>
        </w:tc>
        <w:tc>
          <w:tcPr>
            <w:tcW w:w="561" w:type="pct"/>
            <w:tcBorders>
              <w:tl2br w:val="nil"/>
              <w:tr2bl w:val="nil"/>
            </w:tcBorders>
            <w:vAlign w:val="center"/>
          </w:tcPr>
          <w:p w14:paraId="443118B5">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生态系统</w:t>
            </w:r>
          </w:p>
        </w:tc>
        <w:tc>
          <w:tcPr>
            <w:tcW w:w="1039" w:type="pct"/>
            <w:tcBorders>
              <w:tl2br w:val="nil"/>
              <w:tr2bl w:val="nil"/>
            </w:tcBorders>
            <w:vAlign w:val="center"/>
          </w:tcPr>
          <w:p w14:paraId="0B41F98A">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植被覆盖度、生态系统功能</w:t>
            </w:r>
          </w:p>
        </w:tc>
        <w:tc>
          <w:tcPr>
            <w:tcW w:w="2096" w:type="pct"/>
            <w:tcBorders>
              <w:tl2br w:val="nil"/>
              <w:tr2bl w:val="nil"/>
            </w:tcBorders>
            <w:vAlign w:val="center"/>
          </w:tcPr>
          <w:p w14:paraId="584B41B1">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hint="eastAsia" w:ascii="Times New Roman" w:hAnsi="Times New Roman" w:eastAsia="宋体"/>
                <w:spacing w:val="-4"/>
                <w:kern w:val="0"/>
                <w:sz w:val="21"/>
                <w:szCs w:val="21"/>
                <w:highlight w:val="none"/>
              </w:rPr>
              <w:t>生产运行阶段</w:t>
            </w:r>
            <w:r>
              <w:rPr>
                <w:rFonts w:ascii="Times New Roman" w:hAnsi="Times New Roman" w:eastAsia="宋体"/>
                <w:spacing w:val="-4"/>
                <w:kern w:val="0"/>
                <w:sz w:val="21"/>
                <w:szCs w:val="21"/>
                <w:highlight w:val="none"/>
              </w:rPr>
              <w:t>生产活动及产生的污染物对植被及生态系统功能造成影响</w:t>
            </w:r>
          </w:p>
        </w:tc>
        <w:tc>
          <w:tcPr>
            <w:tcW w:w="431" w:type="pct"/>
            <w:tcBorders>
              <w:tl2br w:val="nil"/>
              <w:tr2bl w:val="nil"/>
            </w:tcBorders>
            <w:vAlign w:val="center"/>
          </w:tcPr>
          <w:p w14:paraId="61288E8F">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短期，可逆</w:t>
            </w:r>
          </w:p>
        </w:tc>
        <w:tc>
          <w:tcPr>
            <w:tcW w:w="527" w:type="pct"/>
            <w:tcBorders>
              <w:tl2br w:val="nil"/>
              <w:tr2bl w:val="nil"/>
            </w:tcBorders>
            <w:vAlign w:val="center"/>
          </w:tcPr>
          <w:p w14:paraId="53F87DCF">
            <w:pPr>
              <w:pStyle w:val="57"/>
              <w:keepNext w:val="0"/>
              <w:keepLines w:val="0"/>
              <w:pageBreakBefore w:val="0"/>
              <w:widowControl w:val="0"/>
              <w:kinsoku/>
              <w:wordWrap/>
              <w:overflowPunct/>
              <w:topLinePunct w:val="0"/>
              <w:autoSpaceDE/>
              <w:autoSpaceDN/>
              <w:bidi w:val="0"/>
              <w:adjustRightInd/>
              <w:snapToGrid/>
              <w:spacing w:after="0" w:line="240" w:lineRule="atLeast"/>
              <w:ind w:left="0" w:leftChars="0" w:firstLine="0" w:firstLineChars="0"/>
              <w:jc w:val="center"/>
              <w:textAlignment w:val="auto"/>
              <w:rPr>
                <w:rFonts w:ascii="Times New Roman" w:hAnsi="Times New Roman" w:eastAsia="宋体"/>
                <w:spacing w:val="-4"/>
                <w:kern w:val="0"/>
                <w:sz w:val="21"/>
                <w:szCs w:val="21"/>
                <w:highlight w:val="none"/>
              </w:rPr>
            </w:pPr>
            <w:r>
              <w:rPr>
                <w:rFonts w:ascii="Times New Roman" w:hAnsi="Times New Roman" w:eastAsia="宋体"/>
                <w:spacing w:val="-4"/>
                <w:kern w:val="0"/>
                <w:sz w:val="21"/>
                <w:szCs w:val="21"/>
                <w:highlight w:val="none"/>
              </w:rPr>
              <w:t>较小影响</w:t>
            </w:r>
          </w:p>
        </w:tc>
      </w:tr>
    </w:tbl>
    <w:p w14:paraId="61EE293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由上表可知，工程的建设对环境的影响是多方面的，既存在短期、局部及可恢复的正、负影响，也存在长期的或正或负的影响。</w:t>
      </w:r>
    </w:p>
    <w:p w14:paraId="4CF8D8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auto"/>
          <w:sz w:val="24"/>
          <w:szCs w:val="24"/>
          <w:highlight w:val="none"/>
        </w:rPr>
        <w:t>项目建设阶段将对环境空气、声环境、土壤环境和生态环境产生一定程度的不利影响，该影响是局部的、短期的、可逆的，随着施工期的结束影响也将消失；生产运行阶段可能对环境空气、地下水环境、声环境、土壤环境产生不同程度的负面影响，该影响是长期的，但通过采取有效的废气、废水、固体废物、噪声等污染控制措施，可减轻其影响程度。项目服务期满</w:t>
      </w:r>
      <w:r>
        <w:rPr>
          <w:rFonts w:hint="default" w:ascii="Times New Roman" w:hAnsi="Times New Roman" w:cs="Times New Roman"/>
          <w:color w:val="auto"/>
          <w:sz w:val="24"/>
          <w:szCs w:val="24"/>
          <w:highlight w:val="none"/>
          <w:lang w:val="en-US" w:eastAsia="zh-CN"/>
        </w:rPr>
        <w:t>封场</w:t>
      </w:r>
      <w:r>
        <w:rPr>
          <w:rFonts w:hint="default" w:ascii="Times New Roman" w:hAnsi="Times New Roman" w:cs="Times New Roman"/>
          <w:color w:val="auto"/>
          <w:sz w:val="24"/>
          <w:szCs w:val="24"/>
          <w:highlight w:val="none"/>
        </w:rPr>
        <w:t>后，随着水土保持和生态恢复工程的实施，占地范围内的生态环境得到较大恢复和改善，其中水保工程和生物措施的综合治理，可改善</w:t>
      </w:r>
      <w:r>
        <w:rPr>
          <w:rFonts w:hint="default" w:ascii="Times New Roman" w:hAnsi="Times New Roman" w:cs="Times New Roman"/>
          <w:color w:val="auto"/>
          <w:sz w:val="24"/>
          <w:szCs w:val="24"/>
          <w:highlight w:val="none"/>
          <w:lang w:val="en-US" w:eastAsia="zh-CN"/>
        </w:rPr>
        <w:t>排土场</w:t>
      </w:r>
      <w:r>
        <w:rPr>
          <w:rFonts w:hint="default" w:ascii="Times New Roman" w:hAnsi="Times New Roman" w:cs="Times New Roman"/>
          <w:color w:val="auto"/>
          <w:sz w:val="24"/>
          <w:szCs w:val="24"/>
          <w:highlight w:val="none"/>
        </w:rPr>
        <w:t>的环境景观</w:t>
      </w:r>
      <w:r>
        <w:rPr>
          <w:rFonts w:hint="default" w:ascii="Times New Roman" w:hAnsi="Times New Roman" w:cs="Times New Roman"/>
          <w:color w:val="000000"/>
          <w:kern w:val="0"/>
          <w:sz w:val="24"/>
          <w:szCs w:val="24"/>
          <w:highlight w:val="none"/>
        </w:rPr>
        <w:t>。</w:t>
      </w:r>
    </w:p>
    <w:p w14:paraId="6BBC85E1">
      <w:pPr>
        <w:pStyle w:val="6"/>
        <w:pageBreakBefore w:val="0"/>
        <w:widowControl w:val="0"/>
        <w:kinsoku/>
        <w:wordWrap/>
        <w:overflowPunct/>
        <w:topLinePunct w:val="0"/>
        <w:autoSpaceDE/>
        <w:autoSpaceDN/>
        <w:bidi w:val="0"/>
        <w:spacing w:line="360" w:lineRule="auto"/>
        <w:textAlignment w:val="auto"/>
        <w:rPr>
          <w:rFonts w:hint="default"/>
          <w:highlight w:val="none"/>
        </w:rPr>
      </w:pPr>
      <w:bookmarkStart w:id="79" w:name="_Toc102"/>
      <w:r>
        <w:rPr>
          <w:rFonts w:hint="default"/>
          <w:highlight w:val="none"/>
        </w:rPr>
        <w:t>评价因子筛选</w:t>
      </w:r>
      <w:bookmarkEnd w:id="79"/>
    </w:p>
    <w:p w14:paraId="13AB9A6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sz w:val="24"/>
          <w:szCs w:val="24"/>
          <w:highlight w:val="none"/>
        </w:rPr>
        <w:t>根据建设项目的特点、环境影响的主要特征，结合区域环境功能要求、环境保护目标、评价标准和环境制约因素，筛选确定评价因子。主要评价因子见</w:t>
      </w:r>
      <w:r>
        <w:rPr>
          <w:rFonts w:hint="eastAsia" w:ascii="Times New Roman" w:hAnsi="Times New Roman" w:cs="Times New Roman"/>
          <w:sz w:val="24"/>
          <w:szCs w:val="24"/>
          <w:highlight w:val="none"/>
          <w:lang w:eastAsia="zh-CN"/>
        </w:rPr>
        <w:t>下表</w:t>
      </w:r>
      <w:r>
        <w:rPr>
          <w:rFonts w:hint="default" w:ascii="Times New Roman" w:hAnsi="Times New Roman" w:cs="Times New Roman"/>
          <w:color w:val="000000"/>
          <w:kern w:val="0"/>
          <w:sz w:val="24"/>
          <w:szCs w:val="21"/>
          <w:highlight w:val="none"/>
        </w:rPr>
        <w:t>。</w:t>
      </w:r>
    </w:p>
    <w:p w14:paraId="43FC358D">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jc w:val="center"/>
        <w:textAlignment w:val="auto"/>
        <w:rPr>
          <w:rStyle w:val="152"/>
          <w:rFonts w:hint="default" w:ascii="Times New Roman" w:hAnsi="Times New Roman" w:eastAsia="宋体" w:cs="Times New Roman"/>
          <w:color w:val="000000"/>
          <w:szCs w:val="21"/>
          <w:highlight w:val="none"/>
        </w:rPr>
      </w:pPr>
      <w:r>
        <w:rPr>
          <w:rStyle w:val="152"/>
          <w:rFonts w:hint="default" w:ascii="Times New Roman" w:hAnsi="Times New Roman" w:eastAsia="宋体" w:cs="Times New Roman"/>
          <w:color w:val="000000"/>
          <w:szCs w:val="21"/>
          <w:highlight w:val="none"/>
        </w:rPr>
        <w:t>环境影响评价因子</w:t>
      </w:r>
      <w:bookmarkStart w:id="80" w:name="_Toc302716916"/>
      <w:bookmarkStart w:id="81" w:name="_Toc275357792"/>
      <w:bookmarkStart w:id="82" w:name="_Toc70483324"/>
      <w:bookmarkStart w:id="83" w:name="_Toc304966286"/>
      <w:bookmarkStart w:id="84" w:name="_Toc305148378"/>
      <w:bookmarkStart w:id="85" w:name="_Toc77648690"/>
      <w:bookmarkStart w:id="86" w:name="_Toc218393956"/>
      <w:bookmarkStart w:id="87" w:name="_Toc208131698"/>
      <w:bookmarkStart w:id="88" w:name="_Toc218846007"/>
      <w:bookmarkStart w:id="89" w:name="_Toc301422624"/>
      <w:bookmarkStart w:id="90" w:name="_Toc302651558"/>
      <w:bookmarkStart w:id="91" w:name="_Toc301429231"/>
      <w:bookmarkStart w:id="92" w:name="_Toc302649953"/>
      <w:bookmarkStart w:id="93" w:name="_Toc305150236"/>
      <w:bookmarkStart w:id="94" w:name="_Toc223163887"/>
      <w:bookmarkStart w:id="95" w:name="_Toc227378973"/>
      <w:bookmarkStart w:id="96" w:name="_Toc249416773"/>
      <w:bookmarkStart w:id="97" w:name="_Toc86462287"/>
      <w:bookmarkStart w:id="98" w:name="_Toc297202126"/>
      <w:bookmarkStart w:id="99" w:name="_Toc227306901"/>
      <w:bookmarkStart w:id="100" w:name="_Toc223091059"/>
      <w:bookmarkStart w:id="101" w:name="_Toc223091489"/>
      <w:bookmarkStart w:id="102" w:name="_Toc75140184"/>
      <w:bookmarkStart w:id="103" w:name="_Toc81620833"/>
      <w:bookmarkStart w:id="104" w:name="_Toc223164630"/>
      <w:bookmarkStart w:id="105" w:name="_Toc218845044"/>
      <w:bookmarkStart w:id="106" w:name="_Toc275357428"/>
      <w:bookmarkStart w:id="107" w:name="_Toc218393900"/>
      <w:bookmarkStart w:id="108" w:name="_Toc228096052"/>
    </w:p>
    <w:tbl>
      <w:tblPr>
        <w:tblStyle w:val="58"/>
        <w:tblW w:w="50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35"/>
        <w:gridCol w:w="1141"/>
        <w:gridCol w:w="1045"/>
        <w:gridCol w:w="5519"/>
      </w:tblGrid>
      <w:tr w14:paraId="56AA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tcBorders>
              <w:tl2br w:val="nil"/>
              <w:tr2bl w:val="nil"/>
            </w:tcBorders>
            <w:noWrap w:val="0"/>
            <w:vAlign w:val="center"/>
          </w:tcPr>
          <w:p w14:paraId="3E4B862A">
            <w:pPr>
              <w:pStyle w:val="161"/>
              <w:rPr>
                <w:rFonts w:hint="default" w:ascii="Times New Roman" w:hAnsi="Times New Roman" w:eastAsia="宋体" w:cs="Times New Roman"/>
                <w:b/>
                <w:bCs/>
                <w:color w:val="000000"/>
                <w:kern w:val="2"/>
                <w:sz w:val="21"/>
                <w:szCs w:val="21"/>
                <w:highlight w:val="none"/>
                <w:lang w:val="en-US" w:eastAsia="zh-CN" w:bidi="ar-SA"/>
              </w:rPr>
            </w:pPr>
            <w:r>
              <w:rPr>
                <w:rFonts w:hint="default" w:ascii="Times New Roman" w:hAnsi="Times New Roman" w:cs="Times New Roman"/>
                <w:b/>
                <w:bCs/>
                <w:color w:val="000000"/>
                <w:highlight w:val="none"/>
              </w:rPr>
              <w:t>影响要素</w:t>
            </w:r>
          </w:p>
        </w:tc>
        <w:tc>
          <w:tcPr>
            <w:tcW w:w="676" w:type="pct"/>
            <w:tcBorders>
              <w:tl2br w:val="nil"/>
              <w:tr2bl w:val="nil"/>
            </w:tcBorders>
            <w:noWrap w:val="0"/>
            <w:vAlign w:val="center"/>
          </w:tcPr>
          <w:p w14:paraId="01D88E2A">
            <w:pPr>
              <w:pStyle w:val="161"/>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阶段</w:t>
            </w:r>
          </w:p>
        </w:tc>
        <w:tc>
          <w:tcPr>
            <w:tcW w:w="3887" w:type="pct"/>
            <w:gridSpan w:val="2"/>
            <w:tcBorders>
              <w:tl2br w:val="nil"/>
              <w:tr2bl w:val="nil"/>
            </w:tcBorders>
            <w:noWrap w:val="0"/>
            <w:vAlign w:val="center"/>
          </w:tcPr>
          <w:p w14:paraId="0DB944A2">
            <w:pPr>
              <w:pStyle w:val="161"/>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评价因子</w:t>
            </w:r>
          </w:p>
        </w:tc>
      </w:tr>
      <w:tr w14:paraId="7DCED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73DFB71C">
            <w:pPr>
              <w:pStyle w:val="161"/>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环境空气</w:t>
            </w:r>
          </w:p>
        </w:tc>
        <w:tc>
          <w:tcPr>
            <w:tcW w:w="676" w:type="pct"/>
            <w:tcBorders>
              <w:tl2br w:val="nil"/>
              <w:tr2bl w:val="nil"/>
            </w:tcBorders>
            <w:noWrap w:val="0"/>
            <w:vAlign w:val="center"/>
          </w:tcPr>
          <w:p w14:paraId="733D2B86">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现状调查</w:t>
            </w:r>
          </w:p>
        </w:tc>
        <w:tc>
          <w:tcPr>
            <w:tcW w:w="3887" w:type="pct"/>
            <w:gridSpan w:val="2"/>
            <w:tcBorders>
              <w:tl2br w:val="nil"/>
              <w:tr2bl w:val="nil"/>
            </w:tcBorders>
            <w:noWrap w:val="0"/>
            <w:vAlign w:val="center"/>
          </w:tcPr>
          <w:p w14:paraId="2A13111C">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TSP、PM</w:t>
            </w:r>
            <w:r>
              <w:rPr>
                <w:rFonts w:hint="default" w:ascii="Times New Roman" w:hAnsi="Times New Roman" w:cs="Times New Roman"/>
                <w:color w:val="000000"/>
                <w:highlight w:val="none"/>
                <w:vertAlign w:val="subscript"/>
                <w:lang w:eastAsia="zh-CN"/>
              </w:rPr>
              <w:t>2.5</w:t>
            </w:r>
            <w:r>
              <w:rPr>
                <w:rFonts w:hint="default" w:ascii="Times New Roman" w:hAnsi="Times New Roman" w:cs="Times New Roman"/>
                <w:color w:val="000000"/>
                <w:highlight w:val="none"/>
              </w:rPr>
              <w:t>、PM</w:t>
            </w:r>
            <w:r>
              <w:rPr>
                <w:rFonts w:hint="default" w:ascii="Times New Roman" w:hAnsi="Times New Roman" w:cs="Times New Roman"/>
                <w:color w:val="000000"/>
                <w:highlight w:val="none"/>
                <w:vertAlign w:val="subscript"/>
              </w:rPr>
              <w:t>10</w:t>
            </w:r>
            <w:r>
              <w:rPr>
                <w:rFonts w:hint="default" w:ascii="Times New Roman" w:hAnsi="Times New Roman" w:cs="Times New Roman"/>
                <w:color w:val="000000"/>
                <w:highlight w:val="none"/>
              </w:rPr>
              <w:t>、SO</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、N</w:t>
            </w:r>
            <w:r>
              <w:rPr>
                <w:rFonts w:hint="default" w:ascii="Times New Roman" w:hAnsi="Times New Roman" w:cs="Times New Roman"/>
                <w:color w:val="000000"/>
                <w:highlight w:val="none"/>
                <w:lang w:val="en-US" w:eastAsia="zh-CN"/>
              </w:rPr>
              <w:t>O</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CO、O</w:t>
            </w:r>
            <w:r>
              <w:rPr>
                <w:rFonts w:hint="default" w:ascii="Times New Roman" w:hAnsi="Times New Roman" w:cs="Times New Roman"/>
                <w:color w:val="000000"/>
                <w:highlight w:val="none"/>
                <w:vertAlign w:val="subscript"/>
                <w:lang w:val="en-US" w:eastAsia="zh-CN"/>
              </w:rPr>
              <w:t>3</w:t>
            </w:r>
          </w:p>
        </w:tc>
      </w:tr>
      <w:tr w14:paraId="6AE4E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3B07AD9A">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044D0D58">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污染源</w:t>
            </w:r>
          </w:p>
        </w:tc>
        <w:tc>
          <w:tcPr>
            <w:tcW w:w="3887" w:type="pct"/>
            <w:gridSpan w:val="2"/>
            <w:tcBorders>
              <w:tl2br w:val="nil"/>
              <w:tr2bl w:val="nil"/>
            </w:tcBorders>
            <w:noWrap w:val="0"/>
            <w:vAlign w:val="center"/>
          </w:tcPr>
          <w:p w14:paraId="538F4987">
            <w:pPr>
              <w:pStyle w:val="161"/>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颗粒物</w:t>
            </w:r>
            <w:r>
              <w:rPr>
                <w:rFonts w:hint="eastAsia" w:ascii="Times New Roman" w:hAnsi="Times New Roman" w:eastAsia="宋体" w:cs="Times New Roman"/>
                <w:color w:val="auto"/>
                <w:sz w:val="21"/>
                <w:szCs w:val="21"/>
                <w:highlight w:val="none"/>
                <w:lang w:val="en-US" w:eastAsia="zh-CN"/>
              </w:rPr>
              <w:t>（TSP、PM</w:t>
            </w:r>
            <w:r>
              <w:rPr>
                <w:rFonts w:hint="eastAsia" w:ascii="Times New Roman" w:hAnsi="Times New Roman" w:eastAsia="宋体" w:cs="Times New Roman"/>
                <w:color w:val="auto"/>
                <w:sz w:val="21"/>
                <w:szCs w:val="21"/>
                <w:highlight w:val="none"/>
                <w:vertAlign w:val="subscript"/>
                <w:lang w:val="en-US" w:eastAsia="zh-CN"/>
              </w:rPr>
              <w:t>10</w:t>
            </w:r>
            <w:r>
              <w:rPr>
                <w:rFonts w:hint="eastAsia" w:ascii="Times New Roman" w:hAnsi="Times New Roman" w:eastAsia="宋体" w:cs="Times New Roman"/>
                <w:color w:val="auto"/>
                <w:sz w:val="21"/>
                <w:szCs w:val="21"/>
                <w:highlight w:val="none"/>
                <w:lang w:val="en-US" w:eastAsia="zh-CN"/>
              </w:rPr>
              <w:t>）</w:t>
            </w:r>
          </w:p>
        </w:tc>
      </w:tr>
      <w:tr w14:paraId="76D0F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2A93F075">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61CCB58F">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影响评价</w:t>
            </w:r>
          </w:p>
        </w:tc>
        <w:tc>
          <w:tcPr>
            <w:tcW w:w="3887" w:type="pct"/>
            <w:gridSpan w:val="2"/>
            <w:tcBorders>
              <w:tl2br w:val="nil"/>
              <w:tr2bl w:val="nil"/>
            </w:tcBorders>
            <w:noWrap w:val="0"/>
            <w:vAlign w:val="center"/>
          </w:tcPr>
          <w:p w14:paraId="00E28D8F">
            <w:pPr>
              <w:pStyle w:val="161"/>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颗粒物</w:t>
            </w:r>
            <w:r>
              <w:rPr>
                <w:rFonts w:hint="eastAsia" w:ascii="Times New Roman" w:hAnsi="Times New Roman" w:eastAsia="宋体" w:cs="Times New Roman"/>
                <w:color w:val="auto"/>
                <w:sz w:val="21"/>
                <w:szCs w:val="21"/>
                <w:highlight w:val="none"/>
                <w:lang w:val="en-US" w:eastAsia="zh-CN"/>
              </w:rPr>
              <w:t>（TSP、PM</w:t>
            </w:r>
            <w:r>
              <w:rPr>
                <w:rFonts w:hint="eastAsia" w:ascii="Times New Roman" w:hAnsi="Times New Roman" w:eastAsia="宋体" w:cs="Times New Roman"/>
                <w:color w:val="auto"/>
                <w:sz w:val="21"/>
                <w:szCs w:val="21"/>
                <w:highlight w:val="none"/>
                <w:vertAlign w:val="subscript"/>
                <w:lang w:val="en-US" w:eastAsia="zh-CN"/>
              </w:rPr>
              <w:t>10</w:t>
            </w:r>
            <w:r>
              <w:rPr>
                <w:rFonts w:hint="eastAsia" w:ascii="Times New Roman" w:hAnsi="Times New Roman" w:eastAsia="宋体" w:cs="Times New Roman"/>
                <w:color w:val="auto"/>
                <w:sz w:val="21"/>
                <w:szCs w:val="21"/>
                <w:highlight w:val="none"/>
                <w:lang w:val="en-US" w:eastAsia="zh-CN"/>
              </w:rPr>
              <w:t>）</w:t>
            </w:r>
          </w:p>
        </w:tc>
      </w:tr>
      <w:tr w14:paraId="22A13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57766F40">
            <w:pPr>
              <w:pStyle w:val="161"/>
              <w:rPr>
                <w:rFonts w:hint="eastAsia"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地表水</w:t>
            </w:r>
            <w:r>
              <w:rPr>
                <w:rFonts w:hint="eastAsia" w:cs="Times New Roman"/>
                <w:color w:val="000000"/>
                <w:highlight w:val="none"/>
                <w:lang w:val="en-US" w:eastAsia="zh-CN"/>
              </w:rPr>
              <w:t>环境</w:t>
            </w:r>
          </w:p>
        </w:tc>
        <w:tc>
          <w:tcPr>
            <w:tcW w:w="676" w:type="pct"/>
            <w:tcBorders>
              <w:tl2br w:val="nil"/>
              <w:tr2bl w:val="nil"/>
            </w:tcBorders>
            <w:noWrap w:val="0"/>
            <w:vAlign w:val="center"/>
          </w:tcPr>
          <w:p w14:paraId="3154B8BB">
            <w:pPr>
              <w:pStyle w:val="161"/>
              <w:rPr>
                <w:rFonts w:hint="default" w:ascii="Times New Roman" w:hAnsi="Times New Roman" w:cs="Times New Roman"/>
                <w:color w:val="000000"/>
                <w:kern w:val="2"/>
                <w:sz w:val="21"/>
                <w:szCs w:val="21"/>
                <w:highlight w:val="none"/>
                <w:lang w:bidi="ar-SA"/>
              </w:rPr>
            </w:pPr>
            <w:r>
              <w:rPr>
                <w:rFonts w:ascii="Times New Roman"/>
                <w:b w:val="0"/>
                <w:bCs/>
                <w:color w:val="auto"/>
                <w:szCs w:val="21"/>
                <w:highlight w:val="none"/>
              </w:rPr>
              <w:t>现状</w:t>
            </w:r>
            <w:r>
              <w:rPr>
                <w:rFonts w:ascii="Times New Roman"/>
                <w:b w:val="0"/>
                <w:bCs/>
                <w:color w:val="auto"/>
                <w:szCs w:val="21"/>
                <w:highlight w:val="none"/>
                <w:lang w:eastAsia="zh-CN"/>
              </w:rPr>
              <w:t>调查因子</w:t>
            </w:r>
          </w:p>
        </w:tc>
        <w:tc>
          <w:tcPr>
            <w:tcW w:w="3887" w:type="pct"/>
            <w:gridSpan w:val="2"/>
            <w:tcBorders>
              <w:tl2br w:val="nil"/>
              <w:tr2bl w:val="nil"/>
            </w:tcBorders>
            <w:noWrap w:val="0"/>
            <w:vAlign w:val="center"/>
          </w:tcPr>
          <w:p w14:paraId="064CD4AA">
            <w:pPr>
              <w:snapToGrid w:val="0"/>
              <w:spacing w:line="240" w:lineRule="auto"/>
              <w:jc w:val="center"/>
              <w:rPr>
                <w:rFonts w:hint="default" w:ascii="Times New Roman" w:hAnsi="Times New Roman" w:cs="Times New Roman"/>
                <w:color w:val="000000"/>
                <w:spacing w:val="20"/>
                <w:kern w:val="2"/>
                <w:sz w:val="21"/>
                <w:szCs w:val="21"/>
                <w:highlight w:val="none"/>
                <w:lang w:val="en-US" w:eastAsia="zh-CN" w:bidi="ar-SA"/>
              </w:rPr>
            </w:pPr>
            <w:r>
              <w:rPr>
                <w:rFonts w:ascii="Times New Roman"/>
                <w:color w:val="auto"/>
                <w:spacing w:val="-12"/>
                <w:sz w:val="21"/>
                <w:szCs w:val="21"/>
                <w:highlight w:val="none"/>
              </w:rPr>
              <w:t>水温、pH值、溶解氧、高锰酸盐指数、COD、BOD</w:t>
            </w:r>
            <w:r>
              <w:rPr>
                <w:rFonts w:ascii="Times New Roman"/>
                <w:color w:val="auto"/>
                <w:spacing w:val="-12"/>
                <w:sz w:val="21"/>
                <w:szCs w:val="21"/>
                <w:highlight w:val="none"/>
                <w:vertAlign w:val="subscript"/>
              </w:rPr>
              <w:t>5</w:t>
            </w:r>
            <w:r>
              <w:rPr>
                <w:rFonts w:ascii="Times New Roman"/>
                <w:color w:val="auto"/>
                <w:spacing w:val="-12"/>
                <w:sz w:val="21"/>
                <w:szCs w:val="21"/>
                <w:highlight w:val="none"/>
              </w:rPr>
              <w:t>、氨氮、总磷、总氮、铜、锌、氟化物、硒、砷、汞、镉、六价铬、铅、氰化物、挥发酚、石油类、硫化物、粪大肠杆菌、硫酸盐、氯化物、硝酸盐、铁、锰</w:t>
            </w:r>
          </w:p>
        </w:tc>
      </w:tr>
      <w:tr w14:paraId="2DFD9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72F1BA6B">
            <w:pPr>
              <w:pStyle w:val="161"/>
              <w:rPr>
                <w:rFonts w:hint="default" w:ascii="Times New Roman" w:hAnsi="Times New Roman" w:cs="Times New Roman"/>
                <w:color w:val="000000"/>
                <w:highlight w:val="none"/>
              </w:rPr>
            </w:pPr>
          </w:p>
        </w:tc>
        <w:tc>
          <w:tcPr>
            <w:tcW w:w="676" w:type="pct"/>
            <w:tcBorders>
              <w:tl2br w:val="nil"/>
              <w:tr2bl w:val="nil"/>
            </w:tcBorders>
            <w:shd w:val="clear" w:color="auto" w:fill="auto"/>
            <w:noWrap w:val="0"/>
            <w:vAlign w:val="center"/>
          </w:tcPr>
          <w:p w14:paraId="690D2C45">
            <w:pPr>
              <w:pStyle w:val="161"/>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highlight w:val="none"/>
              </w:rPr>
              <w:t>污染源</w:t>
            </w:r>
          </w:p>
        </w:tc>
        <w:tc>
          <w:tcPr>
            <w:tcW w:w="3887" w:type="pct"/>
            <w:gridSpan w:val="2"/>
            <w:tcBorders>
              <w:tl2br w:val="nil"/>
              <w:tr2bl w:val="nil"/>
            </w:tcBorders>
            <w:noWrap w:val="0"/>
            <w:vAlign w:val="center"/>
          </w:tcPr>
          <w:p w14:paraId="79D1CCD8">
            <w:pPr>
              <w:snapToGrid w:val="0"/>
              <w:spacing w:line="240" w:lineRule="auto"/>
              <w:jc w:val="center"/>
              <w:rPr>
                <w:rFonts w:hint="eastAsia" w:ascii="Times New Roman" w:eastAsia="宋体"/>
                <w:color w:val="auto"/>
                <w:spacing w:val="-12"/>
                <w:sz w:val="21"/>
                <w:szCs w:val="21"/>
                <w:highlight w:val="none"/>
                <w:lang w:val="en-US" w:eastAsia="zh-CN"/>
              </w:rPr>
            </w:pPr>
            <w:r>
              <w:rPr>
                <w:rFonts w:hint="eastAsia"/>
                <w:color w:val="auto"/>
                <w:spacing w:val="-12"/>
                <w:sz w:val="21"/>
                <w:szCs w:val="21"/>
                <w:highlight w:val="none"/>
                <w:lang w:val="en-US" w:eastAsia="zh-CN"/>
              </w:rPr>
              <w:t>/</w:t>
            </w:r>
          </w:p>
        </w:tc>
      </w:tr>
      <w:tr w14:paraId="4F9E9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67284690">
            <w:pPr>
              <w:pStyle w:val="161"/>
              <w:rPr>
                <w:rFonts w:hint="default" w:ascii="Times New Roman" w:hAnsi="Times New Roman" w:cs="Times New Roman"/>
                <w:color w:val="000000"/>
                <w:highlight w:val="none"/>
              </w:rPr>
            </w:pPr>
          </w:p>
        </w:tc>
        <w:tc>
          <w:tcPr>
            <w:tcW w:w="676" w:type="pct"/>
            <w:tcBorders>
              <w:tl2br w:val="nil"/>
              <w:tr2bl w:val="nil"/>
            </w:tcBorders>
            <w:shd w:val="clear" w:color="auto" w:fill="auto"/>
            <w:noWrap w:val="0"/>
            <w:vAlign w:val="center"/>
          </w:tcPr>
          <w:p w14:paraId="4DA4C88F">
            <w:pPr>
              <w:pStyle w:val="161"/>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highlight w:val="none"/>
              </w:rPr>
              <w:t>影响评价</w:t>
            </w:r>
          </w:p>
        </w:tc>
        <w:tc>
          <w:tcPr>
            <w:tcW w:w="3887" w:type="pct"/>
            <w:gridSpan w:val="2"/>
            <w:tcBorders>
              <w:tl2br w:val="nil"/>
              <w:tr2bl w:val="nil"/>
            </w:tcBorders>
            <w:noWrap w:val="0"/>
            <w:vAlign w:val="center"/>
          </w:tcPr>
          <w:p w14:paraId="68A539BE">
            <w:pPr>
              <w:snapToGrid w:val="0"/>
              <w:spacing w:line="240" w:lineRule="auto"/>
              <w:jc w:val="center"/>
              <w:rPr>
                <w:rFonts w:hint="eastAsia" w:ascii="Times New Roman" w:eastAsia="宋体"/>
                <w:color w:val="auto"/>
                <w:spacing w:val="-12"/>
                <w:sz w:val="21"/>
                <w:szCs w:val="21"/>
                <w:highlight w:val="none"/>
                <w:lang w:val="en-US" w:eastAsia="zh-CN"/>
              </w:rPr>
            </w:pPr>
            <w:r>
              <w:rPr>
                <w:rFonts w:hint="eastAsia"/>
                <w:color w:val="auto"/>
                <w:spacing w:val="-12"/>
                <w:sz w:val="21"/>
                <w:szCs w:val="21"/>
                <w:highlight w:val="none"/>
                <w:lang w:val="en-US" w:eastAsia="zh-CN"/>
              </w:rPr>
              <w:t>/</w:t>
            </w:r>
          </w:p>
        </w:tc>
      </w:tr>
      <w:tr w14:paraId="3A201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005ACD21">
            <w:pPr>
              <w:pStyle w:val="161"/>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highlight w:val="none"/>
              </w:rPr>
              <w:t>地下水</w:t>
            </w:r>
            <w:r>
              <w:rPr>
                <w:rFonts w:hint="eastAsia" w:cs="Times New Roman"/>
                <w:color w:val="000000"/>
                <w:highlight w:val="none"/>
                <w:lang w:val="en-US" w:eastAsia="zh-CN"/>
              </w:rPr>
              <w:t>环境</w:t>
            </w:r>
          </w:p>
        </w:tc>
        <w:tc>
          <w:tcPr>
            <w:tcW w:w="676" w:type="pct"/>
            <w:tcBorders>
              <w:tl2br w:val="nil"/>
              <w:tr2bl w:val="nil"/>
            </w:tcBorders>
            <w:noWrap w:val="0"/>
            <w:vAlign w:val="center"/>
          </w:tcPr>
          <w:p w14:paraId="7532E9CE">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现状调查</w:t>
            </w:r>
          </w:p>
        </w:tc>
        <w:tc>
          <w:tcPr>
            <w:tcW w:w="3887" w:type="pct"/>
            <w:gridSpan w:val="2"/>
            <w:tcBorders>
              <w:tl2br w:val="nil"/>
              <w:tr2bl w:val="nil"/>
            </w:tcBorders>
            <w:noWrap w:val="0"/>
            <w:vAlign w:val="center"/>
          </w:tcPr>
          <w:p w14:paraId="7E4C3335">
            <w:pPr>
              <w:pStyle w:val="161"/>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t>（1）K</w:t>
            </w:r>
            <w:r>
              <w:rPr>
                <w:rFonts w:hint="default" w:ascii="Times New Roman" w:hAnsi="Times New Roman" w:cs="Times New Roman"/>
                <w:color w:val="000000"/>
                <w:highlight w:val="none"/>
                <w:vertAlign w:val="superscript"/>
              </w:rPr>
              <w:t>+</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Na</w:t>
            </w:r>
            <w:r>
              <w:rPr>
                <w:rFonts w:hint="default" w:ascii="Times New Roman" w:hAnsi="Times New Roman" w:cs="Times New Roman"/>
                <w:color w:val="000000"/>
                <w:highlight w:val="none"/>
                <w:vertAlign w:val="superscript"/>
              </w:rPr>
              <w:t>+</w:t>
            </w:r>
            <w:r>
              <w:rPr>
                <w:rFonts w:hint="default" w:ascii="Times New Roman" w:hAnsi="Times New Roman" w:cs="Times New Roman"/>
                <w:color w:val="000000"/>
                <w:highlight w:val="none"/>
              </w:rPr>
              <w:t>、Ca</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、Mg</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、CO</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、HCO</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vertAlign w:val="superscript"/>
              </w:rPr>
              <w:t>-</w:t>
            </w:r>
            <w:r>
              <w:rPr>
                <w:rFonts w:hint="default" w:ascii="Times New Roman" w:hAnsi="Times New Roman" w:cs="Times New Roman"/>
                <w:color w:val="000000"/>
                <w:highlight w:val="none"/>
              </w:rPr>
              <w:t>、Cl</w:t>
            </w:r>
            <w:r>
              <w:rPr>
                <w:rFonts w:hint="default" w:ascii="Times New Roman" w:hAnsi="Times New Roman" w:cs="Times New Roman"/>
                <w:color w:val="000000"/>
                <w:highlight w:val="none"/>
                <w:vertAlign w:val="superscript"/>
              </w:rPr>
              <w:t>-</w:t>
            </w:r>
            <w:r>
              <w:rPr>
                <w:rFonts w:hint="default" w:ascii="Times New Roman" w:hAnsi="Times New Roman" w:cs="Times New Roman"/>
                <w:color w:val="000000"/>
                <w:highlight w:val="none"/>
              </w:rPr>
              <w:t>、SO</w:t>
            </w:r>
            <w:r>
              <w:rPr>
                <w:rFonts w:hint="default" w:ascii="Times New Roman" w:hAnsi="Times New Roman" w:cs="Times New Roman"/>
                <w:color w:val="000000"/>
                <w:highlight w:val="none"/>
                <w:vertAlign w:val="subscript"/>
              </w:rPr>
              <w:t>4</w:t>
            </w:r>
            <w:r>
              <w:rPr>
                <w:rFonts w:hint="default" w:ascii="Times New Roman" w:hAnsi="Times New Roman" w:cs="Times New Roman"/>
                <w:color w:val="000000"/>
                <w:highlight w:val="none"/>
                <w:vertAlign w:val="superscript"/>
              </w:rPr>
              <w:t>2-</w:t>
            </w:r>
            <w:r>
              <w:rPr>
                <w:rFonts w:hint="default" w:ascii="Times New Roman" w:hAnsi="Times New Roman" w:cs="Times New Roman"/>
                <w:color w:val="000000"/>
                <w:highlight w:val="none"/>
              </w:rPr>
              <w:t>的浓度</w:t>
            </w:r>
          </w:p>
          <w:p w14:paraId="1C31EAAE">
            <w:pPr>
              <w:pStyle w:val="161"/>
              <w:jc w:val="cente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（2）</w:t>
            </w:r>
            <w:r>
              <w:rPr>
                <w:rFonts w:hint="default" w:ascii="Times New Roman" w:hAnsi="Times New Roman" w:cs="Times New Roman"/>
                <w:b w:val="0"/>
                <w:bCs/>
                <w:sz w:val="21"/>
                <w:szCs w:val="21"/>
                <w:highlight w:val="none"/>
              </w:rPr>
              <w:t>pH、总硬度（以CaCO</w:t>
            </w:r>
            <w:r>
              <w:rPr>
                <w:rFonts w:hint="default" w:ascii="Times New Roman" w:hAnsi="Times New Roman" w:cs="Times New Roman"/>
                <w:b w:val="0"/>
                <w:bCs/>
                <w:sz w:val="21"/>
                <w:szCs w:val="21"/>
                <w:highlight w:val="none"/>
                <w:vertAlign w:val="subscript"/>
              </w:rPr>
              <w:t>3</w:t>
            </w:r>
            <w:r>
              <w:rPr>
                <w:rFonts w:hint="default" w:ascii="Times New Roman" w:hAnsi="Times New Roman" w:cs="Times New Roman"/>
                <w:b w:val="0"/>
                <w:bCs/>
                <w:sz w:val="21"/>
                <w:szCs w:val="21"/>
                <w:highlight w:val="none"/>
              </w:rPr>
              <w:t>计）、溶解性总固体、</w:t>
            </w:r>
            <w:r>
              <w:rPr>
                <w:rFonts w:hint="default" w:ascii="Times New Roman" w:hAnsi="Times New Roman" w:cs="Times New Roman"/>
                <w:b w:val="0"/>
                <w:bCs/>
                <w:snapToGrid w:val="0"/>
                <w:kern w:val="0"/>
                <w:sz w:val="21"/>
                <w:szCs w:val="21"/>
                <w:highlight w:val="none"/>
              </w:rPr>
              <w:t>硫酸盐、</w:t>
            </w:r>
            <w:r>
              <w:rPr>
                <w:rFonts w:hint="default" w:ascii="Times New Roman" w:hAnsi="Times New Roman" w:cs="Times New Roman"/>
                <w:b w:val="0"/>
                <w:bCs/>
                <w:sz w:val="21"/>
                <w:szCs w:val="21"/>
                <w:highlight w:val="none"/>
              </w:rPr>
              <w:t>氯化物、</w:t>
            </w:r>
            <w:r>
              <w:rPr>
                <w:rFonts w:hint="default" w:ascii="Times New Roman" w:hAnsi="Times New Roman" w:cs="Times New Roman"/>
                <w:b w:val="0"/>
                <w:bCs/>
                <w:spacing w:val="-8"/>
                <w:sz w:val="21"/>
                <w:szCs w:val="21"/>
                <w:highlight w:val="none"/>
              </w:rPr>
              <w:t>铁、锰、</w:t>
            </w:r>
            <w:r>
              <w:rPr>
                <w:rFonts w:hint="default" w:ascii="Times New Roman" w:hAnsi="Times New Roman" w:cs="Times New Roman"/>
                <w:b w:val="0"/>
                <w:bCs/>
                <w:color w:val="000000"/>
                <w:sz w:val="21"/>
                <w:szCs w:val="21"/>
                <w:highlight w:val="none"/>
              </w:rPr>
              <w:t>铜、锌、</w:t>
            </w:r>
            <w:r>
              <w:rPr>
                <w:rFonts w:hint="default" w:ascii="Times New Roman" w:hAnsi="Times New Roman" w:cs="Times New Roman"/>
                <w:b w:val="0"/>
                <w:bCs/>
                <w:color w:val="000000"/>
                <w:sz w:val="21"/>
                <w:szCs w:val="21"/>
                <w:highlight w:val="none"/>
                <w:lang w:val="en-US" w:eastAsia="zh-CN"/>
              </w:rPr>
              <w:t>铝</w:t>
            </w:r>
            <w:r>
              <w:rPr>
                <w:rFonts w:hint="default" w:ascii="Times New Roman" w:hAnsi="Times New Roman" w:cs="Times New Roman"/>
                <w:b w:val="0"/>
                <w:bCs/>
                <w:color w:val="000000"/>
                <w:sz w:val="21"/>
                <w:szCs w:val="21"/>
                <w:highlight w:val="none"/>
              </w:rPr>
              <w:t>、</w:t>
            </w:r>
            <w:r>
              <w:rPr>
                <w:rFonts w:hint="default" w:ascii="Times New Roman" w:hAnsi="Times New Roman" w:cs="Times New Roman"/>
                <w:b w:val="0"/>
                <w:bCs/>
                <w:spacing w:val="-8"/>
                <w:sz w:val="21"/>
                <w:szCs w:val="21"/>
                <w:highlight w:val="none"/>
              </w:rPr>
              <w:t>挥发性酚类（以苯酚计）、</w:t>
            </w:r>
            <w:r>
              <w:rPr>
                <w:rFonts w:hint="default" w:ascii="Times New Roman" w:hAnsi="Times New Roman" w:cs="Times New Roman"/>
                <w:b w:val="0"/>
                <w:bCs/>
                <w:color w:val="000000"/>
                <w:sz w:val="21"/>
                <w:szCs w:val="21"/>
                <w:highlight w:val="none"/>
              </w:rPr>
              <w:t>阴离子表面活性剂、</w:t>
            </w:r>
            <w:r>
              <w:rPr>
                <w:rFonts w:hint="default" w:ascii="Times New Roman" w:hAnsi="Times New Roman" w:cs="Times New Roman"/>
                <w:b w:val="0"/>
                <w:bCs/>
                <w:sz w:val="21"/>
                <w:szCs w:val="21"/>
                <w:highlight w:val="none"/>
                <w:lang w:val="en-US" w:eastAsia="zh-CN"/>
              </w:rPr>
              <w:t>耗氧量</w:t>
            </w:r>
            <w:r>
              <w:rPr>
                <w:rFonts w:hint="default" w:ascii="Times New Roman" w:hAnsi="Times New Roman" w:cs="Times New Roman"/>
                <w:b w:val="0"/>
                <w:bCs/>
                <w:sz w:val="21"/>
                <w:szCs w:val="21"/>
                <w:highlight w:val="none"/>
              </w:rPr>
              <w:t>（COD</w:t>
            </w:r>
            <w:r>
              <w:rPr>
                <w:rFonts w:hint="default" w:ascii="Times New Roman" w:hAnsi="Times New Roman" w:cs="Times New Roman"/>
                <w:b w:val="0"/>
                <w:bCs/>
                <w:sz w:val="21"/>
                <w:szCs w:val="21"/>
                <w:highlight w:val="none"/>
                <w:vertAlign w:val="subscript"/>
              </w:rPr>
              <w:t>Mn</w:t>
            </w:r>
            <w:r>
              <w:rPr>
                <w:rFonts w:hint="default" w:ascii="Times New Roman" w:hAnsi="Times New Roman" w:cs="Times New Roman"/>
                <w:b w:val="0"/>
                <w:bCs/>
                <w:sz w:val="21"/>
                <w:szCs w:val="21"/>
                <w:highlight w:val="none"/>
              </w:rPr>
              <w:t>法，以O</w:t>
            </w:r>
            <w:r>
              <w:rPr>
                <w:rFonts w:hint="default" w:ascii="Times New Roman" w:hAnsi="Times New Roman" w:cs="Times New Roman"/>
                <w:b w:val="0"/>
                <w:bCs/>
                <w:sz w:val="21"/>
                <w:szCs w:val="21"/>
                <w:highlight w:val="none"/>
                <w:vertAlign w:val="subscript"/>
              </w:rPr>
              <w:t>2</w:t>
            </w:r>
            <w:r>
              <w:rPr>
                <w:rFonts w:hint="default" w:ascii="Times New Roman" w:hAnsi="Times New Roman" w:cs="Times New Roman"/>
                <w:b w:val="0"/>
                <w:bCs/>
                <w:sz w:val="21"/>
                <w:szCs w:val="21"/>
                <w:highlight w:val="none"/>
              </w:rPr>
              <w:t>计）、氨氮、</w:t>
            </w:r>
            <w:r>
              <w:rPr>
                <w:rFonts w:hint="default" w:ascii="Times New Roman" w:hAnsi="Times New Roman" w:cs="Times New Roman"/>
                <w:b w:val="0"/>
                <w:bCs/>
                <w:color w:val="000000"/>
                <w:sz w:val="21"/>
                <w:szCs w:val="21"/>
                <w:highlight w:val="none"/>
              </w:rPr>
              <w:t>硫化物、钠、</w:t>
            </w:r>
            <w:r>
              <w:rPr>
                <w:rFonts w:hint="default" w:ascii="Times New Roman" w:hAnsi="Times New Roman" w:cs="Times New Roman"/>
                <w:b w:val="0"/>
                <w:bCs/>
                <w:snapToGrid w:val="0"/>
                <w:kern w:val="0"/>
                <w:sz w:val="21"/>
                <w:szCs w:val="21"/>
                <w:highlight w:val="none"/>
              </w:rPr>
              <w:t>总大肠菌群</w:t>
            </w:r>
            <w:r>
              <w:rPr>
                <w:rFonts w:hint="default" w:ascii="Times New Roman" w:hAnsi="Times New Roman" w:cs="Times New Roman"/>
                <w:b w:val="0"/>
                <w:bCs/>
                <w:spacing w:val="-8"/>
                <w:sz w:val="21"/>
                <w:szCs w:val="21"/>
                <w:highlight w:val="none"/>
              </w:rPr>
              <w:t>数</w:t>
            </w:r>
            <w:r>
              <w:rPr>
                <w:rFonts w:hint="default" w:ascii="Times New Roman" w:hAnsi="Times New Roman" w:cs="Times New Roman"/>
                <w:b w:val="0"/>
                <w:bCs/>
                <w:color w:val="000000"/>
                <w:sz w:val="21"/>
                <w:szCs w:val="21"/>
                <w:highlight w:val="none"/>
              </w:rPr>
              <w:t>、菌落总数</w:t>
            </w:r>
            <w:r>
              <w:rPr>
                <w:rFonts w:hint="default" w:ascii="Times New Roman" w:hAnsi="Times New Roman" w:cs="Times New Roman"/>
                <w:b w:val="0"/>
                <w:bCs/>
                <w:snapToGrid w:val="0"/>
                <w:kern w:val="0"/>
                <w:sz w:val="21"/>
                <w:szCs w:val="21"/>
                <w:highlight w:val="none"/>
              </w:rPr>
              <w:t>、</w:t>
            </w:r>
            <w:r>
              <w:rPr>
                <w:rFonts w:hint="default" w:ascii="Times New Roman" w:hAnsi="Times New Roman" w:cs="Times New Roman"/>
                <w:b w:val="0"/>
                <w:bCs/>
                <w:sz w:val="21"/>
                <w:szCs w:val="21"/>
                <w:highlight w:val="none"/>
              </w:rPr>
              <w:t>亚硝酸盐(以N计)</w:t>
            </w:r>
            <w:r>
              <w:rPr>
                <w:rFonts w:hint="default" w:ascii="Times New Roman" w:hAnsi="Times New Roman" w:cs="Times New Roman"/>
                <w:b w:val="0"/>
                <w:bCs/>
                <w:snapToGrid w:val="0"/>
                <w:kern w:val="0"/>
                <w:sz w:val="21"/>
                <w:szCs w:val="21"/>
                <w:highlight w:val="none"/>
              </w:rPr>
              <w:t>、</w:t>
            </w:r>
            <w:r>
              <w:rPr>
                <w:rFonts w:hint="default" w:ascii="Times New Roman" w:hAnsi="Times New Roman" w:cs="Times New Roman"/>
                <w:b w:val="0"/>
                <w:bCs/>
                <w:sz w:val="21"/>
                <w:szCs w:val="21"/>
                <w:highlight w:val="none"/>
              </w:rPr>
              <w:t>硝酸盐(以N计)、</w:t>
            </w:r>
            <w:r>
              <w:rPr>
                <w:rFonts w:hint="default" w:ascii="Times New Roman" w:hAnsi="Times New Roman" w:cs="Times New Roman"/>
                <w:b w:val="0"/>
                <w:bCs/>
                <w:spacing w:val="-8"/>
                <w:sz w:val="21"/>
                <w:szCs w:val="21"/>
                <w:highlight w:val="none"/>
              </w:rPr>
              <w:t>氰化物、</w:t>
            </w:r>
            <w:r>
              <w:rPr>
                <w:rFonts w:hint="default" w:ascii="Times New Roman" w:hAnsi="Times New Roman" w:cs="Times New Roman"/>
                <w:b w:val="0"/>
                <w:bCs/>
                <w:sz w:val="21"/>
                <w:szCs w:val="21"/>
                <w:highlight w:val="none"/>
              </w:rPr>
              <w:t>氟化物</w:t>
            </w:r>
            <w:r>
              <w:rPr>
                <w:rFonts w:hint="default" w:ascii="Times New Roman" w:hAnsi="Times New Roman" w:cs="Times New Roman"/>
                <w:b w:val="0"/>
                <w:bCs/>
                <w:spacing w:val="-8"/>
                <w:sz w:val="21"/>
                <w:szCs w:val="21"/>
                <w:highlight w:val="none"/>
              </w:rPr>
              <w:t>、</w:t>
            </w:r>
            <w:r>
              <w:rPr>
                <w:rFonts w:hint="default" w:ascii="Times New Roman" w:hAnsi="Times New Roman" w:cs="Times New Roman"/>
                <w:b w:val="0"/>
                <w:bCs/>
                <w:color w:val="000000"/>
                <w:sz w:val="21"/>
                <w:szCs w:val="21"/>
                <w:highlight w:val="none"/>
              </w:rPr>
              <w:t>碘化物、</w:t>
            </w:r>
            <w:r>
              <w:rPr>
                <w:rFonts w:hint="default" w:ascii="Times New Roman" w:hAnsi="Times New Roman" w:cs="Times New Roman"/>
                <w:b w:val="0"/>
                <w:bCs/>
                <w:snapToGrid w:val="0"/>
                <w:kern w:val="0"/>
                <w:sz w:val="21"/>
                <w:szCs w:val="21"/>
                <w:highlight w:val="none"/>
              </w:rPr>
              <w:t>汞、砷、</w:t>
            </w:r>
            <w:r>
              <w:rPr>
                <w:rFonts w:hint="default" w:ascii="Times New Roman" w:hAnsi="Times New Roman" w:cs="Times New Roman"/>
                <w:b w:val="0"/>
                <w:bCs/>
                <w:color w:val="000000"/>
                <w:sz w:val="21"/>
                <w:szCs w:val="21"/>
                <w:highlight w:val="none"/>
              </w:rPr>
              <w:t>硒</w:t>
            </w:r>
            <w:r>
              <w:rPr>
                <w:rFonts w:hint="default" w:ascii="Times New Roman" w:hAnsi="Times New Roman" w:cs="Times New Roman"/>
                <w:b w:val="0"/>
                <w:bCs/>
                <w:color w:val="000000"/>
                <w:sz w:val="21"/>
                <w:szCs w:val="21"/>
                <w:highlight w:val="none"/>
                <w:lang w:eastAsia="zh-CN"/>
              </w:rPr>
              <w:t>、</w:t>
            </w:r>
            <w:r>
              <w:rPr>
                <w:rFonts w:hint="default" w:ascii="Times New Roman" w:hAnsi="Times New Roman" w:cs="Times New Roman"/>
                <w:b w:val="0"/>
                <w:bCs/>
                <w:snapToGrid w:val="0"/>
                <w:kern w:val="0"/>
                <w:sz w:val="21"/>
                <w:szCs w:val="21"/>
                <w:highlight w:val="none"/>
              </w:rPr>
              <w:t>镉、六价铬、铅</w:t>
            </w:r>
            <w:r>
              <w:rPr>
                <w:rFonts w:hint="default" w:ascii="Times New Roman" w:hAnsi="Times New Roman" w:cs="Times New Roman"/>
                <w:b w:val="0"/>
                <w:bCs/>
                <w:snapToGrid w:val="0"/>
                <w:kern w:val="0"/>
                <w:sz w:val="21"/>
                <w:szCs w:val="21"/>
                <w:highlight w:val="none"/>
                <w:lang w:eastAsia="zh-CN"/>
              </w:rPr>
              <w:t>、三氯甲烷、四氯化碳、苯、甲苯</w:t>
            </w:r>
            <w:r>
              <w:rPr>
                <w:rFonts w:hint="eastAsia" w:ascii="Times New Roman" w:hAnsi="Times New Roman" w:cs="Times New Roman"/>
                <w:b w:val="0"/>
                <w:bCs/>
                <w:snapToGrid w:val="0"/>
                <w:kern w:val="0"/>
                <w:sz w:val="21"/>
                <w:szCs w:val="21"/>
                <w:highlight w:val="none"/>
                <w:lang w:eastAsia="zh-CN"/>
              </w:rPr>
              <w:t>、</w:t>
            </w:r>
            <w:r>
              <w:rPr>
                <w:rFonts w:hint="eastAsia" w:ascii="Times New Roman" w:hAnsi="Times New Roman" w:eastAsia="宋体" w:cs="Times New Roman"/>
                <w:b w:val="0"/>
                <w:bCs w:val="0"/>
                <w:i w:val="0"/>
                <w:caps w:val="0"/>
                <w:color w:val="auto"/>
                <w:spacing w:val="0"/>
                <w:sz w:val="21"/>
                <w:szCs w:val="21"/>
                <w:highlight w:val="none"/>
                <w:shd w:val="clear" w:color="auto" w:fill="FFFFFF"/>
                <w:lang w:val="en-US" w:eastAsia="zh-CN"/>
              </w:rPr>
              <w:t>石油类、总磷、钒、钛。</w:t>
            </w:r>
          </w:p>
        </w:tc>
      </w:tr>
      <w:tr w14:paraId="675E5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43E009F6">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2AD23F7B">
            <w:pPr>
              <w:pStyle w:val="161"/>
              <w:rPr>
                <w:rFonts w:hint="default" w:ascii="Times New Roman" w:hAnsi="Times New Roman" w:cs="Times New Roman"/>
                <w:color w:val="000000"/>
                <w:highlight w:val="none"/>
              </w:rPr>
            </w:pPr>
            <w:r>
              <w:rPr>
                <w:rFonts w:ascii="Times New Roman"/>
                <w:b w:val="0"/>
                <w:bCs/>
                <w:color w:val="auto"/>
                <w:szCs w:val="21"/>
                <w:highlight w:val="none"/>
              </w:rPr>
              <w:t>污染源</w:t>
            </w:r>
          </w:p>
        </w:tc>
        <w:tc>
          <w:tcPr>
            <w:tcW w:w="3887" w:type="pct"/>
            <w:gridSpan w:val="2"/>
            <w:tcBorders>
              <w:tl2br w:val="nil"/>
              <w:tr2bl w:val="nil"/>
            </w:tcBorders>
            <w:noWrap w:val="0"/>
            <w:vAlign w:val="center"/>
          </w:tcPr>
          <w:p w14:paraId="07D6D5F4">
            <w:pPr>
              <w:pStyle w:val="161"/>
              <w:rPr>
                <w:rFonts w:hint="default" w:ascii="Times New Roman" w:hAnsi="Times New Roman" w:cs="Times New Roman"/>
                <w:color w:val="000000"/>
                <w:sz w:val="21"/>
                <w:szCs w:val="21"/>
                <w:highlight w:val="none"/>
              </w:rPr>
            </w:pPr>
            <w:r>
              <w:rPr>
                <w:rFonts w:hint="eastAsia"/>
                <w:sz w:val="21"/>
                <w:szCs w:val="21"/>
                <w:highlight w:val="none"/>
                <w:lang w:eastAsia="zh-CN"/>
              </w:rPr>
              <w:t>Fe、耗氧量</w:t>
            </w:r>
          </w:p>
        </w:tc>
      </w:tr>
      <w:tr w14:paraId="15CD4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63210EB4">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415075B2">
            <w:pPr>
              <w:pStyle w:val="161"/>
              <w:rPr>
                <w:rFonts w:hint="default" w:ascii="Times New Roman" w:hAnsi="Times New Roman" w:cs="Times New Roman"/>
                <w:color w:val="000000"/>
                <w:highlight w:val="none"/>
              </w:rPr>
            </w:pPr>
            <w:r>
              <w:rPr>
                <w:rFonts w:ascii="Times New Roman"/>
                <w:b w:val="0"/>
                <w:bCs/>
                <w:color w:val="auto"/>
                <w:szCs w:val="21"/>
                <w:highlight w:val="none"/>
              </w:rPr>
              <w:t>影响评价</w:t>
            </w:r>
          </w:p>
        </w:tc>
        <w:tc>
          <w:tcPr>
            <w:tcW w:w="3887" w:type="pct"/>
            <w:gridSpan w:val="2"/>
            <w:tcBorders>
              <w:tl2br w:val="nil"/>
              <w:tr2bl w:val="nil"/>
            </w:tcBorders>
            <w:noWrap w:val="0"/>
            <w:vAlign w:val="center"/>
          </w:tcPr>
          <w:p w14:paraId="2EB76BAB">
            <w:pPr>
              <w:pStyle w:val="161"/>
              <w:rPr>
                <w:rFonts w:hint="default" w:ascii="Times New Roman" w:hAnsi="Times New Roman" w:cs="Times New Roman"/>
                <w:color w:val="000000"/>
                <w:sz w:val="21"/>
                <w:szCs w:val="21"/>
                <w:highlight w:val="none"/>
              </w:rPr>
            </w:pPr>
            <w:r>
              <w:rPr>
                <w:rFonts w:hint="eastAsia"/>
                <w:sz w:val="21"/>
                <w:szCs w:val="21"/>
                <w:highlight w:val="none"/>
                <w:lang w:eastAsia="zh-CN"/>
              </w:rPr>
              <w:t>Fe、耗氧量</w:t>
            </w:r>
          </w:p>
        </w:tc>
      </w:tr>
      <w:tr w14:paraId="7B717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2D33BED8">
            <w:pPr>
              <w:pStyle w:val="161"/>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highlight w:val="none"/>
              </w:rPr>
              <w:t>声</w:t>
            </w:r>
            <w:r>
              <w:rPr>
                <w:rFonts w:hint="eastAsia" w:cs="Times New Roman"/>
                <w:color w:val="000000"/>
                <w:highlight w:val="none"/>
                <w:lang w:val="en-US" w:eastAsia="zh-CN"/>
              </w:rPr>
              <w:t>环境</w:t>
            </w:r>
          </w:p>
        </w:tc>
        <w:tc>
          <w:tcPr>
            <w:tcW w:w="676" w:type="pct"/>
            <w:tcBorders>
              <w:tl2br w:val="nil"/>
              <w:tr2bl w:val="nil"/>
            </w:tcBorders>
            <w:noWrap w:val="0"/>
            <w:vAlign w:val="center"/>
          </w:tcPr>
          <w:p w14:paraId="35D7638D">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现状调查</w:t>
            </w:r>
          </w:p>
        </w:tc>
        <w:tc>
          <w:tcPr>
            <w:tcW w:w="3887" w:type="pct"/>
            <w:gridSpan w:val="2"/>
            <w:tcBorders>
              <w:tl2br w:val="nil"/>
              <w:tr2bl w:val="nil"/>
            </w:tcBorders>
            <w:noWrap w:val="0"/>
            <w:vAlign w:val="center"/>
          </w:tcPr>
          <w:p w14:paraId="58C9E3FE">
            <w:pPr>
              <w:pStyle w:val="149"/>
              <w:jc w:val="center"/>
              <w:rPr>
                <w:rFonts w:hint="default" w:ascii="Times New Roman" w:hAnsi="Times New Roman" w:cs="Times New Roman"/>
                <w:color w:val="000000"/>
                <w:highlight w:val="none"/>
              </w:rPr>
            </w:pPr>
            <w:r>
              <w:rPr>
                <w:rFonts w:hint="eastAsia" w:ascii="Times New Roman" w:hAnsi="Times New Roman"/>
                <w:i/>
                <w:iCs/>
                <w:sz w:val="21"/>
                <w:szCs w:val="21"/>
                <w:highlight w:val="none"/>
                <w:lang w:val="en-US" w:eastAsia="zh-CN"/>
              </w:rPr>
              <w:t>L</w:t>
            </w:r>
            <w:r>
              <w:rPr>
                <w:rFonts w:hint="eastAsia" w:ascii="Times New Roman" w:hAnsi="Times New Roman"/>
                <w:sz w:val="21"/>
                <w:szCs w:val="21"/>
                <w:highlight w:val="none"/>
                <w:vertAlign w:val="subscript"/>
                <w:lang w:val="en-US" w:eastAsia="zh-CN"/>
              </w:rPr>
              <w:t>d</w:t>
            </w:r>
            <w:r>
              <w:rPr>
                <w:rFonts w:hint="eastAsia" w:ascii="Times New Roman" w:hAnsi="Times New Roman"/>
                <w:sz w:val="21"/>
                <w:szCs w:val="21"/>
                <w:highlight w:val="none"/>
                <w:lang w:val="en-US" w:eastAsia="zh-CN"/>
              </w:rPr>
              <w:t>、</w:t>
            </w:r>
            <w:r>
              <w:rPr>
                <w:rFonts w:hint="eastAsia" w:ascii="Times New Roman" w:hAnsi="Times New Roman"/>
                <w:i/>
                <w:iCs/>
                <w:sz w:val="21"/>
                <w:szCs w:val="21"/>
                <w:highlight w:val="none"/>
                <w:lang w:val="en-US" w:eastAsia="zh-CN"/>
              </w:rPr>
              <w:t>L</w:t>
            </w:r>
            <w:r>
              <w:rPr>
                <w:rFonts w:hint="eastAsia" w:ascii="Times New Roman" w:hAnsi="Times New Roman"/>
                <w:sz w:val="21"/>
                <w:szCs w:val="21"/>
                <w:highlight w:val="none"/>
                <w:vertAlign w:val="subscript"/>
                <w:lang w:val="en-US" w:eastAsia="zh-CN"/>
              </w:rPr>
              <w:t>n</w:t>
            </w:r>
          </w:p>
        </w:tc>
      </w:tr>
      <w:tr w14:paraId="43965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257C1C2B">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503D8D90">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污染源</w:t>
            </w:r>
          </w:p>
        </w:tc>
        <w:tc>
          <w:tcPr>
            <w:tcW w:w="3887" w:type="pct"/>
            <w:gridSpan w:val="2"/>
            <w:tcBorders>
              <w:tl2br w:val="nil"/>
              <w:tr2bl w:val="nil"/>
            </w:tcBorders>
            <w:noWrap w:val="0"/>
            <w:vAlign w:val="center"/>
          </w:tcPr>
          <w:p w14:paraId="1046E189">
            <w:pPr>
              <w:pStyle w:val="149"/>
              <w:jc w:val="center"/>
              <w:rPr>
                <w:rFonts w:hint="default" w:ascii="Times New Roman" w:hAnsi="Times New Roman" w:cs="Times New Roman"/>
                <w:color w:val="000000"/>
                <w:highlight w:val="none"/>
              </w:rPr>
            </w:pPr>
            <w:r>
              <w:rPr>
                <w:rFonts w:hint="eastAsia" w:ascii="Times New Roman" w:hAnsi="Times New Roman"/>
                <w:i/>
                <w:iCs/>
                <w:sz w:val="21"/>
                <w:szCs w:val="21"/>
                <w:highlight w:val="none"/>
                <w:lang w:val="en-US" w:eastAsia="zh-CN"/>
              </w:rPr>
              <w:t>L</w:t>
            </w:r>
            <w:r>
              <w:rPr>
                <w:rFonts w:hint="eastAsia" w:ascii="Times New Roman" w:hAnsi="Times New Roman"/>
                <w:sz w:val="21"/>
                <w:szCs w:val="21"/>
                <w:highlight w:val="none"/>
                <w:vertAlign w:val="subscript"/>
                <w:lang w:val="en-US" w:eastAsia="zh-CN"/>
              </w:rPr>
              <w:t>A</w:t>
            </w:r>
            <w:r>
              <w:rPr>
                <w:rFonts w:hint="eastAsia" w:ascii="Times New Roman" w:hAnsi="Times New Roman"/>
                <w:sz w:val="21"/>
                <w:szCs w:val="21"/>
                <w:highlight w:val="none"/>
                <w:lang w:val="en-US" w:eastAsia="zh-CN"/>
              </w:rPr>
              <w:t>（r）</w:t>
            </w:r>
          </w:p>
        </w:tc>
      </w:tr>
      <w:tr w14:paraId="279B9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1F594365">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2BB0EA20">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影响评价</w:t>
            </w:r>
          </w:p>
        </w:tc>
        <w:tc>
          <w:tcPr>
            <w:tcW w:w="3887" w:type="pct"/>
            <w:gridSpan w:val="2"/>
            <w:tcBorders>
              <w:tl2br w:val="nil"/>
              <w:tr2bl w:val="nil"/>
            </w:tcBorders>
            <w:noWrap w:val="0"/>
            <w:vAlign w:val="center"/>
          </w:tcPr>
          <w:p w14:paraId="38940B31">
            <w:pPr>
              <w:pStyle w:val="149"/>
              <w:jc w:val="center"/>
              <w:rPr>
                <w:rFonts w:hint="default" w:ascii="Times New Roman" w:hAnsi="Times New Roman" w:cs="Times New Roman"/>
                <w:color w:val="000000"/>
                <w:highlight w:val="none"/>
                <w:lang w:eastAsia="zh-CN"/>
              </w:rPr>
            </w:pPr>
            <w:r>
              <w:rPr>
                <w:rFonts w:hint="eastAsia" w:ascii="Times New Roman" w:hAnsi="Times New Roman"/>
                <w:i/>
                <w:iCs/>
                <w:sz w:val="21"/>
                <w:szCs w:val="21"/>
                <w:highlight w:val="none"/>
                <w:lang w:val="en-US" w:eastAsia="zh-CN"/>
              </w:rPr>
              <w:t>L</w:t>
            </w:r>
            <w:r>
              <w:rPr>
                <w:rFonts w:hint="eastAsia" w:ascii="Times New Roman" w:hAnsi="Times New Roman"/>
                <w:sz w:val="21"/>
                <w:szCs w:val="21"/>
                <w:highlight w:val="none"/>
                <w:vertAlign w:val="subscript"/>
                <w:lang w:val="en-US" w:eastAsia="zh-CN"/>
              </w:rPr>
              <w:t>d</w:t>
            </w:r>
            <w:r>
              <w:rPr>
                <w:rFonts w:hint="eastAsia" w:ascii="Times New Roman" w:hAnsi="Times New Roman"/>
                <w:sz w:val="21"/>
                <w:szCs w:val="21"/>
                <w:highlight w:val="none"/>
                <w:lang w:val="en-US" w:eastAsia="zh-CN"/>
              </w:rPr>
              <w:t>、</w:t>
            </w:r>
            <w:r>
              <w:rPr>
                <w:rFonts w:hint="eastAsia" w:ascii="Times New Roman" w:hAnsi="Times New Roman"/>
                <w:i/>
                <w:iCs/>
                <w:sz w:val="21"/>
                <w:szCs w:val="21"/>
                <w:highlight w:val="none"/>
                <w:lang w:val="en-US" w:eastAsia="zh-CN"/>
              </w:rPr>
              <w:t>L</w:t>
            </w:r>
            <w:r>
              <w:rPr>
                <w:rFonts w:hint="eastAsia" w:ascii="Times New Roman" w:hAnsi="Times New Roman"/>
                <w:sz w:val="21"/>
                <w:szCs w:val="21"/>
                <w:highlight w:val="none"/>
                <w:vertAlign w:val="subscript"/>
                <w:lang w:val="en-US" w:eastAsia="zh-CN"/>
              </w:rPr>
              <w:t>n</w:t>
            </w:r>
          </w:p>
        </w:tc>
      </w:tr>
      <w:tr w14:paraId="0A1A3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3FA66202">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土壤环境</w:t>
            </w:r>
          </w:p>
        </w:tc>
        <w:tc>
          <w:tcPr>
            <w:tcW w:w="676" w:type="pct"/>
            <w:vMerge w:val="restart"/>
            <w:tcBorders>
              <w:tl2br w:val="nil"/>
              <w:tr2bl w:val="nil"/>
            </w:tcBorders>
            <w:noWrap w:val="0"/>
            <w:vAlign w:val="center"/>
          </w:tcPr>
          <w:p w14:paraId="42EF738D">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b w:val="0"/>
                <w:bCs/>
                <w:color w:val="auto"/>
                <w:sz w:val="21"/>
                <w:szCs w:val="21"/>
                <w:highlight w:val="none"/>
              </w:rPr>
              <w:t>现状评价</w:t>
            </w:r>
          </w:p>
        </w:tc>
        <w:tc>
          <w:tcPr>
            <w:tcW w:w="619" w:type="pct"/>
            <w:tcBorders>
              <w:tl2br w:val="nil"/>
              <w:tr2bl w:val="nil"/>
            </w:tcBorders>
            <w:noWrap w:val="0"/>
            <w:vAlign w:val="center"/>
          </w:tcPr>
          <w:p w14:paraId="6EC3D438">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建设用地</w:t>
            </w:r>
          </w:p>
        </w:tc>
        <w:tc>
          <w:tcPr>
            <w:tcW w:w="3267" w:type="pct"/>
            <w:tcBorders>
              <w:tl2br w:val="nil"/>
              <w:tr2bl w:val="nil"/>
            </w:tcBorders>
            <w:noWrap w:val="0"/>
            <w:vAlign w:val="center"/>
          </w:tcPr>
          <w:p w14:paraId="3CEE9B71">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default" w:ascii="Times New Roman" w:hAnsi="Times New Roman" w:cs="Times New Roman"/>
                <w:sz w:val="21"/>
                <w:szCs w:val="21"/>
                <w:highlight w:val="none"/>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荧[k]蒽、䓛、二苯并[a,h]蒽、茚并[1,2,3-cd]芘、萘</w:t>
            </w:r>
            <w:r>
              <w:rPr>
                <w:rFonts w:hint="default" w:ascii="Times New Roman" w:hAnsi="Times New Roman" w:cs="Times New Roman"/>
                <w:b w:val="0"/>
                <w:bCs w:val="0"/>
                <w:color w:val="auto"/>
                <w:sz w:val="21"/>
                <w:szCs w:val="21"/>
                <w:highlight w:val="none"/>
              </w:rPr>
              <w:t>、</w:t>
            </w:r>
            <w:r>
              <w:rPr>
                <w:rFonts w:hint="eastAsia" w:ascii="Times New Roman" w:hAnsi="Times New Roman" w:cs="Times New Roman"/>
                <w:b w:val="0"/>
                <w:bCs w:val="0"/>
                <w:sz w:val="21"/>
                <w:szCs w:val="21"/>
                <w:highlight w:val="none"/>
                <w:lang w:val="en-US" w:eastAsia="zh-CN"/>
              </w:rPr>
              <w:t>钴、钒、</w:t>
            </w:r>
            <w:r>
              <w:rPr>
                <w:rFonts w:hint="default" w:ascii="Times New Roman" w:hAnsi="Times New Roman" w:cs="Times New Roman"/>
                <w:b w:val="0"/>
                <w:bCs w:val="0"/>
                <w:sz w:val="21"/>
                <w:szCs w:val="21"/>
                <w:highlight w:val="none"/>
              </w:rPr>
              <w:t>石油烃（C</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rPr>
              <w:t>-C</w:t>
            </w:r>
            <w:r>
              <w:rPr>
                <w:rFonts w:hint="default" w:ascii="Times New Roman" w:hAnsi="Times New Roman" w:cs="Times New Roman"/>
                <w:b w:val="0"/>
                <w:bCs w:val="0"/>
                <w:sz w:val="21"/>
                <w:szCs w:val="21"/>
                <w:highlight w:val="none"/>
                <w:vertAlign w:val="subscript"/>
              </w:rPr>
              <w:t>40</w:t>
            </w:r>
            <w:r>
              <w:rPr>
                <w:rFonts w:hint="default" w:ascii="Times New Roman" w:hAnsi="Times New Roman" w:cs="Times New Roman"/>
                <w:b w:val="0"/>
                <w:bCs w:val="0"/>
                <w:sz w:val="21"/>
                <w:szCs w:val="21"/>
                <w:highlight w:val="none"/>
              </w:rPr>
              <w:t>）</w:t>
            </w:r>
            <w:r>
              <w:rPr>
                <w:rFonts w:hint="eastAsia" w:ascii="Times New Roman" w:hAnsi="Times New Roman" w:cs="Times New Roman"/>
                <w:b w:val="0"/>
                <w:bCs w:val="0"/>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水溶性氟化物、氨氮</w:t>
            </w:r>
            <w:r>
              <w:rPr>
                <w:rFonts w:hint="eastAsia" w:cs="Times New Roman"/>
                <w:b w:val="0"/>
                <w:bCs w:val="0"/>
                <w:color w:val="auto"/>
                <w:sz w:val="21"/>
                <w:szCs w:val="21"/>
                <w:highlight w:val="none"/>
                <w:lang w:val="en-US" w:eastAsia="zh-CN"/>
              </w:rPr>
              <w:t>、铁、磷、钛</w:t>
            </w:r>
          </w:p>
        </w:tc>
      </w:tr>
      <w:tr w14:paraId="3F55C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6BBA4D63">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eastAsia="宋体" w:cs="Times New Roman"/>
                <w:b w:val="0"/>
                <w:bCs/>
                <w:color w:val="auto"/>
                <w:sz w:val="21"/>
                <w:szCs w:val="21"/>
                <w:highlight w:val="none"/>
              </w:rPr>
            </w:pPr>
          </w:p>
        </w:tc>
        <w:tc>
          <w:tcPr>
            <w:tcW w:w="676" w:type="pct"/>
            <w:vMerge w:val="continue"/>
            <w:tcBorders>
              <w:tl2br w:val="nil"/>
              <w:tr2bl w:val="nil"/>
            </w:tcBorders>
            <w:noWrap w:val="0"/>
            <w:vAlign w:val="center"/>
          </w:tcPr>
          <w:p w14:paraId="1A3D58EA">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eastAsia="宋体" w:cs="Times New Roman"/>
                <w:b w:val="0"/>
                <w:bCs/>
                <w:color w:val="auto"/>
                <w:sz w:val="21"/>
                <w:szCs w:val="21"/>
                <w:highlight w:val="none"/>
              </w:rPr>
            </w:pPr>
          </w:p>
        </w:tc>
        <w:tc>
          <w:tcPr>
            <w:tcW w:w="619" w:type="pct"/>
            <w:tcBorders>
              <w:tl2br w:val="nil"/>
              <w:tr2bl w:val="nil"/>
            </w:tcBorders>
            <w:noWrap w:val="0"/>
            <w:vAlign w:val="center"/>
          </w:tcPr>
          <w:p w14:paraId="21BBB77E">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农用地</w:t>
            </w:r>
          </w:p>
        </w:tc>
        <w:tc>
          <w:tcPr>
            <w:tcW w:w="3267" w:type="pct"/>
            <w:tcBorders>
              <w:tl2br w:val="nil"/>
              <w:tr2bl w:val="nil"/>
            </w:tcBorders>
            <w:noWrap w:val="0"/>
            <w:vAlign w:val="center"/>
          </w:tcPr>
          <w:p w14:paraId="56571001">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镉、汞、砷、铅、铬、铜、镍、锌</w:t>
            </w:r>
          </w:p>
        </w:tc>
      </w:tr>
      <w:tr w14:paraId="05C56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214D6590">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eastAsia="宋体" w:cs="Times New Roman"/>
                <w:b w:val="0"/>
                <w:bCs/>
                <w:color w:val="auto"/>
                <w:sz w:val="21"/>
                <w:szCs w:val="21"/>
                <w:highlight w:val="none"/>
              </w:rPr>
            </w:pPr>
          </w:p>
        </w:tc>
        <w:tc>
          <w:tcPr>
            <w:tcW w:w="676" w:type="pct"/>
            <w:tcBorders>
              <w:tl2br w:val="nil"/>
              <w:tr2bl w:val="nil"/>
            </w:tcBorders>
            <w:noWrap w:val="0"/>
            <w:vAlign w:val="center"/>
          </w:tcPr>
          <w:p w14:paraId="3C0E221A">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eastAsia="宋体" w:cs="Times New Roman"/>
                <w:b w:val="0"/>
                <w:bCs/>
                <w:color w:val="auto"/>
                <w:sz w:val="21"/>
                <w:szCs w:val="21"/>
                <w:highlight w:val="none"/>
              </w:rPr>
            </w:pPr>
            <w:r>
              <w:rPr>
                <w:rFonts w:ascii="Times New Roman"/>
                <w:b w:val="0"/>
                <w:bCs/>
                <w:color w:val="auto"/>
                <w:szCs w:val="21"/>
                <w:highlight w:val="none"/>
              </w:rPr>
              <w:t>污染源</w:t>
            </w:r>
          </w:p>
        </w:tc>
        <w:tc>
          <w:tcPr>
            <w:tcW w:w="3887" w:type="pct"/>
            <w:gridSpan w:val="2"/>
            <w:tcBorders>
              <w:tl2br w:val="nil"/>
              <w:tr2bl w:val="nil"/>
            </w:tcBorders>
            <w:noWrap w:val="0"/>
            <w:vAlign w:val="center"/>
          </w:tcPr>
          <w:p w14:paraId="72268AEC">
            <w:pPr>
              <w:pStyle w:val="161"/>
              <w:rPr>
                <w:rFonts w:hint="default" w:ascii="Times New Roman" w:hAnsi="Times New Roman" w:cs="Times New Roman"/>
                <w:b w:val="0"/>
                <w:bCs/>
                <w:color w:val="auto"/>
                <w:sz w:val="21"/>
                <w:szCs w:val="21"/>
                <w:highlight w:val="none"/>
                <w:lang w:val="en-US" w:eastAsia="zh-CN"/>
              </w:rPr>
            </w:pPr>
            <w:r>
              <w:rPr>
                <w:rFonts w:ascii="Times New Roman"/>
                <w:b w:val="0"/>
                <w:bCs/>
                <w:color w:val="auto"/>
                <w:spacing w:val="-8"/>
                <w:szCs w:val="21"/>
                <w:highlight w:val="none"/>
              </w:rPr>
              <w:t>铁</w:t>
            </w:r>
          </w:p>
        </w:tc>
      </w:tr>
      <w:tr w14:paraId="1CD23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7DE5557C">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cs="Times New Roman"/>
                <w:color w:val="auto"/>
                <w:highlight w:val="none"/>
              </w:rPr>
            </w:pPr>
          </w:p>
        </w:tc>
        <w:tc>
          <w:tcPr>
            <w:tcW w:w="676" w:type="pct"/>
            <w:tcBorders>
              <w:tl2br w:val="nil"/>
              <w:tr2bl w:val="nil"/>
            </w:tcBorders>
            <w:noWrap w:val="0"/>
            <w:vAlign w:val="center"/>
          </w:tcPr>
          <w:p w14:paraId="71C3E605">
            <w:pPr>
              <w:keepNext w:val="0"/>
              <w:keepLines w:val="0"/>
              <w:pageBreakBefore w:val="0"/>
              <w:widowControl w:val="0"/>
              <w:kinsoku/>
              <w:wordWrap/>
              <w:overflowPunct/>
              <w:topLinePunct w:val="0"/>
              <w:autoSpaceDE/>
              <w:autoSpaceDN/>
              <w:bidi w:val="0"/>
              <w:adjustRightInd w:val="0"/>
              <w:snapToGrid w:val="0"/>
              <w:spacing w:line="240" w:lineRule="auto"/>
              <w:ind w:left="7" w:leftChars="0" w:right="0" w:rightChars="0"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b w:val="0"/>
                <w:bCs/>
                <w:color w:val="auto"/>
                <w:sz w:val="21"/>
                <w:szCs w:val="21"/>
                <w:highlight w:val="none"/>
              </w:rPr>
              <w:t>影响评价</w:t>
            </w:r>
          </w:p>
        </w:tc>
        <w:tc>
          <w:tcPr>
            <w:tcW w:w="3887" w:type="pct"/>
            <w:gridSpan w:val="2"/>
            <w:tcBorders>
              <w:tl2br w:val="nil"/>
              <w:tr2bl w:val="nil"/>
            </w:tcBorders>
            <w:noWrap w:val="0"/>
            <w:vAlign w:val="center"/>
          </w:tcPr>
          <w:p w14:paraId="28593AE6">
            <w:pPr>
              <w:pStyle w:val="161"/>
              <w:rPr>
                <w:rFonts w:hint="default" w:ascii="Times New Roman" w:hAnsi="Times New Roman" w:cs="Times New Roman"/>
                <w:color w:val="auto"/>
                <w:highlight w:val="none"/>
                <w:lang w:val="en-US"/>
              </w:rPr>
            </w:pPr>
            <w:r>
              <w:rPr>
                <w:rFonts w:ascii="Times New Roman"/>
                <w:b w:val="0"/>
                <w:bCs/>
                <w:color w:val="auto"/>
                <w:spacing w:val="-8"/>
                <w:szCs w:val="21"/>
                <w:highlight w:val="none"/>
              </w:rPr>
              <w:t>铁</w:t>
            </w:r>
          </w:p>
        </w:tc>
      </w:tr>
      <w:tr w14:paraId="08ED1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08706DE8">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固体废物</w:t>
            </w:r>
          </w:p>
        </w:tc>
        <w:tc>
          <w:tcPr>
            <w:tcW w:w="676" w:type="pct"/>
            <w:tcBorders>
              <w:tl2br w:val="nil"/>
              <w:tr2bl w:val="nil"/>
            </w:tcBorders>
            <w:noWrap w:val="0"/>
            <w:vAlign w:val="center"/>
          </w:tcPr>
          <w:p w14:paraId="7DD5E80A">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污染源</w:t>
            </w:r>
          </w:p>
        </w:tc>
        <w:tc>
          <w:tcPr>
            <w:tcW w:w="3887" w:type="pct"/>
            <w:gridSpan w:val="2"/>
            <w:tcBorders>
              <w:tl2br w:val="nil"/>
              <w:tr2bl w:val="nil"/>
            </w:tcBorders>
            <w:noWrap w:val="0"/>
            <w:vAlign w:val="center"/>
          </w:tcPr>
          <w:p w14:paraId="634FAE88">
            <w:pPr>
              <w:pStyle w:val="161"/>
              <w:rPr>
                <w:rFonts w:hint="default" w:ascii="Times New Roman" w:hAnsi="Times New Roman" w:cs="Times New Roman"/>
                <w:color w:val="auto"/>
                <w:highlight w:val="none"/>
              </w:rPr>
            </w:pPr>
            <w:r>
              <w:rPr>
                <w:rFonts w:hint="eastAsia" w:cs="Times New Roman"/>
                <w:color w:val="auto"/>
                <w:highlight w:val="none"/>
                <w:lang w:val="en-US" w:eastAsia="zh-CN"/>
              </w:rPr>
              <w:t>废石</w:t>
            </w:r>
          </w:p>
        </w:tc>
      </w:tr>
      <w:tr w14:paraId="59EF1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5474C41B">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6AE5C5F6">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影响评价</w:t>
            </w:r>
          </w:p>
        </w:tc>
        <w:tc>
          <w:tcPr>
            <w:tcW w:w="3887" w:type="pct"/>
            <w:gridSpan w:val="2"/>
            <w:tcBorders>
              <w:tl2br w:val="nil"/>
              <w:tr2bl w:val="nil"/>
            </w:tcBorders>
            <w:noWrap w:val="0"/>
            <w:vAlign w:val="center"/>
          </w:tcPr>
          <w:p w14:paraId="7700BC59">
            <w:pPr>
              <w:pStyle w:val="161"/>
              <w:rPr>
                <w:rFonts w:hint="default" w:ascii="Times New Roman" w:hAnsi="Times New Roman" w:cs="Times New Roman"/>
                <w:color w:val="auto"/>
                <w:highlight w:val="none"/>
              </w:rPr>
            </w:pPr>
            <w:r>
              <w:rPr>
                <w:rFonts w:hint="eastAsia" w:cs="Times New Roman"/>
                <w:color w:val="auto"/>
                <w:highlight w:val="none"/>
                <w:lang w:val="en-US" w:eastAsia="zh-CN"/>
              </w:rPr>
              <w:t>废石</w:t>
            </w:r>
          </w:p>
        </w:tc>
      </w:tr>
      <w:tr w14:paraId="5B68D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7FF149C2">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生态环境</w:t>
            </w:r>
          </w:p>
        </w:tc>
        <w:tc>
          <w:tcPr>
            <w:tcW w:w="676" w:type="pct"/>
            <w:tcBorders>
              <w:tl2br w:val="nil"/>
              <w:tr2bl w:val="nil"/>
            </w:tcBorders>
            <w:noWrap w:val="0"/>
            <w:vAlign w:val="center"/>
          </w:tcPr>
          <w:p w14:paraId="2A2BB147">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现状调查</w:t>
            </w:r>
          </w:p>
        </w:tc>
        <w:tc>
          <w:tcPr>
            <w:tcW w:w="3887" w:type="pct"/>
            <w:gridSpan w:val="2"/>
            <w:tcBorders>
              <w:tl2br w:val="nil"/>
              <w:tr2bl w:val="nil"/>
            </w:tcBorders>
            <w:noWrap w:val="0"/>
            <w:vAlign w:val="center"/>
          </w:tcPr>
          <w:p w14:paraId="7C69B960">
            <w:pPr>
              <w:snapToGrid w:val="0"/>
              <w:spacing w:line="240" w:lineRule="auto"/>
              <w:jc w:val="center"/>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植被、野生动物、水土流失、景观、土地利用、植被覆盖度、生物量等</w:t>
            </w:r>
          </w:p>
        </w:tc>
      </w:tr>
      <w:tr w14:paraId="0538C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03E2CEFE">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1C1DE26A">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影响评价</w:t>
            </w:r>
          </w:p>
        </w:tc>
        <w:tc>
          <w:tcPr>
            <w:tcW w:w="3887" w:type="pct"/>
            <w:gridSpan w:val="2"/>
            <w:tcBorders>
              <w:tl2br w:val="nil"/>
              <w:tr2bl w:val="nil"/>
            </w:tcBorders>
            <w:noWrap w:val="0"/>
            <w:vAlign w:val="center"/>
          </w:tcPr>
          <w:p w14:paraId="371A174F">
            <w:pPr>
              <w:snapToGrid w:val="0"/>
              <w:spacing w:line="240" w:lineRule="auto"/>
              <w:jc w:val="center"/>
              <w:rPr>
                <w:rFonts w:hint="default" w:ascii="Times New Roman" w:hAnsi="Times New Roman" w:cs="Times New Roman"/>
                <w:bCs/>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植被、野生动物、水土流失、景观、土地利用、植被覆盖度、生物量等</w:t>
            </w:r>
          </w:p>
        </w:tc>
      </w:tr>
      <w:tr w14:paraId="58CE4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restart"/>
            <w:tcBorders>
              <w:tl2br w:val="nil"/>
              <w:tr2bl w:val="nil"/>
            </w:tcBorders>
            <w:noWrap w:val="0"/>
            <w:vAlign w:val="center"/>
          </w:tcPr>
          <w:p w14:paraId="0962629E">
            <w:pPr>
              <w:pStyle w:val="161"/>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highlight w:val="none"/>
              </w:rPr>
              <w:t>环境风险</w:t>
            </w:r>
          </w:p>
        </w:tc>
        <w:tc>
          <w:tcPr>
            <w:tcW w:w="676" w:type="pct"/>
            <w:tcBorders>
              <w:tl2br w:val="nil"/>
              <w:tr2bl w:val="nil"/>
            </w:tcBorders>
            <w:noWrap w:val="0"/>
            <w:vAlign w:val="center"/>
          </w:tcPr>
          <w:p w14:paraId="0094FFAD">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风险识别</w:t>
            </w:r>
          </w:p>
        </w:tc>
        <w:tc>
          <w:tcPr>
            <w:tcW w:w="3887" w:type="pct"/>
            <w:gridSpan w:val="2"/>
            <w:vMerge w:val="restart"/>
            <w:tcBorders>
              <w:tl2br w:val="nil"/>
              <w:tr2bl w:val="nil"/>
            </w:tcBorders>
            <w:noWrap w:val="0"/>
            <w:vAlign w:val="center"/>
          </w:tcPr>
          <w:p w14:paraId="6CA5704C">
            <w:pPr>
              <w:pStyle w:val="310"/>
              <w:rPr>
                <w:rFonts w:hint="default" w:ascii="Times New Roman" w:hAnsi="Times New Roman" w:eastAsia="宋体" w:cs="Times New Roman"/>
                <w:bCs w:val="0"/>
                <w:color w:val="000000"/>
                <w:kern w:val="0"/>
                <w:sz w:val="21"/>
                <w:szCs w:val="21"/>
                <w:highlight w:val="none"/>
                <w:lang w:val="en-US" w:eastAsia="zh-CN" w:bidi="ar-SA"/>
              </w:rPr>
            </w:pPr>
            <w:r>
              <w:rPr>
                <w:rFonts w:hint="eastAsia" w:ascii="Times New Roman" w:hAnsi="Times New Roman" w:eastAsia="宋体" w:cs="Times New Roman"/>
                <w:bCs w:val="0"/>
                <w:color w:val="000000"/>
                <w:highlight w:val="none"/>
                <w:lang w:val="en-US" w:eastAsia="zh-CN"/>
              </w:rPr>
              <w:t>/</w:t>
            </w:r>
          </w:p>
        </w:tc>
      </w:tr>
      <w:tr w14:paraId="6E78B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5" w:type="pct"/>
            <w:vMerge w:val="continue"/>
            <w:tcBorders>
              <w:tl2br w:val="nil"/>
              <w:tr2bl w:val="nil"/>
            </w:tcBorders>
            <w:noWrap w:val="0"/>
            <w:vAlign w:val="center"/>
          </w:tcPr>
          <w:p w14:paraId="0B5F9A82">
            <w:pPr>
              <w:pStyle w:val="161"/>
              <w:rPr>
                <w:rFonts w:hint="default" w:ascii="Times New Roman" w:hAnsi="Times New Roman" w:cs="Times New Roman"/>
                <w:color w:val="000000"/>
                <w:highlight w:val="none"/>
              </w:rPr>
            </w:pPr>
          </w:p>
        </w:tc>
        <w:tc>
          <w:tcPr>
            <w:tcW w:w="676" w:type="pct"/>
            <w:tcBorders>
              <w:tl2br w:val="nil"/>
              <w:tr2bl w:val="nil"/>
            </w:tcBorders>
            <w:noWrap w:val="0"/>
            <w:vAlign w:val="center"/>
          </w:tcPr>
          <w:p w14:paraId="557CADCC">
            <w:pPr>
              <w:pStyle w:val="161"/>
              <w:rPr>
                <w:rFonts w:hint="default" w:ascii="Times New Roman" w:hAnsi="Times New Roman" w:cs="Times New Roman"/>
                <w:color w:val="000000"/>
                <w:highlight w:val="none"/>
              </w:rPr>
            </w:pPr>
            <w:r>
              <w:rPr>
                <w:rFonts w:hint="default" w:ascii="Times New Roman" w:hAnsi="Times New Roman" w:cs="Times New Roman"/>
                <w:color w:val="000000"/>
                <w:highlight w:val="none"/>
              </w:rPr>
              <w:t>风险评价</w:t>
            </w:r>
          </w:p>
        </w:tc>
        <w:tc>
          <w:tcPr>
            <w:tcW w:w="3887" w:type="pct"/>
            <w:gridSpan w:val="2"/>
            <w:vMerge w:val="continue"/>
            <w:tcBorders>
              <w:tl2br w:val="nil"/>
              <w:tr2bl w:val="nil"/>
            </w:tcBorders>
            <w:noWrap w:val="0"/>
            <w:vAlign w:val="center"/>
          </w:tcPr>
          <w:p w14:paraId="1586E040">
            <w:pPr>
              <w:pStyle w:val="310"/>
              <w:rPr>
                <w:rFonts w:hint="default" w:ascii="Times New Roman" w:hAnsi="Times New Roman" w:cs="Times New Roman"/>
                <w:bCs w:val="0"/>
                <w:color w:val="000000"/>
                <w:highlight w:val="none"/>
              </w:rPr>
            </w:pPr>
          </w:p>
        </w:tc>
      </w:tr>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tbl>
    <w:p w14:paraId="36373DD4">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cs="Times New Roman"/>
          <w:color w:val="000000"/>
          <w:sz w:val="28"/>
          <w:szCs w:val="28"/>
          <w:highlight w:val="none"/>
        </w:rPr>
      </w:pPr>
      <w:bookmarkStart w:id="109" w:name="_Toc2449"/>
      <w:bookmarkStart w:id="110" w:name="_Toc8381"/>
      <w:bookmarkStart w:id="111" w:name="_Toc14710"/>
      <w:bookmarkStart w:id="112" w:name="_Toc21658"/>
      <w:bookmarkStart w:id="113" w:name="_Toc658"/>
      <w:r>
        <w:rPr>
          <w:rFonts w:hint="default" w:ascii="Times New Roman" w:hAnsi="Times New Roman" w:cs="Times New Roman"/>
          <w:color w:val="000000"/>
          <w:sz w:val="28"/>
          <w:szCs w:val="28"/>
          <w:highlight w:val="none"/>
        </w:rPr>
        <w:t>环境</w:t>
      </w:r>
      <w:r>
        <w:rPr>
          <w:rFonts w:hint="default" w:ascii="Times New Roman" w:hAnsi="Times New Roman" w:eastAsia="宋体" w:cs="Times New Roman"/>
          <w:b/>
          <w:color w:val="000000"/>
          <w:sz w:val="28"/>
          <w:szCs w:val="28"/>
          <w:highlight w:val="none"/>
        </w:rPr>
        <w:t>影响</w:t>
      </w:r>
      <w:r>
        <w:rPr>
          <w:rFonts w:hint="default" w:ascii="Times New Roman" w:hAnsi="Times New Roman" w:cs="Times New Roman"/>
          <w:color w:val="000000"/>
          <w:sz w:val="28"/>
          <w:szCs w:val="28"/>
          <w:highlight w:val="none"/>
        </w:rPr>
        <w:t>评价等级</w:t>
      </w:r>
      <w:bookmarkEnd w:id="109"/>
      <w:bookmarkEnd w:id="110"/>
      <w:r>
        <w:rPr>
          <w:rFonts w:hint="eastAsia" w:ascii="Times New Roman" w:hAnsi="Times New Roman" w:cs="Times New Roman"/>
          <w:color w:val="000000"/>
          <w:sz w:val="28"/>
          <w:szCs w:val="28"/>
          <w:highlight w:val="none"/>
          <w:lang w:val="en-US" w:eastAsia="zh-CN"/>
        </w:rPr>
        <w:t>与评价范围</w:t>
      </w:r>
      <w:bookmarkEnd w:id="111"/>
      <w:bookmarkEnd w:id="112"/>
      <w:bookmarkEnd w:id="113"/>
    </w:p>
    <w:p w14:paraId="7E1A1161">
      <w:pPr>
        <w:pStyle w:val="6"/>
        <w:pageBreakBefore w:val="0"/>
        <w:widowControl w:val="0"/>
        <w:kinsoku/>
        <w:wordWrap/>
        <w:overflowPunct/>
        <w:autoSpaceDE/>
        <w:autoSpaceDN/>
        <w:bidi w:val="0"/>
        <w:spacing w:before="0" w:beforeLines="0" w:line="360" w:lineRule="auto"/>
        <w:textAlignment w:val="auto"/>
        <w:rPr>
          <w:rFonts w:hint="default"/>
          <w:highlight w:val="none"/>
        </w:rPr>
      </w:pPr>
      <w:bookmarkStart w:id="114" w:name="_Toc31846"/>
      <w:r>
        <w:rPr>
          <w:rFonts w:hint="default"/>
          <w:highlight w:val="none"/>
        </w:rPr>
        <w:t>大气环境</w:t>
      </w:r>
      <w:bookmarkEnd w:id="114"/>
    </w:p>
    <w:p w14:paraId="3A851892">
      <w:pPr>
        <w:wordWrap w:val="0"/>
        <w:spacing w:line="360" w:lineRule="auto"/>
        <w:ind w:firstLine="480"/>
        <w:rPr>
          <w:rFonts w:ascii="Times New Roman" w:hAnsi="Times New Roman"/>
          <w:snapToGrid w:val="0"/>
          <w:color w:val="auto"/>
          <w:kern w:val="0"/>
          <w:highlight w:val="none"/>
        </w:rPr>
      </w:pPr>
      <w:r>
        <w:rPr>
          <w:rFonts w:ascii="Times New Roman" w:hAnsi="Times New Roman"/>
          <w:snapToGrid w:val="0"/>
          <w:color w:val="auto"/>
          <w:kern w:val="0"/>
          <w:sz w:val="24"/>
          <w:szCs w:val="24"/>
          <w:highlight w:val="none"/>
        </w:rPr>
        <w:t>根据《环境影响评价技术导则 大气环境HJ2.2-2018》，大气环境影响评价工作程序进行评价。选择项目污染源正常排放的主要污染物及排放参数，采用《环境影响评价技术导则 大气环境HJ2.2-2018》附录A推荐模型中估算模型分别计算项目污染源的最大环境影响，然后按评价工作分级判据进行分级。</w:t>
      </w:r>
    </w:p>
    <w:p w14:paraId="6919147C">
      <w:pPr>
        <w:pageBreakBefore w:val="0"/>
        <w:widowControl w:val="0"/>
        <w:kinsoku/>
        <w:wordWrap/>
        <w:overflowPunct/>
        <w:autoSpaceDE/>
        <w:autoSpaceDN/>
        <w:bidi w:val="0"/>
        <w:spacing w:line="360" w:lineRule="auto"/>
        <w:ind w:firstLine="482" w:firstLineChars="200"/>
        <w:textAlignment w:val="auto"/>
        <w:rPr>
          <w:rFonts w:hint="default" w:ascii="Times New Roman" w:hAnsi="Times New Roman" w:cs="Times New Roman"/>
          <w:b/>
          <w:bCs/>
          <w:color w:val="000000"/>
          <w:kern w:val="0"/>
          <w:sz w:val="24"/>
          <w:szCs w:val="24"/>
          <w:highlight w:val="none"/>
        </w:rPr>
      </w:pPr>
      <w:r>
        <w:rPr>
          <w:rFonts w:ascii="Times New Roman" w:hAnsi="Times New Roman"/>
          <w:b/>
          <w:bCs/>
          <w:color w:val="auto"/>
          <w:sz w:val="24"/>
          <w:szCs w:val="24"/>
          <w:highlight w:val="none"/>
        </w:rPr>
        <w:t>（1）预测因子及源强</w:t>
      </w:r>
    </w:p>
    <w:p w14:paraId="4453AD50">
      <w:pPr>
        <w:pageBreakBefore w:val="0"/>
        <w:widowControl w:val="0"/>
        <w:kinsoku/>
        <w:wordWrap/>
        <w:overflowPunct/>
        <w:autoSpaceDE/>
        <w:autoSpaceDN/>
        <w:bidi w:val="0"/>
        <w:spacing w:line="360" w:lineRule="auto"/>
        <w:ind w:firstLine="480" w:firstLineChars="200"/>
        <w:textAlignment w:val="auto"/>
        <w:rPr>
          <w:rFonts w:hint="eastAsia"/>
          <w:color w:val="auto"/>
          <w:sz w:val="24"/>
          <w:szCs w:val="32"/>
          <w:highlight w:val="none"/>
          <w:lang w:eastAsia="zh-CN"/>
        </w:rPr>
      </w:pPr>
      <w:r>
        <w:rPr>
          <w:rFonts w:ascii="Times New Roman" w:hAnsi="Times New Roman"/>
          <w:color w:val="auto"/>
          <w:sz w:val="24"/>
          <w:szCs w:val="32"/>
          <w:highlight w:val="none"/>
        </w:rPr>
        <w:t>根据工程分析各污染源的基本分布状况及排放特征，项目生产运行阶段废气为</w:t>
      </w:r>
      <w:r>
        <w:rPr>
          <w:rFonts w:hint="eastAsia" w:cs="Times New Roman"/>
          <w:color w:val="auto"/>
          <w:kern w:val="0"/>
          <w:sz w:val="24"/>
          <w:szCs w:val="21"/>
          <w:highlight w:val="none"/>
          <w:lang w:val="en-US" w:eastAsia="zh-CN"/>
        </w:rPr>
        <w:t>运输扬尘、堆存扬尘、封场覆土扬尘</w:t>
      </w:r>
      <w:r>
        <w:rPr>
          <w:rFonts w:hint="eastAsia" w:ascii="Times New Roman" w:hAnsi="Times New Roman" w:cs="Times New Roman"/>
          <w:color w:val="auto"/>
          <w:kern w:val="0"/>
          <w:sz w:val="24"/>
          <w:szCs w:val="21"/>
          <w:highlight w:val="none"/>
          <w:lang w:val="en-US" w:eastAsia="zh-CN"/>
        </w:rPr>
        <w:t>，污染因子为TSP、PM</w:t>
      </w:r>
      <w:r>
        <w:rPr>
          <w:rFonts w:hint="eastAsia" w:ascii="Times New Roman" w:hAnsi="Times New Roman" w:cs="Times New Roman"/>
          <w:color w:val="auto"/>
          <w:kern w:val="0"/>
          <w:sz w:val="24"/>
          <w:szCs w:val="21"/>
          <w:highlight w:val="none"/>
          <w:vertAlign w:val="subscript"/>
          <w:lang w:val="en-US" w:eastAsia="zh-CN"/>
        </w:rPr>
        <w:t>10</w:t>
      </w:r>
      <w:r>
        <w:rPr>
          <w:rFonts w:hint="eastAsia"/>
          <w:color w:val="auto"/>
          <w:sz w:val="24"/>
          <w:szCs w:val="32"/>
          <w:highlight w:val="none"/>
          <w:lang w:eastAsia="zh-CN"/>
        </w:rPr>
        <w:t>，</w:t>
      </w:r>
      <w:r>
        <w:rPr>
          <w:rFonts w:ascii="Times New Roman" w:hAnsi="Times New Roman"/>
          <w:color w:val="auto"/>
          <w:sz w:val="24"/>
          <w:szCs w:val="32"/>
          <w:highlight w:val="none"/>
        </w:rPr>
        <w:t>故选取预测因子</w:t>
      </w:r>
      <w:r>
        <w:rPr>
          <w:rFonts w:hint="eastAsia" w:ascii="Times New Roman" w:hAnsi="Times New Roman"/>
          <w:color w:val="auto"/>
          <w:sz w:val="24"/>
          <w:szCs w:val="32"/>
          <w:highlight w:val="none"/>
          <w:lang w:val="en-US" w:eastAsia="zh-CN"/>
        </w:rPr>
        <w:t>为</w:t>
      </w:r>
      <w:r>
        <w:rPr>
          <w:rFonts w:ascii="Times New Roman" w:hAnsi="Times New Roman"/>
          <w:color w:val="auto"/>
          <w:sz w:val="24"/>
          <w:szCs w:val="32"/>
          <w:highlight w:val="none"/>
        </w:rPr>
        <w:t>TSP、PM</w:t>
      </w:r>
      <w:r>
        <w:rPr>
          <w:rFonts w:ascii="Times New Roman" w:hAnsi="Times New Roman"/>
          <w:color w:val="auto"/>
          <w:sz w:val="24"/>
          <w:szCs w:val="32"/>
          <w:highlight w:val="none"/>
          <w:vertAlign w:val="subscript"/>
        </w:rPr>
        <w:t>10</w:t>
      </w:r>
      <w:r>
        <w:rPr>
          <w:rFonts w:ascii="Times New Roman" w:hAnsi="Times New Roman"/>
          <w:color w:val="auto"/>
          <w:sz w:val="24"/>
          <w:szCs w:val="32"/>
          <w:highlight w:val="none"/>
        </w:rPr>
        <w:t>。</w:t>
      </w:r>
      <w:r>
        <w:rPr>
          <w:rFonts w:ascii="Times New Roman"/>
          <w:snapToGrid w:val="0"/>
          <w:color w:val="auto"/>
          <w:sz w:val="24"/>
          <w:szCs w:val="24"/>
          <w:highlight w:val="none"/>
        </w:rPr>
        <w:t>其中</w:t>
      </w:r>
      <w:r>
        <w:rPr>
          <w:rFonts w:hint="eastAsia" w:ascii="Times New Roman"/>
          <w:snapToGrid w:val="0"/>
          <w:color w:val="auto"/>
          <w:sz w:val="24"/>
          <w:szCs w:val="24"/>
          <w:highlight w:val="none"/>
        </w:rPr>
        <w:t>排土场</w:t>
      </w:r>
      <w:r>
        <w:rPr>
          <w:rFonts w:ascii="Times New Roman"/>
          <w:snapToGrid w:val="0"/>
          <w:color w:val="auto"/>
          <w:sz w:val="24"/>
          <w:szCs w:val="24"/>
          <w:highlight w:val="none"/>
        </w:rPr>
        <w:t>堆场扬尘为主要污染物，故本次评价大气环境影响评价选取</w:t>
      </w:r>
      <w:r>
        <w:rPr>
          <w:rFonts w:hint="eastAsia" w:ascii="Times New Roman"/>
          <w:snapToGrid w:val="0"/>
          <w:color w:val="auto"/>
          <w:sz w:val="24"/>
          <w:szCs w:val="24"/>
          <w:highlight w:val="none"/>
        </w:rPr>
        <w:t>排土场</w:t>
      </w:r>
      <w:r>
        <w:rPr>
          <w:rFonts w:ascii="Times New Roman"/>
          <w:snapToGrid w:val="0"/>
          <w:color w:val="auto"/>
          <w:sz w:val="24"/>
          <w:szCs w:val="24"/>
          <w:highlight w:val="none"/>
        </w:rPr>
        <w:t>堆场扬尘进行估算及等级判定。</w:t>
      </w:r>
      <w:r>
        <w:rPr>
          <w:rFonts w:hint="eastAsia"/>
          <w:snapToGrid w:val="0"/>
          <w:color w:val="auto"/>
          <w:sz w:val="24"/>
          <w:szCs w:val="24"/>
          <w:highlight w:val="none"/>
          <w:lang w:val="en-US" w:eastAsia="zh-CN"/>
        </w:rPr>
        <w:t>根据排土场所在区域地形地貌，及各平台堆存面，排土场堆至808m标高形成的平台面积最大，长度、宽度分别为580m、270m，堆积高度为118m。</w:t>
      </w:r>
      <w:r>
        <w:rPr>
          <w:rFonts w:ascii="Times New Roman" w:hAnsi="Times New Roman"/>
          <w:color w:val="auto"/>
          <w:sz w:val="24"/>
          <w:szCs w:val="32"/>
          <w:highlight w:val="none"/>
        </w:rPr>
        <w:t>本项目无组织面源参数调查清单见下表</w:t>
      </w:r>
      <w:r>
        <w:rPr>
          <w:rFonts w:hint="eastAsia"/>
          <w:color w:val="auto"/>
          <w:sz w:val="24"/>
          <w:szCs w:val="32"/>
          <w:highlight w:val="none"/>
          <w:lang w:eastAsia="zh-CN"/>
        </w:rPr>
        <w:t>。</w:t>
      </w:r>
    </w:p>
    <w:p w14:paraId="4AA92DD6">
      <w:pPr>
        <w:pageBreakBefore w:val="0"/>
        <w:widowControl w:val="0"/>
        <w:kinsoku/>
        <w:wordWrap/>
        <w:overflowPunct/>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p>
    <w:p w14:paraId="0BEE72C9">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color w:val="000000"/>
          <w:szCs w:val="21"/>
          <w:highlight w:val="none"/>
        </w:rPr>
      </w:pPr>
      <w:r>
        <w:rPr>
          <w:rStyle w:val="152"/>
          <w:rFonts w:hint="default" w:ascii="Times New Roman" w:hAnsi="Times New Roman" w:eastAsia="宋体" w:cs="Times New Roman"/>
          <w:color w:val="000000"/>
          <w:szCs w:val="21"/>
          <w:highlight w:val="none"/>
        </w:rPr>
        <w:t>无组织面源参数调查清单</w:t>
      </w:r>
    </w:p>
    <w:tbl>
      <w:tblPr>
        <w:tblStyle w:val="58"/>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96"/>
        <w:gridCol w:w="675"/>
        <w:gridCol w:w="990"/>
        <w:gridCol w:w="1005"/>
        <w:gridCol w:w="671"/>
        <w:gridCol w:w="619"/>
        <w:gridCol w:w="555"/>
        <w:gridCol w:w="810"/>
        <w:gridCol w:w="683"/>
        <w:gridCol w:w="786"/>
        <w:gridCol w:w="567"/>
        <w:gridCol w:w="563"/>
        <w:gridCol w:w="8"/>
      </w:tblGrid>
      <w:tr w14:paraId="540406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49" w:type="pct"/>
            <w:vMerge w:val="restart"/>
            <w:tcBorders>
              <w:top w:val="single" w:color="auto" w:sz="4" w:space="0"/>
              <w:left w:val="single" w:color="auto" w:sz="4" w:space="0"/>
              <w:bottom w:val="single" w:color="auto" w:sz="4" w:space="0"/>
              <w:right w:val="single" w:color="auto" w:sz="4" w:space="0"/>
            </w:tcBorders>
            <w:noWrap/>
            <w:vAlign w:val="center"/>
          </w:tcPr>
          <w:p w14:paraId="00B7532B">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序号</w:t>
            </w:r>
          </w:p>
        </w:tc>
        <w:tc>
          <w:tcPr>
            <w:tcW w:w="395" w:type="pct"/>
            <w:vMerge w:val="restart"/>
            <w:tcBorders>
              <w:top w:val="single" w:color="auto" w:sz="4" w:space="0"/>
              <w:left w:val="single" w:color="auto" w:sz="4" w:space="0"/>
              <w:bottom w:val="single" w:color="auto" w:sz="4" w:space="0"/>
              <w:right w:val="single" w:color="auto" w:sz="4" w:space="0"/>
            </w:tcBorders>
            <w:noWrap/>
            <w:vAlign w:val="center"/>
          </w:tcPr>
          <w:p w14:paraId="68158440">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污染源名称</w:t>
            </w:r>
          </w:p>
        </w:tc>
        <w:tc>
          <w:tcPr>
            <w:tcW w:w="1169" w:type="pct"/>
            <w:gridSpan w:val="2"/>
            <w:tcBorders>
              <w:top w:val="single" w:color="auto" w:sz="4" w:space="0"/>
              <w:left w:val="single" w:color="auto" w:sz="4" w:space="0"/>
              <w:bottom w:val="single" w:color="auto" w:sz="4" w:space="0"/>
              <w:right w:val="single" w:color="auto" w:sz="4" w:space="0"/>
            </w:tcBorders>
            <w:noWrap/>
            <w:vAlign w:val="center"/>
          </w:tcPr>
          <w:p w14:paraId="6158ECF9">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面源起点坐标/m</w:t>
            </w:r>
          </w:p>
        </w:tc>
        <w:tc>
          <w:tcPr>
            <w:tcW w:w="393" w:type="pct"/>
            <w:vMerge w:val="restart"/>
            <w:tcBorders>
              <w:top w:val="single" w:color="auto" w:sz="4" w:space="0"/>
              <w:left w:val="single" w:color="auto" w:sz="4" w:space="0"/>
              <w:bottom w:val="single" w:color="auto" w:sz="4" w:space="0"/>
              <w:right w:val="single" w:color="auto" w:sz="4" w:space="0"/>
            </w:tcBorders>
            <w:noWrap w:val="0"/>
            <w:vAlign w:val="center"/>
          </w:tcPr>
          <w:p w14:paraId="18EABBFC">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面源海拔高度/m</w:t>
            </w:r>
          </w:p>
        </w:tc>
        <w:tc>
          <w:tcPr>
            <w:tcW w:w="362" w:type="pct"/>
            <w:vMerge w:val="restart"/>
            <w:tcBorders>
              <w:top w:val="single" w:color="auto" w:sz="4" w:space="0"/>
              <w:left w:val="single" w:color="auto" w:sz="4" w:space="0"/>
              <w:bottom w:val="single" w:color="auto" w:sz="4" w:space="0"/>
              <w:right w:val="single" w:color="auto" w:sz="4" w:space="0"/>
            </w:tcBorders>
            <w:noWrap/>
            <w:vAlign w:val="center"/>
          </w:tcPr>
          <w:p w14:paraId="4F26E95E">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面源长度/m</w:t>
            </w:r>
          </w:p>
        </w:tc>
        <w:tc>
          <w:tcPr>
            <w:tcW w:w="325" w:type="pct"/>
            <w:vMerge w:val="restart"/>
            <w:tcBorders>
              <w:top w:val="single" w:color="auto" w:sz="4" w:space="0"/>
              <w:left w:val="single" w:color="auto" w:sz="4" w:space="0"/>
              <w:bottom w:val="single" w:color="auto" w:sz="4" w:space="0"/>
              <w:right w:val="single" w:color="auto" w:sz="4" w:space="0"/>
            </w:tcBorders>
            <w:noWrap/>
            <w:vAlign w:val="center"/>
          </w:tcPr>
          <w:p w14:paraId="6169D406">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面源宽度/m</w:t>
            </w:r>
          </w:p>
        </w:tc>
        <w:tc>
          <w:tcPr>
            <w:tcW w:w="474" w:type="pct"/>
            <w:vMerge w:val="restart"/>
            <w:tcBorders>
              <w:top w:val="single" w:color="auto" w:sz="4" w:space="0"/>
              <w:left w:val="single" w:color="auto" w:sz="4" w:space="0"/>
              <w:bottom w:val="single" w:color="auto" w:sz="4" w:space="0"/>
              <w:right w:val="single" w:color="auto" w:sz="4" w:space="0"/>
            </w:tcBorders>
            <w:noWrap w:val="0"/>
            <w:vAlign w:val="center"/>
          </w:tcPr>
          <w:p w14:paraId="2609548F">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面源有效排放高度/m</w:t>
            </w:r>
          </w:p>
        </w:tc>
        <w:tc>
          <w:tcPr>
            <w:tcW w:w="400" w:type="pct"/>
            <w:vMerge w:val="restart"/>
            <w:tcBorders>
              <w:top w:val="single" w:color="auto" w:sz="4" w:space="0"/>
              <w:left w:val="single" w:color="auto" w:sz="4" w:space="0"/>
              <w:bottom w:val="single" w:color="auto" w:sz="4" w:space="0"/>
              <w:right w:val="single" w:color="auto" w:sz="4" w:space="0"/>
            </w:tcBorders>
            <w:noWrap w:val="0"/>
            <w:vAlign w:val="center"/>
          </w:tcPr>
          <w:p w14:paraId="7BC56A4A">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年排放小时数/h</w:t>
            </w:r>
          </w:p>
        </w:tc>
        <w:tc>
          <w:tcPr>
            <w:tcW w:w="460" w:type="pct"/>
            <w:vMerge w:val="restart"/>
            <w:tcBorders>
              <w:top w:val="single" w:color="auto" w:sz="4" w:space="0"/>
              <w:left w:val="single" w:color="auto" w:sz="4" w:space="0"/>
              <w:bottom w:val="single" w:color="auto" w:sz="4" w:space="0"/>
              <w:right w:val="single" w:color="auto" w:sz="4" w:space="0"/>
            </w:tcBorders>
            <w:noWrap/>
            <w:vAlign w:val="center"/>
          </w:tcPr>
          <w:p w14:paraId="7E6BFF44">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排放工况</w:t>
            </w:r>
          </w:p>
        </w:tc>
        <w:tc>
          <w:tcPr>
            <w:tcW w:w="667" w:type="pct"/>
            <w:gridSpan w:val="3"/>
            <w:tcBorders>
              <w:top w:val="single" w:color="auto" w:sz="4" w:space="0"/>
              <w:left w:val="single" w:color="auto" w:sz="4" w:space="0"/>
              <w:bottom w:val="single" w:color="auto" w:sz="4" w:space="0"/>
              <w:right w:val="single" w:color="auto" w:sz="4" w:space="0"/>
            </w:tcBorders>
            <w:noWrap/>
            <w:vAlign w:val="center"/>
          </w:tcPr>
          <w:p w14:paraId="13A1A71E">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排放速率/kg/h</w:t>
            </w:r>
          </w:p>
        </w:tc>
      </w:tr>
      <w:tr w14:paraId="4D809D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4" w:type="pct"/>
          <w:trHeight w:val="397" w:hRule="atLeast"/>
        </w:trPr>
        <w:tc>
          <w:tcPr>
            <w:tcW w:w="349" w:type="pct"/>
            <w:vMerge w:val="continue"/>
            <w:tcBorders>
              <w:top w:val="single" w:color="auto" w:sz="4" w:space="0"/>
              <w:left w:val="single" w:color="auto" w:sz="4" w:space="0"/>
              <w:bottom w:val="single" w:color="auto" w:sz="4" w:space="0"/>
              <w:right w:val="single" w:color="auto" w:sz="4" w:space="0"/>
            </w:tcBorders>
            <w:noWrap/>
            <w:vAlign w:val="center"/>
          </w:tcPr>
          <w:p w14:paraId="567D9B2E">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395" w:type="pct"/>
            <w:vMerge w:val="continue"/>
            <w:tcBorders>
              <w:top w:val="single" w:color="auto" w:sz="4" w:space="0"/>
              <w:left w:val="single" w:color="auto" w:sz="4" w:space="0"/>
              <w:bottom w:val="single" w:color="auto" w:sz="4" w:space="0"/>
              <w:right w:val="single" w:color="auto" w:sz="4" w:space="0"/>
            </w:tcBorders>
            <w:noWrap/>
            <w:vAlign w:val="center"/>
          </w:tcPr>
          <w:p w14:paraId="6E67A655">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580" w:type="pct"/>
            <w:tcBorders>
              <w:top w:val="single" w:color="auto" w:sz="4" w:space="0"/>
              <w:left w:val="single" w:color="auto" w:sz="4" w:space="0"/>
              <w:bottom w:val="single" w:color="auto" w:sz="4" w:space="0"/>
              <w:right w:val="single" w:color="auto" w:sz="4" w:space="0"/>
            </w:tcBorders>
            <w:noWrap/>
            <w:vAlign w:val="center"/>
          </w:tcPr>
          <w:p w14:paraId="5075B6D1">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X</w:t>
            </w:r>
          </w:p>
        </w:tc>
        <w:tc>
          <w:tcPr>
            <w:tcW w:w="589" w:type="pct"/>
            <w:tcBorders>
              <w:top w:val="single" w:color="auto" w:sz="4" w:space="0"/>
              <w:left w:val="single" w:color="auto" w:sz="4" w:space="0"/>
              <w:bottom w:val="single" w:color="auto" w:sz="4" w:space="0"/>
              <w:right w:val="single" w:color="auto" w:sz="4" w:space="0"/>
            </w:tcBorders>
            <w:noWrap/>
            <w:vAlign w:val="center"/>
          </w:tcPr>
          <w:p w14:paraId="75BA1AD9">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r>
              <w:rPr>
                <w:rFonts w:hint="default" w:ascii="Times New Roman" w:hAnsi="Times New Roman" w:cs="Times New Roman"/>
                <w:b/>
                <w:bCs/>
                <w:color w:val="auto"/>
                <w:spacing w:val="-17"/>
                <w:kern w:val="0"/>
                <w:sz w:val="21"/>
                <w:szCs w:val="16"/>
                <w:highlight w:val="none"/>
              </w:rPr>
              <w:t>Y</w:t>
            </w:r>
          </w:p>
        </w:tc>
        <w:tc>
          <w:tcPr>
            <w:tcW w:w="393" w:type="pct"/>
            <w:vMerge w:val="continue"/>
            <w:tcBorders>
              <w:top w:val="single" w:color="auto" w:sz="4" w:space="0"/>
              <w:left w:val="single" w:color="auto" w:sz="4" w:space="0"/>
              <w:bottom w:val="single" w:color="auto" w:sz="4" w:space="0"/>
              <w:right w:val="single" w:color="auto" w:sz="4" w:space="0"/>
            </w:tcBorders>
            <w:noWrap w:val="0"/>
            <w:vAlign w:val="center"/>
          </w:tcPr>
          <w:p w14:paraId="319814DE">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362" w:type="pct"/>
            <w:vMerge w:val="continue"/>
            <w:tcBorders>
              <w:top w:val="single" w:color="auto" w:sz="4" w:space="0"/>
              <w:left w:val="single" w:color="auto" w:sz="4" w:space="0"/>
              <w:bottom w:val="single" w:color="auto" w:sz="4" w:space="0"/>
              <w:right w:val="single" w:color="auto" w:sz="4" w:space="0"/>
            </w:tcBorders>
            <w:noWrap/>
            <w:vAlign w:val="center"/>
          </w:tcPr>
          <w:p w14:paraId="33389673">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325" w:type="pct"/>
            <w:vMerge w:val="continue"/>
            <w:tcBorders>
              <w:top w:val="single" w:color="auto" w:sz="4" w:space="0"/>
              <w:left w:val="single" w:color="auto" w:sz="4" w:space="0"/>
              <w:bottom w:val="single" w:color="auto" w:sz="4" w:space="0"/>
              <w:right w:val="single" w:color="auto" w:sz="4" w:space="0"/>
            </w:tcBorders>
            <w:noWrap/>
            <w:vAlign w:val="center"/>
          </w:tcPr>
          <w:p w14:paraId="6A26DC6A">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474" w:type="pct"/>
            <w:vMerge w:val="continue"/>
            <w:tcBorders>
              <w:top w:val="single" w:color="auto" w:sz="4" w:space="0"/>
              <w:left w:val="single" w:color="auto" w:sz="4" w:space="0"/>
              <w:bottom w:val="single" w:color="auto" w:sz="4" w:space="0"/>
              <w:right w:val="single" w:color="auto" w:sz="4" w:space="0"/>
            </w:tcBorders>
            <w:noWrap w:val="0"/>
            <w:vAlign w:val="center"/>
          </w:tcPr>
          <w:p w14:paraId="109935D8">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400" w:type="pct"/>
            <w:vMerge w:val="continue"/>
            <w:tcBorders>
              <w:top w:val="single" w:color="auto" w:sz="4" w:space="0"/>
              <w:left w:val="single" w:color="auto" w:sz="4" w:space="0"/>
              <w:bottom w:val="single" w:color="auto" w:sz="4" w:space="0"/>
              <w:right w:val="single" w:color="auto" w:sz="4" w:space="0"/>
            </w:tcBorders>
            <w:noWrap w:val="0"/>
            <w:vAlign w:val="center"/>
          </w:tcPr>
          <w:p w14:paraId="5BBF8069">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460" w:type="pct"/>
            <w:vMerge w:val="continue"/>
            <w:tcBorders>
              <w:top w:val="single" w:color="auto" w:sz="4" w:space="0"/>
              <w:left w:val="single" w:color="auto" w:sz="4" w:space="0"/>
              <w:bottom w:val="single" w:color="auto" w:sz="4" w:space="0"/>
              <w:right w:val="single" w:color="auto" w:sz="4" w:space="0"/>
            </w:tcBorders>
            <w:noWrap/>
            <w:vAlign w:val="center"/>
          </w:tcPr>
          <w:p w14:paraId="0F767AD1">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16"/>
                <w:highlight w:val="none"/>
              </w:rPr>
            </w:pPr>
          </w:p>
        </w:tc>
        <w:tc>
          <w:tcPr>
            <w:tcW w:w="332" w:type="pct"/>
            <w:tcBorders>
              <w:top w:val="single" w:color="auto" w:sz="4" w:space="0"/>
              <w:left w:val="single" w:color="auto" w:sz="4" w:space="0"/>
              <w:bottom w:val="single" w:color="auto" w:sz="4" w:space="0"/>
              <w:right w:val="single" w:color="auto" w:sz="4" w:space="0"/>
            </w:tcBorders>
            <w:noWrap/>
            <w:vAlign w:val="center"/>
          </w:tcPr>
          <w:p w14:paraId="439F85E7">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21"/>
                <w:highlight w:val="none"/>
              </w:rPr>
            </w:pPr>
            <w:r>
              <w:rPr>
                <w:rFonts w:hint="default" w:ascii="Times New Roman" w:hAnsi="Times New Roman" w:cs="Times New Roman"/>
                <w:b/>
                <w:bCs/>
                <w:color w:val="auto"/>
                <w:spacing w:val="-17"/>
                <w:kern w:val="0"/>
                <w:sz w:val="21"/>
                <w:szCs w:val="21"/>
                <w:highlight w:val="none"/>
              </w:rPr>
              <w:t>TSP</w:t>
            </w:r>
          </w:p>
        </w:tc>
        <w:tc>
          <w:tcPr>
            <w:tcW w:w="330" w:type="pct"/>
            <w:tcBorders>
              <w:top w:val="single" w:color="auto" w:sz="4" w:space="0"/>
              <w:left w:val="single" w:color="auto" w:sz="4" w:space="0"/>
              <w:bottom w:val="single" w:color="auto" w:sz="4" w:space="0"/>
              <w:right w:val="single" w:color="auto" w:sz="4" w:space="0"/>
            </w:tcBorders>
            <w:noWrap/>
            <w:vAlign w:val="center"/>
          </w:tcPr>
          <w:p w14:paraId="73E84915">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b/>
                <w:bCs/>
                <w:color w:val="auto"/>
                <w:spacing w:val="-17"/>
                <w:kern w:val="0"/>
                <w:sz w:val="21"/>
                <w:szCs w:val="21"/>
                <w:highlight w:val="none"/>
              </w:rPr>
            </w:pPr>
            <w:r>
              <w:rPr>
                <w:rFonts w:hint="default" w:ascii="Times New Roman" w:hAnsi="Times New Roman" w:cs="Times New Roman"/>
                <w:b/>
                <w:bCs/>
                <w:color w:val="auto"/>
                <w:sz w:val="21"/>
                <w:szCs w:val="21"/>
                <w:highlight w:val="none"/>
                <w:lang w:val="en-US" w:eastAsia="zh-CN"/>
              </w:rPr>
              <w:t>PM</w:t>
            </w:r>
            <w:r>
              <w:rPr>
                <w:rFonts w:hint="default" w:ascii="Times New Roman" w:hAnsi="Times New Roman" w:cs="Times New Roman"/>
                <w:b/>
                <w:bCs/>
                <w:color w:val="auto"/>
                <w:sz w:val="21"/>
                <w:szCs w:val="21"/>
                <w:highlight w:val="none"/>
                <w:vertAlign w:val="subscript"/>
                <w:lang w:val="en-US" w:eastAsia="zh-CN"/>
              </w:rPr>
              <w:t>10</w:t>
            </w:r>
          </w:p>
        </w:tc>
      </w:tr>
      <w:tr w14:paraId="07049C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4" w:type="pct"/>
          <w:trHeight w:val="397" w:hRule="atLeast"/>
        </w:trPr>
        <w:tc>
          <w:tcPr>
            <w:tcW w:w="349" w:type="pct"/>
            <w:tcBorders>
              <w:top w:val="single" w:color="auto" w:sz="4" w:space="0"/>
              <w:left w:val="single" w:color="auto" w:sz="4" w:space="0"/>
              <w:bottom w:val="single" w:color="auto" w:sz="4" w:space="0"/>
              <w:right w:val="single" w:color="auto" w:sz="4" w:space="0"/>
            </w:tcBorders>
            <w:noWrap/>
            <w:vAlign w:val="center"/>
          </w:tcPr>
          <w:p w14:paraId="6D93AAD4">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kern w:val="0"/>
                <w:sz w:val="21"/>
                <w:szCs w:val="16"/>
                <w:highlight w:val="none"/>
              </w:rPr>
            </w:pPr>
            <w:r>
              <w:rPr>
                <w:rFonts w:hint="default" w:ascii="Times New Roman" w:hAnsi="Times New Roman" w:cs="Times New Roman"/>
                <w:color w:val="auto"/>
                <w:kern w:val="0"/>
                <w:sz w:val="21"/>
                <w:szCs w:val="16"/>
                <w:highlight w:val="none"/>
              </w:rPr>
              <w:t>MF001</w:t>
            </w:r>
          </w:p>
        </w:tc>
        <w:tc>
          <w:tcPr>
            <w:tcW w:w="395" w:type="pct"/>
            <w:tcBorders>
              <w:top w:val="single" w:color="auto" w:sz="4" w:space="0"/>
              <w:left w:val="single" w:color="auto" w:sz="4" w:space="0"/>
              <w:bottom w:val="single" w:color="auto" w:sz="4" w:space="0"/>
              <w:right w:val="single" w:color="auto" w:sz="4" w:space="0"/>
            </w:tcBorders>
            <w:noWrap/>
            <w:vAlign w:val="center"/>
          </w:tcPr>
          <w:p w14:paraId="2FBEBFEA">
            <w:pPr>
              <w:spacing w:line="240" w:lineRule="auto"/>
              <w:jc w:val="center"/>
              <w:rPr>
                <w:rFonts w:hint="default" w:ascii="Times New Roman" w:hAnsi="Times New Roman" w:eastAsia="宋体" w:cs="Times New Roman"/>
                <w:color w:val="auto"/>
                <w:kern w:val="0"/>
                <w:sz w:val="21"/>
                <w:szCs w:val="16"/>
                <w:highlight w:val="none"/>
                <w:lang w:val="en-US" w:eastAsia="zh-CN"/>
              </w:rPr>
            </w:pPr>
            <w:r>
              <w:rPr>
                <w:rFonts w:hint="default" w:ascii="Times New Roman" w:hAnsi="Times New Roman" w:cs="Times New Roman"/>
                <w:color w:val="auto"/>
                <w:sz w:val="21"/>
                <w:szCs w:val="21"/>
                <w:highlight w:val="none"/>
                <w:lang w:val="en-US"/>
              </w:rPr>
              <w:t>排土场</w:t>
            </w:r>
          </w:p>
        </w:tc>
        <w:tc>
          <w:tcPr>
            <w:tcW w:w="580" w:type="pct"/>
            <w:tcBorders>
              <w:top w:val="single" w:color="auto" w:sz="4" w:space="0"/>
              <w:left w:val="single" w:color="auto" w:sz="4" w:space="0"/>
              <w:bottom w:val="single" w:color="auto" w:sz="4" w:space="0"/>
              <w:right w:val="single" w:color="auto" w:sz="4" w:space="0"/>
            </w:tcBorders>
            <w:noWrap/>
            <w:vAlign w:val="center"/>
          </w:tcPr>
          <w:p w14:paraId="492076E2">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16"/>
                <w:highlight w:val="none"/>
                <w:lang w:val="en-US" w:eastAsia="zh-CN"/>
              </w:rPr>
            </w:pPr>
            <w:r>
              <w:rPr>
                <w:rFonts w:hint="default" w:ascii="Times New Roman" w:hAnsi="Times New Roman" w:eastAsia="宋体" w:cs="Times New Roman"/>
                <w:color w:val="auto"/>
                <w:sz w:val="21"/>
                <w:szCs w:val="16"/>
                <w:highlight w:val="none"/>
                <w:lang w:val="en-US" w:eastAsia="zh-CN"/>
              </w:rPr>
              <w:t>117°47′30.86145″</w:t>
            </w:r>
          </w:p>
        </w:tc>
        <w:tc>
          <w:tcPr>
            <w:tcW w:w="589" w:type="pct"/>
            <w:tcBorders>
              <w:top w:val="single" w:color="auto" w:sz="4" w:space="0"/>
              <w:left w:val="single" w:color="auto" w:sz="4" w:space="0"/>
              <w:bottom w:val="single" w:color="auto" w:sz="4" w:space="0"/>
              <w:right w:val="single" w:color="auto" w:sz="4" w:space="0"/>
            </w:tcBorders>
            <w:noWrap/>
            <w:vAlign w:val="center"/>
          </w:tcPr>
          <w:p w14:paraId="2E212346">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16"/>
                <w:highlight w:val="none"/>
                <w:lang w:val="en-US" w:eastAsia="zh-CN"/>
              </w:rPr>
            </w:pPr>
            <w:r>
              <w:rPr>
                <w:rFonts w:hint="default" w:ascii="Times New Roman" w:hAnsi="Times New Roman" w:eastAsia="宋体" w:cs="Times New Roman"/>
                <w:color w:val="auto"/>
                <w:sz w:val="21"/>
                <w:szCs w:val="16"/>
                <w:highlight w:val="none"/>
                <w:lang w:val="en-US" w:eastAsia="zh-CN"/>
              </w:rPr>
              <w:t>41°14′34.74852″</w:t>
            </w:r>
          </w:p>
        </w:tc>
        <w:tc>
          <w:tcPr>
            <w:tcW w:w="393" w:type="pct"/>
            <w:tcBorders>
              <w:top w:val="single" w:color="auto" w:sz="4" w:space="0"/>
              <w:left w:val="single" w:color="auto" w:sz="4" w:space="0"/>
              <w:bottom w:val="single" w:color="auto" w:sz="4" w:space="0"/>
              <w:right w:val="single" w:color="auto" w:sz="4" w:space="0"/>
            </w:tcBorders>
            <w:noWrap w:val="0"/>
            <w:vAlign w:val="center"/>
          </w:tcPr>
          <w:p w14:paraId="45EFB679">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0"/>
                <w:sz w:val="21"/>
                <w:szCs w:val="16"/>
                <w:highlight w:val="none"/>
                <w:lang w:val="en-US" w:eastAsia="zh-CN"/>
              </w:rPr>
            </w:pPr>
            <w:r>
              <w:rPr>
                <w:rFonts w:hint="eastAsia" w:cs="Times New Roman"/>
                <w:color w:val="auto"/>
                <w:kern w:val="0"/>
                <w:sz w:val="21"/>
                <w:szCs w:val="16"/>
                <w:highlight w:val="none"/>
                <w:lang w:val="en-US" w:eastAsia="zh-CN"/>
              </w:rPr>
              <w:t>795</w:t>
            </w:r>
          </w:p>
        </w:tc>
        <w:tc>
          <w:tcPr>
            <w:tcW w:w="362" w:type="pct"/>
            <w:tcBorders>
              <w:top w:val="single" w:color="auto" w:sz="4" w:space="0"/>
              <w:left w:val="single" w:color="auto" w:sz="4" w:space="0"/>
              <w:bottom w:val="single" w:color="auto" w:sz="4" w:space="0"/>
              <w:right w:val="single" w:color="auto" w:sz="4" w:space="0"/>
            </w:tcBorders>
            <w:noWrap/>
            <w:vAlign w:val="center"/>
          </w:tcPr>
          <w:p w14:paraId="4E54481F">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0"/>
                <w:sz w:val="21"/>
                <w:szCs w:val="16"/>
                <w:highlight w:val="none"/>
                <w:lang w:val="en-US" w:eastAsia="zh-CN"/>
              </w:rPr>
            </w:pPr>
            <w:r>
              <w:rPr>
                <w:rFonts w:hint="eastAsia" w:cs="Times New Roman"/>
                <w:color w:val="auto"/>
                <w:kern w:val="0"/>
                <w:sz w:val="21"/>
                <w:szCs w:val="16"/>
                <w:highlight w:val="none"/>
                <w:lang w:val="en-US" w:eastAsia="zh-CN"/>
              </w:rPr>
              <w:t>580</w:t>
            </w:r>
          </w:p>
        </w:tc>
        <w:tc>
          <w:tcPr>
            <w:tcW w:w="325" w:type="pct"/>
            <w:tcBorders>
              <w:top w:val="single" w:color="auto" w:sz="4" w:space="0"/>
              <w:left w:val="single" w:color="auto" w:sz="4" w:space="0"/>
              <w:bottom w:val="single" w:color="auto" w:sz="4" w:space="0"/>
              <w:right w:val="single" w:color="auto" w:sz="4" w:space="0"/>
            </w:tcBorders>
            <w:noWrap/>
            <w:vAlign w:val="center"/>
          </w:tcPr>
          <w:p w14:paraId="59CFA925">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0"/>
                <w:sz w:val="21"/>
                <w:szCs w:val="16"/>
                <w:highlight w:val="none"/>
                <w:lang w:val="en-US" w:eastAsia="zh-CN"/>
              </w:rPr>
            </w:pPr>
            <w:r>
              <w:rPr>
                <w:rFonts w:hint="eastAsia" w:cs="Times New Roman"/>
                <w:color w:val="auto"/>
                <w:kern w:val="0"/>
                <w:sz w:val="21"/>
                <w:szCs w:val="16"/>
                <w:highlight w:val="none"/>
                <w:lang w:val="en-US" w:eastAsia="zh-CN"/>
              </w:rPr>
              <w:t>270</w:t>
            </w:r>
          </w:p>
        </w:tc>
        <w:tc>
          <w:tcPr>
            <w:tcW w:w="474" w:type="pct"/>
            <w:tcBorders>
              <w:top w:val="single" w:color="auto" w:sz="4" w:space="0"/>
              <w:left w:val="single" w:color="auto" w:sz="4" w:space="0"/>
              <w:bottom w:val="single" w:color="auto" w:sz="4" w:space="0"/>
              <w:right w:val="single" w:color="auto" w:sz="4" w:space="0"/>
            </w:tcBorders>
            <w:noWrap w:val="0"/>
            <w:vAlign w:val="center"/>
          </w:tcPr>
          <w:p w14:paraId="7297A847">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0"/>
                <w:sz w:val="21"/>
                <w:szCs w:val="16"/>
                <w:highlight w:val="none"/>
                <w:lang w:val="en-US" w:eastAsia="zh-CN"/>
              </w:rPr>
            </w:pPr>
            <w:r>
              <w:rPr>
                <w:rFonts w:hint="eastAsia" w:cs="Times New Roman"/>
                <w:color w:val="auto"/>
                <w:kern w:val="0"/>
                <w:sz w:val="21"/>
                <w:szCs w:val="16"/>
                <w:highlight w:val="none"/>
                <w:lang w:val="en-US" w:eastAsia="zh-CN"/>
              </w:rPr>
              <w:t>118</w:t>
            </w:r>
          </w:p>
        </w:tc>
        <w:tc>
          <w:tcPr>
            <w:tcW w:w="400" w:type="pct"/>
            <w:tcBorders>
              <w:top w:val="single" w:color="auto" w:sz="4" w:space="0"/>
              <w:left w:val="single" w:color="auto" w:sz="4" w:space="0"/>
              <w:bottom w:val="single" w:color="auto" w:sz="4" w:space="0"/>
              <w:right w:val="single" w:color="auto" w:sz="4" w:space="0"/>
            </w:tcBorders>
            <w:noWrap w:val="0"/>
            <w:vAlign w:val="center"/>
          </w:tcPr>
          <w:p w14:paraId="459B9396">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0"/>
                <w:sz w:val="21"/>
                <w:szCs w:val="16"/>
                <w:highlight w:val="none"/>
                <w:lang w:val="en-US" w:eastAsia="zh-CN"/>
              </w:rPr>
            </w:pPr>
            <w:r>
              <w:rPr>
                <w:rFonts w:hint="eastAsia" w:cs="Times New Roman"/>
                <w:color w:val="auto"/>
                <w:kern w:val="0"/>
                <w:sz w:val="21"/>
                <w:szCs w:val="16"/>
                <w:highlight w:val="none"/>
                <w:lang w:val="en-US" w:eastAsia="zh-CN"/>
              </w:rPr>
              <w:t>7920</w:t>
            </w:r>
          </w:p>
        </w:tc>
        <w:tc>
          <w:tcPr>
            <w:tcW w:w="460" w:type="pct"/>
            <w:tcBorders>
              <w:top w:val="single" w:color="auto" w:sz="4" w:space="0"/>
              <w:left w:val="single" w:color="auto" w:sz="4" w:space="0"/>
              <w:bottom w:val="single" w:color="auto" w:sz="4" w:space="0"/>
              <w:right w:val="single" w:color="auto" w:sz="4" w:space="0"/>
            </w:tcBorders>
            <w:noWrap/>
            <w:vAlign w:val="center"/>
          </w:tcPr>
          <w:p w14:paraId="6C57DE81">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0"/>
                <w:sz w:val="21"/>
                <w:szCs w:val="16"/>
                <w:highlight w:val="none"/>
                <w:lang w:val="en-US" w:eastAsia="zh-CN"/>
              </w:rPr>
            </w:pPr>
            <w:r>
              <w:rPr>
                <w:rFonts w:hint="default" w:ascii="Times New Roman" w:hAnsi="Times New Roman" w:cs="Times New Roman"/>
                <w:color w:val="auto"/>
                <w:kern w:val="0"/>
                <w:sz w:val="21"/>
                <w:szCs w:val="16"/>
                <w:highlight w:val="none"/>
              </w:rPr>
              <w:t>正常</w:t>
            </w:r>
            <w:r>
              <w:rPr>
                <w:rFonts w:hint="default" w:ascii="Times New Roman" w:hAnsi="Times New Roman" w:cs="Times New Roman"/>
                <w:color w:val="auto"/>
                <w:kern w:val="0"/>
                <w:sz w:val="21"/>
                <w:szCs w:val="16"/>
                <w:highlight w:val="none"/>
                <w:lang w:val="en-US" w:eastAsia="zh-CN"/>
              </w:rPr>
              <w:t>工况</w:t>
            </w:r>
          </w:p>
        </w:tc>
        <w:tc>
          <w:tcPr>
            <w:tcW w:w="332" w:type="pct"/>
            <w:tcBorders>
              <w:top w:val="single" w:color="auto" w:sz="4" w:space="0"/>
              <w:left w:val="single" w:color="auto" w:sz="4" w:space="0"/>
              <w:bottom w:val="single" w:color="auto" w:sz="4" w:space="0"/>
              <w:right w:val="single" w:color="auto" w:sz="4" w:space="0"/>
            </w:tcBorders>
            <w:noWrap/>
            <w:vAlign w:val="center"/>
          </w:tcPr>
          <w:p w14:paraId="193710FD">
            <w:pPr>
              <w:spacing w:line="240" w:lineRule="auto"/>
              <w:jc w:val="center"/>
              <w:rPr>
                <w:rFonts w:hint="default" w:ascii="Times New Roman" w:hAnsi="Times New Roman" w:eastAsia="宋体" w:cs="Times New Roman"/>
                <w:color w:val="auto"/>
                <w:kern w:val="0"/>
                <w:sz w:val="21"/>
                <w:szCs w:val="16"/>
                <w:highlight w:val="none"/>
                <w:lang w:val="en-US" w:eastAsia="zh-CN"/>
              </w:rPr>
            </w:pPr>
            <w:r>
              <w:rPr>
                <w:rFonts w:hint="eastAsia" w:cs="Times New Roman"/>
                <w:color w:val="auto"/>
                <w:kern w:val="0"/>
                <w:sz w:val="21"/>
                <w:szCs w:val="16"/>
                <w:highlight w:val="none"/>
                <w:lang w:val="en-US" w:eastAsia="zh-CN"/>
              </w:rPr>
              <w:t>11.586</w:t>
            </w:r>
          </w:p>
        </w:tc>
        <w:tc>
          <w:tcPr>
            <w:tcW w:w="330" w:type="pct"/>
            <w:tcBorders>
              <w:top w:val="single" w:color="auto" w:sz="4" w:space="0"/>
              <w:left w:val="single" w:color="auto" w:sz="4" w:space="0"/>
              <w:bottom w:val="single" w:color="auto" w:sz="4" w:space="0"/>
              <w:right w:val="single" w:color="auto" w:sz="4" w:space="0"/>
            </w:tcBorders>
            <w:noWrap/>
            <w:vAlign w:val="center"/>
          </w:tcPr>
          <w:p w14:paraId="38837502">
            <w:pPr>
              <w:spacing w:line="240" w:lineRule="auto"/>
              <w:jc w:val="center"/>
              <w:rPr>
                <w:rFonts w:hint="default" w:ascii="Times New Roman" w:hAnsi="Times New Roman" w:eastAsia="宋体" w:cs="Times New Roman"/>
                <w:color w:val="auto"/>
                <w:kern w:val="0"/>
                <w:sz w:val="21"/>
                <w:szCs w:val="16"/>
                <w:highlight w:val="none"/>
                <w:lang w:val="en-US" w:eastAsia="zh-CN"/>
              </w:rPr>
            </w:pPr>
            <w:r>
              <w:rPr>
                <w:rFonts w:hint="eastAsia" w:cs="Times New Roman"/>
                <w:color w:val="auto"/>
                <w:kern w:val="0"/>
                <w:sz w:val="21"/>
                <w:szCs w:val="16"/>
                <w:highlight w:val="none"/>
                <w:lang w:val="en-US" w:eastAsia="zh-CN"/>
              </w:rPr>
              <w:t>5.677</w:t>
            </w:r>
          </w:p>
        </w:tc>
      </w:tr>
    </w:tbl>
    <w:p w14:paraId="15B124F2">
      <w:pPr>
        <w:pageBreakBefore w:val="0"/>
        <w:widowControl w:val="0"/>
        <w:kinsoku/>
        <w:wordWrap/>
        <w:overflowPunct/>
        <w:autoSpaceDE/>
        <w:autoSpaceDN/>
        <w:bidi w:val="0"/>
        <w:spacing w:line="360" w:lineRule="auto"/>
        <w:ind w:firstLine="482" w:firstLineChars="200"/>
        <w:textAlignment w:val="auto"/>
        <w:rPr>
          <w:rFonts w:hint="eastAsia" w:ascii="Times New Roman" w:hAnsi="Times New Roman" w:eastAsia="宋体" w:cs="Times New Roman"/>
          <w:b/>
          <w:bCs/>
          <w:color w:val="000000"/>
          <w:kern w:val="0"/>
          <w:sz w:val="24"/>
          <w:szCs w:val="21"/>
          <w:highlight w:val="none"/>
          <w:lang w:eastAsia="zh-CN"/>
        </w:rPr>
      </w:pPr>
      <w:r>
        <w:rPr>
          <w:rFonts w:hint="eastAsia" w:ascii="Times New Roman" w:hAnsi="Times New Roman" w:cs="Times New Roman"/>
          <w:b/>
          <w:bCs/>
          <w:color w:val="000000"/>
          <w:kern w:val="0"/>
          <w:sz w:val="24"/>
          <w:szCs w:val="21"/>
          <w:highlight w:val="none"/>
          <w:lang w:eastAsia="zh-CN"/>
        </w:rPr>
        <w:t>（</w:t>
      </w:r>
      <w:r>
        <w:rPr>
          <w:rFonts w:hint="eastAsia" w:ascii="Times New Roman" w:hAnsi="Times New Roman" w:cs="Times New Roman"/>
          <w:b/>
          <w:bCs/>
          <w:color w:val="000000"/>
          <w:kern w:val="0"/>
          <w:sz w:val="24"/>
          <w:szCs w:val="21"/>
          <w:highlight w:val="none"/>
          <w:lang w:val="en-US" w:eastAsia="zh-CN"/>
        </w:rPr>
        <w:t>2</w:t>
      </w:r>
      <w:r>
        <w:rPr>
          <w:rFonts w:hint="eastAsia" w:ascii="Times New Roman" w:hAnsi="Times New Roman" w:cs="Times New Roman"/>
          <w:b/>
          <w:bCs/>
          <w:color w:val="000000"/>
          <w:kern w:val="0"/>
          <w:sz w:val="24"/>
          <w:szCs w:val="21"/>
          <w:highlight w:val="none"/>
          <w:lang w:eastAsia="zh-CN"/>
        </w:rPr>
        <w:t>）估算模型选取</w:t>
      </w:r>
    </w:p>
    <w:p w14:paraId="71ACEAD3">
      <w:pPr>
        <w:pageBreakBefore w:val="0"/>
        <w:widowControl w:val="0"/>
        <w:kinsoku/>
        <w:wordWrap/>
        <w:overflowPunct/>
        <w:autoSpaceDE/>
        <w:autoSpaceDN/>
        <w:bidi w:val="0"/>
        <w:spacing w:line="360" w:lineRule="auto"/>
        <w:ind w:firstLine="480" w:firstLineChars="200"/>
        <w:textAlignment w:val="auto"/>
        <w:rPr>
          <w:rFonts w:hint="eastAsia" w:ascii="Times New Roman" w:hAnsi="Times New Roman" w:eastAsia="宋体" w:cs="Times New Roman"/>
          <w:color w:val="000000"/>
          <w:kern w:val="0"/>
          <w:sz w:val="24"/>
          <w:szCs w:val="21"/>
          <w:highlight w:val="none"/>
          <w:lang w:eastAsia="zh-CN"/>
        </w:rPr>
      </w:pPr>
      <w:r>
        <w:rPr>
          <w:rFonts w:hint="default" w:ascii="Times New Roman" w:hAnsi="Times New Roman" w:cs="Times New Roman"/>
          <w:color w:val="000000"/>
          <w:kern w:val="0"/>
          <w:sz w:val="24"/>
          <w:szCs w:val="21"/>
          <w:highlight w:val="none"/>
        </w:rPr>
        <w:t>本次评价采用预测软件EIAPro2018（版本V2.6.50</w:t>
      </w:r>
      <w:r>
        <w:rPr>
          <w:rFonts w:hint="eastAsia" w:ascii="Times New Roman" w:hAnsi="Times New Roman" w:cs="Times New Roman"/>
          <w:color w:val="000000"/>
          <w:kern w:val="0"/>
          <w:sz w:val="24"/>
          <w:szCs w:val="21"/>
          <w:highlight w:val="none"/>
          <w:lang w:val="en-US" w:eastAsia="zh-CN"/>
        </w:rPr>
        <w:t>7</w:t>
      </w:r>
      <w:r>
        <w:rPr>
          <w:rFonts w:hint="default" w:ascii="Times New Roman" w:hAnsi="Times New Roman" w:cs="Times New Roman"/>
          <w:color w:val="000000"/>
          <w:kern w:val="0"/>
          <w:sz w:val="24"/>
          <w:szCs w:val="21"/>
          <w:highlight w:val="none"/>
        </w:rPr>
        <w:t>）中AERSCREEN筛选计算及评价等级模块进行初步预测。确定评价等级同时应说明估算模式计算参数和判定依据，相关内容与格式要求见《环境影响评价技术导则 大气环境HJ2.2-2018》附录C中C.1，详见</w:t>
      </w:r>
      <w:r>
        <w:rPr>
          <w:rFonts w:hint="eastAsia" w:ascii="Times New Roman" w:hAnsi="Times New Roman" w:cs="Times New Roman"/>
          <w:color w:val="000000"/>
          <w:kern w:val="0"/>
          <w:sz w:val="24"/>
          <w:szCs w:val="21"/>
          <w:highlight w:val="none"/>
          <w:lang w:val="en-US" w:eastAsia="zh-CN"/>
        </w:rPr>
        <w:t>下</w:t>
      </w:r>
      <w:r>
        <w:rPr>
          <w:rFonts w:hint="default" w:ascii="Times New Roman" w:hAnsi="Times New Roman" w:cs="Times New Roman"/>
          <w:color w:val="000000"/>
          <w:kern w:val="0"/>
          <w:sz w:val="24"/>
          <w:szCs w:val="21"/>
          <w:highlight w:val="none"/>
        </w:rPr>
        <w:t>表</w:t>
      </w:r>
      <w:r>
        <w:rPr>
          <w:rFonts w:hint="eastAsia" w:ascii="Times New Roman" w:hAnsi="Times New Roman" w:cs="Times New Roman"/>
          <w:color w:val="000000"/>
          <w:kern w:val="0"/>
          <w:sz w:val="24"/>
          <w:szCs w:val="21"/>
          <w:highlight w:val="none"/>
          <w:lang w:eastAsia="zh-CN"/>
        </w:rPr>
        <w:t>。</w:t>
      </w:r>
    </w:p>
    <w:p w14:paraId="199E72C0">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66"/>
          <w:rFonts w:hint="default" w:ascii="Times New Roman" w:hAnsi="Times New Roman" w:eastAsia="宋体" w:cs="Times New Roman"/>
          <w:b/>
          <w:color w:val="000000"/>
          <w:sz w:val="21"/>
          <w:szCs w:val="21"/>
          <w:highlight w:val="none"/>
        </w:rPr>
      </w:pPr>
      <w:r>
        <w:rPr>
          <w:rStyle w:val="66"/>
          <w:rFonts w:hint="default" w:ascii="Times New Roman" w:hAnsi="Times New Roman" w:eastAsia="宋体" w:cs="Times New Roman"/>
          <w:b/>
          <w:color w:val="000000"/>
          <w:sz w:val="21"/>
          <w:szCs w:val="21"/>
          <w:highlight w:val="none"/>
        </w:rPr>
        <w:t>评价因子和评价标准筛选一览表</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5"/>
        <w:gridCol w:w="1619"/>
        <w:gridCol w:w="1619"/>
        <w:gridCol w:w="3615"/>
      </w:tblGrid>
      <w:tr w14:paraId="7BE07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2" w:type="pct"/>
            <w:noWrap w:val="0"/>
            <w:vAlign w:val="center"/>
          </w:tcPr>
          <w:p w14:paraId="21640C61">
            <w:pPr>
              <w:spacing w:line="240" w:lineRule="auto"/>
              <w:ind w:firstLine="0" w:firstLineChars="0"/>
              <w:jc w:val="center"/>
              <w:rPr>
                <w:rFonts w:ascii="Times New Roman" w:hAnsi="Times New Roman"/>
                <w:b/>
                <w:color w:val="auto"/>
                <w:sz w:val="21"/>
                <w:szCs w:val="21"/>
                <w:highlight w:val="none"/>
              </w:rPr>
            </w:pPr>
            <w:r>
              <w:rPr>
                <w:rFonts w:ascii="Times New Roman" w:hAnsi="Times New Roman"/>
                <w:b/>
                <w:color w:val="auto"/>
                <w:sz w:val="21"/>
                <w:szCs w:val="21"/>
                <w:highlight w:val="none"/>
              </w:rPr>
              <w:t>评价因子</w:t>
            </w:r>
          </w:p>
        </w:tc>
        <w:tc>
          <w:tcPr>
            <w:tcW w:w="949" w:type="pct"/>
            <w:noWrap w:val="0"/>
            <w:vAlign w:val="center"/>
          </w:tcPr>
          <w:p w14:paraId="6944C126">
            <w:pPr>
              <w:spacing w:line="240" w:lineRule="auto"/>
              <w:ind w:firstLine="0" w:firstLineChars="0"/>
              <w:jc w:val="center"/>
              <w:rPr>
                <w:rFonts w:ascii="Times New Roman" w:hAnsi="Times New Roman"/>
                <w:b/>
                <w:color w:val="auto"/>
                <w:sz w:val="21"/>
                <w:szCs w:val="21"/>
                <w:highlight w:val="none"/>
              </w:rPr>
            </w:pPr>
            <w:r>
              <w:rPr>
                <w:rFonts w:ascii="Times New Roman" w:hAnsi="Times New Roman"/>
                <w:b/>
                <w:color w:val="auto"/>
                <w:sz w:val="21"/>
                <w:szCs w:val="21"/>
                <w:highlight w:val="none"/>
              </w:rPr>
              <w:t>平均时段</w:t>
            </w:r>
          </w:p>
        </w:tc>
        <w:tc>
          <w:tcPr>
            <w:tcW w:w="949" w:type="pct"/>
            <w:noWrap w:val="0"/>
            <w:vAlign w:val="center"/>
          </w:tcPr>
          <w:p w14:paraId="69E0E2B4">
            <w:pPr>
              <w:spacing w:line="240" w:lineRule="auto"/>
              <w:ind w:firstLine="0" w:firstLineChars="0"/>
              <w:jc w:val="center"/>
              <w:rPr>
                <w:rFonts w:ascii="Times New Roman" w:hAnsi="Times New Roman"/>
                <w:b/>
                <w:color w:val="auto"/>
                <w:sz w:val="21"/>
                <w:szCs w:val="21"/>
                <w:highlight w:val="none"/>
              </w:rPr>
            </w:pPr>
            <w:r>
              <w:rPr>
                <w:rFonts w:ascii="Times New Roman" w:hAnsi="Times New Roman"/>
                <w:b/>
                <w:color w:val="auto"/>
                <w:sz w:val="21"/>
                <w:szCs w:val="21"/>
                <w:highlight w:val="none"/>
              </w:rPr>
              <w:t>标准值（</w:t>
            </w:r>
            <w:r>
              <w:rPr>
                <w:rFonts w:hint="default" w:ascii="Times New Roman" w:hAnsi="Times New Roman" w:cs="Times New Roman"/>
                <w:b/>
                <w:bCs/>
                <w:color w:val="auto"/>
                <w:sz w:val="21"/>
                <w:szCs w:val="21"/>
                <w:highlight w:val="none"/>
                <w:lang w:val="en-US" w:eastAsia="zh-CN"/>
              </w:rPr>
              <w:t>μ</w:t>
            </w:r>
            <w:r>
              <w:rPr>
                <w:rFonts w:hint="default" w:ascii="Times New Roman" w:hAnsi="Times New Roman" w:cs="Times New Roman"/>
                <w:b/>
                <w:bCs/>
                <w:color w:val="auto"/>
                <w:sz w:val="21"/>
                <w:szCs w:val="21"/>
                <w:highlight w:val="none"/>
              </w:rPr>
              <w:t>g</w:t>
            </w:r>
            <w:r>
              <w:rPr>
                <w:rFonts w:ascii="Times New Roman" w:hAnsi="Times New Roman"/>
                <w:b/>
                <w:color w:val="auto"/>
                <w:sz w:val="21"/>
                <w:szCs w:val="21"/>
                <w:highlight w:val="none"/>
              </w:rPr>
              <w:t>/m</w:t>
            </w:r>
            <w:r>
              <w:rPr>
                <w:rFonts w:ascii="Times New Roman" w:hAnsi="Times New Roman"/>
                <w:b/>
                <w:color w:val="auto"/>
                <w:sz w:val="21"/>
                <w:szCs w:val="21"/>
                <w:highlight w:val="none"/>
                <w:vertAlign w:val="superscript"/>
              </w:rPr>
              <w:t>3</w:t>
            </w:r>
            <w:r>
              <w:rPr>
                <w:rFonts w:ascii="Times New Roman" w:hAnsi="Times New Roman"/>
                <w:b/>
                <w:color w:val="auto"/>
                <w:sz w:val="21"/>
                <w:szCs w:val="21"/>
                <w:highlight w:val="none"/>
              </w:rPr>
              <w:t>）</w:t>
            </w:r>
          </w:p>
        </w:tc>
        <w:tc>
          <w:tcPr>
            <w:tcW w:w="2118" w:type="pct"/>
            <w:noWrap w:val="0"/>
            <w:vAlign w:val="center"/>
          </w:tcPr>
          <w:p w14:paraId="04A2B173">
            <w:pPr>
              <w:spacing w:line="240" w:lineRule="auto"/>
              <w:ind w:firstLine="0" w:firstLineChars="0"/>
              <w:jc w:val="center"/>
              <w:rPr>
                <w:rFonts w:ascii="Times New Roman" w:hAnsi="Times New Roman"/>
                <w:b/>
                <w:color w:val="auto"/>
                <w:sz w:val="21"/>
                <w:szCs w:val="21"/>
                <w:highlight w:val="none"/>
              </w:rPr>
            </w:pPr>
            <w:r>
              <w:rPr>
                <w:rFonts w:ascii="Times New Roman" w:hAnsi="Times New Roman"/>
                <w:b/>
                <w:color w:val="auto"/>
                <w:sz w:val="21"/>
                <w:szCs w:val="21"/>
                <w:highlight w:val="none"/>
              </w:rPr>
              <w:t>标准来源</w:t>
            </w:r>
          </w:p>
        </w:tc>
      </w:tr>
      <w:tr w14:paraId="5751A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2" w:type="pct"/>
            <w:vMerge w:val="restart"/>
            <w:noWrap w:val="0"/>
            <w:vAlign w:val="center"/>
          </w:tcPr>
          <w:p w14:paraId="12602AE4">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TSP</w:t>
            </w:r>
          </w:p>
        </w:tc>
        <w:tc>
          <w:tcPr>
            <w:tcW w:w="949" w:type="pct"/>
            <w:noWrap w:val="0"/>
            <w:vAlign w:val="center"/>
          </w:tcPr>
          <w:p w14:paraId="6C57CFE5">
            <w:pPr>
              <w:widowControl/>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sz w:val="21"/>
                <w:szCs w:val="21"/>
                <w:highlight w:val="none"/>
              </w:rPr>
              <w:t>年平均</w:t>
            </w:r>
          </w:p>
        </w:tc>
        <w:tc>
          <w:tcPr>
            <w:tcW w:w="949" w:type="pct"/>
            <w:noWrap w:val="0"/>
            <w:vAlign w:val="center"/>
          </w:tcPr>
          <w:p w14:paraId="3FA9146C">
            <w:pPr>
              <w:widowControl/>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sz w:val="21"/>
                <w:szCs w:val="21"/>
                <w:highlight w:val="none"/>
              </w:rPr>
              <w:t>200</w:t>
            </w:r>
          </w:p>
        </w:tc>
        <w:tc>
          <w:tcPr>
            <w:tcW w:w="2118" w:type="pct"/>
            <w:vMerge w:val="restart"/>
            <w:noWrap w:val="0"/>
            <w:vAlign w:val="center"/>
          </w:tcPr>
          <w:p w14:paraId="2449BAA9">
            <w:pPr>
              <w:spacing w:line="240" w:lineRule="auto"/>
              <w:ind w:firstLine="0" w:firstLineChars="0"/>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《环境空气质量标准》（GB3095-2012）中对TSP、PM</w:t>
            </w:r>
            <w:r>
              <w:rPr>
                <w:rFonts w:hint="eastAsia" w:ascii="Times New Roman" w:hAnsi="Times New Roman"/>
                <w:color w:val="auto"/>
                <w:sz w:val="21"/>
                <w:szCs w:val="21"/>
                <w:highlight w:val="none"/>
                <w:vertAlign w:val="subscript"/>
              </w:rPr>
              <w:t>10</w:t>
            </w:r>
            <w:r>
              <w:rPr>
                <w:rFonts w:hint="eastAsia" w:ascii="Times New Roman" w:hAnsi="Times New Roman"/>
                <w:color w:val="auto"/>
                <w:sz w:val="21"/>
                <w:szCs w:val="21"/>
                <w:highlight w:val="none"/>
              </w:rPr>
              <w:t>未规定小时平均标准，因此，按日均标准的3倍值输入，相当于小时均值</w:t>
            </w:r>
          </w:p>
        </w:tc>
      </w:tr>
      <w:tr w14:paraId="60F19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2" w:type="pct"/>
            <w:vMerge w:val="continue"/>
            <w:noWrap w:val="0"/>
            <w:vAlign w:val="center"/>
          </w:tcPr>
          <w:p w14:paraId="47C65DA4">
            <w:pPr>
              <w:spacing w:line="240" w:lineRule="auto"/>
              <w:ind w:firstLine="0" w:firstLineChars="0"/>
              <w:jc w:val="center"/>
              <w:rPr>
                <w:rFonts w:ascii="Times New Roman" w:hAnsi="Times New Roman"/>
                <w:color w:val="auto"/>
                <w:sz w:val="21"/>
                <w:szCs w:val="21"/>
                <w:highlight w:val="none"/>
              </w:rPr>
            </w:pPr>
          </w:p>
        </w:tc>
        <w:tc>
          <w:tcPr>
            <w:tcW w:w="949" w:type="pct"/>
            <w:noWrap w:val="0"/>
            <w:vAlign w:val="center"/>
          </w:tcPr>
          <w:p w14:paraId="53CB0C15">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24小时平均</w:t>
            </w:r>
          </w:p>
        </w:tc>
        <w:tc>
          <w:tcPr>
            <w:tcW w:w="949" w:type="pct"/>
            <w:noWrap w:val="0"/>
            <w:vAlign w:val="center"/>
          </w:tcPr>
          <w:p w14:paraId="4B9EAD23">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300</w:t>
            </w:r>
          </w:p>
        </w:tc>
        <w:tc>
          <w:tcPr>
            <w:tcW w:w="2118" w:type="pct"/>
            <w:vMerge w:val="continue"/>
            <w:noWrap w:val="0"/>
            <w:vAlign w:val="center"/>
          </w:tcPr>
          <w:p w14:paraId="062252CD">
            <w:pPr>
              <w:spacing w:line="240" w:lineRule="auto"/>
              <w:ind w:firstLine="420"/>
              <w:jc w:val="center"/>
              <w:rPr>
                <w:rFonts w:ascii="Times New Roman" w:hAnsi="Times New Roman"/>
                <w:color w:val="auto"/>
                <w:sz w:val="21"/>
                <w:szCs w:val="21"/>
                <w:highlight w:val="none"/>
              </w:rPr>
            </w:pPr>
          </w:p>
        </w:tc>
      </w:tr>
      <w:tr w14:paraId="6656E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2" w:type="pct"/>
            <w:vMerge w:val="continue"/>
            <w:noWrap w:val="0"/>
            <w:vAlign w:val="center"/>
          </w:tcPr>
          <w:p w14:paraId="08C37B6C">
            <w:pPr>
              <w:spacing w:line="240" w:lineRule="auto"/>
              <w:ind w:firstLine="0" w:firstLineChars="0"/>
              <w:jc w:val="center"/>
              <w:rPr>
                <w:rFonts w:ascii="Times New Roman" w:hAnsi="Times New Roman"/>
                <w:color w:val="auto"/>
                <w:sz w:val="21"/>
                <w:szCs w:val="21"/>
                <w:highlight w:val="none"/>
              </w:rPr>
            </w:pPr>
          </w:p>
        </w:tc>
        <w:tc>
          <w:tcPr>
            <w:tcW w:w="949" w:type="pct"/>
            <w:noWrap w:val="0"/>
            <w:vAlign w:val="center"/>
          </w:tcPr>
          <w:p w14:paraId="2DD269C0">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1小时平均</w:t>
            </w:r>
          </w:p>
        </w:tc>
        <w:tc>
          <w:tcPr>
            <w:tcW w:w="949" w:type="pct"/>
            <w:noWrap w:val="0"/>
            <w:vAlign w:val="center"/>
          </w:tcPr>
          <w:p w14:paraId="6A2797CC">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900</w:t>
            </w:r>
          </w:p>
        </w:tc>
        <w:tc>
          <w:tcPr>
            <w:tcW w:w="2118" w:type="pct"/>
            <w:vMerge w:val="continue"/>
            <w:noWrap w:val="0"/>
            <w:vAlign w:val="center"/>
          </w:tcPr>
          <w:p w14:paraId="44B756CB">
            <w:pPr>
              <w:spacing w:line="240" w:lineRule="auto"/>
              <w:ind w:firstLine="420"/>
              <w:jc w:val="center"/>
              <w:rPr>
                <w:rFonts w:ascii="Times New Roman" w:hAnsi="Times New Roman"/>
                <w:color w:val="auto"/>
                <w:sz w:val="21"/>
                <w:szCs w:val="21"/>
                <w:highlight w:val="none"/>
              </w:rPr>
            </w:pPr>
          </w:p>
        </w:tc>
      </w:tr>
      <w:tr w14:paraId="0DE34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2" w:type="pct"/>
            <w:vMerge w:val="restart"/>
            <w:noWrap w:val="0"/>
            <w:vAlign w:val="center"/>
          </w:tcPr>
          <w:p w14:paraId="4E0057D0">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PM</w:t>
            </w:r>
            <w:r>
              <w:rPr>
                <w:rFonts w:ascii="Times New Roman" w:hAnsi="Times New Roman"/>
                <w:color w:val="auto"/>
                <w:sz w:val="21"/>
                <w:szCs w:val="21"/>
                <w:highlight w:val="none"/>
                <w:vertAlign w:val="subscript"/>
              </w:rPr>
              <w:t>10</w:t>
            </w:r>
          </w:p>
        </w:tc>
        <w:tc>
          <w:tcPr>
            <w:tcW w:w="949" w:type="pct"/>
            <w:noWrap w:val="0"/>
            <w:vAlign w:val="center"/>
          </w:tcPr>
          <w:p w14:paraId="586F87C5">
            <w:pPr>
              <w:widowControl/>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年平均</w:t>
            </w:r>
          </w:p>
        </w:tc>
        <w:tc>
          <w:tcPr>
            <w:tcW w:w="949" w:type="pct"/>
            <w:noWrap w:val="0"/>
            <w:vAlign w:val="center"/>
          </w:tcPr>
          <w:p w14:paraId="3E65BBFB">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70</w:t>
            </w:r>
          </w:p>
        </w:tc>
        <w:tc>
          <w:tcPr>
            <w:tcW w:w="2118" w:type="pct"/>
            <w:vMerge w:val="continue"/>
            <w:noWrap w:val="0"/>
            <w:vAlign w:val="center"/>
          </w:tcPr>
          <w:p w14:paraId="0A034010">
            <w:pPr>
              <w:spacing w:line="240" w:lineRule="auto"/>
              <w:ind w:firstLine="420"/>
              <w:jc w:val="center"/>
              <w:rPr>
                <w:rFonts w:ascii="Times New Roman" w:hAnsi="Times New Roman"/>
                <w:color w:val="auto"/>
                <w:sz w:val="21"/>
                <w:szCs w:val="21"/>
                <w:highlight w:val="none"/>
              </w:rPr>
            </w:pPr>
          </w:p>
        </w:tc>
      </w:tr>
      <w:tr w14:paraId="1D20B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2" w:type="pct"/>
            <w:vMerge w:val="continue"/>
            <w:noWrap w:val="0"/>
            <w:vAlign w:val="center"/>
          </w:tcPr>
          <w:p w14:paraId="38B392B8">
            <w:pPr>
              <w:spacing w:line="240" w:lineRule="auto"/>
              <w:ind w:firstLine="0" w:firstLineChars="0"/>
              <w:jc w:val="center"/>
              <w:rPr>
                <w:rFonts w:ascii="Times New Roman" w:hAnsi="Times New Roman"/>
                <w:color w:val="auto"/>
                <w:sz w:val="21"/>
                <w:szCs w:val="21"/>
                <w:highlight w:val="none"/>
              </w:rPr>
            </w:pPr>
          </w:p>
        </w:tc>
        <w:tc>
          <w:tcPr>
            <w:tcW w:w="949" w:type="pct"/>
            <w:noWrap w:val="0"/>
            <w:vAlign w:val="center"/>
          </w:tcPr>
          <w:p w14:paraId="5DF33BD5">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24小时平均</w:t>
            </w:r>
          </w:p>
        </w:tc>
        <w:tc>
          <w:tcPr>
            <w:tcW w:w="949" w:type="pct"/>
            <w:noWrap w:val="0"/>
            <w:vAlign w:val="center"/>
          </w:tcPr>
          <w:p w14:paraId="7F060EEF">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150</w:t>
            </w:r>
          </w:p>
        </w:tc>
        <w:tc>
          <w:tcPr>
            <w:tcW w:w="2118" w:type="pct"/>
            <w:vMerge w:val="continue"/>
            <w:noWrap w:val="0"/>
            <w:vAlign w:val="center"/>
          </w:tcPr>
          <w:p w14:paraId="34C038A4">
            <w:pPr>
              <w:spacing w:line="240" w:lineRule="auto"/>
              <w:ind w:firstLine="420"/>
              <w:jc w:val="center"/>
              <w:rPr>
                <w:rFonts w:ascii="Times New Roman" w:hAnsi="Times New Roman"/>
                <w:color w:val="auto"/>
                <w:sz w:val="21"/>
                <w:szCs w:val="21"/>
                <w:highlight w:val="none"/>
              </w:rPr>
            </w:pPr>
          </w:p>
        </w:tc>
      </w:tr>
      <w:tr w14:paraId="3A7EB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2" w:type="pct"/>
            <w:vMerge w:val="continue"/>
            <w:noWrap w:val="0"/>
            <w:vAlign w:val="center"/>
          </w:tcPr>
          <w:p w14:paraId="3C89DD3A">
            <w:pPr>
              <w:spacing w:line="240" w:lineRule="auto"/>
              <w:ind w:firstLine="0" w:firstLineChars="0"/>
              <w:jc w:val="center"/>
              <w:rPr>
                <w:rFonts w:ascii="Times New Roman" w:hAnsi="Times New Roman"/>
                <w:color w:val="auto"/>
                <w:sz w:val="21"/>
                <w:szCs w:val="21"/>
                <w:highlight w:val="none"/>
              </w:rPr>
            </w:pPr>
          </w:p>
        </w:tc>
        <w:tc>
          <w:tcPr>
            <w:tcW w:w="949" w:type="pct"/>
            <w:noWrap w:val="0"/>
            <w:vAlign w:val="center"/>
          </w:tcPr>
          <w:p w14:paraId="4B068F18">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1小时平均</w:t>
            </w:r>
          </w:p>
        </w:tc>
        <w:tc>
          <w:tcPr>
            <w:tcW w:w="949" w:type="pct"/>
            <w:noWrap w:val="0"/>
            <w:vAlign w:val="center"/>
          </w:tcPr>
          <w:p w14:paraId="6AA8434C">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450</w:t>
            </w:r>
          </w:p>
        </w:tc>
        <w:tc>
          <w:tcPr>
            <w:tcW w:w="2118" w:type="pct"/>
            <w:vMerge w:val="continue"/>
            <w:noWrap w:val="0"/>
            <w:vAlign w:val="center"/>
          </w:tcPr>
          <w:p w14:paraId="41E8F5B5">
            <w:pPr>
              <w:spacing w:line="240" w:lineRule="auto"/>
              <w:ind w:firstLine="420"/>
              <w:jc w:val="center"/>
              <w:rPr>
                <w:rFonts w:ascii="Times New Roman" w:hAnsi="Times New Roman"/>
                <w:color w:val="auto"/>
                <w:sz w:val="21"/>
                <w:szCs w:val="21"/>
                <w:highlight w:val="none"/>
              </w:rPr>
            </w:pPr>
          </w:p>
        </w:tc>
      </w:tr>
    </w:tbl>
    <w:p w14:paraId="444C5215">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66"/>
          <w:rFonts w:hint="default" w:ascii="Times New Roman" w:hAnsi="Times New Roman" w:eastAsia="宋体" w:cs="Times New Roman"/>
          <w:b/>
          <w:color w:val="000000"/>
          <w:sz w:val="21"/>
          <w:szCs w:val="21"/>
          <w:highlight w:val="none"/>
        </w:rPr>
      </w:pPr>
      <w:r>
        <w:rPr>
          <w:rStyle w:val="66"/>
          <w:rFonts w:hint="default" w:ascii="Times New Roman" w:hAnsi="Times New Roman" w:eastAsia="宋体" w:cs="Times New Roman"/>
          <w:b/>
          <w:color w:val="000000"/>
          <w:sz w:val="21"/>
          <w:szCs w:val="21"/>
          <w:highlight w:val="none"/>
        </w:rPr>
        <w:t>估算模型参数表</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2316"/>
        <w:gridCol w:w="4912"/>
      </w:tblGrid>
      <w:tr w14:paraId="6A3D9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pct"/>
            <w:gridSpan w:val="2"/>
            <w:noWrap w:val="0"/>
            <w:vAlign w:val="center"/>
          </w:tcPr>
          <w:p w14:paraId="7E9DED31">
            <w:pPr>
              <w:widowControl/>
              <w:adjustRightInd/>
              <w:snapToGrid/>
              <w:spacing w:line="240" w:lineRule="auto"/>
              <w:ind w:firstLine="0" w:firstLineChars="0"/>
              <w:jc w:val="center"/>
              <w:rPr>
                <w:b/>
                <w:color w:val="auto"/>
                <w:kern w:val="0"/>
                <w:sz w:val="21"/>
                <w:szCs w:val="22"/>
                <w:highlight w:val="none"/>
              </w:rPr>
            </w:pPr>
            <w:r>
              <w:rPr>
                <w:b/>
                <w:color w:val="auto"/>
                <w:kern w:val="0"/>
                <w:sz w:val="21"/>
                <w:szCs w:val="22"/>
                <w:highlight w:val="none"/>
              </w:rPr>
              <w:t>选项</w:t>
            </w:r>
          </w:p>
        </w:tc>
        <w:tc>
          <w:tcPr>
            <w:tcW w:w="2845" w:type="pct"/>
            <w:noWrap/>
            <w:vAlign w:val="center"/>
          </w:tcPr>
          <w:p w14:paraId="0858EA37">
            <w:pPr>
              <w:widowControl/>
              <w:adjustRightInd/>
              <w:snapToGrid/>
              <w:spacing w:line="240" w:lineRule="auto"/>
              <w:ind w:firstLine="0" w:firstLineChars="0"/>
              <w:jc w:val="center"/>
              <w:rPr>
                <w:b/>
                <w:color w:val="auto"/>
                <w:kern w:val="0"/>
                <w:sz w:val="21"/>
                <w:szCs w:val="22"/>
                <w:highlight w:val="none"/>
              </w:rPr>
            </w:pPr>
            <w:r>
              <w:rPr>
                <w:b/>
                <w:color w:val="auto"/>
                <w:kern w:val="0"/>
                <w:sz w:val="21"/>
                <w:szCs w:val="22"/>
                <w:highlight w:val="none"/>
              </w:rPr>
              <w:t>参数</w:t>
            </w:r>
          </w:p>
        </w:tc>
      </w:tr>
      <w:tr w14:paraId="1F9DC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restart"/>
            <w:noWrap w:val="0"/>
            <w:vAlign w:val="center"/>
          </w:tcPr>
          <w:p w14:paraId="2B0DE371">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城市/农村选项</w:t>
            </w:r>
          </w:p>
        </w:tc>
        <w:tc>
          <w:tcPr>
            <w:tcW w:w="1357" w:type="pct"/>
            <w:noWrap/>
            <w:vAlign w:val="center"/>
          </w:tcPr>
          <w:p w14:paraId="3BD1D726">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城市/农村</w:t>
            </w:r>
          </w:p>
        </w:tc>
        <w:tc>
          <w:tcPr>
            <w:tcW w:w="2845" w:type="pct"/>
            <w:noWrap/>
            <w:vAlign w:val="center"/>
          </w:tcPr>
          <w:p w14:paraId="6E7EC039">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农村</w:t>
            </w:r>
          </w:p>
          <w:p w14:paraId="52888391">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（项目周边3k</w:t>
            </w:r>
            <w:r>
              <w:rPr>
                <w:rFonts w:hint="eastAsia"/>
                <w:color w:val="auto"/>
                <w:kern w:val="0"/>
                <w:sz w:val="21"/>
                <w:szCs w:val="22"/>
                <w:highlight w:val="none"/>
                <w:lang w:val="en-US" w:eastAsia="zh-CN"/>
              </w:rPr>
              <w:t>m</w:t>
            </w:r>
            <w:r>
              <w:rPr>
                <w:color w:val="auto"/>
                <w:kern w:val="0"/>
                <w:sz w:val="21"/>
                <w:szCs w:val="22"/>
                <w:highlight w:val="none"/>
              </w:rPr>
              <w:t>范围内建成区面积占比小于50%）</w:t>
            </w:r>
          </w:p>
        </w:tc>
      </w:tr>
      <w:tr w14:paraId="61707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continue"/>
            <w:noWrap w:val="0"/>
            <w:vAlign w:val="center"/>
          </w:tcPr>
          <w:p w14:paraId="6E55E9DC">
            <w:pPr>
              <w:widowControl/>
              <w:adjustRightInd/>
              <w:snapToGrid/>
              <w:spacing w:line="240" w:lineRule="auto"/>
              <w:ind w:firstLine="0" w:firstLineChars="0"/>
              <w:jc w:val="center"/>
              <w:rPr>
                <w:color w:val="auto"/>
                <w:kern w:val="0"/>
                <w:sz w:val="21"/>
                <w:szCs w:val="22"/>
                <w:highlight w:val="none"/>
              </w:rPr>
            </w:pPr>
          </w:p>
        </w:tc>
        <w:tc>
          <w:tcPr>
            <w:tcW w:w="1357" w:type="pct"/>
            <w:noWrap/>
            <w:vAlign w:val="center"/>
          </w:tcPr>
          <w:p w14:paraId="3437148D">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人口数（城市选项时）</w:t>
            </w:r>
          </w:p>
        </w:tc>
        <w:tc>
          <w:tcPr>
            <w:tcW w:w="2845" w:type="pct"/>
            <w:noWrap/>
            <w:vAlign w:val="center"/>
          </w:tcPr>
          <w:p w14:paraId="46C0F456">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w:t>
            </w:r>
          </w:p>
        </w:tc>
      </w:tr>
      <w:tr w14:paraId="3D8F3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pct"/>
            <w:gridSpan w:val="2"/>
            <w:noWrap w:val="0"/>
            <w:vAlign w:val="center"/>
          </w:tcPr>
          <w:p w14:paraId="65965349">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最高环境温度/℃</w:t>
            </w:r>
          </w:p>
        </w:tc>
        <w:tc>
          <w:tcPr>
            <w:tcW w:w="4912" w:type="dxa"/>
            <w:noWrap/>
            <w:vAlign w:val="center"/>
          </w:tcPr>
          <w:p w14:paraId="583DED99">
            <w:pPr>
              <w:pStyle w:val="161"/>
              <w:ind w:firstLine="0" w:firstLineChars="0"/>
              <w:rPr>
                <w:color w:val="auto"/>
                <w:kern w:val="0"/>
                <w:szCs w:val="22"/>
                <w:highlight w:val="none"/>
              </w:rPr>
            </w:pPr>
            <w:r>
              <w:rPr>
                <w:rFonts w:hint="default" w:ascii="Times New Roman" w:hAnsi="Times New Roman" w:cs="Times New Roman"/>
                <w:b w:val="0"/>
                <w:bCs/>
                <w:highlight w:val="none"/>
              </w:rPr>
              <w:t>40.</w:t>
            </w:r>
            <w:r>
              <w:rPr>
                <w:rFonts w:hint="default" w:ascii="Times New Roman" w:hAnsi="Times New Roman" w:cs="Times New Roman"/>
                <w:b w:val="0"/>
                <w:bCs/>
                <w:highlight w:val="none"/>
                <w:lang w:val="en-US" w:eastAsia="zh-CN"/>
              </w:rPr>
              <w:t>7</w:t>
            </w:r>
            <w:r>
              <w:rPr>
                <w:rFonts w:hint="default" w:ascii="Times New Roman" w:hAnsi="Times New Roman" w:cs="Times New Roman"/>
                <w:b w:val="0"/>
                <w:bCs/>
                <w:highlight w:val="none"/>
              </w:rPr>
              <w:t>℃</w:t>
            </w:r>
          </w:p>
        </w:tc>
      </w:tr>
      <w:tr w14:paraId="5F23D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pct"/>
            <w:gridSpan w:val="2"/>
            <w:noWrap w:val="0"/>
            <w:vAlign w:val="center"/>
          </w:tcPr>
          <w:p w14:paraId="4C4A1237">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最低环境温度/℃</w:t>
            </w:r>
          </w:p>
        </w:tc>
        <w:tc>
          <w:tcPr>
            <w:tcW w:w="4912" w:type="dxa"/>
            <w:noWrap/>
            <w:vAlign w:val="center"/>
          </w:tcPr>
          <w:p w14:paraId="5F7F0EC7">
            <w:pPr>
              <w:pStyle w:val="161"/>
              <w:ind w:firstLine="0" w:firstLineChars="0"/>
              <w:rPr>
                <w:color w:val="auto"/>
                <w:kern w:val="0"/>
                <w:szCs w:val="22"/>
                <w:highlight w:val="none"/>
              </w:rPr>
            </w:pPr>
            <w:r>
              <w:rPr>
                <w:rFonts w:hint="default" w:ascii="Times New Roman" w:hAnsi="Times New Roman" w:cs="Times New Roman"/>
                <w:b w:val="0"/>
                <w:bCs/>
                <w:highlight w:val="none"/>
              </w:rPr>
              <w:t>-2</w:t>
            </w:r>
            <w:r>
              <w:rPr>
                <w:rFonts w:hint="default" w:ascii="Times New Roman" w:hAnsi="Times New Roman" w:cs="Times New Roman"/>
                <w:b w:val="0"/>
                <w:bCs/>
                <w:highlight w:val="none"/>
                <w:lang w:val="en-US" w:eastAsia="zh-CN"/>
              </w:rPr>
              <w:t>8.2</w:t>
            </w:r>
            <w:r>
              <w:rPr>
                <w:rFonts w:hint="default" w:ascii="Times New Roman" w:hAnsi="Times New Roman" w:cs="Times New Roman"/>
                <w:b w:val="0"/>
                <w:bCs/>
                <w:highlight w:val="none"/>
              </w:rPr>
              <w:t>℃</w:t>
            </w:r>
          </w:p>
        </w:tc>
      </w:tr>
      <w:tr w14:paraId="4F508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pct"/>
            <w:gridSpan w:val="2"/>
            <w:noWrap w:val="0"/>
            <w:vAlign w:val="center"/>
          </w:tcPr>
          <w:p w14:paraId="15AD0CB6">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土地利用类型</w:t>
            </w:r>
          </w:p>
        </w:tc>
        <w:tc>
          <w:tcPr>
            <w:tcW w:w="2845" w:type="pct"/>
            <w:noWrap/>
            <w:vAlign w:val="center"/>
          </w:tcPr>
          <w:p w14:paraId="500C7FC0">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落叶林</w:t>
            </w:r>
          </w:p>
        </w:tc>
      </w:tr>
      <w:tr w14:paraId="0E4F1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154" w:type="pct"/>
            <w:gridSpan w:val="2"/>
            <w:noWrap w:val="0"/>
            <w:vAlign w:val="center"/>
          </w:tcPr>
          <w:p w14:paraId="58121F6D">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区域湿度条件</w:t>
            </w:r>
          </w:p>
        </w:tc>
        <w:tc>
          <w:tcPr>
            <w:tcW w:w="2845" w:type="pct"/>
            <w:noWrap/>
            <w:vAlign w:val="center"/>
          </w:tcPr>
          <w:p w14:paraId="76A205A7">
            <w:pPr>
              <w:widowControl/>
              <w:adjustRightInd/>
              <w:snapToGrid/>
              <w:spacing w:line="240" w:lineRule="auto"/>
              <w:ind w:firstLine="0" w:firstLineChars="0"/>
              <w:jc w:val="center"/>
              <w:rPr>
                <w:color w:val="auto"/>
                <w:kern w:val="0"/>
                <w:sz w:val="21"/>
                <w:szCs w:val="22"/>
                <w:highlight w:val="none"/>
              </w:rPr>
            </w:pPr>
            <w:r>
              <w:rPr>
                <w:color w:val="auto"/>
                <w:sz w:val="21"/>
                <w:szCs w:val="21"/>
                <w:highlight w:val="none"/>
              </w:rPr>
              <w:t>中等湿度气候</w:t>
            </w:r>
          </w:p>
        </w:tc>
      </w:tr>
      <w:tr w14:paraId="2E602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restart"/>
            <w:noWrap w:val="0"/>
            <w:vAlign w:val="center"/>
          </w:tcPr>
          <w:p w14:paraId="1D8E0382">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是否考虑地形</w:t>
            </w:r>
          </w:p>
        </w:tc>
        <w:tc>
          <w:tcPr>
            <w:tcW w:w="1357" w:type="pct"/>
            <w:noWrap/>
            <w:vAlign w:val="center"/>
          </w:tcPr>
          <w:p w14:paraId="0C9D263C">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考虑地形</w:t>
            </w:r>
          </w:p>
        </w:tc>
        <w:tc>
          <w:tcPr>
            <w:tcW w:w="2845" w:type="pct"/>
            <w:noWrap/>
            <w:vAlign w:val="center"/>
          </w:tcPr>
          <w:p w14:paraId="5093764E">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√是□否</w:t>
            </w:r>
          </w:p>
        </w:tc>
      </w:tr>
      <w:tr w14:paraId="07151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continue"/>
            <w:noWrap w:val="0"/>
            <w:vAlign w:val="center"/>
          </w:tcPr>
          <w:p w14:paraId="4A6988EB">
            <w:pPr>
              <w:widowControl/>
              <w:adjustRightInd/>
              <w:snapToGrid/>
              <w:spacing w:line="240" w:lineRule="auto"/>
              <w:ind w:firstLine="0" w:firstLineChars="0"/>
              <w:jc w:val="center"/>
              <w:rPr>
                <w:color w:val="auto"/>
                <w:kern w:val="0"/>
                <w:sz w:val="21"/>
                <w:szCs w:val="22"/>
                <w:highlight w:val="none"/>
              </w:rPr>
            </w:pPr>
          </w:p>
        </w:tc>
        <w:tc>
          <w:tcPr>
            <w:tcW w:w="1357" w:type="pct"/>
            <w:noWrap/>
            <w:vAlign w:val="center"/>
          </w:tcPr>
          <w:p w14:paraId="59431651">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地形数据分辨率/m</w:t>
            </w:r>
          </w:p>
        </w:tc>
        <w:tc>
          <w:tcPr>
            <w:tcW w:w="2845" w:type="pct"/>
            <w:noWrap/>
            <w:vAlign w:val="center"/>
          </w:tcPr>
          <w:p w14:paraId="70E8F84E">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90</w:t>
            </w:r>
          </w:p>
        </w:tc>
      </w:tr>
      <w:tr w14:paraId="49AF9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restart"/>
            <w:noWrap w:val="0"/>
            <w:vAlign w:val="center"/>
          </w:tcPr>
          <w:p w14:paraId="0CD2681A">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是否考虑海岸线熏烟</w:t>
            </w:r>
          </w:p>
        </w:tc>
        <w:tc>
          <w:tcPr>
            <w:tcW w:w="1357" w:type="pct"/>
            <w:noWrap/>
            <w:vAlign w:val="center"/>
          </w:tcPr>
          <w:p w14:paraId="063B5EAF">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考虑海岸线熏烟</w:t>
            </w:r>
          </w:p>
        </w:tc>
        <w:tc>
          <w:tcPr>
            <w:tcW w:w="2845" w:type="pct"/>
            <w:noWrap/>
            <w:vAlign w:val="center"/>
          </w:tcPr>
          <w:p w14:paraId="6F30EA11">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□是√否</w:t>
            </w:r>
          </w:p>
        </w:tc>
      </w:tr>
      <w:tr w14:paraId="26AB3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continue"/>
            <w:noWrap w:val="0"/>
            <w:vAlign w:val="center"/>
          </w:tcPr>
          <w:p w14:paraId="4D32A64A">
            <w:pPr>
              <w:widowControl/>
              <w:adjustRightInd/>
              <w:snapToGrid/>
              <w:spacing w:line="240" w:lineRule="auto"/>
              <w:ind w:firstLine="0" w:firstLineChars="0"/>
              <w:jc w:val="center"/>
              <w:rPr>
                <w:color w:val="auto"/>
                <w:kern w:val="0"/>
                <w:sz w:val="21"/>
                <w:szCs w:val="22"/>
                <w:highlight w:val="none"/>
              </w:rPr>
            </w:pPr>
          </w:p>
        </w:tc>
        <w:tc>
          <w:tcPr>
            <w:tcW w:w="1357" w:type="pct"/>
            <w:noWrap/>
            <w:vAlign w:val="center"/>
          </w:tcPr>
          <w:p w14:paraId="576BEAD4">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岸线距离/km</w:t>
            </w:r>
          </w:p>
        </w:tc>
        <w:tc>
          <w:tcPr>
            <w:tcW w:w="2845" w:type="pct"/>
            <w:noWrap/>
            <w:vAlign w:val="center"/>
          </w:tcPr>
          <w:p w14:paraId="5D7C0E03">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w:t>
            </w:r>
          </w:p>
        </w:tc>
      </w:tr>
      <w:tr w14:paraId="47AB7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continue"/>
            <w:noWrap w:val="0"/>
            <w:vAlign w:val="center"/>
          </w:tcPr>
          <w:p w14:paraId="33150EF2">
            <w:pPr>
              <w:widowControl/>
              <w:adjustRightInd/>
              <w:snapToGrid/>
              <w:spacing w:line="240" w:lineRule="auto"/>
              <w:ind w:firstLine="0" w:firstLineChars="0"/>
              <w:jc w:val="center"/>
              <w:rPr>
                <w:color w:val="auto"/>
                <w:kern w:val="0"/>
                <w:sz w:val="21"/>
                <w:szCs w:val="22"/>
                <w:highlight w:val="none"/>
              </w:rPr>
            </w:pPr>
          </w:p>
        </w:tc>
        <w:tc>
          <w:tcPr>
            <w:tcW w:w="1357" w:type="pct"/>
            <w:noWrap/>
            <w:vAlign w:val="center"/>
          </w:tcPr>
          <w:p w14:paraId="6718283A">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岸线方向/°</w:t>
            </w:r>
          </w:p>
        </w:tc>
        <w:tc>
          <w:tcPr>
            <w:tcW w:w="2845" w:type="pct"/>
            <w:noWrap/>
            <w:vAlign w:val="center"/>
          </w:tcPr>
          <w:p w14:paraId="3D1A1987">
            <w:pPr>
              <w:widowControl/>
              <w:adjustRightInd/>
              <w:snapToGrid/>
              <w:spacing w:line="240" w:lineRule="auto"/>
              <w:ind w:firstLine="0" w:firstLineChars="0"/>
              <w:jc w:val="center"/>
              <w:rPr>
                <w:color w:val="auto"/>
                <w:kern w:val="0"/>
                <w:sz w:val="21"/>
                <w:szCs w:val="22"/>
                <w:highlight w:val="none"/>
              </w:rPr>
            </w:pPr>
            <w:r>
              <w:rPr>
                <w:color w:val="auto"/>
                <w:kern w:val="0"/>
                <w:sz w:val="21"/>
                <w:szCs w:val="22"/>
                <w:highlight w:val="none"/>
              </w:rPr>
              <w:t>/</w:t>
            </w:r>
          </w:p>
        </w:tc>
      </w:tr>
    </w:tbl>
    <w:p w14:paraId="6E99A71E">
      <w:pPr>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b w:val="0"/>
          <w:bCs w:val="0"/>
          <w:color w:val="000000"/>
          <w:kern w:val="0"/>
          <w:sz w:val="21"/>
          <w:szCs w:val="21"/>
          <w:highlight w:val="none"/>
        </w:rPr>
      </w:pPr>
      <w:r>
        <w:rPr>
          <w:rFonts w:hint="default" w:ascii="Times New Roman" w:hAnsi="Times New Roman" w:cs="Times New Roman"/>
          <w:b w:val="0"/>
          <w:bCs w:val="0"/>
          <w:kern w:val="0"/>
          <w:sz w:val="21"/>
          <w:szCs w:val="21"/>
          <w:highlight w:val="none"/>
        </w:rPr>
        <w:t>注：本项目各项目场地周边3km半径范围内为农村区域，农村占地范围在50%以上，因此，本项目估算模型计算选项选取农村。项目周边3km半径范围内土地利用类型主要为林地为主，占地范围在50%以上，故本项目估算模型计算选项土地利用类型选取</w:t>
      </w:r>
      <w:r>
        <w:rPr>
          <w:rFonts w:hint="default" w:ascii="Times New Roman" w:hAnsi="Times New Roman" w:cs="Times New Roman"/>
          <w:b w:val="0"/>
          <w:bCs w:val="0"/>
          <w:kern w:val="0"/>
          <w:sz w:val="21"/>
          <w:szCs w:val="21"/>
          <w:highlight w:val="none"/>
          <w:lang w:val="en-US" w:eastAsia="zh-CN"/>
        </w:rPr>
        <w:t>阔</w:t>
      </w:r>
      <w:r>
        <w:rPr>
          <w:rFonts w:hint="default" w:ascii="Times New Roman" w:hAnsi="Times New Roman" w:cs="Times New Roman"/>
          <w:b w:val="0"/>
          <w:bCs w:val="0"/>
          <w:kern w:val="0"/>
          <w:sz w:val="21"/>
          <w:szCs w:val="21"/>
          <w:highlight w:val="none"/>
        </w:rPr>
        <w:t>叶林。</w:t>
      </w:r>
    </w:p>
    <w:p w14:paraId="541C2C4E">
      <w:pPr>
        <w:pageBreakBefore w:val="0"/>
        <w:widowControl w:val="0"/>
        <w:kinsoku/>
        <w:wordWrap/>
        <w:overflowPunct/>
        <w:autoSpaceDE/>
        <w:autoSpaceDN/>
        <w:bidi w:val="0"/>
        <w:spacing w:line="360" w:lineRule="auto"/>
        <w:ind w:firstLine="482" w:firstLineChars="200"/>
        <w:textAlignment w:val="auto"/>
        <w:rPr>
          <w:rFonts w:hint="default" w:ascii="Times New Roman" w:hAnsi="Times New Roman" w:cs="Times New Roman"/>
          <w:b/>
          <w:bCs/>
          <w:color w:val="000000"/>
          <w:kern w:val="0"/>
          <w:sz w:val="24"/>
          <w:szCs w:val="21"/>
          <w:highlight w:val="none"/>
        </w:rPr>
      </w:pPr>
      <w:r>
        <w:rPr>
          <w:rFonts w:hint="default" w:ascii="Times New Roman" w:hAnsi="Times New Roman" w:cs="Times New Roman"/>
          <w:b/>
          <w:bCs/>
          <w:color w:val="000000"/>
          <w:kern w:val="0"/>
          <w:sz w:val="24"/>
          <w:szCs w:val="21"/>
          <w:highlight w:val="none"/>
        </w:rPr>
        <w:t>（</w:t>
      </w:r>
      <w:r>
        <w:rPr>
          <w:rFonts w:hint="eastAsia" w:ascii="Times New Roman" w:hAnsi="Times New Roman" w:cs="Times New Roman"/>
          <w:b/>
          <w:bCs/>
          <w:color w:val="000000"/>
          <w:kern w:val="0"/>
          <w:sz w:val="24"/>
          <w:szCs w:val="21"/>
          <w:highlight w:val="none"/>
          <w:lang w:val="en-US" w:eastAsia="zh-CN"/>
        </w:rPr>
        <w:t>3</w:t>
      </w:r>
      <w:r>
        <w:rPr>
          <w:rFonts w:hint="default" w:ascii="Times New Roman" w:hAnsi="Times New Roman" w:cs="Times New Roman"/>
          <w:b/>
          <w:bCs/>
          <w:color w:val="000000"/>
          <w:kern w:val="0"/>
          <w:sz w:val="24"/>
          <w:szCs w:val="21"/>
          <w:highlight w:val="none"/>
        </w:rPr>
        <w:t>）</w:t>
      </w:r>
      <w:r>
        <w:rPr>
          <w:rFonts w:hint="eastAsia" w:ascii="Times New Roman" w:hAnsi="Times New Roman" w:cs="Times New Roman"/>
          <w:b/>
          <w:bCs/>
          <w:color w:val="000000"/>
          <w:kern w:val="0"/>
          <w:sz w:val="24"/>
          <w:szCs w:val="21"/>
          <w:highlight w:val="none"/>
          <w:lang w:val="en-US" w:eastAsia="zh-CN"/>
        </w:rPr>
        <w:t>估算结果</w:t>
      </w:r>
    </w:p>
    <w:p w14:paraId="2CC1DFF4">
      <w:pPr>
        <w:pageBreakBefore w:val="0"/>
        <w:widowControl w:val="0"/>
        <w:kinsoku/>
        <w:wordWrap/>
        <w:overflowPunct/>
        <w:autoSpaceDE/>
        <w:autoSpaceDN/>
        <w:bidi w:val="0"/>
        <w:spacing w:line="360" w:lineRule="auto"/>
        <w:ind w:firstLine="480" w:firstLineChars="200"/>
        <w:textAlignment w:val="auto"/>
        <w:rPr>
          <w:rFonts w:hint="eastAsia"/>
          <w:color w:val="auto"/>
          <w:sz w:val="24"/>
          <w:szCs w:val="24"/>
          <w:highlight w:val="none"/>
          <w:lang w:eastAsia="zh-CN"/>
        </w:rPr>
      </w:pPr>
      <w:r>
        <w:rPr>
          <w:rFonts w:ascii="Times New Roman" w:hAnsi="Times New Roman"/>
          <w:color w:val="auto"/>
          <w:sz w:val="24"/>
          <w:szCs w:val="24"/>
          <w:highlight w:val="none"/>
        </w:rPr>
        <w:t>预测结果见下表</w:t>
      </w:r>
      <w:r>
        <w:rPr>
          <w:rFonts w:hint="eastAsia"/>
          <w:color w:val="auto"/>
          <w:sz w:val="24"/>
          <w:szCs w:val="24"/>
          <w:highlight w:val="none"/>
          <w:lang w:eastAsia="zh-CN"/>
        </w:rPr>
        <w:t>。</w:t>
      </w:r>
    </w:p>
    <w:p w14:paraId="700EEBD0">
      <w:pPr>
        <w:pStyle w:val="208"/>
        <w:numPr>
          <w:ilvl w:val="5"/>
          <w:numId w:val="17"/>
        </w:numPr>
        <w:tabs>
          <w:tab w:val="left" w:pos="420"/>
          <w:tab w:val="clear" w:pos="0"/>
        </w:tabs>
        <w:adjustRightInd w:val="0"/>
        <w:snapToGrid w:val="0"/>
        <w:spacing w:after="156" w:afterLines="50"/>
        <w:ind w:left="1050" w:leftChars="0" w:hanging="1050" w:firstLineChars="0"/>
        <w:rPr>
          <w:rStyle w:val="152"/>
          <w:rFonts w:hint="default" w:ascii="Times New Roman" w:hAnsi="Times New Roman" w:eastAsia="宋体" w:cs="Times New Roman"/>
          <w:color w:val="000000"/>
          <w:sz w:val="21"/>
          <w:szCs w:val="21"/>
          <w:highlight w:val="none"/>
        </w:rPr>
      </w:pPr>
      <w:r>
        <w:rPr>
          <w:rStyle w:val="152"/>
          <w:rFonts w:hint="default" w:ascii="Times New Roman" w:hAnsi="Times New Roman" w:eastAsia="宋体" w:cs="Times New Roman"/>
          <w:color w:val="000000"/>
          <w:sz w:val="21"/>
          <w:szCs w:val="21"/>
          <w:highlight w:val="none"/>
        </w:rPr>
        <w:t>面源估算结果一览表</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5"/>
        <w:gridCol w:w="1675"/>
        <w:gridCol w:w="1528"/>
        <w:gridCol w:w="1711"/>
        <w:gridCol w:w="1306"/>
      </w:tblGrid>
      <w:tr w14:paraId="244C3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vMerge w:val="restart"/>
            <w:noWrap w:val="0"/>
            <w:vAlign w:val="center"/>
          </w:tcPr>
          <w:p w14:paraId="3141B569">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下风向距离/m</w:t>
            </w:r>
          </w:p>
        </w:tc>
        <w:tc>
          <w:tcPr>
            <w:tcW w:w="3647" w:type="pct"/>
            <w:gridSpan w:val="4"/>
            <w:noWrap w:val="0"/>
            <w:vAlign w:val="center"/>
          </w:tcPr>
          <w:p w14:paraId="38F8F2CA">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i w:val="0"/>
                <w:iCs w:val="0"/>
                <w:color w:val="000000"/>
                <w:kern w:val="0"/>
                <w:sz w:val="21"/>
                <w:szCs w:val="21"/>
                <w:highlight w:val="none"/>
                <w:u w:val="none"/>
                <w:lang w:val="en-US" w:eastAsia="zh-CN" w:bidi="ar"/>
              </w:rPr>
              <w:t>排土场</w:t>
            </w:r>
          </w:p>
        </w:tc>
      </w:tr>
      <w:tr w14:paraId="70A24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vMerge w:val="continue"/>
            <w:noWrap w:val="0"/>
            <w:vAlign w:val="center"/>
          </w:tcPr>
          <w:p w14:paraId="110FCF8E">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sz w:val="21"/>
                <w:szCs w:val="21"/>
                <w:highlight w:val="none"/>
              </w:rPr>
            </w:pPr>
          </w:p>
        </w:tc>
        <w:tc>
          <w:tcPr>
            <w:tcW w:w="1878" w:type="pct"/>
            <w:gridSpan w:val="2"/>
            <w:noWrap w:val="0"/>
            <w:vAlign w:val="center"/>
          </w:tcPr>
          <w:p w14:paraId="125AAA0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000000"/>
                <w:spacing w:val="0"/>
                <w:kern w:val="0"/>
                <w:sz w:val="21"/>
                <w:szCs w:val="21"/>
                <w:highlight w:val="none"/>
                <w:lang w:val="en-US" w:eastAsia="zh-CN"/>
              </w:rPr>
              <w:t>TSP</w:t>
            </w:r>
          </w:p>
        </w:tc>
        <w:tc>
          <w:tcPr>
            <w:tcW w:w="1768" w:type="pct"/>
            <w:gridSpan w:val="2"/>
            <w:noWrap w:val="0"/>
            <w:vAlign w:val="center"/>
          </w:tcPr>
          <w:p w14:paraId="5E52490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000000"/>
                <w:spacing w:val="0"/>
                <w:kern w:val="0"/>
                <w:sz w:val="21"/>
                <w:szCs w:val="21"/>
                <w:highlight w:val="none"/>
                <w:lang w:val="en-US" w:eastAsia="zh-CN"/>
              </w:rPr>
              <w:t>PM</w:t>
            </w:r>
            <w:r>
              <w:rPr>
                <w:rFonts w:hint="default" w:ascii="Times New Roman" w:hAnsi="Times New Roman" w:cs="Times New Roman"/>
                <w:b/>
                <w:bCs/>
                <w:color w:val="000000"/>
                <w:spacing w:val="0"/>
                <w:kern w:val="0"/>
                <w:sz w:val="21"/>
                <w:szCs w:val="21"/>
                <w:highlight w:val="none"/>
                <w:vertAlign w:val="subscript"/>
                <w:lang w:val="en-US" w:eastAsia="zh-CN"/>
              </w:rPr>
              <w:t>10</w:t>
            </w:r>
          </w:p>
        </w:tc>
      </w:tr>
      <w:tr w14:paraId="55180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vMerge w:val="continue"/>
            <w:noWrap w:val="0"/>
            <w:vAlign w:val="center"/>
          </w:tcPr>
          <w:p w14:paraId="33D05575">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sz w:val="21"/>
                <w:szCs w:val="21"/>
                <w:highlight w:val="none"/>
              </w:rPr>
            </w:pPr>
          </w:p>
        </w:tc>
        <w:tc>
          <w:tcPr>
            <w:tcW w:w="982" w:type="pct"/>
            <w:noWrap w:val="0"/>
            <w:vAlign w:val="center"/>
          </w:tcPr>
          <w:p w14:paraId="025DC641">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spacing w:val="-20"/>
                <w:sz w:val="21"/>
                <w:szCs w:val="21"/>
                <w:highlight w:val="none"/>
              </w:rPr>
            </w:pPr>
            <w:r>
              <w:rPr>
                <w:rFonts w:hint="default" w:ascii="Times New Roman" w:hAnsi="Times New Roman" w:cs="Times New Roman"/>
                <w:b/>
                <w:bCs/>
                <w:color w:val="auto"/>
                <w:spacing w:val="-20"/>
                <w:sz w:val="21"/>
                <w:szCs w:val="21"/>
                <w:highlight w:val="none"/>
              </w:rPr>
              <w:t>预测浓度/（mg/m</w:t>
            </w:r>
            <w:r>
              <w:rPr>
                <w:rFonts w:hint="default" w:ascii="Times New Roman" w:hAnsi="Times New Roman" w:cs="Times New Roman"/>
                <w:b/>
                <w:bCs/>
                <w:color w:val="auto"/>
                <w:spacing w:val="-20"/>
                <w:sz w:val="21"/>
                <w:szCs w:val="21"/>
                <w:highlight w:val="none"/>
                <w:vertAlign w:val="superscript"/>
              </w:rPr>
              <w:t>3</w:t>
            </w:r>
            <w:r>
              <w:rPr>
                <w:rFonts w:hint="default" w:ascii="Times New Roman" w:hAnsi="Times New Roman" w:cs="Times New Roman"/>
                <w:b/>
                <w:bCs/>
                <w:color w:val="auto"/>
                <w:spacing w:val="-20"/>
                <w:sz w:val="21"/>
                <w:szCs w:val="21"/>
                <w:highlight w:val="none"/>
              </w:rPr>
              <w:t>）</w:t>
            </w:r>
          </w:p>
        </w:tc>
        <w:tc>
          <w:tcPr>
            <w:tcW w:w="896" w:type="pct"/>
            <w:noWrap w:val="0"/>
            <w:vAlign w:val="center"/>
          </w:tcPr>
          <w:p w14:paraId="4FC07C43">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spacing w:val="-20"/>
                <w:sz w:val="21"/>
                <w:szCs w:val="21"/>
                <w:highlight w:val="none"/>
              </w:rPr>
            </w:pPr>
            <w:r>
              <w:rPr>
                <w:rFonts w:hint="default" w:ascii="Times New Roman" w:hAnsi="Times New Roman" w:cs="Times New Roman"/>
                <w:b/>
                <w:bCs/>
                <w:color w:val="auto"/>
                <w:spacing w:val="-20"/>
                <w:sz w:val="21"/>
                <w:szCs w:val="21"/>
                <w:highlight w:val="none"/>
              </w:rPr>
              <w:t>占标率/%</w:t>
            </w:r>
          </w:p>
        </w:tc>
        <w:tc>
          <w:tcPr>
            <w:tcW w:w="1003" w:type="pct"/>
            <w:noWrap w:val="0"/>
            <w:vAlign w:val="center"/>
          </w:tcPr>
          <w:p w14:paraId="5298F70B">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spacing w:val="-20"/>
                <w:sz w:val="21"/>
                <w:szCs w:val="21"/>
                <w:highlight w:val="none"/>
              </w:rPr>
            </w:pPr>
            <w:r>
              <w:rPr>
                <w:rFonts w:hint="default" w:ascii="Times New Roman" w:hAnsi="Times New Roman" w:cs="Times New Roman"/>
                <w:b/>
                <w:bCs/>
                <w:color w:val="auto"/>
                <w:spacing w:val="-20"/>
                <w:sz w:val="21"/>
                <w:szCs w:val="21"/>
                <w:highlight w:val="none"/>
              </w:rPr>
              <w:t>预测浓度/（mg/m</w:t>
            </w:r>
            <w:r>
              <w:rPr>
                <w:rFonts w:hint="default" w:ascii="Times New Roman" w:hAnsi="Times New Roman" w:cs="Times New Roman"/>
                <w:b/>
                <w:bCs/>
                <w:color w:val="auto"/>
                <w:spacing w:val="-20"/>
                <w:sz w:val="21"/>
                <w:szCs w:val="21"/>
                <w:highlight w:val="none"/>
                <w:vertAlign w:val="superscript"/>
              </w:rPr>
              <w:t>3</w:t>
            </w:r>
            <w:r>
              <w:rPr>
                <w:rFonts w:hint="default" w:ascii="Times New Roman" w:hAnsi="Times New Roman" w:cs="Times New Roman"/>
                <w:b/>
                <w:bCs/>
                <w:color w:val="auto"/>
                <w:spacing w:val="-20"/>
                <w:sz w:val="21"/>
                <w:szCs w:val="21"/>
                <w:highlight w:val="none"/>
              </w:rPr>
              <w:t>）</w:t>
            </w:r>
          </w:p>
        </w:tc>
        <w:tc>
          <w:tcPr>
            <w:tcW w:w="765" w:type="pct"/>
            <w:noWrap w:val="0"/>
            <w:vAlign w:val="center"/>
          </w:tcPr>
          <w:p w14:paraId="2A85F0A4">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spacing w:val="-20"/>
                <w:sz w:val="21"/>
                <w:szCs w:val="21"/>
                <w:highlight w:val="none"/>
              </w:rPr>
            </w:pPr>
            <w:r>
              <w:rPr>
                <w:rFonts w:hint="default" w:ascii="Times New Roman" w:hAnsi="Times New Roman" w:cs="Times New Roman"/>
                <w:b/>
                <w:bCs/>
                <w:color w:val="auto"/>
                <w:spacing w:val="-20"/>
                <w:sz w:val="21"/>
                <w:szCs w:val="21"/>
                <w:highlight w:val="none"/>
              </w:rPr>
              <w:t>占标率/%</w:t>
            </w:r>
          </w:p>
        </w:tc>
      </w:tr>
      <w:tr w14:paraId="3819E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2A458EEF">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w:t>
            </w:r>
          </w:p>
        </w:tc>
        <w:tc>
          <w:tcPr>
            <w:tcW w:w="1675" w:type="dxa"/>
            <w:shd w:val="clear" w:color="auto" w:fill="auto"/>
            <w:noWrap w:val="0"/>
            <w:vAlign w:val="center"/>
          </w:tcPr>
          <w:p w14:paraId="07A8E10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0.0438</w:t>
            </w:r>
          </w:p>
        </w:tc>
        <w:tc>
          <w:tcPr>
            <w:tcW w:w="1528" w:type="dxa"/>
            <w:shd w:val="clear" w:color="auto" w:fill="auto"/>
            <w:noWrap w:val="0"/>
            <w:vAlign w:val="center"/>
          </w:tcPr>
          <w:p w14:paraId="03A49B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4.87</w:t>
            </w:r>
          </w:p>
        </w:tc>
        <w:tc>
          <w:tcPr>
            <w:tcW w:w="1711" w:type="dxa"/>
            <w:shd w:val="clear" w:color="auto" w:fill="auto"/>
            <w:noWrap w:val="0"/>
            <w:vAlign w:val="center"/>
          </w:tcPr>
          <w:p w14:paraId="4EB1D70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0.0215</w:t>
            </w:r>
          </w:p>
        </w:tc>
        <w:tc>
          <w:tcPr>
            <w:tcW w:w="1306" w:type="dxa"/>
            <w:shd w:val="clear" w:color="auto" w:fill="auto"/>
            <w:noWrap w:val="0"/>
            <w:vAlign w:val="center"/>
          </w:tcPr>
          <w:p w14:paraId="3FB060E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4.77</w:t>
            </w:r>
          </w:p>
        </w:tc>
      </w:tr>
      <w:tr w14:paraId="6849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69C99FA9">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25</w:t>
            </w:r>
          </w:p>
        </w:tc>
        <w:tc>
          <w:tcPr>
            <w:tcW w:w="1675" w:type="dxa"/>
            <w:shd w:val="clear" w:color="auto" w:fill="auto"/>
            <w:noWrap w:val="0"/>
            <w:vAlign w:val="center"/>
          </w:tcPr>
          <w:p w14:paraId="1136A47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0.0460</w:t>
            </w:r>
          </w:p>
        </w:tc>
        <w:tc>
          <w:tcPr>
            <w:tcW w:w="1528" w:type="dxa"/>
            <w:shd w:val="clear" w:color="auto" w:fill="auto"/>
            <w:noWrap w:val="0"/>
            <w:vAlign w:val="center"/>
          </w:tcPr>
          <w:p w14:paraId="7C73574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5.12</w:t>
            </w:r>
          </w:p>
        </w:tc>
        <w:tc>
          <w:tcPr>
            <w:tcW w:w="1711" w:type="dxa"/>
            <w:shd w:val="clear" w:color="auto" w:fill="auto"/>
            <w:noWrap w:val="0"/>
            <w:vAlign w:val="center"/>
          </w:tcPr>
          <w:p w14:paraId="2BDE950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0.0226</w:t>
            </w:r>
          </w:p>
        </w:tc>
        <w:tc>
          <w:tcPr>
            <w:tcW w:w="1306" w:type="dxa"/>
            <w:shd w:val="clear" w:color="auto" w:fill="auto"/>
            <w:noWrap w:val="0"/>
            <w:vAlign w:val="center"/>
          </w:tcPr>
          <w:p w14:paraId="323E3E5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5.01</w:t>
            </w:r>
          </w:p>
        </w:tc>
      </w:tr>
      <w:tr w14:paraId="66561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7303DB66">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50</w:t>
            </w:r>
          </w:p>
        </w:tc>
        <w:tc>
          <w:tcPr>
            <w:tcW w:w="1675" w:type="dxa"/>
            <w:shd w:val="clear" w:color="auto" w:fill="auto"/>
            <w:noWrap w:val="0"/>
            <w:vAlign w:val="center"/>
          </w:tcPr>
          <w:p w14:paraId="3B374FA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0.0492</w:t>
            </w:r>
          </w:p>
        </w:tc>
        <w:tc>
          <w:tcPr>
            <w:tcW w:w="1528" w:type="dxa"/>
            <w:shd w:val="clear" w:color="auto" w:fill="auto"/>
            <w:noWrap w:val="0"/>
            <w:vAlign w:val="center"/>
          </w:tcPr>
          <w:p w14:paraId="67D7E29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5.46</w:t>
            </w:r>
          </w:p>
        </w:tc>
        <w:tc>
          <w:tcPr>
            <w:tcW w:w="1711" w:type="dxa"/>
            <w:shd w:val="clear" w:color="auto" w:fill="auto"/>
            <w:noWrap w:val="0"/>
            <w:vAlign w:val="center"/>
          </w:tcPr>
          <w:p w14:paraId="6F892F3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0.0241</w:t>
            </w:r>
          </w:p>
        </w:tc>
        <w:tc>
          <w:tcPr>
            <w:tcW w:w="1306" w:type="dxa"/>
            <w:shd w:val="clear" w:color="auto" w:fill="auto"/>
            <w:noWrap w:val="0"/>
            <w:vAlign w:val="center"/>
          </w:tcPr>
          <w:p w14:paraId="350286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5.35</w:t>
            </w:r>
          </w:p>
        </w:tc>
      </w:tr>
      <w:tr w14:paraId="54653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559B493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75</w:t>
            </w:r>
          </w:p>
        </w:tc>
        <w:tc>
          <w:tcPr>
            <w:tcW w:w="1675" w:type="dxa"/>
            <w:shd w:val="clear" w:color="auto" w:fill="auto"/>
            <w:noWrap w:val="0"/>
            <w:vAlign w:val="center"/>
          </w:tcPr>
          <w:p w14:paraId="6580C14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0.0524</w:t>
            </w:r>
          </w:p>
        </w:tc>
        <w:tc>
          <w:tcPr>
            <w:tcW w:w="1528" w:type="dxa"/>
            <w:shd w:val="clear" w:color="auto" w:fill="auto"/>
            <w:noWrap w:val="0"/>
            <w:vAlign w:val="center"/>
          </w:tcPr>
          <w:p w14:paraId="3FAAF31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5.82</w:t>
            </w:r>
          </w:p>
        </w:tc>
        <w:tc>
          <w:tcPr>
            <w:tcW w:w="1711" w:type="dxa"/>
            <w:shd w:val="clear" w:color="auto" w:fill="auto"/>
            <w:noWrap w:val="0"/>
            <w:vAlign w:val="center"/>
          </w:tcPr>
          <w:p w14:paraId="0A8A6FF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0.0257</w:t>
            </w:r>
          </w:p>
        </w:tc>
        <w:tc>
          <w:tcPr>
            <w:tcW w:w="1306" w:type="dxa"/>
            <w:shd w:val="clear" w:color="auto" w:fill="auto"/>
            <w:noWrap w:val="0"/>
            <w:vAlign w:val="center"/>
          </w:tcPr>
          <w:p w14:paraId="032FF91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5.70</w:t>
            </w:r>
          </w:p>
        </w:tc>
      </w:tr>
      <w:tr w14:paraId="0DD0A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7464463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100</w:t>
            </w:r>
          </w:p>
        </w:tc>
        <w:tc>
          <w:tcPr>
            <w:tcW w:w="1675" w:type="dxa"/>
            <w:shd w:val="clear" w:color="auto" w:fill="auto"/>
            <w:noWrap w:val="0"/>
            <w:vAlign w:val="center"/>
          </w:tcPr>
          <w:p w14:paraId="7CE0AE8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0.0554</w:t>
            </w:r>
          </w:p>
        </w:tc>
        <w:tc>
          <w:tcPr>
            <w:tcW w:w="1528" w:type="dxa"/>
            <w:shd w:val="clear" w:color="auto" w:fill="auto"/>
            <w:noWrap w:val="0"/>
            <w:vAlign w:val="center"/>
          </w:tcPr>
          <w:p w14:paraId="0871A14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6.15</w:t>
            </w:r>
          </w:p>
        </w:tc>
        <w:tc>
          <w:tcPr>
            <w:tcW w:w="1711" w:type="dxa"/>
            <w:shd w:val="clear" w:color="auto" w:fill="auto"/>
            <w:noWrap w:val="0"/>
            <w:vAlign w:val="center"/>
          </w:tcPr>
          <w:p w14:paraId="098122D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0.0271</w:t>
            </w:r>
          </w:p>
        </w:tc>
        <w:tc>
          <w:tcPr>
            <w:tcW w:w="1306" w:type="dxa"/>
            <w:shd w:val="clear" w:color="auto" w:fill="auto"/>
            <w:noWrap w:val="0"/>
            <w:vAlign w:val="center"/>
          </w:tcPr>
          <w:p w14:paraId="2B77C71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6.03</w:t>
            </w:r>
          </w:p>
        </w:tc>
      </w:tr>
      <w:tr w14:paraId="14400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2897098B">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125</w:t>
            </w:r>
          </w:p>
        </w:tc>
        <w:tc>
          <w:tcPr>
            <w:tcW w:w="1675" w:type="dxa"/>
            <w:shd w:val="clear" w:color="auto" w:fill="auto"/>
            <w:noWrap w:val="0"/>
            <w:vAlign w:val="center"/>
          </w:tcPr>
          <w:p w14:paraId="07D06AA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0.0583</w:t>
            </w:r>
          </w:p>
        </w:tc>
        <w:tc>
          <w:tcPr>
            <w:tcW w:w="1528" w:type="dxa"/>
            <w:shd w:val="clear" w:color="auto" w:fill="auto"/>
            <w:noWrap w:val="0"/>
            <w:vAlign w:val="center"/>
          </w:tcPr>
          <w:p w14:paraId="5B86579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6.47</w:t>
            </w:r>
          </w:p>
        </w:tc>
        <w:tc>
          <w:tcPr>
            <w:tcW w:w="1711" w:type="dxa"/>
            <w:shd w:val="clear" w:color="auto" w:fill="auto"/>
            <w:noWrap w:val="0"/>
            <w:vAlign w:val="center"/>
          </w:tcPr>
          <w:p w14:paraId="3399266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0.0285</w:t>
            </w:r>
          </w:p>
        </w:tc>
        <w:tc>
          <w:tcPr>
            <w:tcW w:w="1306" w:type="dxa"/>
            <w:shd w:val="clear" w:color="auto" w:fill="auto"/>
            <w:noWrap w:val="0"/>
            <w:vAlign w:val="center"/>
          </w:tcPr>
          <w:p w14:paraId="53D230A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6.34</w:t>
            </w:r>
          </w:p>
        </w:tc>
      </w:tr>
      <w:tr w14:paraId="22EBB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2D2AB46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150</w:t>
            </w:r>
          </w:p>
        </w:tc>
        <w:tc>
          <w:tcPr>
            <w:tcW w:w="1675" w:type="dxa"/>
            <w:shd w:val="clear" w:color="auto" w:fill="auto"/>
            <w:noWrap w:val="0"/>
            <w:vAlign w:val="center"/>
          </w:tcPr>
          <w:p w14:paraId="7516A95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0.0610</w:t>
            </w:r>
          </w:p>
        </w:tc>
        <w:tc>
          <w:tcPr>
            <w:tcW w:w="1528" w:type="dxa"/>
            <w:shd w:val="clear" w:color="auto" w:fill="auto"/>
            <w:noWrap w:val="0"/>
            <w:vAlign w:val="center"/>
          </w:tcPr>
          <w:p w14:paraId="28242C9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6.78</w:t>
            </w:r>
          </w:p>
        </w:tc>
        <w:tc>
          <w:tcPr>
            <w:tcW w:w="1711" w:type="dxa"/>
            <w:shd w:val="clear" w:color="auto" w:fill="auto"/>
            <w:noWrap w:val="0"/>
            <w:vAlign w:val="center"/>
          </w:tcPr>
          <w:p w14:paraId="74D66F4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0.0299</w:t>
            </w:r>
          </w:p>
        </w:tc>
        <w:tc>
          <w:tcPr>
            <w:tcW w:w="1306" w:type="dxa"/>
            <w:shd w:val="clear" w:color="auto" w:fill="auto"/>
            <w:noWrap w:val="0"/>
            <w:vAlign w:val="center"/>
          </w:tcPr>
          <w:p w14:paraId="039B181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6.65</w:t>
            </w:r>
          </w:p>
        </w:tc>
      </w:tr>
      <w:tr w14:paraId="417CF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5D7E3BE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175</w:t>
            </w:r>
          </w:p>
        </w:tc>
        <w:tc>
          <w:tcPr>
            <w:tcW w:w="1675" w:type="dxa"/>
            <w:shd w:val="clear" w:color="auto" w:fill="auto"/>
            <w:noWrap w:val="0"/>
            <w:vAlign w:val="center"/>
          </w:tcPr>
          <w:p w14:paraId="7E0CCB4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0.0637</w:t>
            </w:r>
          </w:p>
        </w:tc>
        <w:tc>
          <w:tcPr>
            <w:tcW w:w="1528" w:type="dxa"/>
            <w:shd w:val="clear" w:color="auto" w:fill="auto"/>
            <w:noWrap w:val="0"/>
            <w:vAlign w:val="center"/>
          </w:tcPr>
          <w:p w14:paraId="1727171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7.08</w:t>
            </w:r>
          </w:p>
        </w:tc>
        <w:tc>
          <w:tcPr>
            <w:tcW w:w="1711" w:type="dxa"/>
            <w:shd w:val="clear" w:color="auto" w:fill="auto"/>
            <w:noWrap w:val="0"/>
            <w:vAlign w:val="center"/>
          </w:tcPr>
          <w:p w14:paraId="058F4A0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0.0312</w:t>
            </w:r>
          </w:p>
        </w:tc>
        <w:tc>
          <w:tcPr>
            <w:tcW w:w="1306" w:type="dxa"/>
            <w:shd w:val="clear" w:color="auto" w:fill="auto"/>
            <w:noWrap w:val="0"/>
            <w:vAlign w:val="center"/>
          </w:tcPr>
          <w:p w14:paraId="5077BD8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6.93</w:t>
            </w:r>
          </w:p>
        </w:tc>
      </w:tr>
      <w:tr w14:paraId="0C452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3354D7E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200</w:t>
            </w:r>
          </w:p>
        </w:tc>
        <w:tc>
          <w:tcPr>
            <w:tcW w:w="1675" w:type="dxa"/>
            <w:shd w:val="clear" w:color="auto" w:fill="auto"/>
            <w:noWrap w:val="0"/>
            <w:vAlign w:val="center"/>
          </w:tcPr>
          <w:p w14:paraId="378B2E9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0.0663</w:t>
            </w:r>
          </w:p>
        </w:tc>
        <w:tc>
          <w:tcPr>
            <w:tcW w:w="1528" w:type="dxa"/>
            <w:shd w:val="clear" w:color="auto" w:fill="auto"/>
            <w:noWrap w:val="0"/>
            <w:vAlign w:val="center"/>
          </w:tcPr>
          <w:p w14:paraId="7CD9328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7.36</w:t>
            </w:r>
          </w:p>
        </w:tc>
        <w:tc>
          <w:tcPr>
            <w:tcW w:w="1711" w:type="dxa"/>
            <w:shd w:val="clear" w:color="auto" w:fill="auto"/>
            <w:noWrap w:val="0"/>
            <w:vAlign w:val="center"/>
          </w:tcPr>
          <w:p w14:paraId="0F505D7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0.0325</w:t>
            </w:r>
          </w:p>
        </w:tc>
        <w:tc>
          <w:tcPr>
            <w:tcW w:w="1306" w:type="dxa"/>
            <w:shd w:val="clear" w:color="auto" w:fill="auto"/>
            <w:noWrap w:val="0"/>
            <w:vAlign w:val="center"/>
          </w:tcPr>
          <w:p w14:paraId="206949B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7.22</w:t>
            </w:r>
          </w:p>
        </w:tc>
      </w:tr>
      <w:tr w14:paraId="0357B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22BC4C0C">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225</w:t>
            </w:r>
          </w:p>
        </w:tc>
        <w:tc>
          <w:tcPr>
            <w:tcW w:w="1675" w:type="dxa"/>
            <w:shd w:val="clear" w:color="auto" w:fill="auto"/>
            <w:noWrap w:val="0"/>
            <w:vAlign w:val="center"/>
          </w:tcPr>
          <w:p w14:paraId="1059154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0.0688</w:t>
            </w:r>
          </w:p>
        </w:tc>
        <w:tc>
          <w:tcPr>
            <w:tcW w:w="1528" w:type="dxa"/>
            <w:shd w:val="clear" w:color="auto" w:fill="auto"/>
            <w:noWrap w:val="0"/>
            <w:vAlign w:val="center"/>
          </w:tcPr>
          <w:p w14:paraId="0527891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7.64</w:t>
            </w:r>
          </w:p>
        </w:tc>
        <w:tc>
          <w:tcPr>
            <w:tcW w:w="1711" w:type="dxa"/>
            <w:shd w:val="clear" w:color="auto" w:fill="auto"/>
            <w:noWrap w:val="0"/>
            <w:vAlign w:val="center"/>
          </w:tcPr>
          <w:p w14:paraId="4A2F8BD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0.0337</w:t>
            </w:r>
          </w:p>
        </w:tc>
        <w:tc>
          <w:tcPr>
            <w:tcW w:w="1306" w:type="dxa"/>
            <w:shd w:val="clear" w:color="auto" w:fill="auto"/>
            <w:noWrap w:val="0"/>
            <w:vAlign w:val="center"/>
          </w:tcPr>
          <w:p w14:paraId="6AABDCE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7.49</w:t>
            </w:r>
          </w:p>
        </w:tc>
      </w:tr>
      <w:tr w14:paraId="350FC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00DCDFF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250</w:t>
            </w:r>
          </w:p>
        </w:tc>
        <w:tc>
          <w:tcPr>
            <w:tcW w:w="1675" w:type="dxa"/>
            <w:shd w:val="clear" w:color="auto" w:fill="auto"/>
            <w:noWrap w:val="0"/>
            <w:vAlign w:val="center"/>
          </w:tcPr>
          <w:p w14:paraId="00FE7CB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0.0712</w:t>
            </w:r>
          </w:p>
        </w:tc>
        <w:tc>
          <w:tcPr>
            <w:tcW w:w="1528" w:type="dxa"/>
            <w:shd w:val="clear" w:color="auto" w:fill="auto"/>
            <w:noWrap w:val="0"/>
            <w:vAlign w:val="center"/>
          </w:tcPr>
          <w:p w14:paraId="1989462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7.91</w:t>
            </w:r>
          </w:p>
        </w:tc>
        <w:tc>
          <w:tcPr>
            <w:tcW w:w="1711" w:type="dxa"/>
            <w:shd w:val="clear" w:color="auto" w:fill="auto"/>
            <w:noWrap w:val="0"/>
            <w:vAlign w:val="center"/>
          </w:tcPr>
          <w:p w14:paraId="305EC66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0.0349</w:t>
            </w:r>
          </w:p>
        </w:tc>
        <w:tc>
          <w:tcPr>
            <w:tcW w:w="1306" w:type="dxa"/>
            <w:shd w:val="clear" w:color="auto" w:fill="auto"/>
            <w:noWrap w:val="0"/>
            <w:vAlign w:val="center"/>
          </w:tcPr>
          <w:p w14:paraId="64714AD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7.75</w:t>
            </w:r>
          </w:p>
        </w:tc>
      </w:tr>
      <w:tr w14:paraId="507E1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7B2C12DD">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275</w:t>
            </w:r>
          </w:p>
        </w:tc>
        <w:tc>
          <w:tcPr>
            <w:tcW w:w="1675" w:type="dxa"/>
            <w:shd w:val="clear" w:color="auto" w:fill="auto"/>
            <w:noWrap w:val="0"/>
            <w:vAlign w:val="center"/>
          </w:tcPr>
          <w:p w14:paraId="78216E3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0.0735</w:t>
            </w:r>
          </w:p>
        </w:tc>
        <w:tc>
          <w:tcPr>
            <w:tcW w:w="1528" w:type="dxa"/>
            <w:shd w:val="clear" w:color="auto" w:fill="auto"/>
            <w:noWrap w:val="0"/>
            <w:vAlign w:val="center"/>
          </w:tcPr>
          <w:p w14:paraId="3746BDF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8.17</w:t>
            </w:r>
          </w:p>
        </w:tc>
        <w:tc>
          <w:tcPr>
            <w:tcW w:w="1711" w:type="dxa"/>
            <w:shd w:val="clear" w:color="auto" w:fill="auto"/>
            <w:noWrap w:val="0"/>
            <w:vAlign w:val="center"/>
          </w:tcPr>
          <w:p w14:paraId="42B32C4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0.0360</w:t>
            </w:r>
          </w:p>
        </w:tc>
        <w:tc>
          <w:tcPr>
            <w:tcW w:w="1306" w:type="dxa"/>
            <w:shd w:val="clear" w:color="auto" w:fill="auto"/>
            <w:noWrap w:val="0"/>
            <w:vAlign w:val="center"/>
          </w:tcPr>
          <w:p w14:paraId="5007FA9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8.00</w:t>
            </w:r>
          </w:p>
        </w:tc>
      </w:tr>
      <w:tr w14:paraId="59471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620C598C">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300</w:t>
            </w:r>
          </w:p>
        </w:tc>
        <w:tc>
          <w:tcPr>
            <w:tcW w:w="1675" w:type="dxa"/>
            <w:shd w:val="clear" w:color="auto" w:fill="auto"/>
            <w:noWrap w:val="0"/>
            <w:vAlign w:val="center"/>
          </w:tcPr>
          <w:p w14:paraId="7E184C6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0.0752</w:t>
            </w:r>
          </w:p>
        </w:tc>
        <w:tc>
          <w:tcPr>
            <w:tcW w:w="1528" w:type="dxa"/>
            <w:shd w:val="clear" w:color="auto" w:fill="auto"/>
            <w:noWrap w:val="0"/>
            <w:vAlign w:val="center"/>
          </w:tcPr>
          <w:p w14:paraId="60BD949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8.36</w:t>
            </w:r>
          </w:p>
        </w:tc>
        <w:tc>
          <w:tcPr>
            <w:tcW w:w="1711" w:type="dxa"/>
            <w:shd w:val="clear" w:color="auto" w:fill="auto"/>
            <w:noWrap w:val="0"/>
            <w:vAlign w:val="center"/>
          </w:tcPr>
          <w:p w14:paraId="7D0765C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0.0369</w:t>
            </w:r>
          </w:p>
        </w:tc>
        <w:tc>
          <w:tcPr>
            <w:tcW w:w="1306" w:type="dxa"/>
            <w:shd w:val="clear" w:color="auto" w:fill="auto"/>
            <w:noWrap w:val="0"/>
            <w:vAlign w:val="center"/>
          </w:tcPr>
          <w:p w14:paraId="633AFA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8.19</w:t>
            </w:r>
          </w:p>
        </w:tc>
      </w:tr>
      <w:tr w14:paraId="2721E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4AF51D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325</w:t>
            </w:r>
          </w:p>
        </w:tc>
        <w:tc>
          <w:tcPr>
            <w:tcW w:w="1675" w:type="dxa"/>
            <w:shd w:val="clear" w:color="auto" w:fill="auto"/>
            <w:noWrap w:val="0"/>
            <w:vAlign w:val="center"/>
          </w:tcPr>
          <w:p w14:paraId="63BD55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0.0765</w:t>
            </w:r>
          </w:p>
        </w:tc>
        <w:tc>
          <w:tcPr>
            <w:tcW w:w="1528" w:type="dxa"/>
            <w:shd w:val="clear" w:color="auto" w:fill="auto"/>
            <w:noWrap w:val="0"/>
            <w:vAlign w:val="center"/>
          </w:tcPr>
          <w:p w14:paraId="1B74CF3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8.50</w:t>
            </w:r>
          </w:p>
        </w:tc>
        <w:tc>
          <w:tcPr>
            <w:tcW w:w="1711" w:type="dxa"/>
            <w:shd w:val="clear" w:color="auto" w:fill="auto"/>
            <w:noWrap w:val="0"/>
            <w:vAlign w:val="center"/>
          </w:tcPr>
          <w:p w14:paraId="7F7E5A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0.0375</w:t>
            </w:r>
          </w:p>
        </w:tc>
        <w:tc>
          <w:tcPr>
            <w:tcW w:w="1306" w:type="dxa"/>
            <w:shd w:val="clear" w:color="auto" w:fill="auto"/>
            <w:noWrap w:val="0"/>
            <w:vAlign w:val="center"/>
          </w:tcPr>
          <w:p w14:paraId="0AFBCD6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8.33</w:t>
            </w:r>
          </w:p>
        </w:tc>
      </w:tr>
      <w:tr w14:paraId="481B5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25D7E5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350</w:t>
            </w:r>
          </w:p>
        </w:tc>
        <w:tc>
          <w:tcPr>
            <w:tcW w:w="1675" w:type="dxa"/>
            <w:shd w:val="clear" w:color="auto" w:fill="auto"/>
            <w:noWrap w:val="0"/>
            <w:vAlign w:val="center"/>
          </w:tcPr>
          <w:p w14:paraId="5445C43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0.0772</w:t>
            </w:r>
          </w:p>
        </w:tc>
        <w:tc>
          <w:tcPr>
            <w:tcW w:w="1528" w:type="dxa"/>
            <w:shd w:val="clear" w:color="auto" w:fill="auto"/>
            <w:noWrap w:val="0"/>
            <w:vAlign w:val="center"/>
          </w:tcPr>
          <w:p w14:paraId="7DD51A9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8.58</w:t>
            </w:r>
          </w:p>
        </w:tc>
        <w:tc>
          <w:tcPr>
            <w:tcW w:w="1711" w:type="dxa"/>
            <w:shd w:val="clear" w:color="auto" w:fill="auto"/>
            <w:noWrap w:val="0"/>
            <w:vAlign w:val="center"/>
          </w:tcPr>
          <w:p w14:paraId="188256F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0.0378</w:t>
            </w:r>
          </w:p>
        </w:tc>
        <w:tc>
          <w:tcPr>
            <w:tcW w:w="1306" w:type="dxa"/>
            <w:shd w:val="clear" w:color="auto" w:fill="auto"/>
            <w:noWrap w:val="0"/>
            <w:vAlign w:val="center"/>
          </w:tcPr>
          <w:p w14:paraId="58EAEC4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8.40</w:t>
            </w:r>
          </w:p>
        </w:tc>
      </w:tr>
      <w:tr w14:paraId="23331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4E58DF8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375</w:t>
            </w:r>
          </w:p>
        </w:tc>
        <w:tc>
          <w:tcPr>
            <w:tcW w:w="1675" w:type="dxa"/>
            <w:shd w:val="clear" w:color="auto" w:fill="auto"/>
            <w:noWrap w:val="0"/>
            <w:vAlign w:val="center"/>
          </w:tcPr>
          <w:p w14:paraId="56FDA6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0.0759</w:t>
            </w:r>
          </w:p>
        </w:tc>
        <w:tc>
          <w:tcPr>
            <w:tcW w:w="1528" w:type="dxa"/>
            <w:shd w:val="clear" w:color="auto" w:fill="auto"/>
            <w:noWrap w:val="0"/>
            <w:vAlign w:val="center"/>
          </w:tcPr>
          <w:p w14:paraId="039C7F8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8.43</w:t>
            </w:r>
          </w:p>
        </w:tc>
        <w:tc>
          <w:tcPr>
            <w:tcW w:w="1711" w:type="dxa"/>
            <w:shd w:val="clear" w:color="auto" w:fill="auto"/>
            <w:noWrap w:val="0"/>
            <w:vAlign w:val="center"/>
          </w:tcPr>
          <w:p w14:paraId="4AA2D8E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0.0372</w:t>
            </w:r>
          </w:p>
        </w:tc>
        <w:tc>
          <w:tcPr>
            <w:tcW w:w="1306" w:type="dxa"/>
            <w:shd w:val="clear" w:color="auto" w:fill="auto"/>
            <w:noWrap w:val="0"/>
            <w:vAlign w:val="center"/>
          </w:tcPr>
          <w:p w14:paraId="64CE0D7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8.26</w:t>
            </w:r>
          </w:p>
        </w:tc>
      </w:tr>
      <w:tr w14:paraId="335BC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3F584E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400</w:t>
            </w:r>
          </w:p>
        </w:tc>
        <w:tc>
          <w:tcPr>
            <w:tcW w:w="1675" w:type="dxa"/>
            <w:shd w:val="clear" w:color="auto" w:fill="auto"/>
            <w:noWrap w:val="0"/>
            <w:vAlign w:val="center"/>
          </w:tcPr>
          <w:p w14:paraId="01F374B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0.0747</w:t>
            </w:r>
          </w:p>
        </w:tc>
        <w:tc>
          <w:tcPr>
            <w:tcW w:w="1528" w:type="dxa"/>
            <w:shd w:val="clear" w:color="auto" w:fill="auto"/>
            <w:noWrap w:val="0"/>
            <w:vAlign w:val="center"/>
          </w:tcPr>
          <w:p w14:paraId="27B2E0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8.30</w:t>
            </w:r>
          </w:p>
        </w:tc>
        <w:tc>
          <w:tcPr>
            <w:tcW w:w="1711" w:type="dxa"/>
            <w:shd w:val="clear" w:color="auto" w:fill="auto"/>
            <w:noWrap w:val="0"/>
            <w:vAlign w:val="center"/>
          </w:tcPr>
          <w:p w14:paraId="1BF443E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0.0366</w:t>
            </w:r>
          </w:p>
        </w:tc>
        <w:tc>
          <w:tcPr>
            <w:tcW w:w="1306" w:type="dxa"/>
            <w:shd w:val="clear" w:color="auto" w:fill="auto"/>
            <w:noWrap w:val="0"/>
            <w:vAlign w:val="center"/>
          </w:tcPr>
          <w:p w14:paraId="7AACEF0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8.13</w:t>
            </w:r>
          </w:p>
        </w:tc>
      </w:tr>
      <w:tr w14:paraId="4B8B0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0EF87E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425</w:t>
            </w:r>
          </w:p>
        </w:tc>
        <w:tc>
          <w:tcPr>
            <w:tcW w:w="1675" w:type="dxa"/>
            <w:shd w:val="clear" w:color="auto" w:fill="auto"/>
            <w:noWrap w:val="0"/>
            <w:vAlign w:val="center"/>
          </w:tcPr>
          <w:p w14:paraId="5D06DB8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0.0708</w:t>
            </w:r>
          </w:p>
        </w:tc>
        <w:tc>
          <w:tcPr>
            <w:tcW w:w="1528" w:type="dxa"/>
            <w:shd w:val="clear" w:color="auto" w:fill="auto"/>
            <w:noWrap w:val="0"/>
            <w:vAlign w:val="center"/>
          </w:tcPr>
          <w:p w14:paraId="49E5925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7.86</w:t>
            </w:r>
          </w:p>
        </w:tc>
        <w:tc>
          <w:tcPr>
            <w:tcW w:w="1711" w:type="dxa"/>
            <w:shd w:val="clear" w:color="auto" w:fill="auto"/>
            <w:noWrap w:val="0"/>
            <w:vAlign w:val="center"/>
          </w:tcPr>
          <w:p w14:paraId="7BA093A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0.0347</w:t>
            </w:r>
          </w:p>
        </w:tc>
        <w:tc>
          <w:tcPr>
            <w:tcW w:w="1306" w:type="dxa"/>
            <w:shd w:val="clear" w:color="auto" w:fill="auto"/>
            <w:noWrap w:val="0"/>
            <w:vAlign w:val="center"/>
          </w:tcPr>
          <w:p w14:paraId="7E100EC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7.70</w:t>
            </w:r>
          </w:p>
        </w:tc>
      </w:tr>
      <w:tr w14:paraId="719E0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0E07F3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450</w:t>
            </w:r>
          </w:p>
        </w:tc>
        <w:tc>
          <w:tcPr>
            <w:tcW w:w="1675" w:type="dxa"/>
            <w:shd w:val="clear" w:color="auto" w:fill="auto"/>
            <w:noWrap w:val="0"/>
            <w:vAlign w:val="center"/>
          </w:tcPr>
          <w:p w14:paraId="0EB4DDA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0.0673</w:t>
            </w:r>
          </w:p>
        </w:tc>
        <w:tc>
          <w:tcPr>
            <w:tcW w:w="1528" w:type="dxa"/>
            <w:shd w:val="clear" w:color="auto" w:fill="auto"/>
            <w:noWrap w:val="0"/>
            <w:vAlign w:val="center"/>
          </w:tcPr>
          <w:p w14:paraId="03E77A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7.48</w:t>
            </w:r>
          </w:p>
        </w:tc>
        <w:tc>
          <w:tcPr>
            <w:tcW w:w="1711" w:type="dxa"/>
            <w:shd w:val="clear" w:color="auto" w:fill="auto"/>
            <w:noWrap w:val="0"/>
            <w:vAlign w:val="center"/>
          </w:tcPr>
          <w:p w14:paraId="5F4B178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0.0330</w:t>
            </w:r>
          </w:p>
        </w:tc>
        <w:tc>
          <w:tcPr>
            <w:tcW w:w="1306" w:type="dxa"/>
            <w:shd w:val="clear" w:color="auto" w:fill="auto"/>
            <w:noWrap w:val="0"/>
            <w:vAlign w:val="center"/>
          </w:tcPr>
          <w:p w14:paraId="4BED77E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7.33</w:t>
            </w:r>
          </w:p>
        </w:tc>
      </w:tr>
      <w:tr w14:paraId="2EF81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1B4A086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475</w:t>
            </w:r>
          </w:p>
        </w:tc>
        <w:tc>
          <w:tcPr>
            <w:tcW w:w="1675" w:type="dxa"/>
            <w:shd w:val="clear" w:color="auto" w:fill="auto"/>
            <w:noWrap w:val="0"/>
            <w:vAlign w:val="center"/>
          </w:tcPr>
          <w:p w14:paraId="0456166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0.0641</w:t>
            </w:r>
          </w:p>
        </w:tc>
        <w:tc>
          <w:tcPr>
            <w:tcW w:w="1528" w:type="dxa"/>
            <w:shd w:val="clear" w:color="auto" w:fill="auto"/>
            <w:noWrap w:val="0"/>
            <w:vAlign w:val="center"/>
          </w:tcPr>
          <w:p w14:paraId="5A65F59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7.13</w:t>
            </w:r>
          </w:p>
        </w:tc>
        <w:tc>
          <w:tcPr>
            <w:tcW w:w="1711" w:type="dxa"/>
            <w:shd w:val="clear" w:color="auto" w:fill="auto"/>
            <w:noWrap w:val="0"/>
            <w:vAlign w:val="center"/>
          </w:tcPr>
          <w:p w14:paraId="4F230D3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0.0314</w:t>
            </w:r>
          </w:p>
        </w:tc>
        <w:tc>
          <w:tcPr>
            <w:tcW w:w="1306" w:type="dxa"/>
            <w:shd w:val="clear" w:color="auto" w:fill="auto"/>
            <w:noWrap w:val="0"/>
            <w:vAlign w:val="center"/>
          </w:tcPr>
          <w:p w14:paraId="2F08247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6.98</w:t>
            </w:r>
          </w:p>
        </w:tc>
      </w:tr>
      <w:tr w14:paraId="59EAC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3E10050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500</w:t>
            </w:r>
          </w:p>
        </w:tc>
        <w:tc>
          <w:tcPr>
            <w:tcW w:w="1675" w:type="dxa"/>
            <w:shd w:val="clear" w:color="auto" w:fill="auto"/>
            <w:noWrap w:val="0"/>
            <w:vAlign w:val="center"/>
          </w:tcPr>
          <w:p w14:paraId="3642566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0.0614</w:t>
            </w:r>
          </w:p>
        </w:tc>
        <w:tc>
          <w:tcPr>
            <w:tcW w:w="1528" w:type="dxa"/>
            <w:shd w:val="clear" w:color="auto" w:fill="auto"/>
            <w:noWrap w:val="0"/>
            <w:vAlign w:val="center"/>
          </w:tcPr>
          <w:p w14:paraId="4562CB2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6.82</w:t>
            </w:r>
          </w:p>
        </w:tc>
        <w:tc>
          <w:tcPr>
            <w:tcW w:w="1711" w:type="dxa"/>
            <w:shd w:val="clear" w:color="auto" w:fill="auto"/>
            <w:noWrap w:val="0"/>
            <w:vAlign w:val="center"/>
          </w:tcPr>
          <w:p w14:paraId="0E8A70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0.0301</w:t>
            </w:r>
          </w:p>
        </w:tc>
        <w:tc>
          <w:tcPr>
            <w:tcW w:w="1306" w:type="dxa"/>
            <w:shd w:val="clear" w:color="auto" w:fill="auto"/>
            <w:noWrap w:val="0"/>
            <w:vAlign w:val="center"/>
          </w:tcPr>
          <w:p w14:paraId="3051FA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6.68</w:t>
            </w:r>
          </w:p>
        </w:tc>
      </w:tr>
      <w:tr w14:paraId="716ED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67955D5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525</w:t>
            </w:r>
          </w:p>
        </w:tc>
        <w:tc>
          <w:tcPr>
            <w:tcW w:w="1675" w:type="dxa"/>
            <w:shd w:val="clear" w:color="auto" w:fill="auto"/>
            <w:noWrap w:val="0"/>
            <w:vAlign w:val="center"/>
          </w:tcPr>
          <w:p w14:paraId="785D7B8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0.0588</w:t>
            </w:r>
          </w:p>
        </w:tc>
        <w:tc>
          <w:tcPr>
            <w:tcW w:w="1528" w:type="dxa"/>
            <w:shd w:val="clear" w:color="auto" w:fill="auto"/>
            <w:noWrap w:val="0"/>
            <w:vAlign w:val="center"/>
          </w:tcPr>
          <w:p w14:paraId="0716181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6.53</w:t>
            </w:r>
          </w:p>
        </w:tc>
        <w:tc>
          <w:tcPr>
            <w:tcW w:w="1711" w:type="dxa"/>
            <w:shd w:val="clear" w:color="auto" w:fill="auto"/>
            <w:noWrap w:val="0"/>
            <w:vAlign w:val="center"/>
          </w:tcPr>
          <w:p w14:paraId="1AF5C1C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0.0288</w:t>
            </w:r>
          </w:p>
        </w:tc>
        <w:tc>
          <w:tcPr>
            <w:tcW w:w="1306" w:type="dxa"/>
            <w:shd w:val="clear" w:color="auto" w:fill="auto"/>
            <w:noWrap w:val="0"/>
            <w:vAlign w:val="center"/>
          </w:tcPr>
          <w:p w14:paraId="4D3FDD3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6.40</w:t>
            </w:r>
          </w:p>
        </w:tc>
      </w:tr>
      <w:tr w14:paraId="6C6DD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386B9D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550</w:t>
            </w:r>
          </w:p>
        </w:tc>
        <w:tc>
          <w:tcPr>
            <w:tcW w:w="1675" w:type="dxa"/>
            <w:shd w:val="clear" w:color="auto" w:fill="auto"/>
            <w:noWrap w:val="0"/>
            <w:vAlign w:val="center"/>
          </w:tcPr>
          <w:p w14:paraId="63D9E1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0.0565</w:t>
            </w:r>
          </w:p>
        </w:tc>
        <w:tc>
          <w:tcPr>
            <w:tcW w:w="1528" w:type="dxa"/>
            <w:shd w:val="clear" w:color="auto" w:fill="auto"/>
            <w:noWrap w:val="0"/>
            <w:vAlign w:val="center"/>
          </w:tcPr>
          <w:p w14:paraId="45BDE5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6.27</w:t>
            </w:r>
          </w:p>
        </w:tc>
        <w:tc>
          <w:tcPr>
            <w:tcW w:w="1711" w:type="dxa"/>
            <w:shd w:val="clear" w:color="auto" w:fill="auto"/>
            <w:noWrap w:val="0"/>
            <w:vAlign w:val="center"/>
          </w:tcPr>
          <w:p w14:paraId="2ACB421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0.0277</w:t>
            </w:r>
          </w:p>
        </w:tc>
        <w:tc>
          <w:tcPr>
            <w:tcW w:w="1306" w:type="dxa"/>
            <w:shd w:val="clear" w:color="auto" w:fill="auto"/>
            <w:noWrap w:val="0"/>
            <w:vAlign w:val="center"/>
          </w:tcPr>
          <w:p w14:paraId="4A8EDC1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6.15</w:t>
            </w:r>
          </w:p>
        </w:tc>
      </w:tr>
      <w:tr w14:paraId="705EA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66FC38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575</w:t>
            </w:r>
          </w:p>
        </w:tc>
        <w:tc>
          <w:tcPr>
            <w:tcW w:w="1675" w:type="dxa"/>
            <w:shd w:val="clear" w:color="auto" w:fill="auto"/>
            <w:noWrap w:val="0"/>
            <w:vAlign w:val="center"/>
          </w:tcPr>
          <w:p w14:paraId="4D45BD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0.0544</w:t>
            </w:r>
          </w:p>
        </w:tc>
        <w:tc>
          <w:tcPr>
            <w:tcW w:w="1528" w:type="dxa"/>
            <w:shd w:val="clear" w:color="auto" w:fill="auto"/>
            <w:noWrap w:val="0"/>
            <w:vAlign w:val="center"/>
          </w:tcPr>
          <w:p w14:paraId="613C9A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6.04</w:t>
            </w:r>
          </w:p>
        </w:tc>
        <w:tc>
          <w:tcPr>
            <w:tcW w:w="1711" w:type="dxa"/>
            <w:shd w:val="clear" w:color="auto" w:fill="auto"/>
            <w:noWrap w:val="0"/>
            <w:vAlign w:val="center"/>
          </w:tcPr>
          <w:p w14:paraId="503851B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0.0267</w:t>
            </w:r>
          </w:p>
        </w:tc>
        <w:tc>
          <w:tcPr>
            <w:tcW w:w="1306" w:type="dxa"/>
            <w:shd w:val="clear" w:color="auto" w:fill="auto"/>
            <w:noWrap w:val="0"/>
            <w:vAlign w:val="center"/>
          </w:tcPr>
          <w:p w14:paraId="6A082B0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5.92</w:t>
            </w:r>
          </w:p>
        </w:tc>
      </w:tr>
      <w:tr w14:paraId="56A93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7937C57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600</w:t>
            </w:r>
          </w:p>
        </w:tc>
        <w:tc>
          <w:tcPr>
            <w:tcW w:w="1675" w:type="dxa"/>
            <w:shd w:val="clear" w:color="auto" w:fill="auto"/>
            <w:noWrap w:val="0"/>
            <w:vAlign w:val="center"/>
          </w:tcPr>
          <w:p w14:paraId="1A42164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0.0524</w:t>
            </w:r>
          </w:p>
        </w:tc>
        <w:tc>
          <w:tcPr>
            <w:tcW w:w="1528" w:type="dxa"/>
            <w:shd w:val="clear" w:color="auto" w:fill="auto"/>
            <w:noWrap w:val="0"/>
            <w:vAlign w:val="center"/>
          </w:tcPr>
          <w:p w14:paraId="096487C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5.83</w:t>
            </w:r>
          </w:p>
        </w:tc>
        <w:tc>
          <w:tcPr>
            <w:tcW w:w="1711" w:type="dxa"/>
            <w:shd w:val="clear" w:color="auto" w:fill="auto"/>
            <w:noWrap w:val="0"/>
            <w:vAlign w:val="center"/>
          </w:tcPr>
          <w:p w14:paraId="7990E38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0.0257</w:t>
            </w:r>
          </w:p>
        </w:tc>
        <w:tc>
          <w:tcPr>
            <w:tcW w:w="1306" w:type="dxa"/>
            <w:shd w:val="clear" w:color="auto" w:fill="auto"/>
            <w:noWrap w:val="0"/>
            <w:vAlign w:val="center"/>
          </w:tcPr>
          <w:p w14:paraId="3159B3C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5.71</w:t>
            </w:r>
          </w:p>
        </w:tc>
      </w:tr>
      <w:tr w14:paraId="5EFBA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4851ECF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w:t>
            </w:r>
          </w:p>
        </w:tc>
        <w:tc>
          <w:tcPr>
            <w:tcW w:w="1675" w:type="dxa"/>
            <w:shd w:val="clear" w:color="auto" w:fill="auto"/>
            <w:noWrap w:val="0"/>
            <w:vAlign w:val="center"/>
          </w:tcPr>
          <w:p w14:paraId="3B3B920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1528" w:type="dxa"/>
            <w:shd w:val="clear" w:color="auto" w:fill="auto"/>
            <w:noWrap w:val="0"/>
            <w:vAlign w:val="center"/>
          </w:tcPr>
          <w:p w14:paraId="6ED0637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1711" w:type="dxa"/>
            <w:shd w:val="clear" w:color="auto" w:fill="auto"/>
            <w:noWrap w:val="0"/>
            <w:vAlign w:val="center"/>
          </w:tcPr>
          <w:p w14:paraId="5B6EEC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1306" w:type="dxa"/>
            <w:shd w:val="clear" w:color="auto" w:fill="auto"/>
            <w:noWrap w:val="0"/>
            <w:vAlign w:val="center"/>
          </w:tcPr>
          <w:p w14:paraId="4469C2E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r w14:paraId="5E316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77E78C4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2500</w:t>
            </w:r>
          </w:p>
        </w:tc>
        <w:tc>
          <w:tcPr>
            <w:tcW w:w="1675" w:type="dxa"/>
            <w:shd w:val="clear" w:color="auto" w:fill="auto"/>
            <w:noWrap w:val="0"/>
            <w:vAlign w:val="center"/>
          </w:tcPr>
          <w:p w14:paraId="390B62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0.0175</w:t>
            </w:r>
          </w:p>
        </w:tc>
        <w:tc>
          <w:tcPr>
            <w:tcW w:w="1528" w:type="dxa"/>
            <w:shd w:val="clear" w:color="auto" w:fill="auto"/>
            <w:noWrap w:val="0"/>
            <w:vAlign w:val="center"/>
          </w:tcPr>
          <w:p w14:paraId="58EAA09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1.95</w:t>
            </w:r>
          </w:p>
        </w:tc>
        <w:tc>
          <w:tcPr>
            <w:tcW w:w="1711" w:type="dxa"/>
            <w:shd w:val="clear" w:color="auto" w:fill="auto"/>
            <w:noWrap w:val="0"/>
            <w:vAlign w:val="center"/>
          </w:tcPr>
          <w:p w14:paraId="21B5895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0.0086</w:t>
            </w:r>
          </w:p>
        </w:tc>
        <w:tc>
          <w:tcPr>
            <w:tcW w:w="1306" w:type="dxa"/>
            <w:shd w:val="clear" w:color="auto" w:fill="auto"/>
            <w:noWrap w:val="0"/>
            <w:vAlign w:val="center"/>
          </w:tcPr>
          <w:p w14:paraId="16667ED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1.91</w:t>
            </w:r>
          </w:p>
        </w:tc>
      </w:tr>
      <w:tr w14:paraId="5DD14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3F3B4A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25000</w:t>
            </w:r>
          </w:p>
        </w:tc>
        <w:tc>
          <w:tcPr>
            <w:tcW w:w="1675" w:type="dxa"/>
            <w:shd w:val="clear" w:color="auto" w:fill="auto"/>
            <w:noWrap w:val="0"/>
            <w:vAlign w:val="center"/>
          </w:tcPr>
          <w:p w14:paraId="4761DB1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0.0034</w:t>
            </w:r>
          </w:p>
        </w:tc>
        <w:tc>
          <w:tcPr>
            <w:tcW w:w="1528" w:type="dxa"/>
            <w:shd w:val="clear" w:color="auto" w:fill="auto"/>
            <w:noWrap w:val="0"/>
            <w:vAlign w:val="center"/>
          </w:tcPr>
          <w:p w14:paraId="2FB9F1F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0.38</w:t>
            </w:r>
          </w:p>
        </w:tc>
        <w:tc>
          <w:tcPr>
            <w:tcW w:w="1711" w:type="dxa"/>
            <w:shd w:val="clear" w:color="auto" w:fill="auto"/>
            <w:noWrap w:val="0"/>
            <w:vAlign w:val="center"/>
          </w:tcPr>
          <w:p w14:paraId="32D26C1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0.0017</w:t>
            </w:r>
          </w:p>
        </w:tc>
        <w:tc>
          <w:tcPr>
            <w:tcW w:w="1306" w:type="dxa"/>
            <w:shd w:val="clear" w:color="auto" w:fill="auto"/>
            <w:noWrap w:val="0"/>
            <w:vAlign w:val="center"/>
          </w:tcPr>
          <w:p w14:paraId="57F3555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0.37</w:t>
            </w:r>
          </w:p>
        </w:tc>
      </w:tr>
      <w:tr w14:paraId="35B56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noWrap w:val="0"/>
            <w:vAlign w:val="center"/>
          </w:tcPr>
          <w:p w14:paraId="52D1A8DF">
            <w:pPr>
              <w:keepNext w:val="0"/>
              <w:keepLines w:val="0"/>
              <w:widowControl/>
              <w:suppressLineNumbers w:val="0"/>
              <w:jc w:val="center"/>
              <w:textAlignment w:val="center"/>
              <w:rPr>
                <w:rFonts w:hint="default" w:ascii="Times New Roman" w:hAnsi="Times New Roman" w:cs="Times New Roman"/>
                <w:color w:val="auto"/>
                <w:spacing w:val="-20"/>
                <w:sz w:val="21"/>
                <w:szCs w:val="21"/>
                <w:highlight w:val="none"/>
              </w:rPr>
            </w:pPr>
            <w:r>
              <w:rPr>
                <w:rFonts w:hint="eastAsia" w:ascii="宋体" w:hAnsi="宋体" w:eastAsia="宋体" w:cs="宋体"/>
                <w:i w:val="0"/>
                <w:iCs w:val="0"/>
                <w:color w:val="000000"/>
                <w:kern w:val="0"/>
                <w:sz w:val="21"/>
                <w:szCs w:val="21"/>
                <w:highlight w:val="none"/>
                <w:u w:val="none"/>
                <w:lang w:val="en-US" w:eastAsia="zh-CN" w:bidi="ar"/>
              </w:rPr>
              <w:t>最大浓度、出现的距离及占标率</w:t>
            </w:r>
          </w:p>
        </w:tc>
        <w:tc>
          <w:tcPr>
            <w:tcW w:w="1675" w:type="dxa"/>
            <w:shd w:val="clear" w:color="auto" w:fill="auto"/>
            <w:noWrap w:val="0"/>
            <w:vAlign w:val="center"/>
          </w:tcPr>
          <w:p w14:paraId="1DC450F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0.0783(338m)</w:t>
            </w:r>
          </w:p>
        </w:tc>
        <w:tc>
          <w:tcPr>
            <w:tcW w:w="1528" w:type="dxa"/>
            <w:shd w:val="clear" w:color="auto" w:fill="auto"/>
            <w:noWrap w:val="0"/>
            <w:vAlign w:val="center"/>
          </w:tcPr>
          <w:p w14:paraId="7199203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8.7</w:t>
            </w:r>
          </w:p>
        </w:tc>
        <w:tc>
          <w:tcPr>
            <w:tcW w:w="1711" w:type="dxa"/>
            <w:shd w:val="clear" w:color="auto" w:fill="auto"/>
            <w:noWrap w:val="0"/>
            <w:vAlign w:val="center"/>
          </w:tcPr>
          <w:p w14:paraId="24E6437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0.0383(338m)</w:t>
            </w:r>
          </w:p>
        </w:tc>
        <w:tc>
          <w:tcPr>
            <w:tcW w:w="1306" w:type="dxa"/>
            <w:shd w:val="clear" w:color="auto" w:fill="auto"/>
            <w:noWrap w:val="0"/>
            <w:vAlign w:val="center"/>
          </w:tcPr>
          <w:p w14:paraId="334F144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8.52</w:t>
            </w:r>
          </w:p>
        </w:tc>
      </w:tr>
      <w:tr w14:paraId="30C2A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2" w:type="pct"/>
            <w:shd w:val="clear" w:color="auto" w:fill="auto"/>
            <w:noWrap w:val="0"/>
            <w:vAlign w:val="center"/>
          </w:tcPr>
          <w:p w14:paraId="100FFF62">
            <w:pPr>
              <w:keepNext w:val="0"/>
              <w:keepLines w:val="0"/>
              <w:widowControl/>
              <w:suppressLineNumbers w:val="0"/>
              <w:jc w:val="center"/>
              <w:textAlignment w:val="center"/>
              <w:rPr>
                <w:rFonts w:hint="eastAsia" w:ascii="Times New Roman" w:hAnsi="Times New Roman" w:eastAsia="宋体" w:cs="Times New Roman"/>
                <w:color w:val="auto"/>
                <w:spacing w:val="-2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D10%</w:t>
            </w:r>
            <w:r>
              <w:rPr>
                <w:rFonts w:hint="eastAsia" w:ascii="宋体" w:hAnsi="宋体" w:eastAsia="宋体" w:cs="宋体"/>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lang w:val="en-US" w:eastAsia="zh-CN" w:bidi="ar"/>
              </w:rPr>
              <w:t>）的最远距离</w:t>
            </w:r>
          </w:p>
        </w:tc>
        <w:tc>
          <w:tcPr>
            <w:tcW w:w="3203" w:type="dxa"/>
            <w:gridSpan w:val="2"/>
            <w:shd w:val="clear" w:color="auto" w:fill="auto"/>
            <w:noWrap w:val="0"/>
            <w:vAlign w:val="center"/>
          </w:tcPr>
          <w:p w14:paraId="4E769652">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3017" w:type="dxa"/>
            <w:gridSpan w:val="2"/>
            <w:shd w:val="clear" w:color="auto" w:fill="auto"/>
            <w:noWrap w:val="0"/>
            <w:vAlign w:val="center"/>
          </w:tcPr>
          <w:p w14:paraId="1741C4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bl>
    <w:p w14:paraId="0C2E86A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Style w:val="152"/>
          <w:rFonts w:hint="default" w:ascii="Times New Roman" w:hAnsi="Times New Roman" w:eastAsia="宋体" w:cs="Times New Roman"/>
          <w:color w:val="FF0000"/>
          <w:sz w:val="24"/>
          <w:szCs w:val="24"/>
          <w:highlight w:val="none"/>
        </w:rPr>
      </w:pPr>
      <w:r>
        <w:rPr>
          <w:rFonts w:hint="default" w:ascii="Times New Roman" w:hAnsi="Times New Roman" w:cs="Times New Roman"/>
          <w:color w:val="auto"/>
          <w:kern w:val="0"/>
          <w:sz w:val="24"/>
          <w:szCs w:val="24"/>
          <w:highlight w:val="none"/>
        </w:rPr>
        <w:t>由上</w:t>
      </w:r>
      <w:r>
        <w:rPr>
          <w:rFonts w:hint="eastAsia" w:ascii="Times New Roman" w:hAnsi="Times New Roman" w:cs="Times New Roman"/>
          <w:color w:val="auto"/>
          <w:kern w:val="0"/>
          <w:sz w:val="24"/>
          <w:szCs w:val="24"/>
          <w:highlight w:val="none"/>
          <w:lang w:val="en-US" w:eastAsia="zh-CN"/>
        </w:rPr>
        <w:t>表</w:t>
      </w:r>
      <w:r>
        <w:rPr>
          <w:rFonts w:hint="default" w:ascii="Times New Roman" w:hAnsi="Times New Roman" w:cs="Times New Roman"/>
          <w:color w:val="auto"/>
          <w:kern w:val="0"/>
          <w:sz w:val="24"/>
          <w:szCs w:val="24"/>
          <w:highlight w:val="none"/>
        </w:rPr>
        <w:t>可知</w:t>
      </w:r>
      <w:r>
        <w:rPr>
          <w:rFonts w:hint="eastAsia" w:ascii="Times New Roman" w:hAnsi="Times New Roman" w:cs="Times New Roman"/>
          <w:color w:val="auto"/>
          <w:kern w:val="0"/>
          <w:sz w:val="24"/>
          <w:szCs w:val="24"/>
          <w:highlight w:val="none"/>
          <w:lang w:eastAsia="zh-CN"/>
        </w:rPr>
        <w:t>，</w:t>
      </w:r>
      <w:r>
        <w:rPr>
          <w:rFonts w:hint="eastAsia" w:ascii="Times New Roman" w:hAnsi="Times New Roman" w:cs="Times New Roman"/>
          <w:color w:val="auto"/>
          <w:kern w:val="0"/>
          <w:sz w:val="24"/>
          <w:szCs w:val="24"/>
          <w:highlight w:val="none"/>
          <w:lang w:val="en-US" w:eastAsia="zh-CN"/>
        </w:rPr>
        <w:t>本项目TSP下风向最大落地浓度为</w:t>
      </w:r>
      <w:r>
        <w:rPr>
          <w:rFonts w:hint="eastAsia" w:cs="Times New Roman"/>
          <w:color w:val="auto"/>
          <w:kern w:val="0"/>
          <w:sz w:val="24"/>
          <w:szCs w:val="24"/>
          <w:highlight w:val="none"/>
          <w:lang w:val="en-US" w:eastAsia="zh-CN"/>
        </w:rPr>
        <w:t>0.0783</w:t>
      </w:r>
      <w:r>
        <w:rPr>
          <w:rFonts w:hint="eastAsia" w:ascii="Times New Roman" w:hAnsi="Times New Roman" w:cs="Times New Roman"/>
          <w:color w:val="auto"/>
          <w:kern w:val="0"/>
          <w:sz w:val="24"/>
          <w:szCs w:val="24"/>
          <w:highlight w:val="none"/>
          <w:lang w:val="en-US" w:eastAsia="zh-CN"/>
        </w:rPr>
        <w:t>m</w:t>
      </w:r>
      <w:r>
        <w:rPr>
          <w:rFonts w:hint="default" w:ascii="Times New Roman" w:hAnsi="Times New Roman" w:cs="Times New Roman"/>
          <w:color w:val="auto"/>
          <w:kern w:val="0"/>
          <w:sz w:val="24"/>
          <w:szCs w:val="24"/>
          <w:highlight w:val="none"/>
        </w:rPr>
        <w:t>g/m</w:t>
      </w:r>
      <w:r>
        <w:rPr>
          <w:rFonts w:hint="default" w:ascii="Times New Roman" w:hAnsi="Times New Roman" w:cs="Times New Roman"/>
          <w:color w:val="auto"/>
          <w:kern w:val="0"/>
          <w:sz w:val="24"/>
          <w:szCs w:val="24"/>
          <w:highlight w:val="none"/>
          <w:vertAlign w:val="superscript"/>
        </w:rPr>
        <w:t>3</w:t>
      </w:r>
      <w:r>
        <w:rPr>
          <w:rFonts w:hint="eastAsia" w:ascii="Times New Roman" w:hAnsi="Times New Roman" w:cs="Times New Roman"/>
          <w:color w:val="auto"/>
          <w:kern w:val="0"/>
          <w:sz w:val="24"/>
          <w:szCs w:val="24"/>
          <w:highlight w:val="none"/>
          <w:lang w:val="en-US" w:eastAsia="zh-CN"/>
        </w:rPr>
        <w:t>，最大占标率为</w:t>
      </w:r>
      <w:r>
        <w:rPr>
          <w:rFonts w:hint="eastAsia" w:cs="Times New Roman"/>
          <w:color w:val="auto"/>
          <w:kern w:val="0"/>
          <w:sz w:val="24"/>
          <w:szCs w:val="24"/>
          <w:highlight w:val="none"/>
          <w:lang w:val="en-US" w:eastAsia="zh-CN"/>
        </w:rPr>
        <w:t>8.7</w:t>
      </w:r>
      <w:r>
        <w:rPr>
          <w:rFonts w:hint="default" w:ascii="Times New Roman" w:hAnsi="Times New Roman" w:cs="Times New Roman"/>
          <w:color w:val="auto"/>
          <w:kern w:val="0"/>
          <w:sz w:val="24"/>
          <w:szCs w:val="24"/>
          <w:highlight w:val="none"/>
        </w:rPr>
        <w:t>%</w:t>
      </w:r>
      <w:r>
        <w:rPr>
          <w:rFonts w:hint="eastAsia" w:ascii="Times New Roman" w:hAnsi="Times New Roman" w:cs="Times New Roman"/>
          <w:color w:val="auto"/>
          <w:kern w:val="0"/>
          <w:sz w:val="24"/>
          <w:szCs w:val="24"/>
          <w:highlight w:val="none"/>
          <w:lang w:val="en-US" w:eastAsia="zh-CN"/>
        </w:rPr>
        <w:t>；PM</w:t>
      </w:r>
      <w:r>
        <w:rPr>
          <w:rFonts w:hint="eastAsia" w:ascii="Times New Roman" w:hAnsi="Times New Roman" w:cs="Times New Roman"/>
          <w:color w:val="auto"/>
          <w:kern w:val="0"/>
          <w:sz w:val="24"/>
          <w:szCs w:val="24"/>
          <w:highlight w:val="none"/>
          <w:vertAlign w:val="subscript"/>
          <w:lang w:val="en-US" w:eastAsia="zh-CN"/>
        </w:rPr>
        <w:t>10</w:t>
      </w:r>
      <w:r>
        <w:rPr>
          <w:rFonts w:hint="eastAsia" w:ascii="Times New Roman" w:hAnsi="Times New Roman" w:cs="Times New Roman"/>
          <w:color w:val="auto"/>
          <w:kern w:val="0"/>
          <w:sz w:val="24"/>
          <w:szCs w:val="24"/>
          <w:highlight w:val="none"/>
          <w:lang w:val="en-US" w:eastAsia="zh-CN"/>
        </w:rPr>
        <w:t>下风向最大落地浓度为</w:t>
      </w:r>
      <w:r>
        <w:rPr>
          <w:rFonts w:hint="eastAsia" w:cs="Times New Roman"/>
          <w:color w:val="auto"/>
          <w:kern w:val="0"/>
          <w:sz w:val="24"/>
          <w:szCs w:val="24"/>
          <w:highlight w:val="none"/>
          <w:lang w:val="en-US" w:eastAsia="zh-CN"/>
        </w:rPr>
        <w:t>0.0383</w:t>
      </w:r>
      <w:r>
        <w:rPr>
          <w:rFonts w:hint="eastAsia" w:ascii="Times New Roman" w:hAnsi="Times New Roman" w:cs="Times New Roman"/>
          <w:color w:val="auto"/>
          <w:kern w:val="0"/>
          <w:sz w:val="24"/>
          <w:szCs w:val="24"/>
          <w:highlight w:val="none"/>
          <w:lang w:val="en-US" w:eastAsia="zh-CN"/>
        </w:rPr>
        <w:t>m</w:t>
      </w:r>
      <w:r>
        <w:rPr>
          <w:rFonts w:hint="default" w:ascii="Times New Roman" w:hAnsi="Times New Roman" w:cs="Times New Roman"/>
          <w:color w:val="auto"/>
          <w:kern w:val="0"/>
          <w:sz w:val="24"/>
          <w:szCs w:val="24"/>
          <w:highlight w:val="none"/>
        </w:rPr>
        <w:t>g/m</w:t>
      </w:r>
      <w:r>
        <w:rPr>
          <w:rFonts w:hint="default" w:ascii="Times New Roman" w:hAnsi="Times New Roman" w:cs="Times New Roman"/>
          <w:color w:val="auto"/>
          <w:kern w:val="0"/>
          <w:sz w:val="24"/>
          <w:szCs w:val="24"/>
          <w:highlight w:val="none"/>
          <w:vertAlign w:val="superscript"/>
        </w:rPr>
        <w:t>3</w:t>
      </w:r>
      <w:r>
        <w:rPr>
          <w:rFonts w:hint="eastAsia" w:ascii="Times New Roman" w:hAnsi="Times New Roman" w:cs="Times New Roman"/>
          <w:color w:val="auto"/>
          <w:kern w:val="0"/>
          <w:sz w:val="24"/>
          <w:szCs w:val="24"/>
          <w:highlight w:val="none"/>
          <w:lang w:val="en-US" w:eastAsia="zh-CN"/>
        </w:rPr>
        <w:t>，最大占标率为</w:t>
      </w:r>
      <w:r>
        <w:rPr>
          <w:rFonts w:hint="eastAsia" w:cs="Times New Roman"/>
          <w:color w:val="auto"/>
          <w:kern w:val="0"/>
          <w:sz w:val="24"/>
          <w:szCs w:val="24"/>
          <w:highlight w:val="none"/>
          <w:lang w:val="en-US" w:eastAsia="zh-CN"/>
        </w:rPr>
        <w:t>8.52</w:t>
      </w:r>
      <w:r>
        <w:rPr>
          <w:rFonts w:hint="default" w:ascii="Times New Roman" w:hAnsi="Times New Roman" w:cs="Times New Roman"/>
          <w:color w:val="auto"/>
          <w:kern w:val="0"/>
          <w:sz w:val="24"/>
          <w:szCs w:val="24"/>
          <w:highlight w:val="none"/>
        </w:rPr>
        <w:t>%</w:t>
      </w:r>
      <w:r>
        <w:rPr>
          <w:rFonts w:hint="eastAsia" w:ascii="Times New Roman" w:hAnsi="Times New Roman" w:cs="Times New Roman"/>
          <w:color w:val="auto"/>
          <w:kern w:val="0"/>
          <w:sz w:val="24"/>
          <w:szCs w:val="24"/>
          <w:highlight w:val="none"/>
          <w:lang w:eastAsia="zh-CN"/>
        </w:rPr>
        <w:t>，</w:t>
      </w:r>
      <w:r>
        <w:rPr>
          <w:rFonts w:hint="eastAsia" w:ascii="Times New Roman" w:hAnsi="Times New Roman" w:cs="Times New Roman"/>
          <w:color w:val="auto"/>
          <w:kern w:val="0"/>
          <w:sz w:val="24"/>
          <w:szCs w:val="24"/>
          <w:highlight w:val="none"/>
          <w:lang w:val="en-US" w:eastAsia="zh-CN"/>
        </w:rPr>
        <w:t>下风向最大浓度出现距离为</w:t>
      </w:r>
      <w:r>
        <w:rPr>
          <w:rFonts w:hint="eastAsia" w:cs="Times New Roman"/>
          <w:color w:val="auto"/>
          <w:kern w:val="0"/>
          <w:sz w:val="24"/>
          <w:szCs w:val="24"/>
          <w:highlight w:val="none"/>
          <w:lang w:val="en-US" w:eastAsia="zh-CN"/>
        </w:rPr>
        <w:t>338m</w:t>
      </w:r>
      <w:r>
        <w:rPr>
          <w:rFonts w:hint="eastAsia" w:ascii="Times New Roman" w:hAnsi="Times New Roman" w:cs="Times New Roman"/>
          <w:color w:val="auto"/>
          <w:kern w:val="0"/>
          <w:sz w:val="24"/>
          <w:szCs w:val="24"/>
          <w:highlight w:val="none"/>
          <w:lang w:val="en-US" w:eastAsia="zh-CN"/>
        </w:rPr>
        <w:t>。</w:t>
      </w:r>
    </w:p>
    <w:p w14:paraId="2ED25672">
      <w:pPr>
        <w:pageBreakBefore w:val="0"/>
        <w:widowControl w:val="0"/>
        <w:kinsoku/>
        <w:wordWrap/>
        <w:overflowPunct/>
        <w:autoSpaceDE/>
        <w:autoSpaceDN/>
        <w:bidi w:val="0"/>
        <w:spacing w:line="360" w:lineRule="auto"/>
        <w:ind w:firstLine="482" w:firstLineChars="200"/>
        <w:textAlignment w:val="auto"/>
        <w:rPr>
          <w:rFonts w:hint="default" w:ascii="Times New Roman" w:hAnsi="Times New Roman" w:cs="Times New Roman"/>
          <w:b/>
          <w:bCs/>
          <w:color w:val="000000"/>
          <w:kern w:val="0"/>
          <w:sz w:val="24"/>
          <w:szCs w:val="21"/>
          <w:highlight w:val="none"/>
        </w:rPr>
      </w:pPr>
      <w:r>
        <w:rPr>
          <w:rFonts w:hint="default" w:ascii="Times New Roman" w:hAnsi="Times New Roman" w:cs="Times New Roman"/>
          <w:b/>
          <w:bCs/>
          <w:color w:val="000000"/>
          <w:kern w:val="0"/>
          <w:sz w:val="24"/>
          <w:szCs w:val="21"/>
          <w:highlight w:val="none"/>
        </w:rPr>
        <w:t>（</w:t>
      </w:r>
      <w:r>
        <w:rPr>
          <w:rFonts w:hint="eastAsia" w:ascii="Times New Roman" w:hAnsi="Times New Roman" w:cs="Times New Roman"/>
          <w:b/>
          <w:bCs/>
          <w:color w:val="000000"/>
          <w:kern w:val="0"/>
          <w:sz w:val="24"/>
          <w:szCs w:val="21"/>
          <w:highlight w:val="none"/>
          <w:lang w:val="en-US" w:eastAsia="zh-CN"/>
        </w:rPr>
        <w:t>4</w:t>
      </w:r>
      <w:r>
        <w:rPr>
          <w:rFonts w:hint="default" w:ascii="Times New Roman" w:hAnsi="Times New Roman" w:cs="Times New Roman"/>
          <w:b/>
          <w:bCs/>
          <w:color w:val="000000"/>
          <w:kern w:val="0"/>
          <w:sz w:val="24"/>
          <w:szCs w:val="21"/>
          <w:highlight w:val="none"/>
        </w:rPr>
        <w:t>）大气评价工作等级</w:t>
      </w:r>
    </w:p>
    <w:p w14:paraId="73ED1D8E">
      <w:pPr>
        <w:pageBreakBefore w:val="0"/>
        <w:widowControl w:val="0"/>
        <w:kinsoku/>
        <w:wordWrap/>
        <w:overflowPunct/>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大气评价工作分级判据见下表。</w:t>
      </w:r>
    </w:p>
    <w:p w14:paraId="6C875B6F">
      <w:pPr>
        <w:pStyle w:val="208"/>
        <w:pageBreakBefore w:val="0"/>
        <w:widowControl w:val="0"/>
        <w:numPr>
          <w:ilvl w:val="5"/>
          <w:numId w:val="17"/>
        </w:numPr>
        <w:tabs>
          <w:tab w:val="left" w:pos="420"/>
          <w:tab w:val="clear" w:pos="0"/>
        </w:tabs>
        <w:kinsoku/>
        <w:wordWrap/>
        <w:overflowPunct/>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color w:val="000000"/>
          <w:szCs w:val="21"/>
          <w:highlight w:val="none"/>
        </w:rPr>
      </w:pPr>
      <w:r>
        <w:rPr>
          <w:rStyle w:val="152"/>
          <w:rFonts w:hint="default" w:ascii="Times New Roman" w:hAnsi="Times New Roman" w:eastAsia="宋体" w:cs="Times New Roman"/>
          <w:color w:val="000000"/>
          <w:szCs w:val="21"/>
          <w:highlight w:val="none"/>
        </w:rPr>
        <w:t>评价等级判别表</w:t>
      </w:r>
    </w:p>
    <w:tbl>
      <w:tblPr>
        <w:tblStyle w:val="5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48"/>
        <w:gridCol w:w="5078"/>
      </w:tblGrid>
      <w:tr w14:paraId="309D1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2" w:type="pct"/>
            <w:tcBorders>
              <w:tl2br w:val="nil"/>
              <w:tr2bl w:val="nil"/>
            </w:tcBorders>
            <w:noWrap w:val="0"/>
            <w:vAlign w:val="center"/>
          </w:tcPr>
          <w:p w14:paraId="3AA633A3">
            <w:pPr>
              <w:pStyle w:val="28"/>
              <w:snapToGrid w:val="0"/>
              <w:ind w:left="0"/>
              <w:jc w:val="center"/>
              <w:rPr>
                <w:rFonts w:hint="default" w:ascii="Times New Roman" w:hAnsi="Times New Roman" w:eastAsia="宋体" w:cs="Times New Roman"/>
                <w:b/>
                <w:color w:val="000000"/>
                <w:spacing w:val="0"/>
                <w:sz w:val="21"/>
                <w:highlight w:val="none"/>
              </w:rPr>
            </w:pPr>
            <w:r>
              <w:rPr>
                <w:rFonts w:hint="default" w:ascii="Times New Roman" w:hAnsi="Times New Roman" w:eastAsia="宋体" w:cs="Times New Roman"/>
                <w:b/>
                <w:color w:val="000000"/>
                <w:spacing w:val="0"/>
                <w:sz w:val="21"/>
                <w:highlight w:val="none"/>
              </w:rPr>
              <w:t>评价工作等级</w:t>
            </w:r>
          </w:p>
        </w:tc>
        <w:tc>
          <w:tcPr>
            <w:tcW w:w="2977" w:type="pct"/>
            <w:tcBorders>
              <w:tl2br w:val="nil"/>
              <w:tr2bl w:val="nil"/>
            </w:tcBorders>
            <w:noWrap w:val="0"/>
            <w:vAlign w:val="center"/>
          </w:tcPr>
          <w:p w14:paraId="7ED15AD2">
            <w:pPr>
              <w:pStyle w:val="28"/>
              <w:snapToGrid w:val="0"/>
              <w:ind w:left="0"/>
              <w:jc w:val="center"/>
              <w:rPr>
                <w:rFonts w:hint="default" w:ascii="Times New Roman" w:hAnsi="Times New Roman" w:eastAsia="宋体" w:cs="Times New Roman"/>
                <w:b/>
                <w:color w:val="000000"/>
                <w:spacing w:val="0"/>
                <w:sz w:val="21"/>
                <w:highlight w:val="none"/>
              </w:rPr>
            </w:pPr>
            <w:r>
              <w:rPr>
                <w:rFonts w:hint="default" w:ascii="Times New Roman" w:hAnsi="Times New Roman" w:eastAsia="宋体" w:cs="Times New Roman"/>
                <w:b/>
                <w:color w:val="000000"/>
                <w:spacing w:val="0"/>
                <w:sz w:val="21"/>
                <w:highlight w:val="none"/>
              </w:rPr>
              <w:t>评价工作分级判据</w:t>
            </w:r>
          </w:p>
        </w:tc>
      </w:tr>
      <w:tr w14:paraId="6FF8D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2" w:type="pct"/>
            <w:tcBorders>
              <w:tl2br w:val="nil"/>
              <w:tr2bl w:val="nil"/>
            </w:tcBorders>
            <w:noWrap w:val="0"/>
            <w:vAlign w:val="center"/>
          </w:tcPr>
          <w:p w14:paraId="7DB22D1A">
            <w:pPr>
              <w:pStyle w:val="28"/>
              <w:snapToGrid w:val="0"/>
              <w:ind w:left="0"/>
              <w:jc w:val="center"/>
              <w:rPr>
                <w:rFonts w:hint="default" w:ascii="Times New Roman" w:hAnsi="Times New Roman" w:eastAsia="宋体" w:cs="Times New Roman"/>
                <w:color w:val="000000"/>
                <w:spacing w:val="0"/>
                <w:sz w:val="21"/>
                <w:highlight w:val="none"/>
              </w:rPr>
            </w:pPr>
            <w:r>
              <w:rPr>
                <w:rFonts w:hint="default" w:ascii="Times New Roman" w:hAnsi="Times New Roman" w:eastAsia="宋体" w:cs="Times New Roman"/>
                <w:color w:val="000000"/>
                <w:spacing w:val="0"/>
                <w:sz w:val="21"/>
                <w:highlight w:val="none"/>
              </w:rPr>
              <w:t>一级评价</w:t>
            </w:r>
          </w:p>
        </w:tc>
        <w:tc>
          <w:tcPr>
            <w:tcW w:w="2977" w:type="pct"/>
            <w:tcBorders>
              <w:tl2br w:val="nil"/>
              <w:tr2bl w:val="nil"/>
            </w:tcBorders>
            <w:noWrap w:val="0"/>
            <w:vAlign w:val="center"/>
          </w:tcPr>
          <w:p w14:paraId="5018F6FD">
            <w:pPr>
              <w:pStyle w:val="28"/>
              <w:snapToGrid w:val="0"/>
              <w:ind w:left="0"/>
              <w:jc w:val="center"/>
              <w:rPr>
                <w:rFonts w:hint="default" w:ascii="Times New Roman" w:hAnsi="Times New Roman" w:eastAsia="宋体" w:cs="Times New Roman"/>
                <w:color w:val="000000"/>
                <w:spacing w:val="0"/>
                <w:sz w:val="21"/>
                <w:highlight w:val="none"/>
              </w:rPr>
            </w:pPr>
            <w:r>
              <w:rPr>
                <w:rFonts w:hint="default" w:ascii="Times New Roman" w:hAnsi="Times New Roman" w:eastAsia="宋体" w:cs="Times New Roman"/>
                <w:i/>
                <w:color w:val="000000"/>
                <w:spacing w:val="0"/>
                <w:sz w:val="21"/>
                <w:highlight w:val="none"/>
              </w:rPr>
              <w:t>P</w:t>
            </w:r>
            <w:r>
              <w:rPr>
                <w:rFonts w:hint="default" w:ascii="Times New Roman" w:hAnsi="Times New Roman" w:eastAsia="宋体" w:cs="Times New Roman"/>
                <w:i/>
                <w:color w:val="000000"/>
                <w:spacing w:val="0"/>
                <w:sz w:val="21"/>
                <w:highlight w:val="none"/>
                <w:vertAlign w:val="subscript"/>
              </w:rPr>
              <w:t>max</w:t>
            </w:r>
            <w:r>
              <w:rPr>
                <w:rFonts w:hint="default" w:ascii="Times New Roman" w:hAnsi="Times New Roman" w:eastAsia="宋体" w:cs="Times New Roman"/>
                <w:color w:val="000000"/>
                <w:spacing w:val="0"/>
                <w:sz w:val="21"/>
                <w:highlight w:val="none"/>
              </w:rPr>
              <w:t>≥10%</w:t>
            </w:r>
          </w:p>
        </w:tc>
      </w:tr>
      <w:tr w14:paraId="6D169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2" w:type="pct"/>
            <w:tcBorders>
              <w:tl2br w:val="nil"/>
              <w:tr2bl w:val="nil"/>
            </w:tcBorders>
            <w:noWrap w:val="0"/>
            <w:vAlign w:val="center"/>
          </w:tcPr>
          <w:p w14:paraId="0A4E54A8">
            <w:pPr>
              <w:pStyle w:val="28"/>
              <w:snapToGrid w:val="0"/>
              <w:ind w:left="0"/>
              <w:jc w:val="center"/>
              <w:rPr>
                <w:rFonts w:hint="default" w:ascii="Times New Roman" w:hAnsi="Times New Roman" w:eastAsia="宋体" w:cs="Times New Roman"/>
                <w:color w:val="000000"/>
                <w:spacing w:val="0"/>
                <w:sz w:val="21"/>
                <w:highlight w:val="none"/>
              </w:rPr>
            </w:pPr>
            <w:r>
              <w:rPr>
                <w:rFonts w:hint="default" w:ascii="Times New Roman" w:hAnsi="Times New Roman" w:eastAsia="宋体" w:cs="Times New Roman"/>
                <w:color w:val="000000"/>
                <w:spacing w:val="0"/>
                <w:sz w:val="21"/>
                <w:highlight w:val="none"/>
              </w:rPr>
              <w:t>二级评价</w:t>
            </w:r>
          </w:p>
        </w:tc>
        <w:tc>
          <w:tcPr>
            <w:tcW w:w="2977" w:type="pct"/>
            <w:tcBorders>
              <w:tl2br w:val="nil"/>
              <w:tr2bl w:val="nil"/>
            </w:tcBorders>
            <w:noWrap w:val="0"/>
            <w:vAlign w:val="center"/>
          </w:tcPr>
          <w:p w14:paraId="6B120F88">
            <w:pPr>
              <w:pStyle w:val="28"/>
              <w:snapToGrid w:val="0"/>
              <w:ind w:left="0"/>
              <w:jc w:val="center"/>
              <w:rPr>
                <w:rFonts w:hint="default" w:ascii="Times New Roman" w:hAnsi="Times New Roman" w:eastAsia="宋体" w:cs="Times New Roman"/>
                <w:color w:val="000000"/>
                <w:spacing w:val="0"/>
                <w:sz w:val="21"/>
                <w:highlight w:val="none"/>
              </w:rPr>
            </w:pPr>
            <w:r>
              <w:rPr>
                <w:rFonts w:hint="default" w:ascii="Times New Roman" w:hAnsi="Times New Roman" w:eastAsia="宋体" w:cs="Times New Roman"/>
                <w:color w:val="000000"/>
                <w:spacing w:val="0"/>
                <w:sz w:val="21"/>
                <w:highlight w:val="none"/>
              </w:rPr>
              <w:t>1%≤</w:t>
            </w:r>
            <w:r>
              <w:rPr>
                <w:rFonts w:hint="default" w:ascii="Times New Roman" w:hAnsi="Times New Roman" w:eastAsia="宋体" w:cs="Times New Roman"/>
                <w:i/>
                <w:color w:val="000000"/>
                <w:spacing w:val="0"/>
                <w:sz w:val="21"/>
                <w:highlight w:val="none"/>
              </w:rPr>
              <w:t>P</w:t>
            </w:r>
            <w:r>
              <w:rPr>
                <w:rFonts w:hint="default" w:ascii="Times New Roman" w:hAnsi="Times New Roman" w:eastAsia="宋体" w:cs="Times New Roman"/>
                <w:i/>
                <w:color w:val="000000"/>
                <w:spacing w:val="0"/>
                <w:sz w:val="21"/>
                <w:highlight w:val="none"/>
                <w:vertAlign w:val="subscript"/>
              </w:rPr>
              <w:t>max</w:t>
            </w:r>
            <w:r>
              <w:rPr>
                <w:rFonts w:hint="default" w:ascii="Times New Roman" w:hAnsi="Times New Roman" w:eastAsia="宋体" w:cs="Times New Roman"/>
                <w:color w:val="000000"/>
                <w:spacing w:val="0"/>
                <w:sz w:val="21"/>
                <w:highlight w:val="none"/>
              </w:rPr>
              <w:t>＜10%</w:t>
            </w:r>
          </w:p>
        </w:tc>
      </w:tr>
      <w:tr w14:paraId="4B0BD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2" w:type="pct"/>
            <w:tcBorders>
              <w:tl2br w:val="nil"/>
              <w:tr2bl w:val="nil"/>
            </w:tcBorders>
            <w:noWrap w:val="0"/>
            <w:vAlign w:val="center"/>
          </w:tcPr>
          <w:p w14:paraId="58DCF499">
            <w:pPr>
              <w:pStyle w:val="28"/>
              <w:snapToGrid w:val="0"/>
              <w:ind w:left="0"/>
              <w:jc w:val="center"/>
              <w:rPr>
                <w:rFonts w:hint="default" w:ascii="Times New Roman" w:hAnsi="Times New Roman" w:eastAsia="宋体" w:cs="Times New Roman"/>
                <w:color w:val="000000"/>
                <w:spacing w:val="0"/>
                <w:sz w:val="21"/>
                <w:highlight w:val="none"/>
              </w:rPr>
            </w:pPr>
            <w:r>
              <w:rPr>
                <w:rFonts w:hint="default" w:ascii="Times New Roman" w:hAnsi="Times New Roman" w:eastAsia="宋体" w:cs="Times New Roman"/>
                <w:color w:val="000000"/>
                <w:spacing w:val="0"/>
                <w:sz w:val="21"/>
                <w:highlight w:val="none"/>
              </w:rPr>
              <w:t>三级评价</w:t>
            </w:r>
          </w:p>
        </w:tc>
        <w:tc>
          <w:tcPr>
            <w:tcW w:w="2977" w:type="pct"/>
            <w:tcBorders>
              <w:tl2br w:val="nil"/>
              <w:tr2bl w:val="nil"/>
            </w:tcBorders>
            <w:noWrap w:val="0"/>
            <w:vAlign w:val="center"/>
          </w:tcPr>
          <w:p w14:paraId="5F5DA06E">
            <w:pPr>
              <w:pStyle w:val="28"/>
              <w:snapToGrid w:val="0"/>
              <w:ind w:left="0"/>
              <w:jc w:val="center"/>
              <w:rPr>
                <w:rFonts w:hint="default" w:ascii="Times New Roman" w:hAnsi="Times New Roman" w:eastAsia="宋体" w:cs="Times New Roman"/>
                <w:color w:val="000000"/>
                <w:spacing w:val="0"/>
                <w:sz w:val="21"/>
                <w:highlight w:val="none"/>
              </w:rPr>
            </w:pPr>
            <w:r>
              <w:rPr>
                <w:rFonts w:hint="default" w:ascii="Times New Roman" w:hAnsi="Times New Roman" w:eastAsia="宋体" w:cs="Times New Roman"/>
                <w:i/>
                <w:color w:val="000000"/>
                <w:spacing w:val="0"/>
                <w:sz w:val="21"/>
                <w:highlight w:val="none"/>
              </w:rPr>
              <w:t>P</w:t>
            </w:r>
            <w:r>
              <w:rPr>
                <w:rFonts w:hint="default" w:ascii="Times New Roman" w:hAnsi="Times New Roman" w:eastAsia="宋体" w:cs="Times New Roman"/>
                <w:i/>
                <w:color w:val="000000"/>
                <w:spacing w:val="0"/>
                <w:sz w:val="21"/>
                <w:highlight w:val="none"/>
                <w:vertAlign w:val="subscript"/>
              </w:rPr>
              <w:t>max</w:t>
            </w:r>
            <w:r>
              <w:rPr>
                <w:rFonts w:hint="default" w:ascii="Times New Roman" w:hAnsi="Times New Roman" w:eastAsia="宋体" w:cs="Times New Roman"/>
                <w:color w:val="000000"/>
                <w:spacing w:val="0"/>
                <w:sz w:val="21"/>
                <w:highlight w:val="none"/>
              </w:rPr>
              <w:t>＜1%</w:t>
            </w:r>
          </w:p>
        </w:tc>
      </w:tr>
    </w:tbl>
    <w:p w14:paraId="7B0F4E6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ascii="Times New Roman" w:hAnsi="Times New Roman"/>
          <w:color w:val="auto"/>
          <w:sz w:val="24"/>
          <w:szCs w:val="24"/>
          <w:highlight w:val="none"/>
        </w:rPr>
        <w:t>由上表可知，上述估算结果的浓度占标率</w:t>
      </w:r>
      <w:r>
        <w:rPr>
          <w:rFonts w:hint="eastAsia" w:ascii="Times New Roman" w:hAnsi="Times New Roman"/>
          <w:i w:val="0"/>
          <w:iCs w:val="0"/>
          <w:color w:val="auto"/>
          <w:sz w:val="24"/>
          <w:szCs w:val="24"/>
          <w:highlight w:val="none"/>
        </w:rPr>
        <w:t>1%≤</w:t>
      </w:r>
      <w:r>
        <w:rPr>
          <w:rFonts w:hint="eastAsia" w:ascii="Times New Roman" w:hAnsi="Times New Roman"/>
          <w:i/>
          <w:iCs/>
          <w:color w:val="auto"/>
          <w:sz w:val="24"/>
          <w:szCs w:val="24"/>
          <w:highlight w:val="none"/>
        </w:rPr>
        <w:t>P</w:t>
      </w:r>
      <w:r>
        <w:rPr>
          <w:rFonts w:hint="eastAsia" w:ascii="Times New Roman" w:hAnsi="Times New Roman"/>
          <w:i/>
          <w:iCs/>
          <w:color w:val="auto"/>
          <w:sz w:val="24"/>
          <w:szCs w:val="24"/>
          <w:highlight w:val="none"/>
          <w:vertAlign w:val="subscript"/>
        </w:rPr>
        <w:t>max</w:t>
      </w:r>
      <w:r>
        <w:rPr>
          <w:rFonts w:hint="eastAsia" w:ascii="Times New Roman" w:hAnsi="Times New Roman"/>
          <w:i w:val="0"/>
          <w:iCs w:val="0"/>
          <w:color w:val="auto"/>
          <w:sz w:val="24"/>
          <w:szCs w:val="24"/>
          <w:highlight w:val="none"/>
        </w:rPr>
        <w:t>＜10%</w:t>
      </w:r>
      <w:r>
        <w:rPr>
          <w:rFonts w:ascii="Times New Roman" w:hAnsi="Times New Roman"/>
          <w:color w:val="auto"/>
          <w:sz w:val="24"/>
          <w:szCs w:val="24"/>
          <w:highlight w:val="none"/>
        </w:rPr>
        <w:t>，根据《环境影响评价技术导则  大气环境》（HJ2.2-2018）的评价工作等级判定要求，确定项目</w:t>
      </w:r>
      <w:r>
        <w:rPr>
          <w:rFonts w:ascii="Times New Roman" w:hAnsi="Times New Roman"/>
          <w:bCs/>
          <w:color w:val="auto"/>
          <w:sz w:val="24"/>
          <w:szCs w:val="24"/>
          <w:highlight w:val="none"/>
        </w:rPr>
        <w:t>大气环境影响评价工作等级为</w:t>
      </w:r>
      <w:r>
        <w:rPr>
          <w:rFonts w:hint="eastAsia"/>
          <w:b/>
          <w:bCs/>
          <w:color w:val="auto"/>
          <w:sz w:val="24"/>
          <w:szCs w:val="24"/>
          <w:highlight w:val="none"/>
          <w:lang w:val="en-US" w:eastAsia="zh-CN"/>
        </w:rPr>
        <w:t>二</w:t>
      </w:r>
      <w:r>
        <w:rPr>
          <w:rFonts w:ascii="Times New Roman" w:hAnsi="Times New Roman"/>
          <w:b/>
          <w:bCs/>
          <w:color w:val="auto"/>
          <w:sz w:val="24"/>
          <w:szCs w:val="24"/>
          <w:highlight w:val="none"/>
        </w:rPr>
        <w:t>级评价。</w:t>
      </w:r>
    </w:p>
    <w:p w14:paraId="1BB0190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sz w:val="24"/>
          <w:szCs w:val="24"/>
          <w:highlight w:val="none"/>
          <w:lang w:val="en-US" w:eastAsia="zh-CN"/>
        </w:rPr>
      </w:pPr>
      <w:r>
        <w:rPr>
          <w:rFonts w:hint="eastAsia"/>
          <w:sz w:val="24"/>
          <w:szCs w:val="24"/>
          <w:highlight w:val="none"/>
          <w:lang w:eastAsia="zh-CN"/>
        </w:rPr>
        <w:t>（</w:t>
      </w:r>
      <w:r>
        <w:rPr>
          <w:rFonts w:hint="eastAsia"/>
          <w:sz w:val="24"/>
          <w:szCs w:val="24"/>
          <w:highlight w:val="none"/>
          <w:lang w:val="en-US" w:eastAsia="zh-CN"/>
        </w:rPr>
        <w:t>5</w:t>
      </w:r>
      <w:r>
        <w:rPr>
          <w:rFonts w:hint="eastAsia"/>
          <w:sz w:val="24"/>
          <w:szCs w:val="24"/>
          <w:highlight w:val="none"/>
          <w:lang w:eastAsia="zh-CN"/>
        </w:rPr>
        <w:t>）</w:t>
      </w:r>
      <w:r>
        <w:rPr>
          <w:rFonts w:hint="eastAsia"/>
          <w:sz w:val="24"/>
          <w:szCs w:val="24"/>
          <w:highlight w:val="none"/>
          <w:lang w:val="en-US" w:eastAsia="zh-CN"/>
        </w:rPr>
        <w:t>评价范围</w:t>
      </w:r>
    </w:p>
    <w:p w14:paraId="62AC50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eastAsia" w:ascii="Times New Roman" w:hAnsi="Times New Roman"/>
          <w:color w:val="auto"/>
          <w:sz w:val="24"/>
          <w:szCs w:val="24"/>
          <w:highlight w:val="none"/>
        </w:rPr>
        <w:t>根据《环境影响评价技术导则·大气环境》(HJ2.2-2018)5.4 评价范围确定原则，二级评价项目大气影响评价范围边长取5km，</w:t>
      </w:r>
      <w:r>
        <w:rPr>
          <w:rFonts w:hint="eastAsia"/>
          <w:color w:val="auto"/>
          <w:sz w:val="24"/>
          <w:szCs w:val="24"/>
          <w:highlight w:val="none"/>
          <w:lang w:val="en-US" w:eastAsia="zh-CN"/>
        </w:rPr>
        <w:t>本项目</w:t>
      </w:r>
      <w:r>
        <w:rPr>
          <w:rFonts w:hint="eastAsia" w:ascii="Times New Roman" w:hAnsi="Times New Roman" w:eastAsia="宋体" w:cs="Times New Roman"/>
          <w:i w:val="0"/>
          <w:iCs w:val="0"/>
          <w:color w:val="000000"/>
          <w:kern w:val="0"/>
          <w:sz w:val="24"/>
          <w:szCs w:val="24"/>
          <w:highlight w:val="none"/>
          <w:u w:val="none"/>
          <w:lang w:val="en-US" w:eastAsia="zh-CN" w:bidi="ar"/>
        </w:rPr>
        <w:t>大气评价范围：</w:t>
      </w:r>
      <w:r>
        <w:rPr>
          <w:rFonts w:hint="eastAsia" w:ascii="Times New Roman" w:hAnsi="Times New Roman"/>
          <w:color w:val="auto"/>
          <w:sz w:val="24"/>
          <w:szCs w:val="24"/>
          <w:highlight w:val="none"/>
          <w:lang w:val="en-US" w:eastAsia="zh-CN"/>
        </w:rPr>
        <w:t>以</w:t>
      </w:r>
      <w:r>
        <w:rPr>
          <w:rFonts w:hint="eastAsia" w:cs="Times New Roman"/>
          <w:i w:val="0"/>
          <w:iCs w:val="0"/>
          <w:color w:val="000000"/>
          <w:kern w:val="0"/>
          <w:sz w:val="24"/>
          <w:szCs w:val="24"/>
          <w:highlight w:val="none"/>
          <w:u w:val="none"/>
          <w:lang w:val="en-US" w:eastAsia="zh-CN" w:bidi="ar"/>
        </w:rPr>
        <w:t>排土场</w:t>
      </w:r>
      <w:r>
        <w:rPr>
          <w:rFonts w:hint="eastAsia" w:ascii="Times New Roman" w:hAnsi="Times New Roman" w:eastAsia="宋体" w:cs="Times New Roman"/>
          <w:i w:val="0"/>
          <w:iCs w:val="0"/>
          <w:color w:val="000000"/>
          <w:kern w:val="0"/>
          <w:sz w:val="24"/>
          <w:szCs w:val="24"/>
          <w:highlight w:val="none"/>
          <w:u w:val="none"/>
          <w:lang w:val="en-US" w:eastAsia="zh-CN" w:bidi="ar"/>
        </w:rPr>
        <w:t>场地中心点边长为</w:t>
      </w:r>
      <w:r>
        <w:rPr>
          <w:rFonts w:hint="eastAsia" w:cs="Times New Roman"/>
          <w:i w:val="0"/>
          <w:iCs w:val="0"/>
          <w:color w:val="000000"/>
          <w:kern w:val="0"/>
          <w:sz w:val="24"/>
          <w:szCs w:val="24"/>
          <w:highlight w:val="none"/>
          <w:u w:val="none"/>
          <w:lang w:val="en-US" w:eastAsia="zh-CN" w:bidi="ar"/>
        </w:rPr>
        <w:t>5km矩形区域</w:t>
      </w:r>
      <w:r>
        <w:rPr>
          <w:rFonts w:hint="eastAsia" w:ascii="Times New Roman" w:hAnsi="Times New Roman"/>
          <w:color w:val="auto"/>
          <w:sz w:val="24"/>
          <w:szCs w:val="24"/>
          <w:highlight w:val="none"/>
          <w:lang w:val="en-US" w:eastAsia="zh-CN"/>
        </w:rPr>
        <w:t>。</w:t>
      </w:r>
    </w:p>
    <w:p w14:paraId="4395E2EA">
      <w:pPr>
        <w:pStyle w:val="6"/>
        <w:pageBreakBefore w:val="0"/>
        <w:widowControl w:val="0"/>
        <w:kinsoku/>
        <w:wordWrap/>
        <w:overflowPunct/>
        <w:topLinePunct w:val="0"/>
        <w:autoSpaceDE/>
        <w:autoSpaceDN/>
        <w:bidi w:val="0"/>
        <w:spacing w:before="0" w:beforeLines="0" w:line="360" w:lineRule="auto"/>
        <w:textAlignment w:val="auto"/>
        <w:rPr>
          <w:rFonts w:hint="default"/>
          <w:highlight w:val="none"/>
        </w:rPr>
      </w:pPr>
      <w:bookmarkStart w:id="115" w:name="_Toc2065"/>
      <w:r>
        <w:rPr>
          <w:rFonts w:hint="eastAsia"/>
          <w:highlight w:val="none"/>
          <w:lang w:val="en-US" w:eastAsia="zh-CN"/>
        </w:rPr>
        <w:t>地表</w:t>
      </w:r>
      <w:r>
        <w:rPr>
          <w:rFonts w:hint="default"/>
          <w:highlight w:val="none"/>
        </w:rPr>
        <w:t>水环境</w:t>
      </w:r>
      <w:bookmarkEnd w:id="115"/>
    </w:p>
    <w:p w14:paraId="44D1CE87">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szCs w:val="21"/>
          <w:highlight w:val="none"/>
          <w:lang w:val="en-US" w:eastAsia="zh-CN"/>
        </w:rPr>
      </w:pPr>
      <w:r>
        <w:rPr>
          <w:rFonts w:hint="eastAsia" w:ascii="Times New Roman" w:hAnsi="Times New Roman" w:cs="Times New Roman"/>
          <w:color w:val="000000"/>
          <w:kern w:val="0"/>
          <w:sz w:val="24"/>
          <w:szCs w:val="21"/>
          <w:highlight w:val="none"/>
          <w:lang w:val="en-US" w:eastAsia="zh-CN"/>
        </w:rPr>
        <w:t>根据《环境影响评价技术导则 地表水环境》（HJ2.3-2018），地表水环境影响评价工作分级判据如下：</w:t>
      </w:r>
    </w:p>
    <w:p w14:paraId="0122202C">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szCs w:val="21"/>
          <w:highlight w:val="none"/>
          <w:lang w:val="en-US" w:eastAsia="zh-CN"/>
        </w:rPr>
      </w:pPr>
      <w:r>
        <w:rPr>
          <w:rFonts w:hint="eastAsia" w:ascii="Times New Roman" w:hAnsi="Times New Roman" w:cs="Times New Roman"/>
          <w:color w:val="000000"/>
          <w:kern w:val="0"/>
          <w:sz w:val="24"/>
          <w:szCs w:val="21"/>
          <w:highlight w:val="none"/>
          <w:lang w:val="en-US" w:eastAsia="zh-CN"/>
        </w:rPr>
        <w:t>（1）项目废水产生排放情况</w:t>
      </w:r>
    </w:p>
    <w:p w14:paraId="7BF98E4C">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000000"/>
          <w:kern w:val="0"/>
          <w:sz w:val="24"/>
          <w:szCs w:val="21"/>
          <w:highlight w:val="none"/>
          <w:lang w:val="en-US" w:eastAsia="zh-CN"/>
        </w:rPr>
      </w:pPr>
      <w:r>
        <w:rPr>
          <w:rFonts w:hint="eastAsia"/>
          <w:sz w:val="24"/>
          <w:szCs w:val="24"/>
          <w:highlight w:val="none"/>
          <w:lang w:val="en-US" w:eastAsia="zh-CN"/>
        </w:rPr>
        <w:t>项目排土场</w:t>
      </w:r>
      <w:r>
        <w:rPr>
          <w:rFonts w:ascii="Times New Roman" w:eastAsia="宋体"/>
          <w:sz w:val="24"/>
          <w:szCs w:val="24"/>
          <w:highlight w:val="none"/>
        </w:rPr>
        <w:t>场区内降雨下渗后产生淋滤废水，</w:t>
      </w:r>
      <w:r>
        <w:rPr>
          <w:rFonts w:hint="eastAsia"/>
          <w:sz w:val="24"/>
          <w:szCs w:val="24"/>
          <w:highlight w:val="none"/>
          <w:lang w:val="en-US" w:eastAsia="zh-CN"/>
        </w:rPr>
        <w:t>回用降尘、选厂生产，不外排</w:t>
      </w:r>
      <w:r>
        <w:rPr>
          <w:rFonts w:hint="eastAsia" w:ascii="Times New Roman" w:hAnsi="Times New Roman" w:cs="Times New Roman"/>
          <w:color w:val="000000"/>
          <w:kern w:val="0"/>
          <w:sz w:val="24"/>
          <w:szCs w:val="21"/>
          <w:highlight w:val="none"/>
          <w:lang w:val="en-US" w:eastAsia="zh-CN"/>
        </w:rPr>
        <w:t>。</w:t>
      </w:r>
    </w:p>
    <w:p w14:paraId="57DBE3B0">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szCs w:val="21"/>
          <w:highlight w:val="none"/>
          <w:lang w:val="en-US" w:eastAsia="zh-CN"/>
        </w:rPr>
      </w:pPr>
      <w:r>
        <w:rPr>
          <w:rFonts w:hint="eastAsia" w:ascii="Times New Roman" w:hAnsi="Times New Roman" w:cs="Times New Roman"/>
          <w:color w:val="000000"/>
          <w:kern w:val="0"/>
          <w:sz w:val="24"/>
          <w:szCs w:val="21"/>
          <w:highlight w:val="none"/>
          <w:lang w:val="en-US" w:eastAsia="zh-CN"/>
        </w:rPr>
        <w:t>（2）地表水评价工作等级</w:t>
      </w:r>
    </w:p>
    <w:p w14:paraId="5BC6AA97">
      <w:pPr>
        <w:pageBreakBefore w:val="0"/>
        <w:widowControl w:val="0"/>
        <w:kinsoku/>
        <w:wordWrap/>
        <w:overflowPunct/>
        <w:topLinePunct w:val="0"/>
        <w:autoSpaceDE/>
        <w:autoSpaceDN/>
        <w:bidi w:val="0"/>
        <w:spacing w:line="360" w:lineRule="auto"/>
        <w:ind w:firstLine="480" w:firstLineChars="200"/>
        <w:textAlignment w:val="auto"/>
        <w:rPr>
          <w:rFonts w:hint="eastAsia" w:cs="Times New Roman"/>
          <w:color w:val="000000"/>
          <w:kern w:val="0"/>
          <w:sz w:val="24"/>
          <w:szCs w:val="21"/>
          <w:highlight w:val="none"/>
          <w:lang w:val="en-US" w:eastAsia="zh-CN"/>
        </w:rPr>
      </w:pPr>
      <w:r>
        <w:rPr>
          <w:rFonts w:hint="eastAsia" w:ascii="Times New Roman" w:hAnsi="Times New Roman" w:cs="Times New Roman"/>
          <w:color w:val="000000"/>
          <w:kern w:val="0"/>
          <w:sz w:val="24"/>
          <w:szCs w:val="21"/>
          <w:highlight w:val="none"/>
          <w:lang w:val="en-US" w:eastAsia="zh-CN"/>
        </w:rPr>
        <w:t>地表水评价工作分级判据见下表</w:t>
      </w:r>
      <w:r>
        <w:rPr>
          <w:rFonts w:hint="eastAsia" w:cs="Times New Roman"/>
          <w:color w:val="000000"/>
          <w:kern w:val="0"/>
          <w:sz w:val="24"/>
          <w:szCs w:val="21"/>
          <w:highlight w:val="none"/>
          <w:lang w:val="en-US" w:eastAsia="zh-CN"/>
        </w:rPr>
        <w:t>。</w:t>
      </w:r>
    </w:p>
    <w:p w14:paraId="3336C7B4">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color w:val="000000"/>
          <w:szCs w:val="21"/>
          <w:highlight w:val="none"/>
        </w:rPr>
      </w:pPr>
      <w:r>
        <w:rPr>
          <w:rStyle w:val="152"/>
          <w:rFonts w:hint="default" w:ascii="Times New Roman" w:hAnsi="Times New Roman" w:eastAsia="宋体" w:cs="Times New Roman"/>
          <w:color w:val="000000"/>
          <w:szCs w:val="21"/>
          <w:highlight w:val="none"/>
        </w:rPr>
        <w:t>水污染影响型建设项目评价工作等级判定表</w:t>
      </w:r>
    </w:p>
    <w:tbl>
      <w:tblPr>
        <w:tblStyle w:val="5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6"/>
        <w:gridCol w:w="1930"/>
        <w:gridCol w:w="4536"/>
      </w:tblGrid>
      <w:tr w14:paraId="3EDB4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restart"/>
            <w:tcBorders>
              <w:tl2br w:val="nil"/>
              <w:tr2bl w:val="nil"/>
            </w:tcBorders>
            <w:noWrap w:val="0"/>
            <w:vAlign w:val="center"/>
          </w:tcPr>
          <w:p w14:paraId="19AEFCB8">
            <w:pPr>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评价等级</w:t>
            </w:r>
          </w:p>
        </w:tc>
        <w:tc>
          <w:tcPr>
            <w:tcW w:w="6466" w:type="dxa"/>
            <w:gridSpan w:val="2"/>
            <w:tcBorders>
              <w:tl2br w:val="nil"/>
              <w:tr2bl w:val="nil"/>
            </w:tcBorders>
            <w:noWrap w:val="0"/>
            <w:vAlign w:val="center"/>
          </w:tcPr>
          <w:p w14:paraId="61BAF231">
            <w:pPr>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判定依据</w:t>
            </w:r>
          </w:p>
        </w:tc>
      </w:tr>
      <w:tr w14:paraId="2A680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tcBorders>
              <w:tl2br w:val="nil"/>
              <w:tr2bl w:val="nil"/>
            </w:tcBorders>
            <w:noWrap w:val="0"/>
            <w:vAlign w:val="center"/>
          </w:tcPr>
          <w:p w14:paraId="39BB4BB2">
            <w:pPr>
              <w:jc w:val="center"/>
              <w:rPr>
                <w:rFonts w:hint="default" w:ascii="Times New Roman" w:hAnsi="Times New Roman" w:cs="Times New Roman"/>
                <w:b/>
                <w:color w:val="000000"/>
                <w:szCs w:val="21"/>
                <w:highlight w:val="none"/>
              </w:rPr>
            </w:pPr>
          </w:p>
        </w:tc>
        <w:tc>
          <w:tcPr>
            <w:tcW w:w="1930" w:type="dxa"/>
            <w:tcBorders>
              <w:tl2br w:val="nil"/>
              <w:tr2bl w:val="nil"/>
            </w:tcBorders>
            <w:noWrap w:val="0"/>
            <w:vAlign w:val="center"/>
          </w:tcPr>
          <w:p w14:paraId="6B36A138">
            <w:pPr>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排放方式</w:t>
            </w:r>
          </w:p>
        </w:tc>
        <w:tc>
          <w:tcPr>
            <w:tcW w:w="4536" w:type="dxa"/>
            <w:tcBorders>
              <w:tl2br w:val="nil"/>
              <w:tr2bl w:val="nil"/>
            </w:tcBorders>
            <w:noWrap w:val="0"/>
            <w:vAlign w:val="center"/>
          </w:tcPr>
          <w:p w14:paraId="48DCAF5D">
            <w:pPr>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废水排放量Q/（m</w:t>
            </w:r>
            <w:r>
              <w:rPr>
                <w:rFonts w:hint="default" w:ascii="Times New Roman" w:hAnsi="Times New Roman" w:cs="Times New Roman"/>
                <w:b/>
                <w:color w:val="000000"/>
                <w:szCs w:val="21"/>
                <w:highlight w:val="none"/>
                <w:vertAlign w:val="superscript"/>
              </w:rPr>
              <w:t>3</w:t>
            </w:r>
            <w:r>
              <w:rPr>
                <w:rFonts w:hint="default" w:ascii="Times New Roman" w:hAnsi="Times New Roman" w:cs="Times New Roman"/>
                <w:b/>
                <w:color w:val="000000"/>
                <w:szCs w:val="21"/>
                <w:highlight w:val="none"/>
              </w:rPr>
              <w:t>/d）；</w:t>
            </w:r>
          </w:p>
          <w:p w14:paraId="52A484EA">
            <w:pPr>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水污染物当量数W/（无量纲）</w:t>
            </w:r>
          </w:p>
        </w:tc>
      </w:tr>
      <w:tr w14:paraId="78641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tcBorders>
              <w:tl2br w:val="nil"/>
              <w:tr2bl w:val="nil"/>
            </w:tcBorders>
            <w:noWrap w:val="0"/>
            <w:vAlign w:val="center"/>
          </w:tcPr>
          <w:p w14:paraId="0E2C9117">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一级</w:t>
            </w:r>
          </w:p>
        </w:tc>
        <w:tc>
          <w:tcPr>
            <w:tcW w:w="1930" w:type="dxa"/>
            <w:tcBorders>
              <w:tl2br w:val="nil"/>
              <w:tr2bl w:val="nil"/>
            </w:tcBorders>
            <w:noWrap w:val="0"/>
            <w:vAlign w:val="center"/>
          </w:tcPr>
          <w:p w14:paraId="369AAF3E">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直接排放</w:t>
            </w:r>
          </w:p>
        </w:tc>
        <w:tc>
          <w:tcPr>
            <w:tcW w:w="4536" w:type="dxa"/>
            <w:tcBorders>
              <w:tl2br w:val="nil"/>
              <w:tr2bl w:val="nil"/>
            </w:tcBorders>
            <w:noWrap w:val="0"/>
            <w:vAlign w:val="center"/>
          </w:tcPr>
          <w:p w14:paraId="0C811C2A">
            <w:pPr>
              <w:jc w:val="center"/>
              <w:rPr>
                <w:rFonts w:hint="default" w:ascii="Times New Roman" w:hAnsi="Times New Roman" w:cs="Times New Roman"/>
                <w:color w:val="000000"/>
                <w:szCs w:val="21"/>
                <w:highlight w:val="none"/>
              </w:rPr>
            </w:pPr>
            <w:r>
              <w:rPr>
                <w:rFonts w:hint="default" w:ascii="Times New Roman" w:hAnsi="Times New Roman" w:cs="Times New Roman"/>
                <w:i/>
                <w:iCs/>
                <w:color w:val="000000"/>
                <w:szCs w:val="18"/>
                <w:highlight w:val="none"/>
              </w:rPr>
              <w:t>Q</w:t>
            </w:r>
            <w:r>
              <w:rPr>
                <w:rFonts w:hint="default" w:ascii="Times New Roman" w:hAnsi="Times New Roman" w:cs="Times New Roman"/>
                <w:color w:val="000000"/>
                <w:szCs w:val="18"/>
                <w:highlight w:val="none"/>
              </w:rPr>
              <w:t>≥20000 或</w:t>
            </w:r>
            <w:r>
              <w:rPr>
                <w:rFonts w:hint="default" w:ascii="Times New Roman" w:hAnsi="Times New Roman" w:cs="Times New Roman"/>
                <w:i/>
                <w:iCs/>
                <w:color w:val="000000"/>
                <w:szCs w:val="18"/>
                <w:highlight w:val="none"/>
              </w:rPr>
              <w:t>W</w:t>
            </w:r>
            <w:r>
              <w:rPr>
                <w:rFonts w:hint="default" w:ascii="Times New Roman" w:hAnsi="Times New Roman" w:cs="Times New Roman"/>
                <w:color w:val="000000"/>
                <w:szCs w:val="18"/>
                <w:highlight w:val="none"/>
              </w:rPr>
              <w:t>≥600000</w:t>
            </w:r>
          </w:p>
        </w:tc>
      </w:tr>
      <w:tr w14:paraId="38608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tcBorders>
              <w:tl2br w:val="nil"/>
              <w:tr2bl w:val="nil"/>
            </w:tcBorders>
            <w:noWrap w:val="0"/>
            <w:vAlign w:val="center"/>
          </w:tcPr>
          <w:p w14:paraId="24920FCD">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二级</w:t>
            </w:r>
          </w:p>
        </w:tc>
        <w:tc>
          <w:tcPr>
            <w:tcW w:w="1930" w:type="dxa"/>
            <w:tcBorders>
              <w:tl2br w:val="nil"/>
              <w:tr2bl w:val="nil"/>
            </w:tcBorders>
            <w:noWrap w:val="0"/>
            <w:vAlign w:val="center"/>
          </w:tcPr>
          <w:p w14:paraId="75B08EAA">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直接排放</w:t>
            </w:r>
          </w:p>
        </w:tc>
        <w:tc>
          <w:tcPr>
            <w:tcW w:w="4536" w:type="dxa"/>
            <w:tcBorders>
              <w:tl2br w:val="nil"/>
              <w:tr2bl w:val="nil"/>
            </w:tcBorders>
            <w:noWrap w:val="0"/>
            <w:vAlign w:val="center"/>
          </w:tcPr>
          <w:p w14:paraId="47376EA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18"/>
                <w:highlight w:val="none"/>
              </w:rPr>
              <w:t>其他</w:t>
            </w:r>
          </w:p>
        </w:tc>
      </w:tr>
      <w:tr w14:paraId="4F533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tcBorders>
              <w:tl2br w:val="nil"/>
              <w:tr2bl w:val="nil"/>
            </w:tcBorders>
            <w:noWrap w:val="0"/>
            <w:vAlign w:val="center"/>
          </w:tcPr>
          <w:p w14:paraId="093C443A">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三级A</w:t>
            </w:r>
          </w:p>
        </w:tc>
        <w:tc>
          <w:tcPr>
            <w:tcW w:w="1930" w:type="dxa"/>
            <w:tcBorders>
              <w:tl2br w:val="nil"/>
              <w:tr2bl w:val="nil"/>
            </w:tcBorders>
            <w:noWrap w:val="0"/>
            <w:vAlign w:val="center"/>
          </w:tcPr>
          <w:p w14:paraId="46C0F300">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直接排放</w:t>
            </w:r>
          </w:p>
        </w:tc>
        <w:tc>
          <w:tcPr>
            <w:tcW w:w="4536" w:type="dxa"/>
            <w:tcBorders>
              <w:tl2br w:val="nil"/>
              <w:tr2bl w:val="nil"/>
            </w:tcBorders>
            <w:noWrap w:val="0"/>
            <w:vAlign w:val="center"/>
          </w:tcPr>
          <w:p w14:paraId="2C964ED7">
            <w:pPr>
              <w:jc w:val="center"/>
              <w:rPr>
                <w:rFonts w:hint="default" w:ascii="Times New Roman" w:hAnsi="Times New Roman" w:cs="Times New Roman"/>
                <w:color w:val="000000"/>
                <w:szCs w:val="21"/>
                <w:highlight w:val="none"/>
              </w:rPr>
            </w:pPr>
            <w:r>
              <w:rPr>
                <w:rFonts w:hint="default" w:ascii="Times New Roman" w:hAnsi="Times New Roman" w:cs="Times New Roman"/>
                <w:i/>
                <w:iCs/>
                <w:color w:val="000000"/>
                <w:szCs w:val="18"/>
                <w:highlight w:val="none"/>
              </w:rPr>
              <w:t>Q</w:t>
            </w:r>
            <w:r>
              <w:rPr>
                <w:rFonts w:hint="default" w:ascii="Times New Roman" w:hAnsi="Times New Roman" w:cs="Times New Roman"/>
                <w:color w:val="000000"/>
                <w:szCs w:val="18"/>
                <w:highlight w:val="none"/>
              </w:rPr>
              <w:t>＜200 且</w:t>
            </w:r>
            <w:r>
              <w:rPr>
                <w:rFonts w:hint="default" w:ascii="Times New Roman" w:hAnsi="Times New Roman" w:cs="Times New Roman"/>
                <w:i/>
                <w:iCs/>
                <w:color w:val="000000"/>
                <w:szCs w:val="18"/>
                <w:highlight w:val="none"/>
              </w:rPr>
              <w:t>W</w:t>
            </w:r>
            <w:r>
              <w:rPr>
                <w:rFonts w:hint="default" w:ascii="Times New Roman" w:hAnsi="Times New Roman" w:cs="Times New Roman"/>
                <w:color w:val="000000"/>
                <w:szCs w:val="18"/>
                <w:highlight w:val="none"/>
              </w:rPr>
              <w:t>＜6000</w:t>
            </w:r>
          </w:p>
        </w:tc>
      </w:tr>
      <w:tr w14:paraId="4318B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tcBorders>
              <w:tl2br w:val="nil"/>
              <w:tr2bl w:val="nil"/>
            </w:tcBorders>
            <w:noWrap w:val="0"/>
            <w:vAlign w:val="center"/>
          </w:tcPr>
          <w:p w14:paraId="6122524E">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三级B</w:t>
            </w:r>
          </w:p>
        </w:tc>
        <w:tc>
          <w:tcPr>
            <w:tcW w:w="1930" w:type="dxa"/>
            <w:tcBorders>
              <w:tl2br w:val="nil"/>
              <w:tr2bl w:val="nil"/>
            </w:tcBorders>
            <w:noWrap w:val="0"/>
            <w:vAlign w:val="center"/>
          </w:tcPr>
          <w:p w14:paraId="7AF77B93">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间接排放</w:t>
            </w:r>
          </w:p>
        </w:tc>
        <w:tc>
          <w:tcPr>
            <w:tcW w:w="4536" w:type="dxa"/>
            <w:tcBorders>
              <w:tl2br w:val="nil"/>
              <w:tr2bl w:val="nil"/>
            </w:tcBorders>
            <w:noWrap w:val="0"/>
            <w:vAlign w:val="center"/>
          </w:tcPr>
          <w:p w14:paraId="1BE7FC3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18"/>
                <w:highlight w:val="none"/>
              </w:rPr>
              <w:t>—</w:t>
            </w:r>
          </w:p>
        </w:tc>
      </w:tr>
    </w:tbl>
    <w:p w14:paraId="480D681F">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由上表可知，本项目废水不排放到外环境，确定本项目地表水环境影响评价工作等级为</w:t>
      </w:r>
      <w:r>
        <w:rPr>
          <w:rFonts w:hint="default" w:ascii="Times New Roman" w:hAnsi="Times New Roman" w:cs="Times New Roman"/>
          <w:b/>
          <w:bCs/>
          <w:color w:val="000000"/>
          <w:kern w:val="0"/>
          <w:sz w:val="24"/>
          <w:szCs w:val="21"/>
          <w:highlight w:val="none"/>
        </w:rPr>
        <w:t>三级B</w:t>
      </w:r>
      <w:r>
        <w:rPr>
          <w:rFonts w:hint="default" w:ascii="Times New Roman" w:hAnsi="Times New Roman" w:cs="Times New Roman"/>
          <w:color w:val="000000"/>
          <w:kern w:val="0"/>
          <w:sz w:val="24"/>
          <w:szCs w:val="21"/>
          <w:highlight w:val="none"/>
        </w:rPr>
        <w:t>。水污染型三级B评价可不进行水环境影响预测，评价仅对水污染进行控制，并对水环境影响减缓措施有效性进行评价。</w:t>
      </w:r>
    </w:p>
    <w:p w14:paraId="79EBDB7C">
      <w:pPr>
        <w:pStyle w:val="6"/>
        <w:pageBreakBefore w:val="0"/>
        <w:widowControl w:val="0"/>
        <w:kinsoku/>
        <w:wordWrap/>
        <w:overflowPunct/>
        <w:topLinePunct w:val="0"/>
        <w:autoSpaceDE/>
        <w:autoSpaceDN/>
        <w:bidi w:val="0"/>
        <w:spacing w:before="0" w:beforeLines="0" w:line="360" w:lineRule="auto"/>
        <w:textAlignment w:val="auto"/>
        <w:rPr>
          <w:rFonts w:hint="default"/>
          <w:highlight w:val="none"/>
        </w:rPr>
      </w:pPr>
      <w:r>
        <w:rPr>
          <w:rFonts w:hint="eastAsia"/>
          <w:highlight w:val="none"/>
          <w:lang w:val="en-US" w:eastAsia="zh-CN"/>
        </w:rPr>
        <w:t>地下</w:t>
      </w:r>
      <w:r>
        <w:rPr>
          <w:rFonts w:hint="default"/>
          <w:highlight w:val="none"/>
        </w:rPr>
        <w:t>水环境</w:t>
      </w:r>
    </w:p>
    <w:p w14:paraId="6DD06E3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eastAsia="zh-CN"/>
        </w:rPr>
        <w:t>（</w:t>
      </w:r>
      <w:r>
        <w:rPr>
          <w:rFonts w:hint="eastAsia" w:ascii="Times New Roman" w:hAnsi="Times New Roman"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eastAsia="zh-CN"/>
        </w:rPr>
        <w:t>）</w:t>
      </w:r>
      <w:r>
        <w:rPr>
          <w:rFonts w:hint="eastAsia" w:ascii="Times New Roman" w:hAnsi="Times New Roman" w:cs="Times New Roman"/>
          <w:b/>
          <w:bCs/>
          <w:color w:val="auto"/>
          <w:sz w:val="24"/>
          <w:szCs w:val="24"/>
          <w:highlight w:val="none"/>
          <w:lang w:val="en-US" w:eastAsia="zh-CN"/>
        </w:rPr>
        <w:t>地下水环境影响评价等级</w:t>
      </w:r>
    </w:p>
    <w:p w14:paraId="16D9C5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①</w:t>
      </w:r>
      <w:r>
        <w:rPr>
          <w:rFonts w:hint="default" w:ascii="Times New Roman" w:hAnsi="Times New Roman" w:cs="Times New Roman"/>
          <w:color w:val="auto"/>
          <w:sz w:val="24"/>
          <w:szCs w:val="24"/>
          <w:highlight w:val="none"/>
        </w:rPr>
        <w:t>地下水环境影响评价等级判定依据</w:t>
      </w:r>
    </w:p>
    <w:p w14:paraId="5A169A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根据《环境影响评价技术导则  地下水环境》（HJ610-2016）的地下水环境影响评价等级确定要求，依据“建设项目行业分类”和“地下水环境敏感程度”分级确定项目的地下水环境影响评价等级。</w:t>
      </w:r>
    </w:p>
    <w:p w14:paraId="5A391A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②</w:t>
      </w:r>
      <w:r>
        <w:rPr>
          <w:rFonts w:hint="default" w:ascii="Times New Roman" w:hAnsi="Times New Roman" w:cs="Times New Roman"/>
          <w:color w:val="auto"/>
          <w:sz w:val="24"/>
          <w:szCs w:val="24"/>
          <w:highlight w:val="none"/>
        </w:rPr>
        <w:t>建设项目行业分类</w:t>
      </w:r>
    </w:p>
    <w:p w14:paraId="7E6680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根据《环境影响评价技术导则  地下水环境》（HJ 610-2016）附录A--地下水环境影响评价行业分类表，项目属</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G</w:t>
      </w:r>
      <w:r>
        <w:rPr>
          <w:rFonts w:hint="default" w:ascii="Times New Roman" w:hAnsi="Times New Roman" w:cs="Times New Roman"/>
          <w:color w:val="auto"/>
          <w:sz w:val="24"/>
          <w:szCs w:val="24"/>
          <w:highlight w:val="none"/>
        </w:rPr>
        <w:t>黑色金属</w:t>
      </w:r>
      <w:r>
        <w:rPr>
          <w:rFonts w:hint="eastAsia" w:ascii="Times New Roman" w:hAnsi="Times New Roman" w:cs="Times New Roman"/>
          <w:color w:val="auto"/>
          <w:sz w:val="24"/>
          <w:szCs w:val="24"/>
          <w:highlight w:val="none"/>
          <w:lang w:val="en-US" w:eastAsia="zh-CN"/>
        </w:rPr>
        <w:t>-42、采选（含单独尾矿库）</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中排土场，</w:t>
      </w:r>
      <w:r>
        <w:rPr>
          <w:rFonts w:hint="default" w:ascii="Times New Roman" w:hAnsi="Times New Roman" w:cs="Times New Roman"/>
          <w:color w:val="auto"/>
          <w:sz w:val="24"/>
          <w:szCs w:val="24"/>
          <w:highlight w:val="none"/>
        </w:rPr>
        <w:t>项目类别为I类。</w:t>
      </w:r>
    </w:p>
    <w:p w14:paraId="5D9EC4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③</w:t>
      </w:r>
      <w:r>
        <w:rPr>
          <w:rFonts w:hint="default" w:ascii="Times New Roman" w:hAnsi="Times New Roman" w:cs="Times New Roman"/>
          <w:color w:val="auto"/>
          <w:sz w:val="24"/>
          <w:szCs w:val="24"/>
          <w:highlight w:val="none"/>
        </w:rPr>
        <w:t>地下水环境敏感程度</w:t>
      </w:r>
    </w:p>
    <w:p w14:paraId="61024B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根据《环境影响评价技术导则地下水环境》（HJ610-2016），建设项目的地下水环境敏感程度可分为敏感、较敏感、不敏感三级。根据对</w:t>
      </w:r>
      <w:r>
        <w:rPr>
          <w:rFonts w:hint="default"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所处区域水文地质情况分析，</w:t>
      </w:r>
      <w:r>
        <w:rPr>
          <w:rFonts w:hint="default"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所处水文地质单元</w:t>
      </w:r>
      <w:r>
        <w:rPr>
          <w:rFonts w:hint="eastAsia" w:cs="Times New Roman"/>
          <w:color w:val="auto"/>
          <w:sz w:val="24"/>
          <w:szCs w:val="24"/>
          <w:highlight w:val="none"/>
          <w:lang w:val="en-US" w:eastAsia="zh-CN"/>
        </w:rPr>
        <w:t>北侧、南侧、西侧边界为山脊，南侧为兴隆河</w:t>
      </w:r>
      <w:r>
        <w:rPr>
          <w:rFonts w:hint="default" w:ascii="Times New Roman" w:hAnsi="Times New Roman" w:cs="Times New Roman"/>
          <w:color w:val="auto"/>
          <w:sz w:val="24"/>
          <w:szCs w:val="24"/>
          <w:highlight w:val="none"/>
        </w:rPr>
        <w:t>。根据本次工作所取得的资料及现场调查情况，地下水环境评价范围内村民饮用水取自各村或各户的分散式饮用水水源井，无集中式饮用水源</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据此，</w:t>
      </w:r>
      <w:r>
        <w:rPr>
          <w:rFonts w:hint="default" w:ascii="Times New Roman" w:hAnsi="Times New Roman" w:cs="Times New Roman"/>
          <w:color w:val="auto"/>
          <w:sz w:val="24"/>
          <w:szCs w:val="24"/>
          <w:highlight w:val="none"/>
          <w:lang w:eastAsia="zh-CN"/>
        </w:rPr>
        <w:t>项目</w:t>
      </w:r>
      <w:r>
        <w:rPr>
          <w:rFonts w:hint="default" w:ascii="Times New Roman" w:hAnsi="Times New Roman" w:cs="Times New Roman"/>
          <w:color w:val="auto"/>
          <w:sz w:val="24"/>
          <w:szCs w:val="24"/>
          <w:highlight w:val="none"/>
        </w:rPr>
        <w:t>评价区域地下水环境敏感程度</w:t>
      </w:r>
      <w:r>
        <w:rPr>
          <w:rFonts w:hint="eastAsia" w:ascii="宋体" w:hAnsi="宋体" w:eastAsia="宋体" w:cs="宋体"/>
          <w:color w:val="auto"/>
          <w:sz w:val="24"/>
          <w:szCs w:val="24"/>
          <w:highlight w:val="none"/>
        </w:rPr>
        <w:t>分级为“</w:t>
      </w:r>
      <w:r>
        <w:rPr>
          <w:rFonts w:hint="eastAsia" w:ascii="宋体" w:hAnsi="宋体" w:eastAsia="宋体" w:cs="宋体"/>
          <w:color w:val="auto"/>
          <w:sz w:val="24"/>
          <w:szCs w:val="24"/>
          <w:highlight w:val="none"/>
          <w:lang w:val="en-US" w:eastAsia="zh-CN"/>
        </w:rPr>
        <w:t>较</w:t>
      </w:r>
      <w:r>
        <w:rPr>
          <w:rFonts w:hint="eastAsia" w:ascii="宋体" w:hAnsi="宋体" w:eastAsia="宋体" w:cs="宋体"/>
          <w:color w:val="auto"/>
          <w:sz w:val="24"/>
          <w:szCs w:val="24"/>
          <w:highlight w:val="none"/>
        </w:rPr>
        <w:t>敏感”区</w:t>
      </w:r>
      <w:r>
        <w:rPr>
          <w:rFonts w:hint="default" w:ascii="Times New Roman" w:hAnsi="Times New Roman" w:cs="Times New Roman"/>
          <w:color w:val="auto"/>
          <w:sz w:val="24"/>
          <w:szCs w:val="24"/>
          <w:highlight w:val="none"/>
        </w:rPr>
        <w:t>域。</w:t>
      </w:r>
    </w:p>
    <w:p w14:paraId="284FD1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④</w:t>
      </w:r>
      <w:r>
        <w:rPr>
          <w:rFonts w:hint="default" w:ascii="Times New Roman" w:hAnsi="Times New Roman" w:cs="Times New Roman"/>
          <w:color w:val="auto"/>
          <w:sz w:val="24"/>
          <w:szCs w:val="24"/>
          <w:highlight w:val="none"/>
        </w:rPr>
        <w:t>地下水环境影响评价等级判定结果分析</w:t>
      </w:r>
    </w:p>
    <w:p w14:paraId="5F35BE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eastAsia="zh-CN"/>
        </w:rPr>
      </w:pPr>
      <w:r>
        <w:rPr>
          <w:rFonts w:ascii="Times New Roman"/>
          <w:color w:val="auto"/>
          <w:sz w:val="24"/>
          <w:szCs w:val="32"/>
          <w:highlight w:val="none"/>
        </w:rPr>
        <w:t>地下水环境影响评价工作等级划分要求详见下表</w:t>
      </w:r>
      <w:r>
        <w:rPr>
          <w:rFonts w:hint="eastAsia"/>
          <w:color w:val="auto"/>
          <w:sz w:val="24"/>
          <w:szCs w:val="32"/>
          <w:highlight w:val="none"/>
          <w:lang w:eastAsia="zh-CN"/>
        </w:rPr>
        <w:t>：</w:t>
      </w:r>
    </w:p>
    <w:p w14:paraId="50A5E702">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66"/>
          <w:rFonts w:hint="eastAsia" w:ascii="宋体" w:hAnsi="宋体" w:eastAsia="宋体" w:cs="宋体"/>
          <w:b/>
          <w:bCs/>
          <w:i w:val="0"/>
          <w:iCs w:val="0"/>
          <w:color w:val="auto"/>
          <w:sz w:val="21"/>
          <w:szCs w:val="21"/>
          <w:highlight w:val="none"/>
        </w:rPr>
      </w:pPr>
      <w:r>
        <w:rPr>
          <w:rStyle w:val="66"/>
          <w:rFonts w:hint="eastAsia" w:ascii="宋体" w:hAnsi="宋体" w:eastAsia="宋体" w:cs="宋体"/>
          <w:b/>
          <w:bCs/>
          <w:i w:val="0"/>
          <w:iCs w:val="0"/>
          <w:color w:val="auto"/>
          <w:sz w:val="21"/>
          <w:szCs w:val="21"/>
          <w:highlight w:val="none"/>
        </w:rPr>
        <w:t>评价工作等级分级表</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9"/>
        <w:gridCol w:w="1793"/>
        <w:gridCol w:w="1793"/>
        <w:gridCol w:w="1793"/>
      </w:tblGrid>
      <w:tr w14:paraId="100A6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7" w:type="pct"/>
            <w:tcBorders>
              <w:tl2br w:val="single" w:color="auto" w:sz="4" w:space="0"/>
            </w:tcBorders>
            <w:noWrap w:val="0"/>
            <w:vAlign w:val="center"/>
          </w:tcPr>
          <w:p w14:paraId="0011124E">
            <w:pPr>
              <w:pStyle w:val="249"/>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before="0" w:line="240" w:lineRule="atLeast"/>
              <w:rPr>
                <w:rFonts w:eastAsia="宋体"/>
                <w:b/>
                <w:color w:val="auto"/>
                <w:sz w:val="21"/>
                <w:szCs w:val="21"/>
                <w:highlight w:val="none"/>
              </w:rPr>
            </w:pPr>
            <w:r>
              <w:rPr>
                <w:rFonts w:eastAsia="宋体"/>
                <w:b/>
                <w:color w:val="auto"/>
                <w:sz w:val="21"/>
                <w:szCs w:val="21"/>
                <w:highlight w:val="none"/>
              </w:rPr>
              <w:t xml:space="preserve">                项目类别</w:t>
            </w:r>
          </w:p>
          <w:p w14:paraId="02CF8535">
            <w:pPr>
              <w:pStyle w:val="249"/>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before="0" w:line="240" w:lineRule="atLeast"/>
              <w:jc w:val="both"/>
              <w:rPr>
                <w:rFonts w:eastAsia="宋体"/>
                <w:b/>
                <w:color w:val="auto"/>
                <w:sz w:val="21"/>
                <w:szCs w:val="21"/>
                <w:highlight w:val="none"/>
              </w:rPr>
            </w:pPr>
            <w:r>
              <w:rPr>
                <w:rFonts w:eastAsia="宋体"/>
                <w:b/>
                <w:color w:val="auto"/>
                <w:sz w:val="21"/>
                <w:szCs w:val="21"/>
                <w:highlight w:val="none"/>
              </w:rPr>
              <w:t>环境敏感程度</w:t>
            </w:r>
          </w:p>
        </w:tc>
        <w:tc>
          <w:tcPr>
            <w:tcW w:w="1051" w:type="pct"/>
            <w:noWrap w:val="0"/>
            <w:vAlign w:val="center"/>
          </w:tcPr>
          <w:p w14:paraId="3099677C">
            <w:pPr>
              <w:pStyle w:val="249"/>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before="0" w:line="240" w:lineRule="atLeast"/>
              <w:rPr>
                <w:rFonts w:eastAsia="宋体"/>
                <w:b/>
                <w:color w:val="auto"/>
                <w:sz w:val="21"/>
                <w:szCs w:val="21"/>
                <w:highlight w:val="none"/>
              </w:rPr>
            </w:pPr>
            <w:r>
              <w:rPr>
                <w:rFonts w:eastAsia="宋体"/>
                <w:b/>
                <w:color w:val="auto"/>
                <w:sz w:val="21"/>
                <w:szCs w:val="21"/>
                <w:highlight w:val="none"/>
              </w:rPr>
              <w:t>I类项目</w:t>
            </w:r>
          </w:p>
        </w:tc>
        <w:tc>
          <w:tcPr>
            <w:tcW w:w="1051" w:type="pct"/>
            <w:noWrap w:val="0"/>
            <w:vAlign w:val="center"/>
          </w:tcPr>
          <w:p w14:paraId="0218DBF9">
            <w:pPr>
              <w:pStyle w:val="249"/>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before="0" w:line="240" w:lineRule="atLeast"/>
              <w:rPr>
                <w:rFonts w:eastAsia="宋体"/>
                <w:b/>
                <w:color w:val="auto"/>
                <w:sz w:val="21"/>
                <w:szCs w:val="21"/>
                <w:highlight w:val="none"/>
              </w:rPr>
            </w:pPr>
            <w:r>
              <w:rPr>
                <w:rFonts w:eastAsia="宋体"/>
                <w:b/>
                <w:color w:val="auto"/>
                <w:sz w:val="21"/>
                <w:szCs w:val="21"/>
                <w:highlight w:val="none"/>
              </w:rPr>
              <w:t>II类项目</w:t>
            </w:r>
          </w:p>
        </w:tc>
        <w:tc>
          <w:tcPr>
            <w:tcW w:w="1051" w:type="pct"/>
            <w:noWrap w:val="0"/>
            <w:vAlign w:val="center"/>
          </w:tcPr>
          <w:p w14:paraId="3BA572AC">
            <w:pPr>
              <w:pStyle w:val="249"/>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pacing w:before="0" w:line="240" w:lineRule="atLeast"/>
              <w:rPr>
                <w:rFonts w:eastAsia="宋体"/>
                <w:b/>
                <w:color w:val="auto"/>
                <w:sz w:val="21"/>
                <w:szCs w:val="21"/>
                <w:highlight w:val="none"/>
              </w:rPr>
            </w:pPr>
            <w:r>
              <w:rPr>
                <w:rFonts w:eastAsia="宋体"/>
                <w:b/>
                <w:color w:val="auto"/>
                <w:sz w:val="21"/>
                <w:szCs w:val="21"/>
                <w:highlight w:val="none"/>
              </w:rPr>
              <w:t>III类项目</w:t>
            </w:r>
          </w:p>
        </w:tc>
      </w:tr>
      <w:tr w14:paraId="7B92F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7" w:type="pct"/>
            <w:noWrap w:val="0"/>
            <w:vAlign w:val="center"/>
          </w:tcPr>
          <w:p w14:paraId="68543474">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敏感</w:t>
            </w:r>
          </w:p>
        </w:tc>
        <w:tc>
          <w:tcPr>
            <w:tcW w:w="1051" w:type="pct"/>
            <w:noWrap w:val="0"/>
            <w:vAlign w:val="center"/>
          </w:tcPr>
          <w:p w14:paraId="497F606C">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一</w:t>
            </w:r>
          </w:p>
        </w:tc>
        <w:tc>
          <w:tcPr>
            <w:tcW w:w="1051" w:type="pct"/>
            <w:noWrap w:val="0"/>
            <w:vAlign w:val="center"/>
          </w:tcPr>
          <w:p w14:paraId="33DCCFD5">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一</w:t>
            </w:r>
          </w:p>
        </w:tc>
        <w:tc>
          <w:tcPr>
            <w:tcW w:w="1051" w:type="pct"/>
            <w:noWrap w:val="0"/>
            <w:vAlign w:val="center"/>
          </w:tcPr>
          <w:p w14:paraId="730C6433">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二</w:t>
            </w:r>
          </w:p>
        </w:tc>
      </w:tr>
      <w:tr w14:paraId="71D74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7" w:type="pct"/>
            <w:noWrap w:val="0"/>
            <w:vAlign w:val="center"/>
          </w:tcPr>
          <w:p w14:paraId="68CBB238">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较敏感</w:t>
            </w:r>
          </w:p>
        </w:tc>
        <w:tc>
          <w:tcPr>
            <w:tcW w:w="1051" w:type="pct"/>
            <w:noWrap w:val="0"/>
            <w:vAlign w:val="center"/>
          </w:tcPr>
          <w:p w14:paraId="79E832DD">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一</w:t>
            </w:r>
          </w:p>
        </w:tc>
        <w:tc>
          <w:tcPr>
            <w:tcW w:w="1051" w:type="pct"/>
            <w:tcBorders>
              <w:bottom w:val="single" w:color="auto" w:sz="4" w:space="0"/>
            </w:tcBorders>
            <w:noWrap w:val="0"/>
            <w:vAlign w:val="center"/>
          </w:tcPr>
          <w:p w14:paraId="6CA29967">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二</w:t>
            </w:r>
          </w:p>
        </w:tc>
        <w:tc>
          <w:tcPr>
            <w:tcW w:w="1051" w:type="pct"/>
            <w:noWrap w:val="0"/>
            <w:vAlign w:val="center"/>
          </w:tcPr>
          <w:p w14:paraId="6666510C">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三</w:t>
            </w:r>
          </w:p>
        </w:tc>
      </w:tr>
      <w:tr w14:paraId="3E73C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7" w:type="pct"/>
            <w:noWrap w:val="0"/>
            <w:vAlign w:val="center"/>
          </w:tcPr>
          <w:p w14:paraId="07037F7D">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不敏感</w:t>
            </w:r>
          </w:p>
        </w:tc>
        <w:tc>
          <w:tcPr>
            <w:tcW w:w="1051" w:type="pct"/>
            <w:noWrap w:val="0"/>
            <w:vAlign w:val="center"/>
          </w:tcPr>
          <w:p w14:paraId="4B9ACBE6">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二</w:t>
            </w:r>
          </w:p>
        </w:tc>
        <w:tc>
          <w:tcPr>
            <w:tcW w:w="1051" w:type="pct"/>
            <w:noWrap w:val="0"/>
            <w:vAlign w:val="center"/>
          </w:tcPr>
          <w:p w14:paraId="2E6AC8E1">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三</w:t>
            </w:r>
          </w:p>
        </w:tc>
        <w:tc>
          <w:tcPr>
            <w:tcW w:w="1051" w:type="pct"/>
            <w:noWrap w:val="0"/>
            <w:vAlign w:val="center"/>
          </w:tcPr>
          <w:p w14:paraId="2CCB488F">
            <w:pPr>
              <w:pStyle w:val="161"/>
              <w:keepLines w:val="0"/>
              <w:pageBreakBefore w:val="0"/>
              <w:widowControl w:val="0"/>
              <w:kinsoku/>
              <w:wordWrap/>
              <w:overflowPunct/>
              <w:topLinePunct w:val="0"/>
              <w:bidi w:val="0"/>
              <w:adjustRightInd w:val="0"/>
              <w:snapToGrid w:val="0"/>
              <w:spacing w:line="240" w:lineRule="atLeast"/>
              <w:rPr>
                <w:rFonts w:ascii="Times New Roman"/>
                <w:b w:val="0"/>
                <w:color w:val="auto"/>
                <w:sz w:val="21"/>
                <w:szCs w:val="21"/>
                <w:highlight w:val="none"/>
              </w:rPr>
            </w:pPr>
            <w:r>
              <w:rPr>
                <w:rFonts w:ascii="Times New Roman"/>
                <w:b w:val="0"/>
                <w:color w:val="auto"/>
                <w:sz w:val="21"/>
                <w:szCs w:val="21"/>
                <w:highlight w:val="none"/>
              </w:rPr>
              <w:t>三</w:t>
            </w:r>
          </w:p>
        </w:tc>
      </w:tr>
    </w:tbl>
    <w:p w14:paraId="6790F5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b/>
          <w:color w:val="auto"/>
          <w:sz w:val="24"/>
          <w:szCs w:val="24"/>
          <w:highlight w:val="none"/>
          <w:lang w:eastAsia="zh-CN"/>
        </w:rPr>
      </w:pPr>
      <w:r>
        <w:rPr>
          <w:rFonts w:ascii="Times New Roman"/>
          <w:color w:val="auto"/>
          <w:sz w:val="24"/>
          <w:szCs w:val="24"/>
          <w:highlight w:val="none"/>
        </w:rPr>
        <w:t>根据以上分析，按照《环境影响评价技术导则  地下水环境》（HJ610-2016）建设项目地下水环境影响评价工作等级划分表，确定</w:t>
      </w:r>
      <w:r>
        <w:rPr>
          <w:rFonts w:hint="eastAsia" w:ascii="Times New Roman"/>
          <w:color w:val="auto"/>
          <w:sz w:val="24"/>
          <w:szCs w:val="24"/>
          <w:highlight w:val="none"/>
          <w:lang w:eastAsia="zh-CN"/>
        </w:rPr>
        <w:t>项目</w:t>
      </w:r>
      <w:r>
        <w:rPr>
          <w:rFonts w:ascii="Times New Roman"/>
          <w:color w:val="auto"/>
          <w:sz w:val="24"/>
          <w:szCs w:val="24"/>
          <w:highlight w:val="none"/>
        </w:rPr>
        <w:t>地下水环境影响评价工作等级为</w:t>
      </w:r>
      <w:r>
        <w:rPr>
          <w:rFonts w:hint="eastAsia"/>
          <w:color w:val="auto"/>
          <w:sz w:val="24"/>
          <w:szCs w:val="24"/>
          <w:highlight w:val="none"/>
          <w:lang w:val="en-US" w:eastAsia="zh-CN"/>
        </w:rPr>
        <w:t>一</w:t>
      </w:r>
      <w:r>
        <w:rPr>
          <w:rFonts w:ascii="Times New Roman"/>
          <w:b/>
          <w:color w:val="auto"/>
          <w:sz w:val="24"/>
          <w:szCs w:val="24"/>
          <w:highlight w:val="none"/>
        </w:rPr>
        <w:t>级评价</w:t>
      </w:r>
      <w:r>
        <w:rPr>
          <w:rFonts w:hint="eastAsia" w:ascii="Times New Roman"/>
          <w:b/>
          <w:color w:val="auto"/>
          <w:sz w:val="24"/>
          <w:szCs w:val="24"/>
          <w:highlight w:val="none"/>
          <w:lang w:eastAsia="zh-CN"/>
        </w:rPr>
        <w:t>。</w:t>
      </w:r>
    </w:p>
    <w:p w14:paraId="2EEA491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b/>
          <w:color w:val="auto"/>
          <w:sz w:val="24"/>
          <w:szCs w:val="24"/>
          <w:highlight w:val="none"/>
          <w:lang w:val="en-US" w:eastAsia="zh-CN"/>
        </w:rPr>
      </w:pPr>
      <w:r>
        <w:rPr>
          <w:rFonts w:hint="eastAsia" w:ascii="Times New Roman"/>
          <w:b/>
          <w:color w:val="auto"/>
          <w:sz w:val="24"/>
          <w:szCs w:val="24"/>
          <w:highlight w:val="none"/>
          <w:lang w:eastAsia="zh-CN"/>
        </w:rPr>
        <w:t>（</w:t>
      </w:r>
      <w:r>
        <w:rPr>
          <w:rFonts w:hint="eastAsia" w:ascii="Times New Roman"/>
          <w:b/>
          <w:color w:val="auto"/>
          <w:sz w:val="24"/>
          <w:szCs w:val="24"/>
          <w:highlight w:val="none"/>
          <w:lang w:val="en-US" w:eastAsia="zh-CN"/>
        </w:rPr>
        <w:t>2</w:t>
      </w:r>
      <w:r>
        <w:rPr>
          <w:rFonts w:hint="eastAsia" w:ascii="Times New Roman"/>
          <w:b/>
          <w:color w:val="auto"/>
          <w:sz w:val="24"/>
          <w:szCs w:val="24"/>
          <w:highlight w:val="none"/>
          <w:lang w:eastAsia="zh-CN"/>
        </w:rPr>
        <w:t>）</w:t>
      </w:r>
      <w:r>
        <w:rPr>
          <w:rFonts w:hint="eastAsia" w:ascii="Times New Roman"/>
          <w:b/>
          <w:color w:val="auto"/>
          <w:sz w:val="24"/>
          <w:szCs w:val="24"/>
          <w:highlight w:val="none"/>
          <w:lang w:val="en-US" w:eastAsia="zh-CN"/>
        </w:rPr>
        <w:t>地下水环境评价范围</w:t>
      </w:r>
    </w:p>
    <w:p w14:paraId="7E8EEA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eastAsia" w:ascii="Times New Roman"/>
          <w:snapToGrid w:val="0"/>
          <w:color w:val="auto"/>
          <w:kern w:val="0"/>
          <w:sz w:val="24"/>
          <w:szCs w:val="24"/>
          <w:highlight w:val="none"/>
          <w:lang w:val="en-US" w:eastAsia="zh-CN"/>
        </w:rPr>
        <w:t>本项目地下水环境评价范围为：</w:t>
      </w:r>
      <w:r>
        <w:rPr>
          <w:rFonts w:hint="eastAsia" w:cs="Times New Roman"/>
          <w:color w:val="auto"/>
          <w:sz w:val="24"/>
          <w:szCs w:val="24"/>
          <w:highlight w:val="none"/>
          <w:lang w:val="en-US" w:eastAsia="zh-CN"/>
        </w:rPr>
        <w:t>北侧、南侧、西侧</w:t>
      </w:r>
      <w:r>
        <w:rPr>
          <w:rFonts w:ascii="Times New Roman"/>
          <w:snapToGrid w:val="0"/>
          <w:color w:val="auto"/>
          <w:kern w:val="0"/>
          <w:sz w:val="24"/>
          <w:szCs w:val="24"/>
          <w:highlight w:val="none"/>
        </w:rPr>
        <w:t>以山脊为零流量边界</w:t>
      </w:r>
      <w:r>
        <w:rPr>
          <w:rFonts w:hint="eastAsia" w:ascii="Times New Roman"/>
          <w:snapToGrid w:val="0"/>
          <w:color w:val="auto"/>
          <w:kern w:val="0"/>
          <w:sz w:val="24"/>
          <w:szCs w:val="24"/>
          <w:highlight w:val="none"/>
          <w:lang w:eastAsia="zh-CN"/>
        </w:rPr>
        <w:t>，</w:t>
      </w:r>
      <w:r>
        <w:rPr>
          <w:rFonts w:hint="eastAsia"/>
          <w:snapToGrid w:val="0"/>
          <w:color w:val="auto"/>
          <w:kern w:val="0"/>
          <w:sz w:val="24"/>
          <w:szCs w:val="24"/>
          <w:highlight w:val="none"/>
          <w:lang w:eastAsia="zh-CN"/>
        </w:rPr>
        <w:t>东侧以兴隆河为定水头边界</w:t>
      </w:r>
      <w:r>
        <w:rPr>
          <w:rFonts w:hint="eastAsia" w:ascii="Times New Roman"/>
          <w:snapToGrid w:val="0"/>
          <w:color w:val="auto"/>
          <w:kern w:val="0"/>
          <w:sz w:val="24"/>
          <w:szCs w:val="24"/>
          <w:highlight w:val="none"/>
        </w:rPr>
        <w:t>，</w:t>
      </w:r>
      <w:r>
        <w:rPr>
          <w:rFonts w:ascii="Times New Roman"/>
          <w:color w:val="auto"/>
          <w:spacing w:val="-4"/>
          <w:sz w:val="24"/>
          <w:szCs w:val="24"/>
          <w:highlight w:val="none"/>
        </w:rPr>
        <w:t>评价面积为</w:t>
      </w:r>
      <w:r>
        <w:rPr>
          <w:rFonts w:hint="eastAsia"/>
          <w:color w:val="auto"/>
          <w:spacing w:val="-4"/>
          <w:sz w:val="24"/>
          <w:szCs w:val="24"/>
          <w:highlight w:val="none"/>
          <w:lang w:val="en-US" w:eastAsia="zh-CN"/>
        </w:rPr>
        <w:t>4.38k</w:t>
      </w:r>
      <w:r>
        <w:rPr>
          <w:rFonts w:ascii="Times New Roman"/>
          <w:color w:val="auto"/>
          <w:spacing w:val="-4"/>
          <w:sz w:val="24"/>
          <w:szCs w:val="24"/>
          <w:highlight w:val="none"/>
        </w:rPr>
        <w:t>m</w:t>
      </w:r>
      <w:r>
        <w:rPr>
          <w:rFonts w:ascii="Times New Roman"/>
          <w:color w:val="auto"/>
          <w:spacing w:val="-4"/>
          <w:sz w:val="24"/>
          <w:szCs w:val="24"/>
          <w:highlight w:val="none"/>
          <w:vertAlign w:val="superscript"/>
        </w:rPr>
        <w:t>2</w:t>
      </w:r>
      <w:r>
        <w:rPr>
          <w:rFonts w:ascii="Times New Roman"/>
          <w:color w:val="auto"/>
          <w:sz w:val="24"/>
          <w:szCs w:val="24"/>
          <w:highlight w:val="none"/>
        </w:rPr>
        <w:t>。</w:t>
      </w:r>
    </w:p>
    <w:p w14:paraId="1DA77D2A">
      <w:pPr>
        <w:pStyle w:val="6"/>
        <w:pageBreakBefore w:val="0"/>
        <w:widowControl w:val="0"/>
        <w:kinsoku/>
        <w:wordWrap/>
        <w:overflowPunct/>
        <w:topLinePunct w:val="0"/>
        <w:autoSpaceDE/>
        <w:autoSpaceDN/>
        <w:bidi w:val="0"/>
        <w:spacing w:before="0" w:beforeLines="0" w:line="360" w:lineRule="auto"/>
        <w:textAlignment w:val="auto"/>
        <w:rPr>
          <w:rFonts w:hint="default"/>
          <w:highlight w:val="none"/>
        </w:rPr>
      </w:pPr>
      <w:bookmarkStart w:id="116" w:name="_Toc19210"/>
      <w:r>
        <w:rPr>
          <w:rFonts w:hint="default"/>
          <w:highlight w:val="none"/>
        </w:rPr>
        <w:t>声环境</w:t>
      </w:r>
      <w:bookmarkEnd w:id="116"/>
    </w:p>
    <w:p w14:paraId="34988D34">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根据《环境影响评价技术导则-声环境》(</w:t>
      </w:r>
      <w:r>
        <w:rPr>
          <w:rFonts w:hint="eastAsia" w:cs="Times New Roman"/>
          <w:color w:val="000000"/>
          <w:kern w:val="0"/>
          <w:sz w:val="24"/>
          <w:szCs w:val="24"/>
          <w:highlight w:val="none"/>
          <w:lang w:eastAsia="zh-CN"/>
        </w:rPr>
        <w:t>HJ2.4-2021</w:t>
      </w:r>
      <w:r>
        <w:rPr>
          <w:rFonts w:hint="default" w:ascii="Times New Roman" w:hAnsi="Times New Roman" w:cs="Times New Roman"/>
          <w:color w:val="000000"/>
          <w:kern w:val="0"/>
          <w:sz w:val="24"/>
          <w:szCs w:val="24"/>
          <w:highlight w:val="none"/>
        </w:rPr>
        <w:t>)，</w:t>
      </w:r>
      <w:r>
        <w:rPr>
          <w:rFonts w:ascii="Times New Roman" w:hAnsi="Times New Roman"/>
          <w:color w:val="auto"/>
          <w:sz w:val="24"/>
          <w:szCs w:val="24"/>
          <w:highlight w:val="none"/>
        </w:rPr>
        <w:t>声环境影响评价工作分级判据如下：</w:t>
      </w:r>
    </w:p>
    <w:p w14:paraId="2C203193">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（1）声环境功能区：</w:t>
      </w:r>
      <w:r>
        <w:rPr>
          <w:rFonts w:ascii="Times New Roman"/>
          <w:color w:val="auto"/>
          <w:sz w:val="24"/>
          <w:szCs w:val="24"/>
          <w:highlight w:val="none"/>
        </w:rPr>
        <w:t>项目选址地处工业活动较多的农村地区，属于声环境质量功能区中的2类地区。</w:t>
      </w:r>
    </w:p>
    <w:p w14:paraId="0EE685AB">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（2）项目建设前后声环境质量变化：本项目主要噪声为工业噪声，根据噪声预测结果，经噪声防治措施治理后，项目建设前后周边环境敏感目标噪声级增量</w:t>
      </w:r>
      <w:r>
        <w:rPr>
          <w:rFonts w:ascii="Times New Roman" w:hAnsi="Times New Roman"/>
          <w:color w:val="auto"/>
          <w:sz w:val="24"/>
          <w:szCs w:val="24"/>
          <w:highlight w:val="none"/>
        </w:rPr>
        <w:t>＜3dB（A）</w:t>
      </w:r>
      <w:r>
        <w:rPr>
          <w:rFonts w:hint="default" w:ascii="Times New Roman" w:hAnsi="Times New Roman" w:cs="Times New Roman"/>
          <w:color w:val="000000"/>
          <w:kern w:val="0"/>
          <w:sz w:val="24"/>
          <w:szCs w:val="24"/>
          <w:highlight w:val="none"/>
        </w:rPr>
        <w:t>。</w:t>
      </w:r>
    </w:p>
    <w:p w14:paraId="2D63202B">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（3）受影响人口数量变化：项目建设前后无明显新建、迁出情况，受噪声影响人数无明显变化。</w:t>
      </w:r>
    </w:p>
    <w:p w14:paraId="361CCC60">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kern w:val="0"/>
          <w:sz w:val="24"/>
          <w:szCs w:val="24"/>
          <w:highlight w:val="none"/>
          <w:lang w:val="en-US" w:eastAsia="zh-CN"/>
        </w:rPr>
      </w:pPr>
      <w:r>
        <w:rPr>
          <w:rFonts w:hint="eastAsia" w:ascii="Times New Roman" w:hAnsi="Times New Roman" w:cs="Times New Roman"/>
          <w:color w:val="000000"/>
          <w:kern w:val="0"/>
          <w:sz w:val="24"/>
          <w:szCs w:val="24"/>
          <w:highlight w:val="none"/>
          <w:lang w:eastAsia="zh-CN"/>
        </w:rPr>
        <w:t>（</w:t>
      </w:r>
      <w:r>
        <w:rPr>
          <w:rFonts w:hint="eastAsia" w:ascii="Times New Roman" w:hAnsi="Times New Roman" w:cs="Times New Roman"/>
          <w:color w:val="000000"/>
          <w:kern w:val="0"/>
          <w:sz w:val="24"/>
          <w:szCs w:val="24"/>
          <w:highlight w:val="none"/>
          <w:lang w:val="en-US" w:eastAsia="zh-CN"/>
        </w:rPr>
        <w:t>4</w:t>
      </w:r>
      <w:r>
        <w:rPr>
          <w:rFonts w:hint="eastAsia" w:ascii="Times New Roman" w:hAnsi="Times New Roman" w:cs="Times New Roman"/>
          <w:color w:val="000000"/>
          <w:kern w:val="0"/>
          <w:sz w:val="24"/>
          <w:szCs w:val="24"/>
          <w:highlight w:val="none"/>
          <w:lang w:eastAsia="zh-CN"/>
        </w:rPr>
        <w:t>）</w:t>
      </w:r>
      <w:r>
        <w:rPr>
          <w:rFonts w:ascii="Times New Roman" w:hAnsi="Times New Roman"/>
          <w:color w:val="auto"/>
          <w:sz w:val="24"/>
          <w:szCs w:val="24"/>
          <w:highlight w:val="none"/>
        </w:rPr>
        <w:t>声评价工作等级</w:t>
      </w:r>
    </w:p>
    <w:p w14:paraId="78F1E6A8">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szCs w:val="21"/>
          <w:highlight w:val="none"/>
          <w:lang w:eastAsia="zh-CN"/>
        </w:rPr>
      </w:pPr>
      <w:r>
        <w:rPr>
          <w:rFonts w:hint="eastAsia" w:ascii="Times New Roman" w:hAnsi="Times New Roman" w:cs="Times New Roman"/>
          <w:color w:val="000000"/>
          <w:kern w:val="0"/>
          <w:sz w:val="24"/>
          <w:szCs w:val="21"/>
          <w:highlight w:val="none"/>
          <w:lang w:val="en-US" w:eastAsia="zh-CN"/>
        </w:rPr>
        <w:t>综上分析，按照</w:t>
      </w:r>
      <w:r>
        <w:rPr>
          <w:rFonts w:hint="default" w:ascii="Times New Roman" w:hAnsi="Times New Roman" w:cs="Times New Roman"/>
          <w:color w:val="000000"/>
          <w:kern w:val="0"/>
          <w:sz w:val="24"/>
          <w:szCs w:val="24"/>
          <w:highlight w:val="none"/>
        </w:rPr>
        <w:t>《环境影响评价技术导则-声环境》(</w:t>
      </w:r>
      <w:r>
        <w:rPr>
          <w:rFonts w:hint="eastAsia" w:cs="Times New Roman"/>
          <w:color w:val="000000"/>
          <w:kern w:val="0"/>
          <w:sz w:val="24"/>
          <w:szCs w:val="24"/>
          <w:highlight w:val="none"/>
          <w:lang w:eastAsia="zh-CN"/>
        </w:rPr>
        <w:t>HJ2.4-2021</w:t>
      </w:r>
      <w:r>
        <w:rPr>
          <w:rFonts w:hint="default" w:ascii="Times New Roman" w:hAnsi="Times New Roman" w:cs="Times New Roman"/>
          <w:color w:val="000000"/>
          <w:kern w:val="0"/>
          <w:sz w:val="24"/>
          <w:szCs w:val="24"/>
          <w:highlight w:val="none"/>
        </w:rPr>
        <w:t>)</w:t>
      </w:r>
      <w:r>
        <w:rPr>
          <w:rFonts w:hint="eastAsia" w:ascii="Times New Roman" w:hAnsi="Times New Roman" w:cs="Times New Roman"/>
          <w:color w:val="000000"/>
          <w:kern w:val="0"/>
          <w:sz w:val="24"/>
          <w:szCs w:val="24"/>
          <w:highlight w:val="none"/>
          <w:lang w:val="en-US" w:eastAsia="zh-CN"/>
        </w:rPr>
        <w:t>中噪声环境影响评价级别划分原则，并结合工程实际情况</w:t>
      </w:r>
      <w:r>
        <w:rPr>
          <w:rFonts w:hint="default" w:ascii="Times New Roman" w:hAnsi="Times New Roman" w:cs="Times New Roman"/>
          <w:color w:val="000000"/>
          <w:kern w:val="0"/>
          <w:sz w:val="24"/>
          <w:szCs w:val="24"/>
          <w:highlight w:val="none"/>
        </w:rPr>
        <w:t>，</w:t>
      </w:r>
      <w:r>
        <w:rPr>
          <w:rFonts w:hint="eastAsia" w:ascii="Times New Roman" w:hAnsi="Times New Roman" w:cs="Times New Roman"/>
          <w:color w:val="000000"/>
          <w:kern w:val="0"/>
          <w:sz w:val="24"/>
          <w:szCs w:val="24"/>
          <w:highlight w:val="none"/>
          <w:lang w:val="en-US" w:eastAsia="zh-CN"/>
        </w:rPr>
        <w:t>确定</w:t>
      </w:r>
      <w:r>
        <w:rPr>
          <w:rFonts w:hint="eastAsia" w:ascii="Times New Roman" w:hAnsi="Times New Roman" w:cs="Times New Roman"/>
          <w:color w:val="000000"/>
          <w:kern w:val="0"/>
          <w:sz w:val="24"/>
          <w:szCs w:val="21"/>
          <w:highlight w:val="none"/>
          <w:lang w:val="en-US" w:eastAsia="zh-CN"/>
        </w:rPr>
        <w:t>本</w:t>
      </w:r>
      <w:r>
        <w:rPr>
          <w:rFonts w:hint="default" w:ascii="Times New Roman" w:hAnsi="Times New Roman" w:cs="Times New Roman"/>
          <w:color w:val="000000"/>
          <w:kern w:val="0"/>
          <w:sz w:val="24"/>
          <w:szCs w:val="21"/>
          <w:highlight w:val="none"/>
        </w:rPr>
        <w:t>项目的声环境影响评价等级为</w:t>
      </w:r>
      <w:r>
        <w:rPr>
          <w:rFonts w:hint="default" w:ascii="Times New Roman" w:hAnsi="Times New Roman" w:cs="Times New Roman"/>
          <w:b/>
          <w:bCs/>
          <w:color w:val="000000"/>
          <w:kern w:val="0"/>
          <w:sz w:val="24"/>
          <w:szCs w:val="21"/>
          <w:highlight w:val="none"/>
        </w:rPr>
        <w:t>二级</w:t>
      </w:r>
      <w:r>
        <w:rPr>
          <w:rFonts w:hint="eastAsia" w:ascii="Times New Roman" w:hAnsi="Times New Roman" w:cs="Times New Roman"/>
          <w:color w:val="000000"/>
          <w:kern w:val="0"/>
          <w:sz w:val="24"/>
          <w:szCs w:val="21"/>
          <w:highlight w:val="none"/>
          <w:lang w:eastAsia="zh-CN"/>
        </w:rPr>
        <w:t>。</w:t>
      </w:r>
    </w:p>
    <w:p w14:paraId="7693A755">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lang w:val="en-US" w:eastAsia="zh-CN"/>
        </w:rPr>
      </w:pPr>
      <w:r>
        <w:rPr>
          <w:rFonts w:hint="eastAsia" w:ascii="Times New Roman" w:hAnsi="Times New Roman" w:cs="Times New Roman"/>
          <w:color w:val="000000"/>
          <w:kern w:val="0"/>
          <w:sz w:val="24"/>
          <w:szCs w:val="21"/>
          <w:highlight w:val="none"/>
          <w:lang w:eastAsia="zh-CN"/>
        </w:rPr>
        <w:t>（</w:t>
      </w:r>
      <w:r>
        <w:rPr>
          <w:rFonts w:hint="eastAsia" w:ascii="Times New Roman" w:hAnsi="Times New Roman" w:cs="Times New Roman"/>
          <w:color w:val="000000"/>
          <w:kern w:val="0"/>
          <w:sz w:val="24"/>
          <w:szCs w:val="21"/>
          <w:highlight w:val="none"/>
          <w:lang w:val="en-US" w:eastAsia="zh-CN"/>
        </w:rPr>
        <w:t>5</w:t>
      </w:r>
      <w:r>
        <w:rPr>
          <w:rFonts w:hint="eastAsia" w:ascii="Times New Roman" w:hAnsi="Times New Roman" w:cs="Times New Roman"/>
          <w:color w:val="000000"/>
          <w:kern w:val="0"/>
          <w:sz w:val="24"/>
          <w:szCs w:val="21"/>
          <w:highlight w:val="none"/>
          <w:lang w:eastAsia="zh-CN"/>
        </w:rPr>
        <w:t>）</w:t>
      </w:r>
      <w:r>
        <w:rPr>
          <w:rFonts w:hint="eastAsia" w:ascii="Times New Roman" w:hAnsi="Times New Roman" w:cs="Times New Roman"/>
          <w:color w:val="000000"/>
          <w:kern w:val="0"/>
          <w:sz w:val="24"/>
          <w:szCs w:val="21"/>
          <w:highlight w:val="none"/>
          <w:lang w:val="en-US" w:eastAsia="zh-CN"/>
        </w:rPr>
        <w:t>评价范围</w:t>
      </w:r>
    </w:p>
    <w:p w14:paraId="6638E3E0">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ascii="Times New Roman" w:hAnsi="Times New Roman"/>
          <w:color w:val="auto"/>
          <w:sz w:val="24"/>
          <w:szCs w:val="24"/>
          <w:highlight w:val="none"/>
        </w:rPr>
        <w:t>根据</w:t>
      </w:r>
      <w:r>
        <w:rPr>
          <w:rFonts w:hint="default" w:ascii="Times New Roman" w:hAnsi="Times New Roman" w:cs="Times New Roman"/>
          <w:color w:val="000000"/>
          <w:kern w:val="0"/>
          <w:sz w:val="24"/>
          <w:szCs w:val="24"/>
          <w:highlight w:val="none"/>
        </w:rPr>
        <w:t>《环境影响评价技术导则-声环境》(</w:t>
      </w:r>
      <w:r>
        <w:rPr>
          <w:rFonts w:hint="eastAsia" w:cs="Times New Roman"/>
          <w:color w:val="000000"/>
          <w:kern w:val="0"/>
          <w:sz w:val="24"/>
          <w:szCs w:val="24"/>
          <w:highlight w:val="none"/>
          <w:lang w:eastAsia="zh-CN"/>
        </w:rPr>
        <w:t>HJ2.4-2021</w:t>
      </w:r>
      <w:r>
        <w:rPr>
          <w:rFonts w:hint="default" w:ascii="Times New Roman" w:hAnsi="Times New Roman" w:cs="Times New Roman"/>
          <w:color w:val="000000"/>
          <w:kern w:val="0"/>
          <w:sz w:val="24"/>
          <w:szCs w:val="24"/>
          <w:highlight w:val="none"/>
        </w:rPr>
        <w:t>)</w:t>
      </w:r>
      <w:r>
        <w:rPr>
          <w:rFonts w:hint="eastAsia" w:ascii="Times New Roman" w:hAnsi="Times New Roman"/>
          <w:color w:val="auto"/>
          <w:sz w:val="24"/>
          <w:szCs w:val="24"/>
          <w:highlight w:val="none"/>
          <w:lang w:val="en-US" w:eastAsia="zh-CN"/>
        </w:rPr>
        <w:t>评价范围确定原则，</w:t>
      </w:r>
      <w:r>
        <w:rPr>
          <w:rFonts w:hint="eastAsia" w:ascii="Times New Roman" w:hAnsi="Times New Roman" w:cs="Times New Roman"/>
          <w:color w:val="000000"/>
          <w:sz w:val="24"/>
          <w:highlight w:val="none"/>
          <w:lang w:val="en-US" w:eastAsia="zh-CN"/>
        </w:rPr>
        <w:t>本项目</w:t>
      </w:r>
      <w:r>
        <w:rPr>
          <w:rFonts w:hint="default" w:ascii="Times New Roman" w:hAnsi="Times New Roman" w:cs="Times New Roman"/>
          <w:color w:val="000000"/>
          <w:sz w:val="24"/>
          <w:highlight w:val="none"/>
        </w:rPr>
        <w:t>评价范围为</w:t>
      </w:r>
      <w:r>
        <w:rPr>
          <w:rFonts w:hint="eastAsia" w:cs="Times New Roman"/>
          <w:color w:val="000000"/>
          <w:sz w:val="24"/>
          <w:highlight w:val="none"/>
          <w:lang w:eastAsia="zh-CN"/>
        </w:rPr>
        <w:t>场界</w:t>
      </w:r>
      <w:r>
        <w:rPr>
          <w:rFonts w:hint="default" w:ascii="Times New Roman" w:hAnsi="Times New Roman" w:cs="Times New Roman"/>
          <w:color w:val="000000"/>
          <w:sz w:val="24"/>
          <w:highlight w:val="none"/>
        </w:rPr>
        <w:t>外200m</w:t>
      </w:r>
      <w:r>
        <w:rPr>
          <w:rFonts w:hint="default" w:ascii="Times New Roman" w:hAnsi="Times New Roman" w:cs="Times New Roman"/>
          <w:color w:val="000000"/>
          <w:kern w:val="0"/>
          <w:sz w:val="24"/>
          <w:szCs w:val="21"/>
          <w:highlight w:val="none"/>
        </w:rPr>
        <w:t>。</w:t>
      </w:r>
    </w:p>
    <w:p w14:paraId="3FAB5E71">
      <w:pPr>
        <w:pStyle w:val="6"/>
        <w:pageBreakBefore w:val="0"/>
        <w:widowControl w:val="0"/>
        <w:kinsoku/>
        <w:wordWrap/>
        <w:overflowPunct/>
        <w:topLinePunct w:val="0"/>
        <w:autoSpaceDE/>
        <w:autoSpaceDN/>
        <w:bidi w:val="0"/>
        <w:spacing w:before="0" w:beforeLines="0" w:line="360" w:lineRule="auto"/>
        <w:textAlignment w:val="auto"/>
        <w:rPr>
          <w:rFonts w:hint="eastAsia"/>
          <w:color w:val="auto"/>
          <w:highlight w:val="none"/>
          <w:lang w:val="en-US" w:eastAsia="zh-CN"/>
        </w:rPr>
      </w:pPr>
      <w:bookmarkStart w:id="117" w:name="_Toc19045"/>
      <w:r>
        <w:rPr>
          <w:rFonts w:hint="eastAsia"/>
          <w:color w:val="auto"/>
          <w:highlight w:val="none"/>
          <w:lang w:val="en-US" w:eastAsia="zh-CN"/>
        </w:rPr>
        <w:t>土壤环境</w:t>
      </w:r>
      <w:bookmarkEnd w:id="117"/>
    </w:p>
    <w:p w14:paraId="6C228C73">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highlight w:val="none"/>
          <w:lang w:eastAsia="zh-CN"/>
        </w:rPr>
      </w:pPr>
      <w:r>
        <w:rPr>
          <w:rFonts w:hint="eastAsia" w:cs="Times New Roman"/>
          <w:b/>
          <w:bCs/>
          <w:color w:val="auto"/>
          <w:sz w:val="24"/>
          <w:highlight w:val="none"/>
          <w:lang w:eastAsia="zh-CN"/>
        </w:rPr>
        <w:t>（</w:t>
      </w:r>
      <w:r>
        <w:rPr>
          <w:rFonts w:hint="eastAsia" w:cs="Times New Roman"/>
          <w:b/>
          <w:bCs/>
          <w:color w:val="auto"/>
          <w:sz w:val="24"/>
          <w:highlight w:val="none"/>
          <w:lang w:val="en-US" w:eastAsia="zh-CN"/>
        </w:rPr>
        <w:t>1</w:t>
      </w:r>
      <w:r>
        <w:rPr>
          <w:rFonts w:hint="eastAsia" w:cs="Times New Roman"/>
          <w:b/>
          <w:bCs/>
          <w:color w:val="auto"/>
          <w:sz w:val="24"/>
          <w:highlight w:val="none"/>
          <w:lang w:eastAsia="zh-CN"/>
        </w:rPr>
        <w:t>）土壤环境影响类型识别</w:t>
      </w:r>
    </w:p>
    <w:p w14:paraId="3D1EC01B">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color w:val="auto"/>
          <w:sz w:val="24"/>
          <w:szCs w:val="24"/>
          <w:highlight w:val="none"/>
        </w:rPr>
      </w:pPr>
      <w:r>
        <w:rPr>
          <w:rFonts w:hint="eastAsia" w:ascii="Times New Roman"/>
          <w:color w:val="auto"/>
          <w:sz w:val="24"/>
          <w:szCs w:val="24"/>
          <w:highlight w:val="none"/>
        </w:rPr>
        <w:t>①影响类型及途径</w:t>
      </w:r>
    </w:p>
    <w:p w14:paraId="44C70928">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color w:val="auto"/>
          <w:sz w:val="24"/>
          <w:szCs w:val="24"/>
          <w:highlight w:val="none"/>
          <w:lang w:eastAsia="zh-CN"/>
        </w:rPr>
      </w:pPr>
      <w:r>
        <w:rPr>
          <w:rFonts w:ascii="Times New Roman"/>
          <w:color w:val="auto"/>
          <w:sz w:val="24"/>
          <w:szCs w:val="24"/>
          <w:highlight w:val="none"/>
        </w:rPr>
        <w:t>本项目为排土场，不会引起土壤盐化。根据废石危险废物及Ⅰ、Ⅱ类一般工业固体废物鉴别试验结果可知，废石属于第Ⅰ类一般工业固体废，废石浸出液pH为</w:t>
      </w:r>
      <w:r>
        <w:rPr>
          <w:rFonts w:hint="eastAsia"/>
          <w:color w:val="auto"/>
          <w:sz w:val="24"/>
          <w:szCs w:val="24"/>
          <w:highlight w:val="none"/>
          <w:lang w:val="en-US" w:eastAsia="zh-CN"/>
        </w:rPr>
        <w:t>7.83</w:t>
      </w:r>
      <w:r>
        <w:rPr>
          <w:rFonts w:ascii="Times New Roman"/>
          <w:color w:val="auto"/>
          <w:sz w:val="24"/>
          <w:szCs w:val="24"/>
          <w:highlight w:val="none"/>
        </w:rPr>
        <w:t>；根据《环境影响评价技术导则 土壤环境》（HJ964-2018）附录D.2土壤酸化、碱化分级标准，5.5≤pH＜8.5时土壤无酸化或碱化，故浸出液进入土壤后不会导致土壤酸化或碱化，即排土场不会引起周边土壤酸化或碱化。综上所述，本项目不会造成《环境影响评价技术导则 土壤环境》（HJ964-2018）中规定的土壤环境生态影响，故项目不属于生态影响型</w:t>
      </w:r>
      <w:r>
        <w:rPr>
          <w:rFonts w:hint="eastAsia" w:ascii="Times New Roman"/>
          <w:color w:val="auto"/>
          <w:sz w:val="24"/>
          <w:szCs w:val="24"/>
          <w:highlight w:val="none"/>
          <w:lang w:eastAsia="zh-CN"/>
        </w:rPr>
        <w:t>。</w:t>
      </w:r>
      <w:r>
        <w:rPr>
          <w:rFonts w:ascii="Times New Roman"/>
          <w:color w:val="auto"/>
          <w:sz w:val="24"/>
          <w:szCs w:val="24"/>
          <w:highlight w:val="none"/>
        </w:rPr>
        <w:t>本项目运营期主要为废石的填埋，排土场区域降雨产生的淋滤废水通过裂隙渗入土壤，进而影响土壤环境，因此本项目类型主要为土壤污染影响型。</w:t>
      </w:r>
    </w:p>
    <w:p w14:paraId="001D67CC">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②影响源及影响因子</w:t>
      </w:r>
    </w:p>
    <w:p w14:paraId="6DCD727B">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项目土壤环境影响源及影响因子识别结果如下</w:t>
      </w:r>
      <w:r>
        <w:rPr>
          <w:rFonts w:hint="eastAsia" w:cs="Times New Roman"/>
          <w:color w:val="auto"/>
          <w:sz w:val="24"/>
          <w:highlight w:val="none"/>
          <w:lang w:eastAsia="zh-CN"/>
        </w:rPr>
        <w:t>：</w:t>
      </w:r>
    </w:p>
    <w:p w14:paraId="72D3FFF5">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66"/>
          <w:rFonts w:hint="default" w:ascii="宋体" w:hAnsi="宋体" w:eastAsia="宋体" w:cs="宋体"/>
          <w:b/>
          <w:color w:val="auto"/>
          <w:highlight w:val="none"/>
        </w:rPr>
      </w:pPr>
      <w:r>
        <w:rPr>
          <w:rStyle w:val="66"/>
          <w:rFonts w:hint="eastAsia" w:ascii="宋体" w:hAnsi="宋体" w:eastAsia="宋体" w:cs="宋体"/>
          <w:b/>
          <w:color w:val="auto"/>
          <w:highlight w:val="none"/>
          <w:lang w:val="en-US" w:eastAsia="zh-CN"/>
        </w:rPr>
        <w:t>污染影响型建设</w:t>
      </w:r>
      <w:r>
        <w:rPr>
          <w:rStyle w:val="66"/>
          <w:rFonts w:hint="default" w:ascii="宋体" w:hAnsi="宋体" w:eastAsia="宋体" w:cs="宋体"/>
          <w:b/>
          <w:color w:val="auto"/>
          <w:highlight w:val="none"/>
        </w:rPr>
        <w:t>项目土壤环境影响源及影响因子识别表</w:t>
      </w:r>
    </w:p>
    <w:tbl>
      <w:tblPr>
        <w:tblStyle w:val="58"/>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5"/>
        <w:gridCol w:w="1783"/>
        <w:gridCol w:w="1341"/>
        <w:gridCol w:w="1471"/>
        <w:gridCol w:w="1424"/>
        <w:gridCol w:w="1648"/>
      </w:tblGrid>
      <w:tr w14:paraId="2F2CF3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55" w:type="dxa"/>
            <w:tcBorders>
              <w:tl2br w:val="nil"/>
              <w:tr2bl w:val="nil"/>
            </w:tcBorders>
            <w:noWrap w:val="0"/>
            <w:vAlign w:val="center"/>
          </w:tcPr>
          <w:p w14:paraId="1BFF5ECB">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1783" w:type="dxa"/>
            <w:tcBorders>
              <w:tl2br w:val="nil"/>
              <w:tr2bl w:val="nil"/>
            </w:tcBorders>
            <w:noWrap w:val="0"/>
            <w:vAlign w:val="center"/>
          </w:tcPr>
          <w:p w14:paraId="6EED9786">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工艺流程/节点</w:t>
            </w:r>
          </w:p>
        </w:tc>
        <w:tc>
          <w:tcPr>
            <w:tcW w:w="1341" w:type="dxa"/>
            <w:tcBorders>
              <w:tl2br w:val="nil"/>
              <w:tr2bl w:val="nil"/>
            </w:tcBorders>
            <w:noWrap w:val="0"/>
            <w:vAlign w:val="center"/>
          </w:tcPr>
          <w:p w14:paraId="1080D731">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污染途径</w:t>
            </w:r>
          </w:p>
        </w:tc>
        <w:tc>
          <w:tcPr>
            <w:tcW w:w="1471" w:type="dxa"/>
            <w:tcBorders>
              <w:tl2br w:val="nil"/>
              <w:tr2bl w:val="nil"/>
            </w:tcBorders>
            <w:noWrap w:val="0"/>
            <w:vAlign w:val="center"/>
          </w:tcPr>
          <w:p w14:paraId="6D91C56B">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全部污染物指标</w:t>
            </w:r>
          </w:p>
        </w:tc>
        <w:tc>
          <w:tcPr>
            <w:tcW w:w="1424" w:type="dxa"/>
            <w:tcBorders>
              <w:tl2br w:val="nil"/>
              <w:tr2bl w:val="nil"/>
            </w:tcBorders>
            <w:noWrap w:val="0"/>
            <w:vAlign w:val="center"/>
          </w:tcPr>
          <w:p w14:paraId="1FAE14FF">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特征因子</w:t>
            </w:r>
          </w:p>
        </w:tc>
        <w:tc>
          <w:tcPr>
            <w:tcW w:w="1648" w:type="dxa"/>
            <w:tcBorders>
              <w:tl2br w:val="nil"/>
              <w:tr2bl w:val="nil"/>
            </w:tcBorders>
            <w:noWrap w:val="0"/>
            <w:vAlign w:val="center"/>
          </w:tcPr>
          <w:p w14:paraId="3B14C306">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备注</w:t>
            </w:r>
          </w:p>
        </w:tc>
      </w:tr>
      <w:tr w14:paraId="270A69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55" w:type="dxa"/>
            <w:vMerge w:val="restart"/>
            <w:tcBorders>
              <w:tl2br w:val="nil"/>
              <w:tr2bl w:val="nil"/>
            </w:tcBorders>
            <w:noWrap w:val="0"/>
            <w:vAlign w:val="center"/>
          </w:tcPr>
          <w:p w14:paraId="0CBF5468">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排土场</w:t>
            </w:r>
          </w:p>
        </w:tc>
        <w:tc>
          <w:tcPr>
            <w:tcW w:w="1783" w:type="dxa"/>
            <w:tcBorders>
              <w:tl2br w:val="nil"/>
              <w:tr2bl w:val="nil"/>
            </w:tcBorders>
            <w:shd w:val="clear" w:color="auto" w:fill="auto"/>
            <w:noWrap w:val="0"/>
            <w:vAlign w:val="center"/>
          </w:tcPr>
          <w:p w14:paraId="280DF769">
            <w:pPr>
              <w:adjustRightInd w:val="0"/>
              <w:snapToGrid w:val="0"/>
              <w:spacing w:line="0" w:lineRule="atLeast"/>
              <w:jc w:val="center"/>
              <w:rPr>
                <w:rFonts w:hint="default" w:ascii="Times New Roman" w:hAnsi="Times New Roman" w:eastAsia="宋体" w:cs="Times New Roman"/>
                <w:color w:val="auto"/>
                <w:kern w:val="2"/>
                <w:sz w:val="21"/>
                <w:szCs w:val="16"/>
                <w:highlight w:val="none"/>
                <w:lang w:val="en-US" w:eastAsia="zh-CN" w:bidi="ar-SA"/>
              </w:rPr>
            </w:pPr>
            <w:r>
              <w:rPr>
                <w:rFonts w:hint="default" w:ascii="Times New Roman" w:hAnsi="Times New Roman" w:cs="Times New Roman"/>
                <w:color w:val="auto"/>
                <w:sz w:val="21"/>
                <w:szCs w:val="16"/>
                <w:highlight w:val="none"/>
                <w:lang w:val="en-US" w:eastAsia="zh-CN"/>
              </w:rPr>
              <w:t>废石堆存</w:t>
            </w:r>
          </w:p>
        </w:tc>
        <w:tc>
          <w:tcPr>
            <w:tcW w:w="1341" w:type="dxa"/>
            <w:tcBorders>
              <w:tl2br w:val="nil"/>
              <w:tr2bl w:val="nil"/>
            </w:tcBorders>
            <w:shd w:val="clear" w:color="auto" w:fill="auto"/>
            <w:noWrap w:val="0"/>
            <w:vAlign w:val="center"/>
          </w:tcPr>
          <w:p w14:paraId="0AD188F4">
            <w:pPr>
              <w:adjustRightInd w:val="0"/>
              <w:snapToGrid w:val="0"/>
              <w:spacing w:line="0" w:lineRule="atLeast"/>
              <w:jc w:val="center"/>
              <w:rPr>
                <w:rFonts w:hint="default" w:ascii="Times New Roman" w:hAnsi="Times New Roman" w:eastAsia="宋体" w:cs="Times New Roman"/>
                <w:color w:val="auto"/>
                <w:kern w:val="2"/>
                <w:sz w:val="21"/>
                <w:szCs w:val="16"/>
                <w:highlight w:val="none"/>
                <w:lang w:val="en-US" w:eastAsia="zh-CN" w:bidi="ar-SA"/>
              </w:rPr>
            </w:pPr>
            <w:r>
              <w:rPr>
                <w:rFonts w:hint="default" w:ascii="Times New Roman" w:hAnsi="Times New Roman" w:cs="Times New Roman"/>
                <w:color w:val="auto"/>
                <w:sz w:val="21"/>
                <w:szCs w:val="16"/>
                <w:highlight w:val="none"/>
              </w:rPr>
              <w:t>大气沉降</w:t>
            </w:r>
          </w:p>
        </w:tc>
        <w:tc>
          <w:tcPr>
            <w:tcW w:w="1471" w:type="dxa"/>
            <w:tcBorders>
              <w:tl2br w:val="nil"/>
              <w:tr2bl w:val="nil"/>
            </w:tcBorders>
            <w:shd w:val="clear" w:color="auto" w:fill="auto"/>
            <w:noWrap w:val="0"/>
            <w:vAlign w:val="center"/>
          </w:tcPr>
          <w:p w14:paraId="1E471ED0">
            <w:pPr>
              <w:pStyle w:val="17"/>
              <w:ind w:left="0" w:leftChars="0" w:firstLine="0" w:firstLineChars="0"/>
              <w:jc w:val="center"/>
              <w:rPr>
                <w:rFonts w:hint="default" w:ascii="Times New Roman" w:hAnsi="Times New Roman" w:eastAsia="宋体" w:cs="Times New Roman"/>
                <w:color w:val="auto"/>
                <w:kern w:val="2"/>
                <w:sz w:val="21"/>
                <w:szCs w:val="16"/>
                <w:highlight w:val="none"/>
                <w:lang w:val="en-US" w:eastAsia="zh-CN" w:bidi="ar-SA"/>
              </w:rPr>
            </w:pPr>
            <w:r>
              <w:rPr>
                <w:rFonts w:hint="eastAsia"/>
                <w:highlight w:val="none"/>
                <w:lang w:val="en-US" w:eastAsia="zh-CN"/>
              </w:rPr>
              <w:t>Fe</w:t>
            </w:r>
          </w:p>
        </w:tc>
        <w:tc>
          <w:tcPr>
            <w:tcW w:w="1424" w:type="dxa"/>
            <w:tcBorders>
              <w:tl2br w:val="nil"/>
              <w:tr2bl w:val="nil"/>
            </w:tcBorders>
            <w:shd w:val="clear" w:color="auto" w:fill="auto"/>
            <w:noWrap w:val="0"/>
            <w:vAlign w:val="center"/>
          </w:tcPr>
          <w:p w14:paraId="042C3F8D">
            <w:pPr>
              <w:pStyle w:val="17"/>
              <w:ind w:left="0" w:leftChars="0" w:firstLine="0" w:firstLineChars="0"/>
              <w:jc w:val="center"/>
              <w:rPr>
                <w:rFonts w:hint="default" w:ascii="Times New Roman" w:hAnsi="Times New Roman" w:eastAsia="宋体" w:cs="Times New Roman"/>
                <w:color w:val="auto"/>
                <w:kern w:val="2"/>
                <w:sz w:val="21"/>
                <w:szCs w:val="16"/>
                <w:highlight w:val="none"/>
                <w:lang w:val="en-US" w:eastAsia="zh-CN" w:bidi="ar-SA"/>
              </w:rPr>
            </w:pPr>
            <w:r>
              <w:rPr>
                <w:rFonts w:hint="eastAsia"/>
                <w:highlight w:val="none"/>
                <w:lang w:val="en-US" w:eastAsia="zh-CN"/>
              </w:rPr>
              <w:t>Fe</w:t>
            </w:r>
          </w:p>
        </w:tc>
        <w:tc>
          <w:tcPr>
            <w:tcW w:w="1648" w:type="dxa"/>
            <w:tcBorders>
              <w:tl2br w:val="nil"/>
              <w:tr2bl w:val="nil"/>
            </w:tcBorders>
            <w:shd w:val="clear" w:color="auto" w:fill="auto"/>
            <w:noWrap w:val="0"/>
            <w:vAlign w:val="center"/>
          </w:tcPr>
          <w:p w14:paraId="492C2100">
            <w:pPr>
              <w:adjustRightInd w:val="0"/>
              <w:snapToGrid w:val="0"/>
              <w:spacing w:line="0" w:lineRule="atLeast"/>
              <w:jc w:val="center"/>
              <w:rPr>
                <w:rFonts w:hint="default" w:ascii="Times New Roman" w:hAnsi="Times New Roman" w:eastAsia="宋体" w:cs="Times New Roman"/>
                <w:color w:val="auto"/>
                <w:kern w:val="2"/>
                <w:sz w:val="21"/>
                <w:szCs w:val="16"/>
                <w:highlight w:val="none"/>
                <w:lang w:val="en-US" w:eastAsia="zh-CN" w:bidi="ar-SA"/>
              </w:rPr>
            </w:pPr>
            <w:r>
              <w:rPr>
                <w:rFonts w:hint="default" w:ascii="Times New Roman" w:hAnsi="Times New Roman" w:cs="Times New Roman"/>
                <w:color w:val="auto"/>
                <w:sz w:val="21"/>
                <w:szCs w:val="16"/>
                <w:highlight w:val="none"/>
              </w:rPr>
              <w:t>正常工况</w:t>
            </w:r>
          </w:p>
        </w:tc>
      </w:tr>
      <w:tr w14:paraId="4F6F97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55" w:type="dxa"/>
            <w:vMerge w:val="continue"/>
            <w:tcBorders>
              <w:tl2br w:val="nil"/>
              <w:tr2bl w:val="nil"/>
            </w:tcBorders>
            <w:noWrap w:val="0"/>
            <w:vAlign w:val="center"/>
          </w:tcPr>
          <w:p w14:paraId="71CAB0D4">
            <w:pPr>
              <w:widowControl w:val="0"/>
              <w:bidi w:val="0"/>
              <w:adjustRightInd w:val="0"/>
              <w:snapToGrid w:val="0"/>
              <w:spacing w:line="0" w:lineRule="atLeast"/>
              <w:ind w:firstLine="0" w:firstLineChars="0"/>
              <w:jc w:val="center"/>
              <w:rPr>
                <w:rFonts w:hint="eastAsia" w:cs="Times New Roman"/>
                <w:color w:val="auto"/>
                <w:kern w:val="2"/>
                <w:sz w:val="21"/>
                <w:szCs w:val="21"/>
                <w:highlight w:val="none"/>
                <w:lang w:val="en-US" w:eastAsia="zh-CN" w:bidi="ar-SA"/>
              </w:rPr>
            </w:pPr>
          </w:p>
        </w:tc>
        <w:tc>
          <w:tcPr>
            <w:tcW w:w="1783" w:type="dxa"/>
            <w:tcBorders>
              <w:tl2br w:val="nil"/>
              <w:tr2bl w:val="nil"/>
            </w:tcBorders>
            <w:shd w:val="clear" w:color="auto" w:fill="auto"/>
            <w:noWrap w:val="0"/>
            <w:vAlign w:val="center"/>
          </w:tcPr>
          <w:p w14:paraId="55B1938D">
            <w:pPr>
              <w:widowControl w:val="0"/>
              <w:bidi w:val="0"/>
              <w:adjustRightInd w:val="0"/>
              <w:snapToGrid w:val="0"/>
              <w:spacing w:line="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16"/>
                <w:highlight w:val="none"/>
                <w:lang w:val="en-US" w:eastAsia="zh-CN"/>
              </w:rPr>
              <w:t>废石堆存</w:t>
            </w:r>
          </w:p>
        </w:tc>
        <w:tc>
          <w:tcPr>
            <w:tcW w:w="1341" w:type="dxa"/>
            <w:tcBorders>
              <w:tl2br w:val="nil"/>
              <w:tr2bl w:val="nil"/>
            </w:tcBorders>
            <w:shd w:val="clear" w:color="auto" w:fill="auto"/>
            <w:noWrap w:val="0"/>
            <w:vAlign w:val="center"/>
          </w:tcPr>
          <w:p w14:paraId="6CD2C437">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垂直入渗</w:t>
            </w:r>
          </w:p>
        </w:tc>
        <w:tc>
          <w:tcPr>
            <w:tcW w:w="1471" w:type="dxa"/>
            <w:tcBorders>
              <w:tl2br w:val="nil"/>
              <w:tr2bl w:val="nil"/>
            </w:tcBorders>
            <w:shd w:val="clear" w:color="auto" w:fill="auto"/>
            <w:noWrap w:val="0"/>
            <w:vAlign w:val="center"/>
          </w:tcPr>
          <w:p w14:paraId="01E5E46C">
            <w:pPr>
              <w:pStyle w:val="17"/>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highlight w:val="none"/>
                <w:lang w:val="en-US" w:eastAsia="zh-CN"/>
              </w:rPr>
              <w:t>Fe</w:t>
            </w:r>
          </w:p>
        </w:tc>
        <w:tc>
          <w:tcPr>
            <w:tcW w:w="1424" w:type="dxa"/>
            <w:tcBorders>
              <w:tl2br w:val="nil"/>
              <w:tr2bl w:val="nil"/>
            </w:tcBorders>
            <w:shd w:val="clear" w:color="auto" w:fill="auto"/>
            <w:noWrap w:val="0"/>
            <w:vAlign w:val="center"/>
          </w:tcPr>
          <w:p w14:paraId="5E8D1CD5">
            <w:pPr>
              <w:pStyle w:val="17"/>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highlight w:val="none"/>
                <w:lang w:val="en-US" w:eastAsia="zh-CN"/>
              </w:rPr>
              <w:t>Fe</w:t>
            </w:r>
          </w:p>
        </w:tc>
        <w:tc>
          <w:tcPr>
            <w:tcW w:w="1648" w:type="dxa"/>
            <w:tcBorders>
              <w:tl2br w:val="nil"/>
              <w:tr2bl w:val="nil"/>
            </w:tcBorders>
            <w:shd w:val="clear" w:color="auto" w:fill="auto"/>
            <w:noWrap w:val="0"/>
            <w:vAlign w:val="center"/>
          </w:tcPr>
          <w:p w14:paraId="35E1FA1A">
            <w:pPr>
              <w:widowControl w:val="0"/>
              <w:bidi w:val="0"/>
              <w:adjustRightInd w:val="0"/>
              <w:snapToGrid w:val="0"/>
              <w:spacing w:line="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降雨产生的淋滤废水</w:t>
            </w:r>
            <w:r>
              <w:rPr>
                <w:rFonts w:hint="eastAsia" w:cs="Times New Roman"/>
                <w:color w:val="auto"/>
                <w:kern w:val="2"/>
                <w:sz w:val="21"/>
                <w:szCs w:val="21"/>
                <w:highlight w:val="none"/>
                <w:lang w:val="en-US" w:eastAsia="zh-CN" w:bidi="ar-SA"/>
              </w:rPr>
              <w:t>入渗</w:t>
            </w:r>
          </w:p>
        </w:tc>
      </w:tr>
    </w:tbl>
    <w:p w14:paraId="5D17D544">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③项目类别</w:t>
      </w:r>
    </w:p>
    <w:p w14:paraId="4DD13174">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ascii="Times New Roman"/>
          <w:color w:val="auto"/>
          <w:sz w:val="24"/>
          <w:szCs w:val="24"/>
          <w:highlight w:val="none"/>
        </w:rPr>
        <w:t>根据《环境影响评价技术导则 土壤环境》（HJ964-2018）附录A</w:t>
      </w:r>
      <w:r>
        <w:rPr>
          <w:rFonts w:hint="default" w:ascii="Times New Roman" w:hAnsi="Times New Roman" w:eastAsia="宋体" w:cs="Times New Roman"/>
          <w:color w:val="auto"/>
          <w:sz w:val="24"/>
          <w:highlight w:val="none"/>
          <w:lang w:val="en-US" w:eastAsia="zh-CN"/>
        </w:rPr>
        <w:t>-表A.1土壤环境影响评价项目类别表</w:t>
      </w:r>
      <w:r>
        <w:rPr>
          <w:rFonts w:ascii="Times New Roman"/>
          <w:color w:val="auto"/>
          <w:sz w:val="24"/>
          <w:szCs w:val="24"/>
          <w:highlight w:val="none"/>
        </w:rPr>
        <w:t>，项目土壤环境影响评价项目参照</w:t>
      </w:r>
      <w:r>
        <w:rPr>
          <w:rFonts w:hint="eastAsia" w:ascii="宋体" w:hAnsi="宋体" w:eastAsia="宋体" w:cs="宋体"/>
          <w:color w:val="auto"/>
          <w:sz w:val="24"/>
          <w:szCs w:val="24"/>
          <w:highlight w:val="none"/>
        </w:rPr>
        <w:t>“环境和公共设施管理业”中的“采取填埋和焚烧方式的一般工业固体废物处置及综合利用”</w:t>
      </w:r>
      <w:r>
        <w:rPr>
          <w:rFonts w:ascii="Times New Roman"/>
          <w:color w:val="auto"/>
          <w:sz w:val="24"/>
          <w:szCs w:val="24"/>
          <w:highlight w:val="none"/>
        </w:rPr>
        <w:t>，</w:t>
      </w:r>
      <w:r>
        <w:rPr>
          <w:rFonts w:hint="eastAsia" w:ascii="Times New Roman"/>
          <w:color w:val="auto"/>
          <w:sz w:val="24"/>
          <w:szCs w:val="24"/>
          <w:highlight w:val="none"/>
          <w:lang w:val="en-US" w:eastAsia="zh-CN"/>
        </w:rPr>
        <w:t>项目</w:t>
      </w:r>
      <w:r>
        <w:rPr>
          <w:rFonts w:ascii="Times New Roman"/>
          <w:color w:val="auto"/>
          <w:sz w:val="24"/>
          <w:szCs w:val="24"/>
          <w:highlight w:val="none"/>
        </w:rPr>
        <w:t>类别为Ⅱ类。</w:t>
      </w:r>
    </w:p>
    <w:p w14:paraId="0CB81926">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bCs/>
          <w:color w:val="auto"/>
          <w:sz w:val="24"/>
          <w:highlight w:val="none"/>
          <w:lang w:eastAsia="zh-CN"/>
        </w:rPr>
        <w:t>（2）污染影响型土壤评价等级</w:t>
      </w:r>
    </w:p>
    <w:p w14:paraId="5414BC38">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根据建设项目土壤环境影响评价项目类别、占地规模与敏感程度，确定项目污染影响型土壤影响评价的工作等级。</w:t>
      </w:r>
    </w:p>
    <w:p w14:paraId="145FFDBE">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①占地规模</w:t>
      </w:r>
    </w:p>
    <w:p w14:paraId="26FAB6CB">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eastAsia="zh-CN"/>
        </w:rPr>
        <w:t>根据《环境影响评价技术导则 土壤环境（试行）》（HJ964-2018），建设项目永久占地分为大型（≥50hm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）、中型（5～50hm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）、小型（≤5hm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本项目占地面积</w:t>
      </w:r>
      <w:r>
        <w:rPr>
          <w:rFonts w:hint="eastAsia"/>
          <w:color w:val="auto"/>
          <w:sz w:val="24"/>
          <w:szCs w:val="24"/>
          <w:highlight w:val="none"/>
          <w:lang w:val="en-US" w:eastAsia="zh-CN"/>
        </w:rPr>
        <w:t>39h</w:t>
      </w:r>
      <w:r>
        <w:rPr>
          <w:rFonts w:ascii="Times New Roman"/>
          <w:color w:val="auto"/>
          <w:sz w:val="24"/>
          <w:szCs w:val="24"/>
          <w:highlight w:val="none"/>
        </w:rPr>
        <w:t>m</w:t>
      </w:r>
      <w:r>
        <w:rPr>
          <w:rFonts w:ascii="Times New Roman"/>
          <w:color w:val="auto"/>
          <w:sz w:val="24"/>
          <w:szCs w:val="24"/>
          <w:highlight w:val="none"/>
          <w:vertAlign w:val="superscript"/>
        </w:rPr>
        <w:t>2</w:t>
      </w:r>
      <w:r>
        <w:rPr>
          <w:rFonts w:ascii="Times New Roman"/>
          <w:color w:val="auto"/>
          <w:sz w:val="24"/>
          <w:szCs w:val="24"/>
          <w:highlight w:val="none"/>
        </w:rPr>
        <w:t>，即本项目占地规模为“</w:t>
      </w:r>
      <w:r>
        <w:rPr>
          <w:rFonts w:hint="eastAsia"/>
          <w:color w:val="auto"/>
          <w:sz w:val="24"/>
          <w:szCs w:val="24"/>
          <w:highlight w:val="none"/>
          <w:lang w:val="en-US" w:eastAsia="zh-CN"/>
        </w:rPr>
        <w:t>中</w:t>
      </w:r>
      <w:r>
        <w:rPr>
          <w:rFonts w:ascii="Times New Roman"/>
          <w:color w:val="auto"/>
          <w:sz w:val="24"/>
          <w:szCs w:val="24"/>
          <w:highlight w:val="none"/>
        </w:rPr>
        <w:t>型”。</w:t>
      </w:r>
    </w:p>
    <w:p w14:paraId="32C42021">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②土壤环境敏感程度</w:t>
      </w:r>
    </w:p>
    <w:p w14:paraId="4C412416">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color w:val="auto"/>
          <w:sz w:val="24"/>
          <w:highlight w:val="none"/>
        </w:rPr>
        <w:t xml:space="preserve">《环境影响评价技术导则 </w:t>
      </w:r>
      <w:r>
        <w:rPr>
          <w:rFonts w:hint="default" w:ascii="Times New Roman" w:hAnsi="Times New Roman" w:eastAsia="宋体" w:cs="Times New Roman"/>
          <w:color w:val="auto"/>
          <w:sz w:val="24"/>
          <w:highlight w:val="none"/>
          <w:lang w:eastAsia="zh-CN"/>
        </w:rPr>
        <w:t>土壤</w:t>
      </w:r>
      <w:r>
        <w:rPr>
          <w:rFonts w:hint="default" w:ascii="Times New Roman" w:hAnsi="Times New Roman" w:eastAsia="宋体" w:cs="Times New Roman"/>
          <w:color w:val="auto"/>
          <w:sz w:val="24"/>
          <w:highlight w:val="none"/>
        </w:rPr>
        <w:t>环境</w:t>
      </w:r>
      <w:r>
        <w:rPr>
          <w:rFonts w:hint="default" w:ascii="Times New Roman" w:hAnsi="Times New Roman" w:eastAsia="宋体" w:cs="Times New Roman"/>
          <w:color w:val="auto"/>
          <w:sz w:val="24"/>
          <w:highlight w:val="none"/>
          <w:lang w:eastAsia="zh-CN"/>
        </w:rPr>
        <w:t>（试行）</w:t>
      </w:r>
      <w:r>
        <w:rPr>
          <w:rFonts w:hint="default" w:ascii="Times New Roman" w:hAnsi="Times New Roman" w:eastAsia="宋体" w:cs="Times New Roman"/>
          <w:color w:val="auto"/>
          <w:sz w:val="24"/>
          <w:highlight w:val="none"/>
        </w:rPr>
        <w:t>》（HJ</w:t>
      </w:r>
      <w:r>
        <w:rPr>
          <w:rFonts w:hint="default" w:ascii="Times New Roman" w:hAnsi="Times New Roman" w:eastAsia="宋体" w:cs="Times New Roman"/>
          <w:color w:val="auto"/>
          <w:sz w:val="24"/>
          <w:highlight w:val="none"/>
          <w:lang w:val="en-US" w:eastAsia="zh-CN"/>
        </w:rPr>
        <w:t>964</w:t>
      </w:r>
      <w:r>
        <w:rPr>
          <w:rFonts w:hint="default" w:ascii="Times New Roman" w:hAnsi="Times New Roman" w:eastAsia="宋体" w:cs="Times New Roman"/>
          <w:color w:val="auto"/>
          <w:sz w:val="24"/>
          <w:highlight w:val="none"/>
        </w:rPr>
        <w:t>-2018）</w:t>
      </w:r>
      <w:r>
        <w:rPr>
          <w:rFonts w:hint="default" w:ascii="Times New Roman" w:hAnsi="Times New Roman" w:eastAsia="宋体" w:cs="Times New Roman"/>
          <w:color w:val="auto"/>
          <w:sz w:val="24"/>
          <w:highlight w:val="none"/>
          <w:lang w:val="en-US" w:eastAsia="zh-CN"/>
        </w:rPr>
        <w:t>表3污染影响型敏感程度分级表，</w:t>
      </w:r>
      <w:r>
        <w:rPr>
          <w:rFonts w:hint="default" w:ascii="Times New Roman" w:hAnsi="Times New Roman" w:eastAsia="宋体" w:cs="Times New Roman"/>
          <w:color w:val="auto"/>
          <w:sz w:val="24"/>
          <w:highlight w:val="none"/>
          <w:lang w:eastAsia="zh-CN"/>
        </w:rPr>
        <w:t>建设项目</w:t>
      </w:r>
      <w:r>
        <w:rPr>
          <w:rFonts w:hint="eastAsia" w:cs="Times New Roman"/>
          <w:color w:val="auto"/>
          <w:sz w:val="24"/>
          <w:highlight w:val="none"/>
          <w:lang w:val="en-US" w:eastAsia="zh-CN"/>
        </w:rPr>
        <w:t>各工业场地</w:t>
      </w:r>
      <w:r>
        <w:rPr>
          <w:rFonts w:hint="default" w:ascii="Times New Roman" w:hAnsi="Times New Roman" w:eastAsia="宋体" w:cs="Times New Roman"/>
          <w:color w:val="auto"/>
          <w:sz w:val="24"/>
          <w:highlight w:val="none"/>
          <w:lang w:eastAsia="zh-CN"/>
        </w:rPr>
        <w:t>所在地土壤环境敏感程度分为敏感、较敏感、不敏感，判别依据见下表。</w:t>
      </w:r>
    </w:p>
    <w:p w14:paraId="1E10C768">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66"/>
          <w:rFonts w:hint="default" w:ascii="宋体" w:hAnsi="宋体" w:eastAsia="宋体" w:cs="宋体"/>
          <w:b/>
          <w:color w:val="auto"/>
          <w:highlight w:val="none"/>
        </w:rPr>
      </w:pPr>
      <w:r>
        <w:rPr>
          <w:rStyle w:val="66"/>
          <w:rFonts w:hint="eastAsia" w:ascii="宋体" w:hAnsi="宋体" w:eastAsia="宋体" w:cs="宋体"/>
          <w:b/>
          <w:color w:val="auto"/>
          <w:highlight w:val="none"/>
          <w:lang w:val="en-US" w:eastAsia="zh-CN"/>
        </w:rPr>
        <w:t>污染影响型敏感程度分级</w:t>
      </w:r>
      <w:r>
        <w:rPr>
          <w:rStyle w:val="66"/>
          <w:rFonts w:hint="default" w:ascii="宋体" w:hAnsi="宋体" w:eastAsia="宋体" w:cs="宋体"/>
          <w:b/>
          <w:color w:val="auto"/>
          <w:highlight w:val="none"/>
        </w:rPr>
        <w:t>表</w:t>
      </w:r>
    </w:p>
    <w:tbl>
      <w:tblPr>
        <w:tblStyle w:val="5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46"/>
        <w:gridCol w:w="6179"/>
      </w:tblGrid>
      <w:tr w14:paraId="467D30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376" w:type="pct"/>
            <w:tcBorders>
              <w:tl2br w:val="nil"/>
              <w:tr2bl w:val="nil"/>
            </w:tcBorders>
            <w:noWrap w:val="0"/>
            <w:vAlign w:val="center"/>
          </w:tcPr>
          <w:p w14:paraId="6ED1954A">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敏感程度</w:t>
            </w:r>
          </w:p>
        </w:tc>
        <w:tc>
          <w:tcPr>
            <w:tcW w:w="3623" w:type="pct"/>
            <w:tcBorders>
              <w:tl2br w:val="nil"/>
              <w:tr2bl w:val="nil"/>
            </w:tcBorders>
            <w:noWrap w:val="0"/>
            <w:vAlign w:val="center"/>
          </w:tcPr>
          <w:p w14:paraId="417078CE">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判别依据</w:t>
            </w:r>
          </w:p>
        </w:tc>
      </w:tr>
      <w:tr w14:paraId="683F8F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376" w:type="pct"/>
            <w:tcBorders>
              <w:tl2br w:val="nil"/>
              <w:tr2bl w:val="nil"/>
            </w:tcBorders>
            <w:noWrap w:val="0"/>
            <w:vAlign w:val="center"/>
          </w:tcPr>
          <w:p w14:paraId="400B68D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kern w:val="2"/>
                <w:sz w:val="21"/>
                <w:szCs w:val="21"/>
                <w:highlight w:val="none"/>
                <w:lang w:val="en-US" w:eastAsia="zh-CN" w:bidi="ar-SA"/>
              </w:rPr>
              <w:t>敏感</w:t>
            </w:r>
          </w:p>
        </w:tc>
        <w:tc>
          <w:tcPr>
            <w:tcW w:w="3623" w:type="pct"/>
            <w:tcBorders>
              <w:tl2br w:val="nil"/>
              <w:tr2bl w:val="nil"/>
            </w:tcBorders>
            <w:noWrap w:val="0"/>
            <w:vAlign w:val="center"/>
          </w:tcPr>
          <w:p w14:paraId="630655C3">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建设项目周边存在耕地、园地、牧草地、饮用水水源地或居民区、学校、医院、疗养院、养老院等土壤环境敏感目标的</w:t>
            </w:r>
          </w:p>
        </w:tc>
      </w:tr>
      <w:tr w14:paraId="3E4593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376" w:type="pct"/>
            <w:tcBorders>
              <w:tl2br w:val="nil"/>
              <w:tr2bl w:val="nil"/>
            </w:tcBorders>
            <w:noWrap w:val="0"/>
            <w:vAlign w:val="center"/>
          </w:tcPr>
          <w:p w14:paraId="536BA55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kern w:val="2"/>
                <w:sz w:val="21"/>
                <w:szCs w:val="21"/>
                <w:highlight w:val="none"/>
                <w:lang w:val="en-US" w:eastAsia="zh-CN" w:bidi="ar-SA"/>
              </w:rPr>
              <w:t>较敏感</w:t>
            </w:r>
          </w:p>
        </w:tc>
        <w:tc>
          <w:tcPr>
            <w:tcW w:w="3623" w:type="pct"/>
            <w:tcBorders>
              <w:tl2br w:val="nil"/>
              <w:tr2bl w:val="nil"/>
            </w:tcBorders>
            <w:noWrap w:val="0"/>
            <w:vAlign w:val="center"/>
          </w:tcPr>
          <w:p w14:paraId="6D0CA018">
            <w:pPr>
              <w:widowControl w:val="0"/>
              <w:bidi w:val="0"/>
              <w:adjustRightInd w:val="0"/>
              <w:snapToGrid w:val="0"/>
              <w:spacing w:line="0" w:lineRule="atLeast"/>
              <w:ind w:firstLine="0" w:firstLineChars="0"/>
              <w:jc w:val="center"/>
              <w:rPr>
                <w:rFonts w:hint="default" w:cs="Times New Roman"/>
                <w:color w:val="auto"/>
                <w:kern w:val="2"/>
                <w:sz w:val="21"/>
                <w:szCs w:val="21"/>
                <w:highlight w:val="none"/>
                <w:lang w:val="en-US" w:eastAsia="zh-CN" w:bidi="ar-SA"/>
              </w:rPr>
            </w:pPr>
            <w:r>
              <w:rPr>
                <w:rFonts w:hint="default" w:cs="Times New Roman"/>
                <w:color w:val="auto"/>
                <w:kern w:val="2"/>
                <w:sz w:val="21"/>
                <w:szCs w:val="21"/>
                <w:highlight w:val="none"/>
                <w:lang w:val="en-US" w:eastAsia="zh-CN" w:bidi="ar-SA"/>
              </w:rPr>
              <w:t>建设项目周边存在其他土壤环境敏感目标的</w:t>
            </w:r>
          </w:p>
        </w:tc>
      </w:tr>
      <w:tr w14:paraId="42F20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376" w:type="pct"/>
            <w:tcBorders>
              <w:tl2br w:val="nil"/>
              <w:tr2bl w:val="nil"/>
            </w:tcBorders>
            <w:noWrap w:val="0"/>
            <w:vAlign w:val="center"/>
          </w:tcPr>
          <w:p w14:paraId="5FE017F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kern w:val="2"/>
                <w:sz w:val="21"/>
                <w:szCs w:val="21"/>
                <w:highlight w:val="none"/>
                <w:lang w:val="en-US" w:eastAsia="zh-CN" w:bidi="ar-SA"/>
              </w:rPr>
              <w:t>不敏感</w:t>
            </w:r>
          </w:p>
        </w:tc>
        <w:tc>
          <w:tcPr>
            <w:tcW w:w="3623" w:type="pct"/>
            <w:tcBorders>
              <w:tl2br w:val="nil"/>
              <w:tr2bl w:val="nil"/>
            </w:tcBorders>
            <w:noWrap w:val="0"/>
            <w:vAlign w:val="center"/>
          </w:tcPr>
          <w:p w14:paraId="61E8F46B">
            <w:pPr>
              <w:widowControl w:val="0"/>
              <w:bidi w:val="0"/>
              <w:adjustRightInd w:val="0"/>
              <w:snapToGrid w:val="0"/>
              <w:spacing w:line="0" w:lineRule="atLeast"/>
              <w:ind w:firstLine="0" w:firstLineChars="0"/>
              <w:jc w:val="center"/>
              <w:rPr>
                <w:rFonts w:hint="default" w:cs="Times New Roman"/>
                <w:color w:val="auto"/>
                <w:kern w:val="2"/>
                <w:sz w:val="21"/>
                <w:szCs w:val="21"/>
                <w:highlight w:val="none"/>
                <w:lang w:val="en-US" w:eastAsia="zh-CN" w:bidi="ar-SA"/>
              </w:rPr>
            </w:pPr>
            <w:r>
              <w:rPr>
                <w:rFonts w:hint="default" w:cs="Times New Roman"/>
                <w:color w:val="auto"/>
                <w:kern w:val="2"/>
                <w:sz w:val="21"/>
                <w:szCs w:val="21"/>
                <w:highlight w:val="none"/>
                <w:lang w:val="en-US" w:eastAsia="zh-CN" w:bidi="ar-SA"/>
              </w:rPr>
              <w:t>其他情况</w:t>
            </w:r>
          </w:p>
        </w:tc>
      </w:tr>
    </w:tbl>
    <w:p w14:paraId="412C7D9F">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本项目</w:t>
      </w:r>
      <w:r>
        <w:rPr>
          <w:rFonts w:hint="eastAsia" w:cs="Times New Roman"/>
          <w:color w:val="auto"/>
          <w:sz w:val="24"/>
          <w:highlight w:val="none"/>
          <w:lang w:val="en-US" w:eastAsia="zh-CN"/>
        </w:rPr>
        <w:t>评价范围内不</w:t>
      </w:r>
      <w:r>
        <w:rPr>
          <w:rFonts w:hint="eastAsia" w:ascii="Times New Roman" w:hAnsi="Times New Roman" w:cs="Times New Roman"/>
          <w:color w:val="auto"/>
          <w:kern w:val="0"/>
          <w:sz w:val="24"/>
          <w:szCs w:val="21"/>
          <w:highlight w:val="none"/>
          <w:lang w:val="en-US" w:eastAsia="zh-CN"/>
        </w:rPr>
        <w:t>存在</w:t>
      </w:r>
      <w:r>
        <w:rPr>
          <w:rFonts w:hint="eastAsia" w:cs="Times New Roman"/>
          <w:color w:val="auto"/>
          <w:kern w:val="0"/>
          <w:sz w:val="24"/>
          <w:szCs w:val="21"/>
          <w:highlight w:val="none"/>
          <w:lang w:val="en-US" w:eastAsia="zh-CN"/>
        </w:rPr>
        <w:t>耕地、居民区等</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土壤</w:t>
      </w:r>
      <w:r>
        <w:rPr>
          <w:rFonts w:hint="default" w:ascii="Times New Roman" w:hAnsi="Times New Roman" w:eastAsia="宋体" w:cs="Times New Roman"/>
          <w:color w:val="auto"/>
          <w:sz w:val="24"/>
          <w:highlight w:val="none"/>
        </w:rPr>
        <w:t>敏感程度分级为</w:t>
      </w:r>
      <w:r>
        <w:rPr>
          <w:rFonts w:hint="eastAsia" w:cs="Times New Roman"/>
          <w:color w:val="auto"/>
          <w:sz w:val="24"/>
          <w:highlight w:val="none"/>
          <w:lang w:eastAsia="zh-CN"/>
        </w:rPr>
        <w:t>不</w:t>
      </w:r>
      <w:r>
        <w:rPr>
          <w:rFonts w:hint="default" w:ascii="Times New Roman" w:hAnsi="Times New Roman" w:eastAsia="宋体" w:cs="Times New Roman"/>
          <w:color w:val="auto"/>
          <w:sz w:val="24"/>
          <w:highlight w:val="none"/>
        </w:rPr>
        <w:t>敏感。</w:t>
      </w:r>
    </w:p>
    <w:p w14:paraId="1CAA9309">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eastAsia" w:cs="Times New Roman"/>
          <w:color w:val="auto"/>
          <w:sz w:val="24"/>
          <w:highlight w:val="none"/>
          <w:lang w:val="en-US" w:eastAsia="zh-CN"/>
        </w:rPr>
        <w:t>③</w:t>
      </w:r>
      <w:r>
        <w:rPr>
          <w:rFonts w:hint="default" w:ascii="Times New Roman" w:hAnsi="Times New Roman" w:eastAsia="宋体" w:cs="Times New Roman"/>
          <w:color w:val="auto"/>
          <w:sz w:val="24"/>
          <w:highlight w:val="none"/>
          <w:lang w:val="en-US" w:eastAsia="zh-CN"/>
        </w:rPr>
        <w:t>土壤评价工作</w:t>
      </w:r>
      <w:r>
        <w:rPr>
          <w:rFonts w:hint="default" w:ascii="Times New Roman" w:hAnsi="Times New Roman" w:eastAsia="宋体" w:cs="Times New Roman"/>
          <w:color w:val="auto"/>
          <w:sz w:val="24"/>
          <w:highlight w:val="none"/>
        </w:rPr>
        <w:t>等级</w:t>
      </w:r>
    </w:p>
    <w:p w14:paraId="3ECA4013">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cs="Times New Roman"/>
          <w:color w:val="auto"/>
          <w:sz w:val="24"/>
          <w:highlight w:val="none"/>
          <w:lang w:val="en-US" w:eastAsia="zh-CN"/>
        </w:rPr>
        <w:t>污染影响型</w:t>
      </w:r>
      <w:r>
        <w:rPr>
          <w:rFonts w:hint="default" w:ascii="Times New Roman" w:hAnsi="Times New Roman" w:eastAsia="宋体" w:cs="Times New Roman"/>
          <w:color w:val="auto"/>
          <w:sz w:val="24"/>
          <w:highlight w:val="none"/>
          <w:lang w:val="en-US" w:eastAsia="zh-CN"/>
        </w:rPr>
        <w:t>土壤评价工作分级判据见下表</w:t>
      </w:r>
      <w:r>
        <w:rPr>
          <w:rFonts w:hint="default" w:ascii="Times New Roman" w:hAnsi="Times New Roman" w:eastAsia="宋体" w:cs="Times New Roman"/>
          <w:color w:val="auto"/>
          <w:sz w:val="24"/>
          <w:highlight w:val="none"/>
        </w:rPr>
        <w:t>。</w:t>
      </w:r>
    </w:p>
    <w:p w14:paraId="1355335F">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rPr>
      </w:pPr>
      <w:r>
        <w:rPr>
          <w:rStyle w:val="152"/>
          <w:rFonts w:hint="default" w:ascii="Times New Roman" w:hAnsi="Times New Roman" w:eastAsia="宋体" w:cs="Times New Roman"/>
          <w:b/>
          <w:color w:val="auto"/>
          <w:szCs w:val="21"/>
          <w:highlight w:val="none"/>
          <w:lang w:eastAsia="zh-CN"/>
        </w:rPr>
        <w:t>污染影响型</w:t>
      </w:r>
      <w:r>
        <w:rPr>
          <w:rStyle w:val="152"/>
          <w:rFonts w:hint="default" w:ascii="Times New Roman" w:hAnsi="Times New Roman" w:eastAsia="宋体" w:cs="Times New Roman"/>
          <w:b/>
          <w:color w:val="auto"/>
          <w:szCs w:val="21"/>
          <w:highlight w:val="none"/>
          <w:lang w:val="en-US" w:eastAsia="zh-CN"/>
        </w:rPr>
        <w:t>土壤</w:t>
      </w:r>
      <w:r>
        <w:rPr>
          <w:rStyle w:val="152"/>
          <w:rFonts w:hint="default" w:ascii="Times New Roman" w:hAnsi="Times New Roman" w:eastAsia="宋体" w:cs="Times New Roman"/>
          <w:b/>
          <w:color w:val="auto"/>
          <w:szCs w:val="21"/>
          <w:highlight w:val="none"/>
        </w:rPr>
        <w:t>评价工作分级判据</w:t>
      </w:r>
      <w:r>
        <w:rPr>
          <w:rStyle w:val="152"/>
          <w:rFonts w:hint="default" w:ascii="Times New Roman" w:hAnsi="Times New Roman" w:eastAsia="宋体" w:cs="Times New Roman"/>
          <w:b/>
          <w:color w:val="auto"/>
          <w:szCs w:val="21"/>
          <w:highlight w:val="none"/>
          <w:lang w:val="en-US" w:eastAsia="zh-CN"/>
        </w:rPr>
        <w:t>一览表</w:t>
      </w:r>
    </w:p>
    <w:tbl>
      <w:tblPr>
        <w:tblStyle w:val="3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92"/>
        <w:gridCol w:w="544"/>
        <w:gridCol w:w="544"/>
        <w:gridCol w:w="551"/>
        <w:gridCol w:w="544"/>
        <w:gridCol w:w="544"/>
        <w:gridCol w:w="551"/>
        <w:gridCol w:w="544"/>
        <w:gridCol w:w="544"/>
        <w:gridCol w:w="561"/>
      </w:tblGrid>
      <w:tr w14:paraId="414D4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39" w:type="pct"/>
            <w:vMerge w:val="restart"/>
            <w:tcBorders>
              <w:tl2br w:val="nil"/>
              <w:tr2bl w:val="nil"/>
            </w:tcBorders>
            <w:noWrap w:val="0"/>
            <w:vAlign w:val="center"/>
            <mc:AlternateContent>
              <mc:Choice Requires="wpsCustomData">
                <wpsCustomData:diagonals>
                  <wpsCustomData:diagonal from="10000" to="35000">
                    <wpsCustomData:border w:val="single" w:color="auto" w:sz="6" w:space="0"/>
                  </wpsCustomData:diagonal>
                  <wpsCustomData:diagonal from="10000" to="25000">
                    <wpsCustomData:border w:val="single" w:color="auto" w:sz="6" w:space="0"/>
                  </wpsCustomData:diagonal>
                </wpsCustomData:diagonals>
              </mc:Choice>
            </mc:AlternateContent>
          </w:tcPr>
          <w:p w14:paraId="34042B33">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lang w:eastAsia="zh-CN"/>
              </w:rPr>
            </w:pPr>
          </w:p>
          <w:p w14:paraId="0E264BDF">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snapToGrid w:val="0"/>
                <w:color w:val="auto"/>
                <w:sz w:val="21"/>
                <w:szCs w:val="21"/>
                <w:highlight w:val="none"/>
                <w:lang w:eastAsia="zh-CN"/>
              </w:rPr>
              <w:t>敏感程度</w:t>
            </w:r>
          </w:p>
          <w:p w14:paraId="031CD0D8">
            <w:pPr>
              <w:keepNext w:val="0"/>
              <w:keepLines w:val="0"/>
              <w:pageBreakBefore w:val="0"/>
              <w:widowControl w:val="0"/>
              <w:kinsoku/>
              <w:wordWrap/>
              <w:overflowPunct/>
              <w:topLinePunct w:val="0"/>
              <w:autoSpaceDE/>
              <w:autoSpaceDN/>
              <w:bidi w:val="0"/>
              <w:adjustRightInd/>
              <w:snapToGrid w:val="0"/>
              <w:spacing w:line="240" w:lineRule="atLeast"/>
              <w:ind w:left="0" w:leftChars="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bCs/>
                <w:snapToGrid w:val="0"/>
                <w:color w:val="auto"/>
                <w:sz w:val="21"/>
                <w:szCs w:val="21"/>
                <w:highlight w:val="none"/>
                <w:lang w:eastAsia="zh-CN"/>
              </w:rPr>
            </w:pPr>
          </w:p>
          <w:p w14:paraId="582292C9">
            <w:pPr>
              <w:keepNext w:val="0"/>
              <w:keepLines w:val="0"/>
              <w:pageBreakBefore w:val="0"/>
              <w:widowControl w:val="0"/>
              <w:kinsoku/>
              <w:wordWrap/>
              <w:overflowPunct/>
              <w:topLinePunct w:val="0"/>
              <w:autoSpaceDE/>
              <w:autoSpaceDN/>
              <w:bidi w:val="0"/>
              <w:adjustRightInd/>
              <w:snapToGrid w:val="0"/>
              <w:spacing w:line="240" w:lineRule="atLeast"/>
              <w:ind w:firstLine="422" w:firstLineChars="200"/>
              <w:jc w:val="center"/>
              <w:textAlignment w:val="auto"/>
              <w:rPr>
                <w:rFonts w:hint="default" w:ascii="Times New Roman" w:hAnsi="Times New Roman" w:eastAsia="宋体" w:cs="Times New Roman"/>
                <w:b/>
                <w:bCs/>
                <w:snapToGrid w:val="0"/>
                <w:color w:val="auto"/>
                <w:sz w:val="21"/>
                <w:szCs w:val="21"/>
                <w:highlight w:val="none"/>
                <w:lang w:eastAsia="zh-CN"/>
              </w:rPr>
            </w:pPr>
          </w:p>
          <w:p w14:paraId="736370EA">
            <w:pPr>
              <w:keepNext w:val="0"/>
              <w:keepLines w:val="0"/>
              <w:pageBreakBefore w:val="0"/>
              <w:widowControl w:val="0"/>
              <w:kinsoku/>
              <w:wordWrap/>
              <w:overflowPunct/>
              <w:topLinePunct w:val="0"/>
              <w:autoSpaceDE/>
              <w:autoSpaceDN/>
              <w:bidi w:val="0"/>
              <w:adjustRightInd/>
              <w:snapToGrid w:val="0"/>
              <w:spacing w:line="240" w:lineRule="atLeast"/>
              <w:ind w:left="0" w:leftChars="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bCs/>
                <w:snapToGrid w:val="0"/>
                <w:color w:val="auto"/>
                <w:sz w:val="21"/>
                <w:szCs w:val="21"/>
                <w:highlight w:val="none"/>
                <w:lang w:eastAsia="zh-CN"/>
              </w:rPr>
            </w:pPr>
            <w:r>
              <w:rPr>
                <w:rFonts w:hint="default" w:ascii="Times New Roman" w:hAnsi="Times New Roman" w:eastAsia="宋体" w:cs="Times New Roman"/>
                <w:b/>
                <w:bCs/>
                <w:snapToGrid w:val="0"/>
                <w:color w:val="auto"/>
                <w:sz w:val="21"/>
                <w:szCs w:val="21"/>
                <w:highlight w:val="none"/>
                <w:lang w:eastAsia="zh-CN"/>
              </w:rPr>
              <w:t>评价工作等级</w:t>
            </w:r>
          </w:p>
          <w:p w14:paraId="71168CBA">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default" w:ascii="Times New Roman" w:hAnsi="Times New Roman" w:eastAsia="宋体" w:cs="Times New Roman"/>
                <w:b/>
                <w:bCs/>
                <w:snapToGrid w:val="0"/>
                <w:color w:val="auto"/>
                <w:sz w:val="21"/>
                <w:szCs w:val="21"/>
                <w:highlight w:val="none"/>
                <w:lang w:eastAsia="zh-CN"/>
              </w:rPr>
            </w:pPr>
            <w:r>
              <w:rPr>
                <w:rFonts w:hint="default" w:ascii="Times New Roman" w:hAnsi="Times New Roman" w:eastAsia="宋体" w:cs="Times New Roman"/>
                <w:b/>
                <w:bCs/>
                <w:snapToGrid w:val="0"/>
                <w:color w:val="auto"/>
                <w:sz w:val="21"/>
                <w:szCs w:val="21"/>
                <w:highlight w:val="none"/>
                <w:lang w:eastAsia="zh-CN"/>
              </w:rPr>
              <w:t>占地规模</w:t>
            </w:r>
          </w:p>
        </w:tc>
        <w:tc>
          <w:tcPr>
            <w:tcW w:w="985" w:type="pct"/>
            <w:gridSpan w:val="3"/>
            <w:tcBorders>
              <w:tl2br w:val="nil"/>
              <w:tr2bl w:val="nil"/>
            </w:tcBorders>
            <w:noWrap w:val="0"/>
            <w:vAlign w:val="center"/>
          </w:tcPr>
          <w:p w14:paraId="1ECB7542">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Ⅰ类</w:t>
            </w:r>
          </w:p>
        </w:tc>
        <w:tc>
          <w:tcPr>
            <w:tcW w:w="985" w:type="pct"/>
            <w:gridSpan w:val="3"/>
            <w:tcBorders>
              <w:tl2br w:val="nil"/>
              <w:tr2bl w:val="nil"/>
            </w:tcBorders>
            <w:noWrap w:val="0"/>
            <w:vAlign w:val="center"/>
          </w:tcPr>
          <w:p w14:paraId="131B624C">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Ⅱ类</w:t>
            </w:r>
          </w:p>
        </w:tc>
        <w:tc>
          <w:tcPr>
            <w:tcW w:w="989" w:type="pct"/>
            <w:gridSpan w:val="3"/>
            <w:tcBorders>
              <w:tl2br w:val="nil"/>
              <w:tr2bl w:val="nil"/>
            </w:tcBorders>
            <w:noWrap w:val="0"/>
            <w:vAlign w:val="center"/>
          </w:tcPr>
          <w:p w14:paraId="206443D7">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Ⅲ类</w:t>
            </w:r>
          </w:p>
        </w:tc>
      </w:tr>
      <w:tr w14:paraId="3B983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039" w:type="pct"/>
            <w:vMerge w:val="continue"/>
            <w:tcBorders>
              <w:tl2br w:val="nil"/>
              <w:tr2bl w:val="nil"/>
            </w:tcBorders>
            <w:noWrap w:val="0"/>
            <w:vAlign w:val="center"/>
          </w:tcPr>
          <w:p w14:paraId="35C450B0">
            <w:pPr>
              <w:keepNext w:val="0"/>
              <w:keepLines w:val="0"/>
              <w:pageBreakBefore w:val="0"/>
              <w:widowControl w:val="0"/>
              <w:kinsoku/>
              <w:wordWrap/>
              <w:overflowPunct/>
              <w:topLinePunct w:val="0"/>
              <w:autoSpaceDE/>
              <w:autoSpaceDN/>
              <w:bidi w:val="0"/>
              <w:adjustRightInd/>
              <w:snapToGrid/>
              <w:spacing w:line="240" w:lineRule="atLeast"/>
              <w:ind w:firstLine="211" w:firstLineChars="100"/>
              <w:jc w:val="center"/>
              <w:textAlignment w:val="auto"/>
              <w:rPr>
                <w:rFonts w:hint="default" w:ascii="Times New Roman" w:hAnsi="Times New Roman" w:eastAsia="宋体" w:cs="Times New Roman"/>
                <w:b/>
                <w:bCs/>
                <w:snapToGrid w:val="0"/>
                <w:color w:val="auto"/>
                <w:sz w:val="21"/>
                <w:szCs w:val="21"/>
                <w:highlight w:val="none"/>
              </w:rPr>
            </w:pPr>
          </w:p>
        </w:tc>
        <w:tc>
          <w:tcPr>
            <w:tcW w:w="327" w:type="pct"/>
            <w:tcBorders>
              <w:tl2br w:val="nil"/>
              <w:tr2bl w:val="nil"/>
            </w:tcBorders>
            <w:noWrap w:val="0"/>
            <w:vAlign w:val="center"/>
          </w:tcPr>
          <w:p w14:paraId="324DB1D1">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大</w:t>
            </w:r>
          </w:p>
        </w:tc>
        <w:tc>
          <w:tcPr>
            <w:tcW w:w="327" w:type="pct"/>
            <w:tcBorders>
              <w:tl2br w:val="nil"/>
              <w:tr2bl w:val="nil"/>
            </w:tcBorders>
            <w:noWrap w:val="0"/>
            <w:vAlign w:val="center"/>
          </w:tcPr>
          <w:p w14:paraId="738FA5B4">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中</w:t>
            </w:r>
          </w:p>
        </w:tc>
        <w:tc>
          <w:tcPr>
            <w:tcW w:w="330" w:type="pct"/>
            <w:tcBorders>
              <w:tl2br w:val="nil"/>
              <w:tr2bl w:val="nil"/>
            </w:tcBorders>
            <w:noWrap w:val="0"/>
            <w:vAlign w:val="center"/>
          </w:tcPr>
          <w:p w14:paraId="1EFC7106">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小</w:t>
            </w:r>
          </w:p>
        </w:tc>
        <w:tc>
          <w:tcPr>
            <w:tcW w:w="327" w:type="pct"/>
            <w:tcBorders>
              <w:tl2br w:val="nil"/>
              <w:tr2bl w:val="nil"/>
            </w:tcBorders>
            <w:noWrap w:val="0"/>
            <w:vAlign w:val="center"/>
          </w:tcPr>
          <w:p w14:paraId="17CA7F1B">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大</w:t>
            </w:r>
          </w:p>
        </w:tc>
        <w:tc>
          <w:tcPr>
            <w:tcW w:w="327" w:type="pct"/>
            <w:tcBorders>
              <w:tl2br w:val="nil"/>
              <w:tr2bl w:val="nil"/>
            </w:tcBorders>
            <w:noWrap w:val="0"/>
            <w:vAlign w:val="center"/>
          </w:tcPr>
          <w:p w14:paraId="37242E0E">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中</w:t>
            </w:r>
          </w:p>
        </w:tc>
        <w:tc>
          <w:tcPr>
            <w:tcW w:w="330" w:type="pct"/>
            <w:tcBorders>
              <w:tl2br w:val="nil"/>
              <w:tr2bl w:val="nil"/>
            </w:tcBorders>
            <w:noWrap w:val="0"/>
            <w:vAlign w:val="center"/>
          </w:tcPr>
          <w:p w14:paraId="1BACC877">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小</w:t>
            </w:r>
          </w:p>
        </w:tc>
        <w:tc>
          <w:tcPr>
            <w:tcW w:w="327" w:type="pct"/>
            <w:tcBorders>
              <w:tl2br w:val="nil"/>
              <w:tr2bl w:val="nil"/>
            </w:tcBorders>
            <w:noWrap w:val="0"/>
            <w:vAlign w:val="center"/>
          </w:tcPr>
          <w:p w14:paraId="39BA4751">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大</w:t>
            </w:r>
          </w:p>
        </w:tc>
        <w:tc>
          <w:tcPr>
            <w:tcW w:w="327" w:type="pct"/>
            <w:tcBorders>
              <w:tl2br w:val="nil"/>
              <w:tr2bl w:val="nil"/>
            </w:tcBorders>
            <w:noWrap w:val="0"/>
            <w:vAlign w:val="center"/>
          </w:tcPr>
          <w:p w14:paraId="483907A5">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中</w:t>
            </w:r>
          </w:p>
        </w:tc>
        <w:tc>
          <w:tcPr>
            <w:tcW w:w="334" w:type="pct"/>
            <w:tcBorders>
              <w:tl2br w:val="nil"/>
              <w:tr2bl w:val="nil"/>
            </w:tcBorders>
            <w:noWrap w:val="0"/>
            <w:vAlign w:val="center"/>
          </w:tcPr>
          <w:p w14:paraId="2DBC9CFF">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小</w:t>
            </w:r>
          </w:p>
        </w:tc>
      </w:tr>
      <w:tr w14:paraId="0CFE7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39" w:type="pct"/>
            <w:tcBorders>
              <w:tl2br w:val="nil"/>
              <w:tr2bl w:val="nil"/>
            </w:tcBorders>
            <w:noWrap w:val="0"/>
            <w:vAlign w:val="center"/>
          </w:tcPr>
          <w:p w14:paraId="080C1E81">
            <w:pPr>
              <w:keepNext w:val="0"/>
              <w:keepLines w:val="0"/>
              <w:pageBreakBefore w:val="0"/>
              <w:widowControl w:val="0"/>
              <w:kinsoku/>
              <w:wordWrap/>
              <w:overflowPunct/>
              <w:topLinePunct w:val="0"/>
              <w:autoSpaceDE/>
              <w:autoSpaceDN/>
              <w:bidi w:val="0"/>
              <w:adjustRightInd/>
              <w:snapToGrid/>
              <w:spacing w:line="240" w:lineRule="atLeast"/>
              <w:ind w:firstLine="210" w:firstLineChars="10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敏感</w:t>
            </w:r>
          </w:p>
        </w:tc>
        <w:tc>
          <w:tcPr>
            <w:tcW w:w="327" w:type="pct"/>
            <w:tcBorders>
              <w:tl2br w:val="nil"/>
              <w:tr2bl w:val="nil"/>
            </w:tcBorders>
            <w:noWrap w:val="0"/>
            <w:vAlign w:val="center"/>
          </w:tcPr>
          <w:p w14:paraId="73AD7416">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一级</w:t>
            </w:r>
          </w:p>
        </w:tc>
        <w:tc>
          <w:tcPr>
            <w:tcW w:w="327" w:type="pct"/>
            <w:tcBorders>
              <w:tl2br w:val="nil"/>
              <w:tr2bl w:val="nil"/>
            </w:tcBorders>
            <w:noWrap w:val="0"/>
            <w:vAlign w:val="center"/>
          </w:tcPr>
          <w:p w14:paraId="0A777A44">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一级</w:t>
            </w:r>
          </w:p>
        </w:tc>
        <w:tc>
          <w:tcPr>
            <w:tcW w:w="330" w:type="pct"/>
            <w:tcBorders>
              <w:tl2br w:val="nil"/>
              <w:tr2bl w:val="nil"/>
            </w:tcBorders>
            <w:noWrap w:val="0"/>
            <w:vAlign w:val="center"/>
          </w:tcPr>
          <w:p w14:paraId="31FB9EAC">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一级</w:t>
            </w:r>
          </w:p>
        </w:tc>
        <w:tc>
          <w:tcPr>
            <w:tcW w:w="327" w:type="pct"/>
            <w:tcBorders>
              <w:tl2br w:val="nil"/>
              <w:tr2bl w:val="nil"/>
            </w:tcBorders>
            <w:noWrap w:val="0"/>
            <w:vAlign w:val="center"/>
          </w:tcPr>
          <w:p w14:paraId="1AEDCF1F">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27" w:type="pct"/>
            <w:tcBorders>
              <w:tl2br w:val="nil"/>
              <w:tr2bl w:val="nil"/>
            </w:tcBorders>
            <w:noWrap w:val="0"/>
            <w:vAlign w:val="center"/>
          </w:tcPr>
          <w:p w14:paraId="3C6938B6">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30" w:type="pct"/>
            <w:tcBorders>
              <w:tl2br w:val="nil"/>
              <w:tr2bl w:val="nil"/>
            </w:tcBorders>
            <w:noWrap w:val="0"/>
            <w:vAlign w:val="center"/>
          </w:tcPr>
          <w:p w14:paraId="796060A0">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27" w:type="pct"/>
            <w:tcBorders>
              <w:tl2br w:val="nil"/>
              <w:tr2bl w:val="nil"/>
            </w:tcBorders>
            <w:noWrap w:val="0"/>
            <w:vAlign w:val="center"/>
          </w:tcPr>
          <w:p w14:paraId="245B2D34">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27" w:type="pct"/>
            <w:tcBorders>
              <w:tl2br w:val="nil"/>
              <w:tr2bl w:val="nil"/>
            </w:tcBorders>
            <w:noWrap w:val="0"/>
            <w:vAlign w:val="center"/>
          </w:tcPr>
          <w:p w14:paraId="65DCDC05">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34" w:type="pct"/>
            <w:tcBorders>
              <w:tl2br w:val="nil"/>
              <w:tr2bl w:val="nil"/>
            </w:tcBorders>
            <w:noWrap w:val="0"/>
            <w:vAlign w:val="center"/>
          </w:tcPr>
          <w:p w14:paraId="772B870D">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r>
      <w:tr w14:paraId="4BD47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39" w:type="pct"/>
            <w:tcBorders>
              <w:tl2br w:val="nil"/>
              <w:tr2bl w:val="nil"/>
            </w:tcBorders>
            <w:noWrap w:val="0"/>
            <w:vAlign w:val="center"/>
          </w:tcPr>
          <w:p w14:paraId="3AE71A75">
            <w:pPr>
              <w:keepNext w:val="0"/>
              <w:keepLines w:val="0"/>
              <w:pageBreakBefore w:val="0"/>
              <w:widowControl w:val="0"/>
              <w:kinsoku/>
              <w:wordWrap/>
              <w:overflowPunct/>
              <w:topLinePunct w:val="0"/>
              <w:autoSpaceDE/>
              <w:autoSpaceDN/>
              <w:bidi w:val="0"/>
              <w:adjustRightInd/>
              <w:snapToGrid/>
              <w:spacing w:line="240" w:lineRule="atLeast"/>
              <w:ind w:firstLine="210" w:firstLineChars="10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较敏感</w:t>
            </w:r>
          </w:p>
        </w:tc>
        <w:tc>
          <w:tcPr>
            <w:tcW w:w="327" w:type="pct"/>
            <w:tcBorders>
              <w:tl2br w:val="nil"/>
              <w:tr2bl w:val="nil"/>
            </w:tcBorders>
            <w:noWrap w:val="0"/>
            <w:vAlign w:val="center"/>
          </w:tcPr>
          <w:p w14:paraId="4E9FC0AE">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一级</w:t>
            </w:r>
          </w:p>
        </w:tc>
        <w:tc>
          <w:tcPr>
            <w:tcW w:w="327" w:type="pct"/>
            <w:tcBorders>
              <w:tl2br w:val="nil"/>
              <w:tr2bl w:val="nil"/>
            </w:tcBorders>
            <w:noWrap w:val="0"/>
            <w:vAlign w:val="center"/>
          </w:tcPr>
          <w:p w14:paraId="471E543D">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一级</w:t>
            </w:r>
          </w:p>
        </w:tc>
        <w:tc>
          <w:tcPr>
            <w:tcW w:w="330" w:type="pct"/>
            <w:tcBorders>
              <w:tl2br w:val="nil"/>
              <w:tr2bl w:val="nil"/>
            </w:tcBorders>
            <w:noWrap w:val="0"/>
            <w:vAlign w:val="center"/>
          </w:tcPr>
          <w:p w14:paraId="00C6BFB1">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27" w:type="pct"/>
            <w:tcBorders>
              <w:tl2br w:val="nil"/>
              <w:tr2bl w:val="nil"/>
            </w:tcBorders>
            <w:noWrap w:val="0"/>
            <w:vAlign w:val="center"/>
          </w:tcPr>
          <w:p w14:paraId="5047287F">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27" w:type="pct"/>
            <w:tcBorders>
              <w:tl2br w:val="nil"/>
              <w:tr2bl w:val="nil"/>
            </w:tcBorders>
            <w:noWrap w:val="0"/>
            <w:vAlign w:val="center"/>
          </w:tcPr>
          <w:p w14:paraId="5FCBC42A">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30" w:type="pct"/>
            <w:tcBorders>
              <w:tl2br w:val="nil"/>
              <w:tr2bl w:val="nil"/>
            </w:tcBorders>
            <w:noWrap w:val="0"/>
            <w:vAlign w:val="center"/>
          </w:tcPr>
          <w:p w14:paraId="64C35DB2">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27" w:type="pct"/>
            <w:tcBorders>
              <w:tl2br w:val="nil"/>
              <w:tr2bl w:val="nil"/>
            </w:tcBorders>
            <w:noWrap w:val="0"/>
            <w:vAlign w:val="center"/>
          </w:tcPr>
          <w:p w14:paraId="47F2A710">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27" w:type="pct"/>
            <w:tcBorders>
              <w:tl2br w:val="nil"/>
              <w:tr2bl w:val="nil"/>
            </w:tcBorders>
            <w:noWrap w:val="0"/>
            <w:vAlign w:val="center"/>
          </w:tcPr>
          <w:p w14:paraId="36483A2E">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34" w:type="pct"/>
            <w:tcBorders>
              <w:tl2br w:val="nil"/>
              <w:tr2bl w:val="nil"/>
            </w:tcBorders>
            <w:noWrap w:val="0"/>
            <w:vAlign w:val="center"/>
          </w:tcPr>
          <w:p w14:paraId="313306CB">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w:t>
            </w:r>
          </w:p>
        </w:tc>
      </w:tr>
      <w:tr w14:paraId="1D400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39" w:type="pct"/>
            <w:tcBorders>
              <w:tl2br w:val="nil"/>
              <w:tr2bl w:val="nil"/>
            </w:tcBorders>
            <w:noWrap w:val="0"/>
            <w:vAlign w:val="center"/>
          </w:tcPr>
          <w:p w14:paraId="39623C67">
            <w:pPr>
              <w:keepNext w:val="0"/>
              <w:keepLines w:val="0"/>
              <w:pageBreakBefore w:val="0"/>
              <w:widowControl w:val="0"/>
              <w:kinsoku/>
              <w:wordWrap/>
              <w:overflowPunct/>
              <w:topLinePunct w:val="0"/>
              <w:autoSpaceDE/>
              <w:autoSpaceDN/>
              <w:bidi w:val="0"/>
              <w:adjustRightInd/>
              <w:snapToGrid/>
              <w:spacing w:line="240" w:lineRule="atLeast"/>
              <w:ind w:firstLine="210" w:firstLineChars="10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不敏感</w:t>
            </w:r>
          </w:p>
        </w:tc>
        <w:tc>
          <w:tcPr>
            <w:tcW w:w="327" w:type="pct"/>
            <w:tcBorders>
              <w:tl2br w:val="nil"/>
              <w:tr2bl w:val="nil"/>
            </w:tcBorders>
            <w:noWrap w:val="0"/>
            <w:vAlign w:val="center"/>
          </w:tcPr>
          <w:p w14:paraId="62C06A48">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一级</w:t>
            </w:r>
          </w:p>
        </w:tc>
        <w:tc>
          <w:tcPr>
            <w:tcW w:w="327" w:type="pct"/>
            <w:tcBorders>
              <w:tl2br w:val="nil"/>
              <w:tr2bl w:val="nil"/>
            </w:tcBorders>
            <w:noWrap w:val="0"/>
            <w:vAlign w:val="center"/>
          </w:tcPr>
          <w:p w14:paraId="3639B7A8">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30" w:type="pct"/>
            <w:tcBorders>
              <w:tl2br w:val="nil"/>
              <w:tr2bl w:val="nil"/>
            </w:tcBorders>
            <w:noWrap w:val="0"/>
            <w:vAlign w:val="center"/>
          </w:tcPr>
          <w:p w14:paraId="701F8F6B">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27" w:type="pct"/>
            <w:tcBorders>
              <w:tl2br w:val="nil"/>
              <w:tr2bl w:val="nil"/>
            </w:tcBorders>
            <w:noWrap w:val="0"/>
            <w:vAlign w:val="center"/>
          </w:tcPr>
          <w:p w14:paraId="5B5D85A9">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327" w:type="pct"/>
            <w:tcBorders>
              <w:tl2br w:val="nil"/>
              <w:tr2bl w:val="nil"/>
            </w:tcBorders>
            <w:noWrap w:val="0"/>
            <w:vAlign w:val="center"/>
          </w:tcPr>
          <w:p w14:paraId="3E4A9C22">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30" w:type="pct"/>
            <w:tcBorders>
              <w:tl2br w:val="nil"/>
              <w:tr2bl w:val="nil"/>
            </w:tcBorders>
            <w:noWrap w:val="0"/>
            <w:vAlign w:val="center"/>
          </w:tcPr>
          <w:p w14:paraId="22497ECB">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27" w:type="pct"/>
            <w:tcBorders>
              <w:tl2br w:val="nil"/>
              <w:tr2bl w:val="nil"/>
            </w:tcBorders>
            <w:noWrap w:val="0"/>
            <w:vAlign w:val="center"/>
          </w:tcPr>
          <w:p w14:paraId="648934FB">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三级</w:t>
            </w:r>
          </w:p>
        </w:tc>
        <w:tc>
          <w:tcPr>
            <w:tcW w:w="327" w:type="pct"/>
            <w:tcBorders>
              <w:tl2br w:val="nil"/>
              <w:tr2bl w:val="nil"/>
            </w:tcBorders>
            <w:noWrap w:val="0"/>
            <w:vAlign w:val="center"/>
          </w:tcPr>
          <w:p w14:paraId="56547056">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w:t>
            </w:r>
          </w:p>
        </w:tc>
        <w:tc>
          <w:tcPr>
            <w:tcW w:w="334" w:type="pct"/>
            <w:tcBorders>
              <w:tl2br w:val="nil"/>
              <w:tr2bl w:val="nil"/>
            </w:tcBorders>
            <w:noWrap w:val="0"/>
            <w:vAlign w:val="center"/>
          </w:tcPr>
          <w:p w14:paraId="44482A7C">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w:t>
            </w:r>
          </w:p>
        </w:tc>
      </w:tr>
      <w:tr w14:paraId="65E29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00" w:type="pct"/>
            <w:gridSpan w:val="10"/>
            <w:tcBorders>
              <w:tl2br w:val="nil"/>
              <w:tr2bl w:val="nil"/>
            </w:tcBorders>
            <w:noWrap w:val="0"/>
            <w:vAlign w:val="center"/>
          </w:tcPr>
          <w:p w14:paraId="48D8993E">
            <w:pPr>
              <w:keepNext w:val="0"/>
              <w:keepLines w:val="0"/>
              <w:pageBreakBefore w:val="0"/>
              <w:widowControl w:val="0"/>
              <w:kinsoku/>
              <w:wordWrap/>
              <w:overflowPunct/>
              <w:topLinePunct w:val="0"/>
              <w:autoSpaceDE/>
              <w:autoSpaceDN/>
              <w:bidi w:val="0"/>
              <w:adjustRightInd/>
              <w:snapToGrid/>
              <w:spacing w:line="240" w:lineRule="atLeast"/>
              <w:ind w:firstLine="210" w:firstLineChars="100"/>
              <w:jc w:val="center"/>
              <w:textAlignment w:val="auto"/>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eastAsia="zh-CN"/>
              </w:rPr>
              <w:t>注：“-”表示可不开展土壤环境影响评价工作。</w:t>
            </w:r>
          </w:p>
        </w:tc>
      </w:tr>
    </w:tbl>
    <w:p w14:paraId="291363A8">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由上表可知</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为</w:t>
      </w:r>
      <w:r>
        <w:rPr>
          <w:rFonts w:ascii="Times New Roman"/>
          <w:color w:val="auto"/>
          <w:sz w:val="24"/>
          <w:szCs w:val="24"/>
          <w:highlight w:val="none"/>
        </w:rPr>
        <w:t>Ⅱ</w:t>
      </w:r>
      <w:r>
        <w:rPr>
          <w:rFonts w:hint="default" w:ascii="Times New Roman" w:hAnsi="Times New Roman" w:eastAsia="宋体" w:cs="Times New Roman"/>
          <w:color w:val="auto"/>
          <w:sz w:val="24"/>
          <w:szCs w:val="24"/>
          <w:highlight w:val="none"/>
        </w:rPr>
        <w:t>类</w:t>
      </w:r>
      <w:r>
        <w:rPr>
          <w:rFonts w:hint="default" w:ascii="Times New Roman" w:hAnsi="Times New Roman" w:eastAsia="宋体" w:cs="Times New Roman"/>
          <w:color w:val="auto"/>
          <w:sz w:val="24"/>
          <w:highlight w:val="none"/>
          <w:lang w:val="en-US" w:eastAsia="zh-CN"/>
        </w:rPr>
        <w:t>项目</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lang w:eastAsia="zh-CN"/>
        </w:rPr>
        <w:t>占地规模为</w:t>
      </w:r>
      <w:r>
        <w:rPr>
          <w:rFonts w:hint="eastAsia" w:cs="Times New Roman"/>
          <w:color w:val="auto"/>
          <w:sz w:val="24"/>
          <w:highlight w:val="none"/>
          <w:lang w:val="en-US" w:eastAsia="zh-CN"/>
        </w:rPr>
        <w:t>中型</w:t>
      </w:r>
      <w:r>
        <w:rPr>
          <w:rFonts w:hint="eastAsia" w:cs="Times New Roman"/>
          <w:color w:val="auto"/>
          <w:sz w:val="24"/>
          <w:highlight w:val="none"/>
          <w:lang w:eastAsia="zh-CN"/>
        </w:rPr>
        <w:t>，</w:t>
      </w:r>
      <w:r>
        <w:rPr>
          <w:rFonts w:hint="eastAsia" w:cs="Times New Roman"/>
          <w:color w:val="auto"/>
          <w:sz w:val="24"/>
          <w:highlight w:val="none"/>
          <w:lang w:val="en-US" w:eastAsia="zh-CN"/>
        </w:rPr>
        <w:t>土壤环境敏感程度属于不</w:t>
      </w:r>
      <w:r>
        <w:rPr>
          <w:rFonts w:hint="default" w:ascii="Times New Roman" w:hAnsi="Times New Roman" w:eastAsia="宋体" w:cs="Times New Roman"/>
          <w:color w:val="auto"/>
          <w:sz w:val="24"/>
          <w:highlight w:val="none"/>
          <w:lang w:val="en-US" w:eastAsia="zh-CN"/>
        </w:rPr>
        <w:t>敏感，</w:t>
      </w:r>
      <w:r>
        <w:rPr>
          <w:rFonts w:hint="eastAsia" w:ascii="Times New Roman" w:hAnsi="Times New Roman" w:cs="Times New Roman"/>
          <w:color w:val="auto"/>
          <w:kern w:val="0"/>
          <w:sz w:val="24"/>
          <w:szCs w:val="21"/>
          <w:highlight w:val="none"/>
          <w:lang w:val="en-US" w:eastAsia="zh-CN"/>
        </w:rPr>
        <w:t>因此，</w:t>
      </w:r>
      <w:r>
        <w:rPr>
          <w:rFonts w:hint="eastAsia" w:cs="Times New Roman"/>
          <w:color w:val="auto"/>
          <w:kern w:val="0"/>
          <w:sz w:val="24"/>
          <w:szCs w:val="21"/>
          <w:highlight w:val="none"/>
          <w:lang w:val="en-US" w:eastAsia="zh-CN"/>
        </w:rPr>
        <w:t>本项目污染影响型土壤评价等级</w:t>
      </w:r>
      <w:r>
        <w:rPr>
          <w:rFonts w:hint="eastAsia" w:ascii="Times New Roman" w:hAnsi="Times New Roman" w:cs="Times New Roman"/>
          <w:color w:val="auto"/>
          <w:kern w:val="0"/>
          <w:sz w:val="24"/>
          <w:szCs w:val="21"/>
          <w:highlight w:val="none"/>
          <w:lang w:val="en-US" w:eastAsia="zh-CN"/>
        </w:rPr>
        <w:t>为</w:t>
      </w:r>
      <w:r>
        <w:rPr>
          <w:rFonts w:hint="eastAsia" w:cs="Times New Roman"/>
          <w:b/>
          <w:bCs/>
          <w:color w:val="auto"/>
          <w:kern w:val="0"/>
          <w:sz w:val="24"/>
          <w:szCs w:val="21"/>
          <w:highlight w:val="none"/>
          <w:lang w:val="en-US" w:eastAsia="zh-CN"/>
        </w:rPr>
        <w:t>三</w:t>
      </w:r>
      <w:r>
        <w:rPr>
          <w:rFonts w:hint="eastAsia" w:ascii="Times New Roman" w:hAnsi="Times New Roman" w:cs="Times New Roman"/>
          <w:b/>
          <w:bCs/>
          <w:color w:val="auto"/>
          <w:kern w:val="0"/>
          <w:sz w:val="24"/>
          <w:szCs w:val="21"/>
          <w:highlight w:val="none"/>
          <w:lang w:val="en-US" w:eastAsia="zh-CN"/>
        </w:rPr>
        <w:t>级</w:t>
      </w:r>
      <w:r>
        <w:rPr>
          <w:rFonts w:hint="eastAsia" w:ascii="Times New Roman" w:hAnsi="Times New Roman" w:cs="Times New Roman"/>
          <w:color w:val="auto"/>
          <w:kern w:val="0"/>
          <w:sz w:val="24"/>
          <w:szCs w:val="21"/>
          <w:highlight w:val="none"/>
          <w:lang w:val="en-US" w:eastAsia="zh-CN"/>
        </w:rPr>
        <w:t>。</w:t>
      </w:r>
    </w:p>
    <w:p w14:paraId="0EE33041">
      <w:pPr>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kern w:val="0"/>
          <w:sz w:val="24"/>
          <w:szCs w:val="21"/>
          <w:highlight w:val="none"/>
          <w:lang w:val="en-US" w:eastAsia="zh-CN"/>
        </w:rPr>
      </w:pPr>
      <w:r>
        <w:rPr>
          <w:rFonts w:hint="eastAsia" w:cs="Times New Roman"/>
          <w:b/>
          <w:bCs/>
          <w:color w:val="auto"/>
          <w:sz w:val="24"/>
          <w:highlight w:val="none"/>
          <w:lang w:val="en-US" w:eastAsia="zh-CN"/>
        </w:rPr>
        <w:t>（4）土壤</w:t>
      </w:r>
      <w:r>
        <w:rPr>
          <w:rFonts w:hint="eastAsia" w:ascii="Times New Roman" w:hAnsi="Times New Roman" w:cs="Times New Roman"/>
          <w:b/>
          <w:bCs/>
          <w:color w:val="auto"/>
          <w:kern w:val="0"/>
          <w:sz w:val="24"/>
          <w:szCs w:val="21"/>
          <w:highlight w:val="none"/>
          <w:lang w:val="en-US" w:eastAsia="zh-CN"/>
        </w:rPr>
        <w:t>评价范围</w:t>
      </w:r>
    </w:p>
    <w:p w14:paraId="12477C07">
      <w:pPr>
        <w:pageBreakBefore w:val="0"/>
        <w:widowControl w:val="0"/>
        <w:kinsoku/>
        <w:wordWrap/>
        <w:overflowPunct/>
        <w:topLinePunct w:val="0"/>
        <w:autoSpaceDE/>
        <w:autoSpaceDN/>
        <w:bidi w:val="0"/>
        <w:spacing w:line="360" w:lineRule="auto"/>
        <w:ind w:firstLine="480" w:firstLineChars="200"/>
        <w:textAlignment w:val="auto"/>
        <w:rPr>
          <w:rFonts w:hint="eastAsia"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color w:val="auto"/>
          <w:sz w:val="24"/>
          <w:highlight w:val="none"/>
        </w:rPr>
        <w:t xml:space="preserve">《环境影响评价技术导则 </w:t>
      </w:r>
      <w:r>
        <w:rPr>
          <w:rFonts w:hint="default" w:ascii="Times New Roman" w:hAnsi="Times New Roman" w:eastAsia="宋体" w:cs="Times New Roman"/>
          <w:color w:val="auto"/>
          <w:sz w:val="24"/>
          <w:highlight w:val="none"/>
          <w:lang w:eastAsia="zh-CN"/>
        </w:rPr>
        <w:t>土壤</w:t>
      </w:r>
      <w:r>
        <w:rPr>
          <w:rFonts w:hint="default" w:ascii="Times New Roman" w:hAnsi="Times New Roman" w:eastAsia="宋体" w:cs="Times New Roman"/>
          <w:color w:val="auto"/>
          <w:sz w:val="24"/>
          <w:highlight w:val="none"/>
        </w:rPr>
        <w:t>环境</w:t>
      </w:r>
      <w:r>
        <w:rPr>
          <w:rFonts w:hint="default" w:ascii="Times New Roman" w:hAnsi="Times New Roman" w:eastAsia="宋体" w:cs="Times New Roman"/>
          <w:color w:val="auto"/>
          <w:sz w:val="24"/>
          <w:highlight w:val="none"/>
          <w:lang w:eastAsia="zh-CN"/>
        </w:rPr>
        <w:t>（试行）</w:t>
      </w:r>
      <w:r>
        <w:rPr>
          <w:rFonts w:hint="default" w:ascii="Times New Roman" w:hAnsi="Times New Roman" w:eastAsia="宋体" w:cs="Times New Roman"/>
          <w:color w:val="auto"/>
          <w:sz w:val="24"/>
          <w:highlight w:val="none"/>
        </w:rPr>
        <w:t>》（HJ</w:t>
      </w:r>
      <w:r>
        <w:rPr>
          <w:rFonts w:hint="default" w:ascii="Times New Roman" w:hAnsi="Times New Roman" w:eastAsia="宋体" w:cs="Times New Roman"/>
          <w:color w:val="auto"/>
          <w:sz w:val="24"/>
          <w:highlight w:val="none"/>
          <w:lang w:val="en-US" w:eastAsia="zh-CN"/>
        </w:rPr>
        <w:t>964</w:t>
      </w:r>
      <w:r>
        <w:rPr>
          <w:rFonts w:hint="default" w:ascii="Times New Roman" w:hAnsi="Times New Roman" w:eastAsia="宋体" w:cs="Times New Roman"/>
          <w:color w:val="auto"/>
          <w:sz w:val="24"/>
          <w:highlight w:val="none"/>
        </w:rPr>
        <w:t>-2018）</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污染影响型土壤环境调查评价范围判定依据见下表</w:t>
      </w:r>
      <w:r>
        <w:rPr>
          <w:rFonts w:hint="eastAsia" w:cs="Times New Roman"/>
          <w:color w:val="auto"/>
          <w:sz w:val="24"/>
          <w:highlight w:val="none"/>
          <w:lang w:val="en-US" w:eastAsia="zh-CN"/>
        </w:rPr>
        <w:t>。</w:t>
      </w:r>
    </w:p>
    <w:p w14:paraId="65A06C2B">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color w:val="000000"/>
          <w:szCs w:val="21"/>
          <w:highlight w:val="none"/>
        </w:rPr>
      </w:pPr>
      <w:r>
        <w:rPr>
          <w:rStyle w:val="152"/>
          <w:rFonts w:hint="eastAsia" w:ascii="Times New Roman" w:hAnsi="Times New Roman" w:eastAsia="宋体" w:cs="Times New Roman"/>
          <w:color w:val="000000"/>
          <w:szCs w:val="21"/>
          <w:highlight w:val="none"/>
          <w:lang w:val="en-US" w:eastAsia="zh-CN"/>
        </w:rPr>
        <w:t>土壤调查评价范围</w:t>
      </w:r>
    </w:p>
    <w:tbl>
      <w:tblPr>
        <w:tblStyle w:val="58"/>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2735"/>
        <w:gridCol w:w="2225"/>
        <w:gridCol w:w="2297"/>
      </w:tblGrid>
      <w:tr w14:paraId="213C8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restart"/>
            <w:tcBorders>
              <w:tl2br w:val="nil"/>
              <w:tr2bl w:val="nil"/>
            </w:tcBorders>
            <w:noWrap w:val="0"/>
            <w:vAlign w:val="center"/>
          </w:tcPr>
          <w:p w14:paraId="1640AF06">
            <w:pPr>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评价</w:t>
            </w:r>
            <w:r>
              <w:rPr>
                <w:rFonts w:hint="eastAsia" w:ascii="Times New Roman" w:hAnsi="Times New Roman" w:cs="Times New Roman"/>
                <w:b/>
                <w:bCs/>
                <w:color w:val="000000"/>
                <w:szCs w:val="21"/>
                <w:highlight w:val="none"/>
                <w:lang w:val="en-US" w:eastAsia="zh-CN"/>
              </w:rPr>
              <w:t>工作</w:t>
            </w:r>
            <w:r>
              <w:rPr>
                <w:rFonts w:hint="default" w:ascii="Times New Roman" w:hAnsi="Times New Roman" w:cs="Times New Roman"/>
                <w:b/>
                <w:bCs/>
                <w:color w:val="000000"/>
                <w:szCs w:val="21"/>
                <w:highlight w:val="none"/>
              </w:rPr>
              <w:t>等级</w:t>
            </w:r>
          </w:p>
        </w:tc>
        <w:tc>
          <w:tcPr>
            <w:tcW w:w="2735" w:type="dxa"/>
            <w:vMerge w:val="restart"/>
            <w:tcBorders>
              <w:tl2br w:val="nil"/>
              <w:tr2bl w:val="nil"/>
            </w:tcBorders>
            <w:noWrap w:val="0"/>
            <w:vAlign w:val="center"/>
          </w:tcPr>
          <w:p w14:paraId="6721DCAE">
            <w:pPr>
              <w:jc w:val="center"/>
              <w:rPr>
                <w:rFonts w:hint="default"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影响类型</w:t>
            </w:r>
          </w:p>
        </w:tc>
        <w:tc>
          <w:tcPr>
            <w:tcW w:w="4522" w:type="dxa"/>
            <w:gridSpan w:val="2"/>
            <w:tcBorders>
              <w:tl2br w:val="nil"/>
              <w:tr2bl w:val="nil"/>
            </w:tcBorders>
            <w:noWrap w:val="0"/>
            <w:vAlign w:val="center"/>
          </w:tcPr>
          <w:p w14:paraId="735579AB">
            <w:pPr>
              <w:jc w:val="center"/>
              <w:rPr>
                <w:rFonts w:hint="default"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调查范围</w:t>
            </w:r>
            <w:r>
              <w:rPr>
                <w:rFonts w:hint="eastAsia" w:ascii="Times New Roman" w:hAnsi="Times New Roman" w:cs="Times New Roman"/>
                <w:b/>
                <w:bCs/>
                <w:color w:val="000000"/>
                <w:szCs w:val="21"/>
                <w:highlight w:val="none"/>
                <w:vertAlign w:val="superscript"/>
                <w:lang w:val="en-US" w:eastAsia="zh-CN"/>
              </w:rPr>
              <w:t>a</w:t>
            </w:r>
          </w:p>
        </w:tc>
      </w:tr>
      <w:tr w14:paraId="060A2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continue"/>
            <w:tcBorders>
              <w:tl2br w:val="nil"/>
              <w:tr2bl w:val="nil"/>
            </w:tcBorders>
            <w:noWrap w:val="0"/>
            <w:vAlign w:val="center"/>
          </w:tcPr>
          <w:p w14:paraId="734EB038">
            <w:pPr>
              <w:jc w:val="center"/>
              <w:rPr>
                <w:rFonts w:hint="default" w:ascii="Times New Roman" w:hAnsi="Times New Roman" w:cs="Times New Roman"/>
                <w:b/>
                <w:color w:val="000000"/>
                <w:szCs w:val="21"/>
                <w:highlight w:val="none"/>
              </w:rPr>
            </w:pPr>
          </w:p>
        </w:tc>
        <w:tc>
          <w:tcPr>
            <w:tcW w:w="2735" w:type="dxa"/>
            <w:vMerge w:val="continue"/>
            <w:tcBorders>
              <w:tl2br w:val="nil"/>
              <w:tr2bl w:val="nil"/>
            </w:tcBorders>
            <w:noWrap w:val="0"/>
            <w:vAlign w:val="center"/>
          </w:tcPr>
          <w:p w14:paraId="2D6EB64F">
            <w:pPr>
              <w:jc w:val="center"/>
              <w:rPr>
                <w:rFonts w:hint="default" w:ascii="Times New Roman" w:hAnsi="Times New Roman" w:cs="Times New Roman"/>
                <w:b/>
                <w:color w:val="000000"/>
                <w:szCs w:val="21"/>
                <w:highlight w:val="none"/>
              </w:rPr>
            </w:pPr>
          </w:p>
        </w:tc>
        <w:tc>
          <w:tcPr>
            <w:tcW w:w="2225" w:type="dxa"/>
            <w:tcBorders>
              <w:tl2br w:val="nil"/>
              <w:tr2bl w:val="nil"/>
            </w:tcBorders>
            <w:noWrap w:val="0"/>
            <w:vAlign w:val="center"/>
          </w:tcPr>
          <w:p w14:paraId="2E1BB5F2">
            <w:pPr>
              <w:jc w:val="center"/>
              <w:rPr>
                <w:rFonts w:hint="default" w:ascii="Times New Roman" w:hAnsi="Times New Roman" w:eastAsia="宋体" w:cs="Times New Roman"/>
                <w:b/>
                <w:color w:val="000000"/>
                <w:szCs w:val="21"/>
                <w:highlight w:val="none"/>
                <w:lang w:val="en-US" w:eastAsia="zh-CN"/>
              </w:rPr>
            </w:pPr>
            <w:r>
              <w:rPr>
                <w:rFonts w:hint="eastAsia" w:ascii="Times New Roman" w:hAnsi="Times New Roman" w:cs="Times New Roman"/>
                <w:b/>
                <w:color w:val="000000"/>
                <w:szCs w:val="21"/>
                <w:highlight w:val="none"/>
                <w:lang w:val="en-US" w:eastAsia="zh-CN"/>
              </w:rPr>
              <w:t>占地</w:t>
            </w:r>
            <w:r>
              <w:rPr>
                <w:rFonts w:hint="eastAsia" w:ascii="Times New Roman" w:hAnsi="Times New Roman" w:cs="Times New Roman"/>
                <w:b/>
                <w:color w:val="000000"/>
                <w:szCs w:val="21"/>
                <w:highlight w:val="none"/>
                <w:vertAlign w:val="superscript"/>
                <w:lang w:val="en-US" w:eastAsia="zh-CN"/>
              </w:rPr>
              <w:t>b</w:t>
            </w:r>
            <w:r>
              <w:rPr>
                <w:rFonts w:hint="eastAsia" w:ascii="Times New Roman" w:hAnsi="Times New Roman" w:cs="Times New Roman"/>
                <w:b/>
                <w:color w:val="000000"/>
                <w:szCs w:val="21"/>
                <w:highlight w:val="none"/>
                <w:lang w:val="en-US" w:eastAsia="zh-CN"/>
              </w:rPr>
              <w:t>范围内</w:t>
            </w:r>
          </w:p>
        </w:tc>
        <w:tc>
          <w:tcPr>
            <w:tcW w:w="2297" w:type="dxa"/>
            <w:tcBorders>
              <w:tl2br w:val="nil"/>
              <w:tr2bl w:val="nil"/>
            </w:tcBorders>
            <w:noWrap w:val="0"/>
            <w:vAlign w:val="center"/>
          </w:tcPr>
          <w:p w14:paraId="21611AF5">
            <w:pPr>
              <w:jc w:val="center"/>
              <w:rPr>
                <w:rFonts w:hint="default" w:ascii="Times New Roman" w:hAnsi="Times New Roman" w:eastAsia="宋体" w:cs="Times New Roman"/>
                <w:b/>
                <w:color w:val="000000"/>
                <w:szCs w:val="21"/>
                <w:highlight w:val="none"/>
                <w:lang w:val="en-US" w:eastAsia="zh-CN"/>
              </w:rPr>
            </w:pPr>
            <w:r>
              <w:rPr>
                <w:rFonts w:hint="eastAsia" w:ascii="Times New Roman" w:hAnsi="Times New Roman" w:cs="Times New Roman"/>
                <w:b/>
                <w:color w:val="000000"/>
                <w:szCs w:val="21"/>
                <w:highlight w:val="none"/>
                <w:lang w:val="en-US" w:eastAsia="zh-CN"/>
              </w:rPr>
              <w:t>占地范围外</w:t>
            </w:r>
          </w:p>
        </w:tc>
      </w:tr>
      <w:tr w14:paraId="083CC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restart"/>
            <w:tcBorders>
              <w:tl2br w:val="nil"/>
              <w:tr2bl w:val="nil"/>
            </w:tcBorders>
            <w:noWrap w:val="0"/>
            <w:vAlign w:val="center"/>
          </w:tcPr>
          <w:p w14:paraId="5D1AE17B">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一级</w:t>
            </w:r>
          </w:p>
        </w:tc>
        <w:tc>
          <w:tcPr>
            <w:tcW w:w="2735" w:type="dxa"/>
            <w:tcBorders>
              <w:tl2br w:val="nil"/>
              <w:tr2bl w:val="nil"/>
            </w:tcBorders>
            <w:noWrap w:val="0"/>
            <w:vAlign w:val="center"/>
          </w:tcPr>
          <w:p w14:paraId="7C7FBC3F">
            <w:pPr>
              <w:pStyle w:val="2"/>
              <w:jc w:val="center"/>
              <w:rPr>
                <w:rFonts w:hint="default" w:ascii="Times New Roman" w:hAnsi="Times New Roman" w:eastAsia="宋体" w:cs="Times New Roman"/>
                <w:color w:val="000000"/>
                <w:sz w:val="21"/>
                <w:szCs w:val="18"/>
                <w:highlight w:val="none"/>
                <w:lang w:val="en-US" w:eastAsia="zh-CN"/>
              </w:rPr>
            </w:pPr>
            <w:r>
              <w:rPr>
                <w:rFonts w:hint="eastAsia" w:ascii="Times New Roman" w:cs="Times New Roman"/>
                <w:color w:val="000000"/>
                <w:sz w:val="21"/>
                <w:szCs w:val="18"/>
                <w:highlight w:val="none"/>
                <w:lang w:val="en-US" w:eastAsia="zh-CN"/>
              </w:rPr>
              <w:t>生态影响型</w:t>
            </w:r>
          </w:p>
        </w:tc>
        <w:tc>
          <w:tcPr>
            <w:tcW w:w="2225" w:type="dxa"/>
            <w:vMerge w:val="restart"/>
            <w:tcBorders>
              <w:tl2br w:val="nil"/>
              <w:tr2bl w:val="nil"/>
            </w:tcBorders>
            <w:noWrap w:val="0"/>
            <w:vAlign w:val="center"/>
          </w:tcPr>
          <w:p w14:paraId="630D57E9">
            <w:pPr>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cs="Times New Roman"/>
                <w:color w:val="000000"/>
                <w:szCs w:val="21"/>
                <w:highlight w:val="none"/>
                <w:lang w:val="en-US" w:eastAsia="zh-CN"/>
              </w:rPr>
              <w:t>全部</w:t>
            </w:r>
          </w:p>
        </w:tc>
        <w:tc>
          <w:tcPr>
            <w:tcW w:w="2297" w:type="dxa"/>
            <w:tcBorders>
              <w:tl2br w:val="nil"/>
              <w:tr2bl w:val="nil"/>
            </w:tcBorders>
            <w:noWrap w:val="0"/>
            <w:vAlign w:val="center"/>
          </w:tcPr>
          <w:p w14:paraId="5A5ED4A1">
            <w:pPr>
              <w:jc w:val="center"/>
              <w:rPr>
                <w:rFonts w:hint="default" w:ascii="Times New Roman" w:hAnsi="Times New Roman" w:eastAsia="宋体" w:cs="Times New Roman"/>
                <w:color w:val="000000"/>
                <w:kern w:val="0"/>
                <w:sz w:val="21"/>
                <w:szCs w:val="18"/>
                <w:highlight w:val="none"/>
                <w:lang w:val="en-US" w:eastAsia="zh-CN" w:bidi="ar-SA"/>
              </w:rPr>
            </w:pPr>
            <w:r>
              <w:rPr>
                <w:rFonts w:hint="eastAsia" w:cs="Times New Roman"/>
                <w:color w:val="000000"/>
                <w:kern w:val="0"/>
                <w:sz w:val="21"/>
                <w:szCs w:val="18"/>
                <w:highlight w:val="none"/>
                <w:lang w:val="en-US" w:eastAsia="zh-CN" w:bidi="ar-SA"/>
              </w:rPr>
              <w:t>5km矩形区域</w:t>
            </w:r>
          </w:p>
        </w:tc>
      </w:tr>
      <w:tr w14:paraId="3465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continue"/>
            <w:tcBorders>
              <w:tl2br w:val="nil"/>
              <w:tr2bl w:val="nil"/>
            </w:tcBorders>
            <w:noWrap w:val="0"/>
            <w:vAlign w:val="center"/>
          </w:tcPr>
          <w:p w14:paraId="33BFB4BD">
            <w:pPr>
              <w:pStyle w:val="2"/>
              <w:jc w:val="center"/>
              <w:rPr>
                <w:rFonts w:hint="default" w:ascii="Times New Roman" w:hAnsi="Times New Roman" w:cs="Times New Roman"/>
                <w:color w:val="000000"/>
                <w:sz w:val="21"/>
                <w:szCs w:val="18"/>
                <w:highlight w:val="none"/>
              </w:rPr>
            </w:pPr>
          </w:p>
        </w:tc>
        <w:tc>
          <w:tcPr>
            <w:tcW w:w="2735" w:type="dxa"/>
            <w:tcBorders>
              <w:tl2br w:val="nil"/>
              <w:tr2bl w:val="nil"/>
            </w:tcBorders>
            <w:noWrap w:val="0"/>
            <w:vAlign w:val="center"/>
          </w:tcPr>
          <w:p w14:paraId="6F52DC4A">
            <w:pPr>
              <w:pStyle w:val="2"/>
              <w:jc w:val="center"/>
              <w:rPr>
                <w:rFonts w:hint="eastAsia" w:ascii="Times New Roman" w:hAnsi="Times New Roman" w:cs="Times New Roman"/>
                <w:color w:val="000000"/>
                <w:sz w:val="21"/>
                <w:szCs w:val="18"/>
                <w:highlight w:val="none"/>
                <w:lang w:val="en-US" w:eastAsia="zh-CN"/>
              </w:rPr>
            </w:pPr>
            <w:r>
              <w:rPr>
                <w:rFonts w:hint="eastAsia" w:ascii="Times New Roman" w:hAnsi="Times New Roman" w:cs="Times New Roman"/>
                <w:color w:val="000000"/>
                <w:sz w:val="21"/>
                <w:szCs w:val="18"/>
                <w:highlight w:val="none"/>
                <w:lang w:val="en-US" w:eastAsia="zh-CN"/>
              </w:rPr>
              <w:t>污染影响型</w:t>
            </w:r>
          </w:p>
        </w:tc>
        <w:tc>
          <w:tcPr>
            <w:tcW w:w="2225" w:type="dxa"/>
            <w:vMerge w:val="continue"/>
            <w:tcBorders>
              <w:tl2br w:val="nil"/>
              <w:tr2bl w:val="nil"/>
            </w:tcBorders>
            <w:noWrap w:val="0"/>
            <w:vAlign w:val="center"/>
          </w:tcPr>
          <w:p w14:paraId="295D9954">
            <w:pPr>
              <w:jc w:val="center"/>
              <w:rPr>
                <w:rFonts w:hint="eastAsia" w:ascii="Times New Roman" w:hAnsi="Times New Roman" w:cs="Times New Roman"/>
                <w:color w:val="000000"/>
                <w:szCs w:val="21"/>
                <w:highlight w:val="none"/>
                <w:lang w:val="en-US" w:eastAsia="zh-CN"/>
              </w:rPr>
            </w:pPr>
          </w:p>
        </w:tc>
        <w:tc>
          <w:tcPr>
            <w:tcW w:w="2297" w:type="dxa"/>
            <w:tcBorders>
              <w:tl2br w:val="nil"/>
              <w:tr2bl w:val="nil"/>
            </w:tcBorders>
            <w:noWrap w:val="0"/>
            <w:vAlign w:val="center"/>
          </w:tcPr>
          <w:p w14:paraId="7EE1DDA6">
            <w:pPr>
              <w:jc w:val="center"/>
              <w:rPr>
                <w:rFonts w:hint="eastAsia" w:ascii="Times New Roman" w:hAnsi="Times New Roman" w:eastAsia="宋体" w:cs="Times New Roman"/>
                <w:color w:val="000000"/>
                <w:kern w:val="0"/>
                <w:sz w:val="21"/>
                <w:szCs w:val="18"/>
                <w:highlight w:val="none"/>
                <w:lang w:val="en-US" w:eastAsia="zh-CN" w:bidi="ar-SA"/>
              </w:rPr>
            </w:pPr>
            <w:r>
              <w:rPr>
                <w:rFonts w:hint="eastAsia" w:cs="Times New Roman"/>
                <w:color w:val="000000"/>
                <w:kern w:val="0"/>
                <w:sz w:val="21"/>
                <w:szCs w:val="18"/>
                <w:highlight w:val="none"/>
                <w:lang w:val="en-US" w:eastAsia="zh-CN" w:bidi="ar-SA"/>
              </w:rPr>
              <w:t>1</w:t>
            </w:r>
            <w:r>
              <w:rPr>
                <w:rFonts w:hint="eastAsia" w:ascii="Times New Roman" w:hAnsi="Times New Roman" w:eastAsia="宋体" w:cs="Times New Roman"/>
                <w:color w:val="000000"/>
                <w:kern w:val="0"/>
                <w:sz w:val="21"/>
                <w:szCs w:val="18"/>
                <w:highlight w:val="none"/>
                <w:lang w:val="en-US" w:eastAsia="zh-CN" w:bidi="ar-SA"/>
              </w:rPr>
              <w:t>km范围</w:t>
            </w:r>
          </w:p>
        </w:tc>
      </w:tr>
      <w:tr w14:paraId="03786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restart"/>
            <w:tcBorders>
              <w:tl2br w:val="nil"/>
              <w:tr2bl w:val="nil"/>
            </w:tcBorders>
            <w:noWrap w:val="0"/>
            <w:vAlign w:val="center"/>
          </w:tcPr>
          <w:p w14:paraId="4E25EAEE">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二级</w:t>
            </w:r>
          </w:p>
        </w:tc>
        <w:tc>
          <w:tcPr>
            <w:tcW w:w="2735" w:type="dxa"/>
            <w:tcBorders>
              <w:tl2br w:val="nil"/>
              <w:tr2bl w:val="nil"/>
            </w:tcBorders>
            <w:noWrap w:val="0"/>
            <w:vAlign w:val="center"/>
          </w:tcPr>
          <w:p w14:paraId="0A2EF400">
            <w:pPr>
              <w:pStyle w:val="2"/>
              <w:jc w:val="center"/>
              <w:rPr>
                <w:rFonts w:hint="default" w:ascii="Times New Roman" w:hAnsi="Times New Roman" w:cs="Times New Roman"/>
                <w:color w:val="000000"/>
                <w:sz w:val="21"/>
                <w:szCs w:val="18"/>
                <w:highlight w:val="none"/>
              </w:rPr>
            </w:pPr>
            <w:r>
              <w:rPr>
                <w:rFonts w:hint="eastAsia" w:ascii="Times New Roman" w:cs="Times New Roman"/>
                <w:color w:val="000000"/>
                <w:sz w:val="21"/>
                <w:szCs w:val="18"/>
                <w:highlight w:val="none"/>
                <w:lang w:val="en-US" w:eastAsia="zh-CN"/>
              </w:rPr>
              <w:t>生态影响型</w:t>
            </w:r>
          </w:p>
        </w:tc>
        <w:tc>
          <w:tcPr>
            <w:tcW w:w="2225" w:type="dxa"/>
            <w:vMerge w:val="continue"/>
            <w:tcBorders>
              <w:tl2br w:val="nil"/>
              <w:tr2bl w:val="nil"/>
            </w:tcBorders>
            <w:noWrap w:val="0"/>
            <w:vAlign w:val="center"/>
          </w:tcPr>
          <w:p w14:paraId="142E7A7E">
            <w:pPr>
              <w:jc w:val="center"/>
              <w:rPr>
                <w:rFonts w:hint="default" w:ascii="Times New Roman" w:hAnsi="Times New Roman" w:cs="Times New Roman"/>
                <w:color w:val="000000"/>
                <w:szCs w:val="21"/>
                <w:highlight w:val="none"/>
              </w:rPr>
            </w:pPr>
          </w:p>
        </w:tc>
        <w:tc>
          <w:tcPr>
            <w:tcW w:w="2297" w:type="dxa"/>
            <w:tcBorders>
              <w:tl2br w:val="nil"/>
              <w:tr2bl w:val="nil"/>
            </w:tcBorders>
            <w:noWrap w:val="0"/>
            <w:vAlign w:val="center"/>
          </w:tcPr>
          <w:p w14:paraId="4132034B">
            <w:pPr>
              <w:jc w:val="center"/>
              <w:rPr>
                <w:rFonts w:hint="default" w:ascii="Times New Roman" w:hAnsi="Times New Roman" w:eastAsia="宋体" w:cs="Times New Roman"/>
                <w:color w:val="000000"/>
                <w:szCs w:val="18"/>
                <w:highlight w:val="none"/>
                <w:lang w:val="en-US" w:eastAsia="zh-CN"/>
              </w:rPr>
            </w:pPr>
            <w:r>
              <w:rPr>
                <w:rFonts w:hint="eastAsia" w:ascii="Times New Roman" w:hAnsi="Times New Roman" w:cs="Times New Roman"/>
                <w:color w:val="000000"/>
                <w:szCs w:val="18"/>
                <w:highlight w:val="none"/>
                <w:lang w:val="en-US" w:eastAsia="zh-CN"/>
              </w:rPr>
              <w:t>2</w:t>
            </w:r>
            <w:r>
              <w:rPr>
                <w:rFonts w:hint="eastAsia" w:ascii="Times New Roman" w:hAnsi="Times New Roman" w:eastAsia="宋体" w:cs="Times New Roman"/>
                <w:color w:val="000000"/>
                <w:kern w:val="0"/>
                <w:sz w:val="21"/>
                <w:szCs w:val="18"/>
                <w:highlight w:val="none"/>
                <w:lang w:val="en-US" w:eastAsia="zh-CN" w:bidi="ar-SA"/>
              </w:rPr>
              <w:t>km范围</w:t>
            </w:r>
          </w:p>
        </w:tc>
      </w:tr>
      <w:tr w14:paraId="44F87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continue"/>
            <w:tcBorders>
              <w:tl2br w:val="nil"/>
              <w:tr2bl w:val="nil"/>
            </w:tcBorders>
            <w:noWrap w:val="0"/>
            <w:vAlign w:val="center"/>
          </w:tcPr>
          <w:p w14:paraId="3626ADBA">
            <w:pPr>
              <w:pStyle w:val="2"/>
              <w:jc w:val="center"/>
              <w:rPr>
                <w:rFonts w:hint="default" w:ascii="Times New Roman" w:hAnsi="Times New Roman" w:cs="Times New Roman"/>
                <w:color w:val="000000"/>
                <w:sz w:val="21"/>
                <w:szCs w:val="18"/>
                <w:highlight w:val="none"/>
              </w:rPr>
            </w:pPr>
          </w:p>
        </w:tc>
        <w:tc>
          <w:tcPr>
            <w:tcW w:w="2735" w:type="dxa"/>
            <w:tcBorders>
              <w:tl2br w:val="nil"/>
              <w:tr2bl w:val="nil"/>
            </w:tcBorders>
            <w:noWrap w:val="0"/>
            <w:vAlign w:val="center"/>
          </w:tcPr>
          <w:p w14:paraId="4BF83C08">
            <w:pPr>
              <w:pStyle w:val="2"/>
              <w:jc w:val="center"/>
              <w:rPr>
                <w:rFonts w:hint="eastAsia" w:ascii="Times New Roman" w:hAnsi="Times New Roman" w:cs="Times New Roman"/>
                <w:color w:val="000000"/>
                <w:sz w:val="21"/>
                <w:szCs w:val="18"/>
                <w:highlight w:val="none"/>
                <w:lang w:val="en-US" w:eastAsia="zh-CN"/>
              </w:rPr>
            </w:pPr>
            <w:r>
              <w:rPr>
                <w:rFonts w:hint="eastAsia" w:ascii="Times New Roman" w:hAnsi="Times New Roman" w:cs="Times New Roman"/>
                <w:color w:val="000000"/>
                <w:sz w:val="21"/>
                <w:szCs w:val="18"/>
                <w:highlight w:val="none"/>
                <w:lang w:val="en-US" w:eastAsia="zh-CN"/>
              </w:rPr>
              <w:t>污染影响型</w:t>
            </w:r>
          </w:p>
        </w:tc>
        <w:tc>
          <w:tcPr>
            <w:tcW w:w="2225" w:type="dxa"/>
            <w:vMerge w:val="continue"/>
            <w:tcBorders>
              <w:tl2br w:val="nil"/>
              <w:tr2bl w:val="nil"/>
            </w:tcBorders>
            <w:noWrap w:val="0"/>
            <w:vAlign w:val="center"/>
          </w:tcPr>
          <w:p w14:paraId="52A2D03E">
            <w:pPr>
              <w:jc w:val="center"/>
              <w:rPr>
                <w:rFonts w:hint="default" w:ascii="Times New Roman" w:hAnsi="Times New Roman" w:cs="Times New Roman"/>
                <w:color w:val="000000"/>
                <w:szCs w:val="21"/>
                <w:highlight w:val="none"/>
              </w:rPr>
            </w:pPr>
          </w:p>
        </w:tc>
        <w:tc>
          <w:tcPr>
            <w:tcW w:w="2297" w:type="dxa"/>
            <w:tcBorders>
              <w:tl2br w:val="nil"/>
              <w:tr2bl w:val="nil"/>
            </w:tcBorders>
            <w:noWrap w:val="0"/>
            <w:vAlign w:val="center"/>
          </w:tcPr>
          <w:p w14:paraId="4B976B44">
            <w:pPr>
              <w:jc w:val="center"/>
              <w:rPr>
                <w:rFonts w:hint="eastAsia" w:ascii="Times New Roman" w:hAnsi="Times New Roman" w:cs="Times New Roman"/>
                <w:color w:val="000000"/>
                <w:szCs w:val="18"/>
                <w:highlight w:val="none"/>
                <w:lang w:val="en-US" w:eastAsia="zh-CN"/>
              </w:rPr>
            </w:pPr>
            <w:r>
              <w:rPr>
                <w:rFonts w:hint="eastAsia" w:ascii="Times New Roman" w:hAnsi="Times New Roman" w:cs="Times New Roman"/>
                <w:color w:val="000000"/>
                <w:szCs w:val="18"/>
                <w:highlight w:val="none"/>
                <w:lang w:val="en-US" w:eastAsia="zh-CN"/>
              </w:rPr>
              <w:t>0.2</w:t>
            </w:r>
            <w:r>
              <w:rPr>
                <w:rFonts w:hint="eastAsia" w:ascii="Times New Roman" w:hAnsi="Times New Roman" w:eastAsia="宋体" w:cs="Times New Roman"/>
                <w:color w:val="000000"/>
                <w:kern w:val="0"/>
                <w:sz w:val="21"/>
                <w:szCs w:val="18"/>
                <w:highlight w:val="none"/>
                <w:lang w:val="en-US" w:eastAsia="zh-CN" w:bidi="ar-SA"/>
              </w:rPr>
              <w:t>km范围</w:t>
            </w:r>
          </w:p>
        </w:tc>
      </w:tr>
      <w:tr w14:paraId="41344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restart"/>
            <w:tcBorders>
              <w:tl2br w:val="nil"/>
              <w:tr2bl w:val="nil"/>
            </w:tcBorders>
            <w:noWrap w:val="0"/>
            <w:vAlign w:val="center"/>
          </w:tcPr>
          <w:p w14:paraId="33CD007B">
            <w:pPr>
              <w:pStyle w:val="2"/>
              <w:jc w:val="center"/>
              <w:rPr>
                <w:rFonts w:hint="default" w:ascii="Times New Roman" w:hAnsi="Times New Roman" w:cs="Times New Roman"/>
                <w:color w:val="000000"/>
                <w:sz w:val="21"/>
                <w:szCs w:val="18"/>
                <w:highlight w:val="none"/>
              </w:rPr>
            </w:pPr>
            <w:r>
              <w:rPr>
                <w:rFonts w:hint="default" w:ascii="Times New Roman" w:hAnsi="Times New Roman" w:cs="Times New Roman"/>
                <w:color w:val="000000"/>
                <w:sz w:val="21"/>
                <w:szCs w:val="18"/>
                <w:highlight w:val="none"/>
              </w:rPr>
              <w:t>三级</w:t>
            </w:r>
          </w:p>
        </w:tc>
        <w:tc>
          <w:tcPr>
            <w:tcW w:w="2735" w:type="dxa"/>
            <w:tcBorders>
              <w:tl2br w:val="nil"/>
              <w:tr2bl w:val="nil"/>
            </w:tcBorders>
            <w:noWrap w:val="0"/>
            <w:vAlign w:val="center"/>
          </w:tcPr>
          <w:p w14:paraId="3E0C84A4">
            <w:pPr>
              <w:pStyle w:val="2"/>
              <w:jc w:val="center"/>
              <w:rPr>
                <w:rFonts w:hint="default" w:ascii="Times New Roman" w:hAnsi="Times New Roman" w:cs="Times New Roman"/>
                <w:color w:val="000000"/>
                <w:sz w:val="21"/>
                <w:szCs w:val="18"/>
                <w:highlight w:val="none"/>
              </w:rPr>
            </w:pPr>
            <w:r>
              <w:rPr>
                <w:rFonts w:hint="eastAsia" w:ascii="Times New Roman" w:cs="Times New Roman"/>
                <w:color w:val="000000"/>
                <w:sz w:val="21"/>
                <w:szCs w:val="18"/>
                <w:highlight w:val="none"/>
                <w:lang w:val="en-US" w:eastAsia="zh-CN"/>
              </w:rPr>
              <w:t>生态影响型</w:t>
            </w:r>
          </w:p>
        </w:tc>
        <w:tc>
          <w:tcPr>
            <w:tcW w:w="2225" w:type="dxa"/>
            <w:vMerge w:val="continue"/>
            <w:tcBorders>
              <w:tl2br w:val="nil"/>
              <w:tr2bl w:val="nil"/>
            </w:tcBorders>
            <w:noWrap w:val="0"/>
            <w:vAlign w:val="center"/>
          </w:tcPr>
          <w:p w14:paraId="60F6E7DD">
            <w:pPr>
              <w:jc w:val="center"/>
              <w:rPr>
                <w:rFonts w:hint="eastAsia" w:ascii="Times New Roman" w:hAnsi="Times New Roman" w:eastAsia="宋体" w:cs="Times New Roman"/>
                <w:color w:val="000000"/>
                <w:szCs w:val="21"/>
                <w:highlight w:val="none"/>
                <w:lang w:val="en-US" w:eastAsia="zh-CN"/>
              </w:rPr>
            </w:pPr>
          </w:p>
        </w:tc>
        <w:tc>
          <w:tcPr>
            <w:tcW w:w="2297" w:type="dxa"/>
            <w:tcBorders>
              <w:tl2br w:val="nil"/>
              <w:tr2bl w:val="nil"/>
            </w:tcBorders>
            <w:noWrap w:val="0"/>
            <w:vAlign w:val="center"/>
          </w:tcPr>
          <w:p w14:paraId="3A6F9CD4">
            <w:pPr>
              <w:jc w:val="center"/>
              <w:rPr>
                <w:rFonts w:hint="default" w:ascii="Times New Roman" w:hAnsi="Times New Roman" w:eastAsia="宋体" w:cs="Times New Roman"/>
                <w:color w:val="000000"/>
                <w:szCs w:val="18"/>
                <w:highlight w:val="none"/>
                <w:lang w:val="en-US" w:eastAsia="zh-CN"/>
              </w:rPr>
            </w:pPr>
            <w:r>
              <w:rPr>
                <w:rFonts w:hint="eastAsia" w:cs="Times New Roman"/>
                <w:color w:val="000000"/>
                <w:kern w:val="0"/>
                <w:sz w:val="21"/>
                <w:szCs w:val="18"/>
                <w:highlight w:val="none"/>
                <w:lang w:val="en-US" w:eastAsia="zh-CN" w:bidi="ar-SA"/>
              </w:rPr>
              <w:t>1</w:t>
            </w:r>
            <w:r>
              <w:rPr>
                <w:rFonts w:hint="eastAsia" w:ascii="Times New Roman" w:hAnsi="Times New Roman" w:eastAsia="宋体" w:cs="Times New Roman"/>
                <w:color w:val="000000"/>
                <w:kern w:val="0"/>
                <w:sz w:val="21"/>
                <w:szCs w:val="18"/>
                <w:highlight w:val="none"/>
                <w:lang w:val="en-US" w:eastAsia="zh-CN" w:bidi="ar-SA"/>
              </w:rPr>
              <w:t>km范围</w:t>
            </w:r>
          </w:p>
        </w:tc>
      </w:tr>
      <w:tr w14:paraId="65009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vMerge w:val="continue"/>
            <w:tcBorders>
              <w:tl2br w:val="nil"/>
              <w:tr2bl w:val="nil"/>
            </w:tcBorders>
            <w:noWrap w:val="0"/>
            <w:vAlign w:val="center"/>
          </w:tcPr>
          <w:p w14:paraId="30559347">
            <w:pPr>
              <w:pStyle w:val="2"/>
              <w:jc w:val="center"/>
              <w:rPr>
                <w:rFonts w:hint="default" w:ascii="Times New Roman" w:hAnsi="Times New Roman" w:cs="Times New Roman"/>
                <w:color w:val="000000"/>
                <w:sz w:val="21"/>
                <w:szCs w:val="18"/>
                <w:highlight w:val="none"/>
              </w:rPr>
            </w:pPr>
          </w:p>
        </w:tc>
        <w:tc>
          <w:tcPr>
            <w:tcW w:w="2735" w:type="dxa"/>
            <w:tcBorders>
              <w:tl2br w:val="nil"/>
              <w:tr2bl w:val="nil"/>
            </w:tcBorders>
            <w:noWrap w:val="0"/>
            <w:vAlign w:val="center"/>
          </w:tcPr>
          <w:p w14:paraId="76DF470E">
            <w:pPr>
              <w:pStyle w:val="2"/>
              <w:jc w:val="center"/>
              <w:rPr>
                <w:rFonts w:hint="eastAsia" w:ascii="Times New Roman" w:hAnsi="Times New Roman" w:cs="Times New Roman"/>
                <w:color w:val="000000"/>
                <w:sz w:val="21"/>
                <w:szCs w:val="18"/>
                <w:highlight w:val="none"/>
                <w:lang w:val="en-US" w:eastAsia="zh-CN"/>
              </w:rPr>
            </w:pPr>
            <w:r>
              <w:rPr>
                <w:rFonts w:hint="eastAsia" w:ascii="Times New Roman" w:hAnsi="Times New Roman" w:cs="Times New Roman"/>
                <w:color w:val="000000"/>
                <w:sz w:val="21"/>
                <w:szCs w:val="18"/>
                <w:highlight w:val="none"/>
                <w:lang w:val="en-US" w:eastAsia="zh-CN"/>
              </w:rPr>
              <w:t>污染影响型</w:t>
            </w:r>
          </w:p>
        </w:tc>
        <w:tc>
          <w:tcPr>
            <w:tcW w:w="2225" w:type="dxa"/>
            <w:vMerge w:val="continue"/>
            <w:tcBorders>
              <w:tl2br w:val="nil"/>
              <w:tr2bl w:val="nil"/>
            </w:tcBorders>
            <w:noWrap w:val="0"/>
            <w:vAlign w:val="center"/>
          </w:tcPr>
          <w:p w14:paraId="572AF4D8">
            <w:pPr>
              <w:jc w:val="center"/>
              <w:rPr>
                <w:rFonts w:hint="eastAsia" w:ascii="Times New Roman" w:hAnsi="Times New Roman" w:eastAsia="宋体" w:cs="Times New Roman"/>
                <w:color w:val="000000"/>
                <w:szCs w:val="21"/>
                <w:highlight w:val="none"/>
                <w:lang w:val="en-US" w:eastAsia="zh-CN"/>
              </w:rPr>
            </w:pPr>
          </w:p>
        </w:tc>
        <w:tc>
          <w:tcPr>
            <w:tcW w:w="2297" w:type="dxa"/>
            <w:tcBorders>
              <w:tl2br w:val="nil"/>
              <w:tr2bl w:val="nil"/>
            </w:tcBorders>
            <w:noWrap w:val="0"/>
            <w:vAlign w:val="center"/>
          </w:tcPr>
          <w:p w14:paraId="4C0A311E">
            <w:pPr>
              <w:jc w:val="center"/>
              <w:rPr>
                <w:rFonts w:hint="eastAsia" w:ascii="Times New Roman" w:hAnsi="Times New Roman" w:eastAsia="宋体" w:cs="Times New Roman"/>
                <w:color w:val="000000"/>
                <w:szCs w:val="18"/>
                <w:highlight w:val="none"/>
                <w:lang w:val="en-US" w:eastAsia="zh-CN"/>
              </w:rPr>
            </w:pPr>
            <w:r>
              <w:rPr>
                <w:rFonts w:hint="eastAsia" w:ascii="Times New Roman" w:hAnsi="Times New Roman" w:eastAsia="宋体" w:cs="Times New Roman"/>
                <w:color w:val="000000"/>
                <w:szCs w:val="18"/>
                <w:highlight w:val="none"/>
                <w:lang w:val="en-US" w:eastAsia="zh-CN"/>
              </w:rPr>
              <w:t>0.05km范围</w:t>
            </w:r>
          </w:p>
        </w:tc>
      </w:tr>
      <w:tr w14:paraId="101CC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42" w:type="dxa"/>
            <w:gridSpan w:val="4"/>
            <w:tcBorders>
              <w:tl2br w:val="nil"/>
              <w:tr2bl w:val="nil"/>
            </w:tcBorders>
            <w:noWrap w:val="0"/>
            <w:vAlign w:val="center"/>
          </w:tcPr>
          <w:p w14:paraId="2512BDFA">
            <w:pPr>
              <w:jc w:val="both"/>
              <w:rPr>
                <w:rFonts w:hint="eastAsia" w:ascii="Times New Roman" w:hAnsi="Times New Roman" w:cs="Times New Roman"/>
                <w:color w:val="000000"/>
                <w:szCs w:val="18"/>
                <w:highlight w:val="none"/>
                <w:lang w:val="en-US" w:eastAsia="zh-CN"/>
              </w:rPr>
            </w:pPr>
            <w:r>
              <w:rPr>
                <w:rFonts w:hint="eastAsia" w:ascii="Times New Roman" w:hAnsi="Times New Roman" w:cs="Times New Roman"/>
                <w:color w:val="000000"/>
                <w:szCs w:val="18"/>
                <w:highlight w:val="none"/>
                <w:lang w:val="en-US" w:eastAsia="zh-CN"/>
              </w:rPr>
              <w:t>a涉及大气沉降途径影响的，可根据主导风向下风向的最大落地浓度点适当调整。</w:t>
            </w:r>
          </w:p>
          <w:p w14:paraId="5258D4AA">
            <w:pPr>
              <w:jc w:val="both"/>
              <w:rPr>
                <w:rFonts w:hint="default" w:ascii="Times New Roman" w:hAnsi="Times New Roman" w:eastAsia="宋体" w:cs="Times New Roman"/>
                <w:color w:val="000000"/>
                <w:szCs w:val="18"/>
                <w:highlight w:val="none"/>
                <w:lang w:val="en-US" w:eastAsia="zh-CN"/>
              </w:rPr>
            </w:pPr>
            <w:r>
              <w:rPr>
                <w:rFonts w:hint="eastAsia" w:ascii="Times New Roman" w:hAnsi="Times New Roman" w:cs="Times New Roman"/>
                <w:color w:val="000000"/>
                <w:szCs w:val="18"/>
                <w:highlight w:val="none"/>
                <w:lang w:val="en-US" w:eastAsia="zh-CN"/>
              </w:rPr>
              <w:t>b矿山类项目指开采区与各场地的占地；改、扩建类的指现有工程与拟建工程的占地。</w:t>
            </w:r>
          </w:p>
        </w:tc>
      </w:tr>
    </w:tbl>
    <w:p w14:paraId="55FF34AA">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本项目污染影响型土壤环境评价工作等级为</w:t>
      </w:r>
      <w:r>
        <w:rPr>
          <w:rFonts w:hint="eastAsia" w:cs="Times New Roman"/>
          <w:color w:val="auto"/>
          <w:sz w:val="24"/>
          <w:highlight w:val="none"/>
          <w:lang w:val="en-US" w:eastAsia="zh-CN"/>
        </w:rPr>
        <w:t>三</w:t>
      </w:r>
      <w:r>
        <w:rPr>
          <w:rFonts w:hint="eastAsia" w:ascii="Times New Roman" w:hAnsi="Times New Roman" w:eastAsia="宋体" w:cs="Times New Roman"/>
          <w:color w:val="auto"/>
          <w:sz w:val="24"/>
          <w:highlight w:val="none"/>
          <w:lang w:val="en-US" w:eastAsia="zh-CN"/>
        </w:rPr>
        <w:t>级，土壤调查评价范围</w:t>
      </w:r>
      <w:r>
        <w:rPr>
          <w:rFonts w:hint="eastAsia" w:cs="Times New Roman"/>
          <w:color w:val="auto"/>
          <w:sz w:val="24"/>
          <w:highlight w:val="none"/>
          <w:lang w:val="en-US" w:eastAsia="zh-CN"/>
        </w:rPr>
        <w:t>为场界外50m范围；本项目涉及大气沉降途径影响，主导风向下风向的最大落地浓度点距离为338m</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综上，本项目</w:t>
      </w:r>
      <w:r>
        <w:rPr>
          <w:rFonts w:hint="eastAsia" w:ascii="Times New Roman" w:hAnsi="Times New Roman" w:eastAsia="宋体" w:cs="Times New Roman"/>
          <w:color w:val="auto"/>
          <w:sz w:val="24"/>
          <w:highlight w:val="none"/>
          <w:lang w:val="en-US" w:eastAsia="zh-CN"/>
        </w:rPr>
        <w:t>土壤调查评价范围</w:t>
      </w:r>
      <w:r>
        <w:rPr>
          <w:rFonts w:hint="eastAsia" w:cs="Times New Roman"/>
          <w:color w:val="auto"/>
          <w:sz w:val="24"/>
          <w:highlight w:val="none"/>
          <w:lang w:val="en-US" w:eastAsia="zh-CN"/>
        </w:rPr>
        <w:t>为场界外338m范围</w:t>
      </w:r>
      <w:r>
        <w:rPr>
          <w:rFonts w:hint="eastAsia" w:ascii="Times New Roman" w:hAnsi="Times New Roman" w:eastAsia="宋体" w:cs="Times New Roman"/>
          <w:color w:val="auto"/>
          <w:sz w:val="24"/>
          <w:highlight w:val="none"/>
          <w:lang w:val="en-US" w:eastAsia="zh-CN"/>
        </w:rPr>
        <w:t>。</w:t>
      </w:r>
    </w:p>
    <w:p w14:paraId="37E3F37B">
      <w:pPr>
        <w:pStyle w:val="6"/>
        <w:pageBreakBefore w:val="0"/>
        <w:widowControl w:val="0"/>
        <w:kinsoku/>
        <w:wordWrap/>
        <w:overflowPunct/>
        <w:topLinePunct w:val="0"/>
        <w:autoSpaceDE/>
        <w:autoSpaceDN/>
        <w:bidi w:val="0"/>
        <w:spacing w:before="0" w:beforeLines="0" w:line="360" w:lineRule="auto"/>
        <w:textAlignment w:val="auto"/>
        <w:rPr>
          <w:rFonts w:hint="default"/>
          <w:highlight w:val="none"/>
        </w:rPr>
      </w:pPr>
      <w:bookmarkStart w:id="118" w:name="_Toc17650"/>
      <w:r>
        <w:rPr>
          <w:rFonts w:hint="default"/>
          <w:highlight w:val="none"/>
        </w:rPr>
        <w:t>生态环境</w:t>
      </w:r>
      <w:bookmarkEnd w:id="118"/>
    </w:p>
    <w:p w14:paraId="5871173F">
      <w:pPr>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000000"/>
          <w:kern w:val="0"/>
          <w:sz w:val="24"/>
          <w:szCs w:val="21"/>
          <w:highlight w:val="none"/>
          <w:lang w:val="en-US" w:eastAsia="zh-CN"/>
        </w:rPr>
      </w:pPr>
      <w:r>
        <w:rPr>
          <w:rFonts w:hint="eastAsia" w:cs="Times New Roman"/>
          <w:b/>
          <w:bCs/>
          <w:color w:val="000000"/>
          <w:kern w:val="0"/>
          <w:sz w:val="24"/>
          <w:szCs w:val="21"/>
          <w:highlight w:val="none"/>
          <w:lang w:eastAsia="zh-CN"/>
        </w:rPr>
        <w:t>（</w:t>
      </w:r>
      <w:r>
        <w:rPr>
          <w:rFonts w:hint="eastAsia" w:cs="Times New Roman"/>
          <w:b/>
          <w:bCs/>
          <w:color w:val="000000"/>
          <w:kern w:val="0"/>
          <w:sz w:val="24"/>
          <w:szCs w:val="21"/>
          <w:highlight w:val="none"/>
          <w:lang w:val="en-US" w:eastAsia="zh-CN"/>
        </w:rPr>
        <w:t>1</w:t>
      </w:r>
      <w:r>
        <w:rPr>
          <w:rFonts w:hint="eastAsia" w:cs="Times New Roman"/>
          <w:b/>
          <w:bCs/>
          <w:color w:val="000000"/>
          <w:kern w:val="0"/>
          <w:sz w:val="24"/>
          <w:szCs w:val="21"/>
          <w:highlight w:val="none"/>
          <w:lang w:eastAsia="zh-CN"/>
        </w:rPr>
        <w:t>）</w:t>
      </w:r>
      <w:r>
        <w:rPr>
          <w:rFonts w:hint="eastAsia" w:cs="Times New Roman"/>
          <w:b/>
          <w:bCs/>
          <w:color w:val="000000"/>
          <w:kern w:val="0"/>
          <w:sz w:val="24"/>
          <w:szCs w:val="21"/>
          <w:highlight w:val="none"/>
          <w:lang w:val="en-US" w:eastAsia="zh-CN"/>
        </w:rPr>
        <w:t>生态环境评价等级</w:t>
      </w:r>
    </w:p>
    <w:p w14:paraId="31D5EB54">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000000"/>
          <w:kern w:val="0"/>
          <w:sz w:val="24"/>
          <w:szCs w:val="21"/>
          <w:highlight w:val="none"/>
        </w:rPr>
        <w:t>根据《环境影响评价技术导则 生态影响》（</w:t>
      </w:r>
      <w:r>
        <w:rPr>
          <w:rFonts w:hint="eastAsia" w:cs="Times New Roman"/>
          <w:color w:val="000000"/>
          <w:kern w:val="0"/>
          <w:sz w:val="24"/>
          <w:szCs w:val="21"/>
          <w:highlight w:val="none"/>
          <w:lang w:eastAsia="zh-CN"/>
        </w:rPr>
        <w:t>HJ19-2022</w:t>
      </w:r>
      <w:r>
        <w:rPr>
          <w:rFonts w:hint="default" w:ascii="Times New Roman" w:hAnsi="Times New Roman" w:cs="Times New Roman"/>
          <w:color w:val="000000"/>
          <w:kern w:val="0"/>
          <w:sz w:val="24"/>
          <w:szCs w:val="21"/>
          <w:highlight w:val="none"/>
        </w:rPr>
        <w:t>），</w:t>
      </w:r>
      <w:r>
        <w:rPr>
          <w:rFonts w:hint="default" w:ascii="Times New Roman" w:hAnsi="Times New Roman" w:cs="Times New Roman"/>
          <w:color w:val="auto"/>
          <w:kern w:val="0"/>
          <w:sz w:val="24"/>
          <w:szCs w:val="24"/>
          <w:highlight w:val="none"/>
        </w:rPr>
        <w:t>本项目生态环境影响评价</w:t>
      </w:r>
      <w:r>
        <w:rPr>
          <w:rFonts w:hint="default" w:ascii="Times New Roman" w:hAnsi="Times New Roman" w:cs="Times New Roman"/>
          <w:color w:val="auto"/>
          <w:kern w:val="0"/>
          <w:sz w:val="24"/>
          <w:szCs w:val="24"/>
          <w:highlight w:val="none"/>
          <w:lang w:val="en-US" w:eastAsia="zh-CN"/>
        </w:rPr>
        <w:t>等级按</w:t>
      </w:r>
      <w:r>
        <w:rPr>
          <w:rFonts w:hint="default" w:ascii="Times New Roman" w:hAnsi="Times New Roman" w:cs="Times New Roman"/>
          <w:color w:val="auto"/>
          <w:sz w:val="24"/>
          <w:szCs w:val="24"/>
          <w:highlight w:val="none"/>
          <w:lang w:val="en-US" w:eastAsia="zh-CN"/>
        </w:rPr>
        <w:t>排土场工程判定。</w:t>
      </w:r>
    </w:p>
    <w:p w14:paraId="7A1C82B1">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kern w:val="0"/>
          <w:sz w:val="24"/>
          <w:szCs w:val="21"/>
          <w:highlight w:val="none"/>
        </w:rPr>
      </w:pPr>
      <w:r>
        <w:rPr>
          <w:rFonts w:hint="default" w:ascii="Times New Roman" w:hAnsi="Times New Roman" w:cs="Times New Roman"/>
          <w:color w:val="000000"/>
          <w:kern w:val="0"/>
          <w:sz w:val="24"/>
          <w:szCs w:val="21"/>
          <w:highlight w:val="none"/>
        </w:rPr>
        <w:t>本项目</w:t>
      </w:r>
      <w:r>
        <w:rPr>
          <w:rFonts w:hint="eastAsia" w:cs="Times New Roman"/>
          <w:color w:val="000000"/>
          <w:kern w:val="0"/>
          <w:sz w:val="24"/>
          <w:szCs w:val="21"/>
          <w:highlight w:val="none"/>
          <w:lang w:val="en-US" w:eastAsia="zh-CN"/>
        </w:rPr>
        <w:t>不涉及国家公园、自然保护区、世界自然遗产、重要生境、自然公园；不涉及生态保护红线；</w:t>
      </w:r>
      <w:r>
        <w:rPr>
          <w:rFonts w:hint="default" w:ascii="Times New Roman" w:hAnsi="Times New Roman" w:cs="Times New Roman"/>
          <w:color w:val="000000"/>
          <w:kern w:val="0"/>
          <w:sz w:val="24"/>
          <w:szCs w:val="21"/>
          <w:highlight w:val="none"/>
        </w:rPr>
        <w:t>本项目不涉及水文要素型地表水影响</w:t>
      </w:r>
      <w:r>
        <w:rPr>
          <w:rFonts w:hint="eastAsia" w:cs="Times New Roman"/>
          <w:color w:val="000000"/>
          <w:kern w:val="0"/>
          <w:sz w:val="24"/>
          <w:szCs w:val="21"/>
          <w:highlight w:val="none"/>
          <w:lang w:val="en-US" w:eastAsia="zh-CN"/>
        </w:rPr>
        <w:t>；本项目</w:t>
      </w:r>
      <w:r>
        <w:rPr>
          <w:rFonts w:hint="default" w:ascii="Times New Roman" w:hAnsi="Times New Roman" w:cs="Times New Roman"/>
          <w:color w:val="000000"/>
          <w:kern w:val="0"/>
          <w:sz w:val="24"/>
          <w:szCs w:val="21"/>
          <w:highlight w:val="none"/>
        </w:rPr>
        <w:t>地下水环境影响评价</w:t>
      </w:r>
      <w:r>
        <w:rPr>
          <w:rFonts w:hint="eastAsia" w:cs="Times New Roman"/>
          <w:color w:val="000000"/>
          <w:kern w:val="0"/>
          <w:sz w:val="24"/>
          <w:szCs w:val="21"/>
          <w:highlight w:val="none"/>
          <w:lang w:val="en-US" w:eastAsia="zh-CN"/>
        </w:rPr>
        <w:t>等级为一级</w:t>
      </w:r>
      <w:r>
        <w:rPr>
          <w:rFonts w:hint="eastAsia" w:ascii="Times New Roman" w:hAnsi="Times New Roman" w:cs="Times New Roman"/>
          <w:color w:val="000000"/>
          <w:kern w:val="0"/>
          <w:sz w:val="24"/>
          <w:szCs w:val="21"/>
          <w:highlight w:val="none"/>
          <w:lang w:eastAsia="zh-CN"/>
        </w:rPr>
        <w:t>，</w:t>
      </w:r>
      <w:r>
        <w:rPr>
          <w:rFonts w:hint="eastAsia" w:ascii="Times New Roman" w:hAnsi="Times New Roman" w:cs="Times New Roman"/>
          <w:color w:val="000000"/>
          <w:kern w:val="0"/>
          <w:sz w:val="24"/>
          <w:szCs w:val="21"/>
          <w:highlight w:val="none"/>
          <w:lang w:val="en-US" w:eastAsia="zh-CN"/>
        </w:rPr>
        <w:t>地下水评价范围</w:t>
      </w:r>
      <w:r>
        <w:rPr>
          <w:rFonts w:hint="eastAsia" w:cs="Times New Roman"/>
          <w:color w:val="000000"/>
          <w:kern w:val="0"/>
          <w:sz w:val="24"/>
          <w:szCs w:val="21"/>
          <w:highlight w:val="none"/>
          <w:lang w:val="en-US" w:eastAsia="zh-CN"/>
        </w:rPr>
        <w:t>：</w:t>
      </w:r>
      <w:r>
        <w:rPr>
          <w:rFonts w:hint="eastAsia" w:cs="Times New Roman"/>
          <w:color w:val="auto"/>
          <w:sz w:val="24"/>
          <w:szCs w:val="24"/>
          <w:highlight w:val="none"/>
          <w:lang w:val="en-US" w:eastAsia="zh-CN"/>
        </w:rPr>
        <w:t>北侧、南侧、西侧</w:t>
      </w:r>
      <w:r>
        <w:rPr>
          <w:rFonts w:ascii="Times New Roman"/>
          <w:snapToGrid w:val="0"/>
          <w:color w:val="auto"/>
          <w:kern w:val="0"/>
          <w:sz w:val="24"/>
          <w:szCs w:val="24"/>
          <w:highlight w:val="none"/>
        </w:rPr>
        <w:t>以山脊为零流量边界</w:t>
      </w:r>
      <w:r>
        <w:rPr>
          <w:rFonts w:hint="eastAsia" w:ascii="Times New Roman"/>
          <w:snapToGrid w:val="0"/>
          <w:color w:val="auto"/>
          <w:kern w:val="0"/>
          <w:sz w:val="24"/>
          <w:szCs w:val="24"/>
          <w:highlight w:val="none"/>
          <w:lang w:eastAsia="zh-CN"/>
        </w:rPr>
        <w:t>，</w:t>
      </w:r>
      <w:r>
        <w:rPr>
          <w:rFonts w:hint="eastAsia"/>
          <w:snapToGrid w:val="0"/>
          <w:color w:val="auto"/>
          <w:kern w:val="0"/>
          <w:sz w:val="24"/>
          <w:szCs w:val="24"/>
          <w:highlight w:val="none"/>
          <w:lang w:eastAsia="zh-CN"/>
        </w:rPr>
        <w:t>东侧以兴隆河为定水头边界</w:t>
      </w:r>
      <w:r>
        <w:rPr>
          <w:rFonts w:hint="eastAsia" w:ascii="Times New Roman"/>
          <w:snapToGrid w:val="0"/>
          <w:color w:val="auto"/>
          <w:kern w:val="0"/>
          <w:sz w:val="24"/>
          <w:szCs w:val="24"/>
          <w:highlight w:val="none"/>
        </w:rPr>
        <w:t>，</w:t>
      </w:r>
      <w:r>
        <w:rPr>
          <w:rFonts w:ascii="Times New Roman"/>
          <w:color w:val="auto"/>
          <w:spacing w:val="-4"/>
          <w:sz w:val="24"/>
          <w:szCs w:val="24"/>
          <w:highlight w:val="none"/>
        </w:rPr>
        <w:t>评价面积为</w:t>
      </w:r>
      <w:r>
        <w:rPr>
          <w:rFonts w:hint="eastAsia"/>
          <w:color w:val="auto"/>
          <w:spacing w:val="-4"/>
          <w:sz w:val="24"/>
          <w:szCs w:val="24"/>
          <w:highlight w:val="none"/>
          <w:lang w:val="en-US" w:eastAsia="zh-CN"/>
        </w:rPr>
        <w:t>4.38k</w:t>
      </w:r>
      <w:r>
        <w:rPr>
          <w:rFonts w:ascii="Times New Roman"/>
          <w:color w:val="auto"/>
          <w:spacing w:val="-4"/>
          <w:sz w:val="24"/>
          <w:szCs w:val="24"/>
          <w:highlight w:val="none"/>
        </w:rPr>
        <w:t>m</w:t>
      </w:r>
      <w:r>
        <w:rPr>
          <w:rFonts w:ascii="Times New Roman"/>
          <w:color w:val="auto"/>
          <w:spacing w:val="-4"/>
          <w:sz w:val="24"/>
          <w:szCs w:val="24"/>
          <w:highlight w:val="none"/>
          <w:vertAlign w:val="superscript"/>
        </w:rPr>
        <w:t>2</w:t>
      </w:r>
      <w:r>
        <w:rPr>
          <w:rFonts w:hint="eastAsia" w:cs="Times New Roman"/>
          <w:color w:val="000000"/>
          <w:kern w:val="0"/>
          <w:sz w:val="24"/>
          <w:szCs w:val="21"/>
          <w:highlight w:val="none"/>
          <w:lang w:val="en-US" w:eastAsia="zh-CN"/>
        </w:rPr>
        <w:t>，</w:t>
      </w:r>
      <w:r>
        <w:rPr>
          <w:rFonts w:hint="eastAsia" w:ascii="Times New Roman" w:hAnsi="Times New Roman" w:cs="Times New Roman"/>
          <w:color w:val="000000"/>
          <w:kern w:val="0"/>
          <w:sz w:val="24"/>
          <w:szCs w:val="21"/>
          <w:highlight w:val="none"/>
          <w:lang w:val="en-US" w:eastAsia="zh-CN"/>
        </w:rPr>
        <w:t>土壤影响评价范围</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场界外338m范围</w:t>
      </w:r>
      <w:r>
        <w:rPr>
          <w:rFonts w:hint="eastAsia" w:ascii="Times New Roman" w:hAnsi="Times New Roman" w:eastAsia="宋体" w:cs="Times New Roman"/>
          <w:color w:val="auto"/>
          <w:sz w:val="24"/>
          <w:highlight w:val="none"/>
          <w:lang w:val="en-US" w:eastAsia="zh-CN"/>
        </w:rPr>
        <w:t>，该范围内无天然林、公益林、湿地等生态保护目标</w:t>
      </w:r>
      <w:r>
        <w:rPr>
          <w:rFonts w:hint="eastAsia" w:cs="Times New Roman"/>
          <w:color w:val="auto"/>
          <w:sz w:val="24"/>
          <w:highlight w:val="none"/>
          <w:lang w:val="en-US" w:eastAsia="zh-CN"/>
        </w:rPr>
        <w:t>；</w:t>
      </w:r>
      <w:r>
        <w:rPr>
          <w:rFonts w:hint="default" w:ascii="Times New Roman" w:hAnsi="Times New Roman" w:eastAsia="宋体" w:cs="Times New Roman"/>
          <w:color w:val="auto"/>
          <w:kern w:val="0"/>
          <w:sz w:val="24"/>
          <w:szCs w:val="21"/>
          <w:highlight w:val="none"/>
          <w:lang w:val="en-US" w:eastAsia="zh-CN"/>
        </w:rPr>
        <w:t>本项目</w:t>
      </w:r>
      <w:r>
        <w:rPr>
          <w:rFonts w:hint="default" w:ascii="Times New Roman" w:hAnsi="Times New Roman" w:eastAsia="宋体" w:cs="Times New Roman"/>
          <w:color w:val="auto"/>
          <w:sz w:val="24"/>
          <w:highlight w:val="none"/>
          <w:lang w:val="en-US" w:eastAsia="zh-CN"/>
        </w:rPr>
        <w:t>占地</w:t>
      </w:r>
      <w:r>
        <w:rPr>
          <w:rFonts w:hint="eastAsia" w:ascii="Times New Roman" w:hAnsi="Times New Roman" w:eastAsia="宋体" w:cs="Times New Roman"/>
          <w:color w:val="auto"/>
          <w:sz w:val="24"/>
          <w:highlight w:val="none"/>
          <w:lang w:val="en-US" w:eastAsia="zh-CN"/>
        </w:rPr>
        <w:t>面积</w:t>
      </w:r>
      <w:r>
        <w:rPr>
          <w:rFonts w:hint="eastAsia" w:ascii="Times New Roman" w:hAnsi="Times New Roman" w:eastAsia="宋体"/>
          <w:color w:val="auto"/>
          <w:sz w:val="24"/>
          <w:szCs w:val="24"/>
          <w:highlight w:val="none"/>
          <w:lang w:val="en-US" w:eastAsia="zh-CN"/>
        </w:rPr>
        <w:t>0.39km</w:t>
      </w:r>
      <w:r>
        <w:rPr>
          <w:rFonts w:hint="eastAsia" w:ascii="Times New Roman" w:hAnsi="Times New Roman" w:eastAsia="宋体"/>
          <w:color w:val="auto"/>
          <w:sz w:val="24"/>
          <w:szCs w:val="24"/>
          <w:highlight w:val="none"/>
          <w:vertAlign w:val="superscript"/>
          <w:lang w:val="en-US" w:eastAsia="zh-CN"/>
        </w:rPr>
        <w:t>2</w:t>
      </w:r>
      <w:r>
        <w:rPr>
          <w:rFonts w:hint="eastAsia" w:cs="Times New Roman"/>
          <w:color w:val="auto"/>
          <w:kern w:val="0"/>
          <w:sz w:val="24"/>
          <w:szCs w:val="21"/>
          <w:highlight w:val="none"/>
          <w:lang w:val="en-US" w:eastAsia="zh-CN"/>
        </w:rPr>
        <w:t>＜20</w:t>
      </w:r>
      <w:r>
        <w:rPr>
          <w:rFonts w:hint="eastAsia" w:ascii="Times New Roman" w:hAnsi="Times New Roman" w:eastAsia="宋体"/>
          <w:color w:val="auto"/>
          <w:sz w:val="24"/>
          <w:szCs w:val="24"/>
          <w:highlight w:val="none"/>
          <w:lang w:val="en-US" w:eastAsia="zh-CN"/>
        </w:rPr>
        <w:t>km</w:t>
      </w:r>
      <w:r>
        <w:rPr>
          <w:rFonts w:hint="eastAsia" w:ascii="Times New Roman" w:hAnsi="Times New Roman" w:eastAsia="宋体"/>
          <w:color w:val="auto"/>
          <w:sz w:val="24"/>
          <w:szCs w:val="24"/>
          <w:highlight w:val="none"/>
          <w:vertAlign w:val="superscript"/>
          <w:lang w:val="en-US" w:eastAsia="zh-CN"/>
        </w:rPr>
        <w:t>2</w:t>
      </w:r>
      <w:r>
        <w:rPr>
          <w:rFonts w:hint="eastAsia" w:cs="Times New Roman"/>
          <w:color w:val="auto"/>
          <w:kern w:val="0"/>
          <w:sz w:val="24"/>
          <w:szCs w:val="21"/>
          <w:highlight w:val="none"/>
          <w:lang w:val="en-US" w:eastAsia="zh-CN"/>
        </w:rPr>
        <w:t>，评价等级为三级</w:t>
      </w:r>
      <w:r>
        <w:rPr>
          <w:rFonts w:hint="default" w:ascii="Times New Roman" w:hAnsi="Times New Roman" w:cs="Times New Roman"/>
          <w:color w:val="auto"/>
          <w:kern w:val="0"/>
          <w:sz w:val="24"/>
          <w:szCs w:val="21"/>
          <w:highlight w:val="none"/>
        </w:rPr>
        <w:t>。</w:t>
      </w:r>
    </w:p>
    <w:p w14:paraId="7935152A">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vertAlign w:val="superscript"/>
          <w:lang w:val="en-US" w:eastAsia="zh-CN"/>
        </w:rPr>
      </w:pPr>
      <w:r>
        <w:rPr>
          <w:rFonts w:hint="eastAsia" w:cs="Times New Roman"/>
          <w:color w:val="auto"/>
          <w:kern w:val="0"/>
          <w:sz w:val="24"/>
          <w:szCs w:val="21"/>
          <w:highlight w:val="none"/>
          <w:lang w:val="en-US" w:eastAsia="zh-CN"/>
        </w:rPr>
        <w:t>综上，本项目生态环境评价等级为</w:t>
      </w:r>
      <w:r>
        <w:rPr>
          <w:rFonts w:hint="eastAsia" w:cs="Times New Roman"/>
          <w:b/>
          <w:bCs/>
          <w:color w:val="auto"/>
          <w:kern w:val="0"/>
          <w:sz w:val="24"/>
          <w:szCs w:val="21"/>
          <w:highlight w:val="none"/>
          <w:lang w:val="en-US" w:eastAsia="zh-CN"/>
        </w:rPr>
        <w:t>三级</w:t>
      </w:r>
      <w:r>
        <w:rPr>
          <w:rFonts w:hint="eastAsia" w:cs="Times New Roman"/>
          <w:color w:val="auto"/>
          <w:kern w:val="0"/>
          <w:sz w:val="24"/>
          <w:szCs w:val="21"/>
          <w:highlight w:val="none"/>
          <w:lang w:val="en-US" w:eastAsia="zh-CN"/>
        </w:rPr>
        <w:t>。</w:t>
      </w:r>
    </w:p>
    <w:p w14:paraId="1A54F05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eastAsia="宋体"/>
          <w:b/>
          <w:bCs/>
          <w:sz w:val="24"/>
          <w:szCs w:val="24"/>
          <w:highlight w:val="none"/>
          <w:lang w:val="en-US" w:eastAsia="zh-CN"/>
        </w:rPr>
      </w:pPr>
      <w:r>
        <w:rPr>
          <w:rFonts w:hint="eastAsia"/>
          <w:b/>
          <w:bCs/>
          <w:sz w:val="24"/>
          <w:szCs w:val="24"/>
          <w:highlight w:val="none"/>
          <w:lang w:eastAsia="zh-CN"/>
        </w:rPr>
        <w:t>（</w:t>
      </w:r>
      <w:r>
        <w:rPr>
          <w:rFonts w:hint="eastAsia"/>
          <w:b/>
          <w:bCs/>
          <w:sz w:val="24"/>
          <w:szCs w:val="24"/>
          <w:highlight w:val="none"/>
          <w:lang w:val="en-US" w:eastAsia="zh-CN"/>
        </w:rPr>
        <w:t>2</w:t>
      </w:r>
      <w:r>
        <w:rPr>
          <w:rFonts w:hint="eastAsia"/>
          <w:b/>
          <w:bCs/>
          <w:sz w:val="24"/>
          <w:szCs w:val="24"/>
          <w:highlight w:val="none"/>
          <w:lang w:eastAsia="zh-CN"/>
        </w:rPr>
        <w:t>）</w:t>
      </w:r>
      <w:r>
        <w:rPr>
          <w:rFonts w:hint="eastAsia"/>
          <w:b/>
          <w:bCs/>
          <w:sz w:val="24"/>
          <w:szCs w:val="24"/>
          <w:highlight w:val="none"/>
          <w:lang w:val="en-US" w:eastAsia="zh-CN"/>
        </w:rPr>
        <w:t>生态环境评价范围</w:t>
      </w:r>
    </w:p>
    <w:p w14:paraId="21E46AC4">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bCs/>
          <w:color w:val="auto"/>
          <w:sz w:val="24"/>
          <w:szCs w:val="24"/>
          <w:highlight w:val="none"/>
          <w:lang w:eastAsia="zh-CN"/>
        </w:rPr>
      </w:pPr>
      <w:r>
        <w:rPr>
          <w:rFonts w:ascii="Times New Roman" w:hAnsi="Times New Roman"/>
          <w:color w:val="auto"/>
          <w:sz w:val="24"/>
          <w:szCs w:val="24"/>
          <w:highlight w:val="none"/>
        </w:rPr>
        <w:t>根据</w:t>
      </w:r>
      <w:r>
        <w:rPr>
          <w:rFonts w:hint="default" w:ascii="Times New Roman" w:hAnsi="Times New Roman" w:cs="Times New Roman"/>
          <w:color w:val="000000"/>
          <w:kern w:val="0"/>
          <w:sz w:val="24"/>
          <w:szCs w:val="21"/>
          <w:highlight w:val="none"/>
        </w:rPr>
        <w:t>《环境影响评价技术导则 生态影响》（</w:t>
      </w:r>
      <w:r>
        <w:rPr>
          <w:rFonts w:hint="eastAsia" w:cs="Times New Roman"/>
          <w:color w:val="000000"/>
          <w:kern w:val="0"/>
          <w:sz w:val="24"/>
          <w:szCs w:val="21"/>
          <w:highlight w:val="none"/>
          <w:lang w:eastAsia="zh-CN"/>
        </w:rPr>
        <w:t>HJ19-2022</w:t>
      </w:r>
      <w:r>
        <w:rPr>
          <w:rFonts w:hint="default" w:ascii="Times New Roman" w:hAnsi="Times New Roman" w:cs="Times New Roman"/>
          <w:color w:val="000000"/>
          <w:kern w:val="0"/>
          <w:sz w:val="24"/>
          <w:szCs w:val="21"/>
          <w:highlight w:val="none"/>
        </w:rPr>
        <w:t>）</w:t>
      </w:r>
      <w:r>
        <w:rPr>
          <w:rFonts w:hint="eastAsia" w:ascii="Times New Roman" w:hAnsi="Times New Roman"/>
          <w:color w:val="auto"/>
          <w:sz w:val="24"/>
          <w:szCs w:val="24"/>
          <w:highlight w:val="none"/>
        </w:rPr>
        <w:t>要求，</w:t>
      </w:r>
      <w:r>
        <w:rPr>
          <w:rFonts w:hint="eastAsia" w:ascii="Times New Roman" w:hAnsi="Times New Roman"/>
          <w:color w:val="auto"/>
          <w:sz w:val="24"/>
          <w:szCs w:val="24"/>
          <w:highlight w:val="none"/>
          <w:lang w:val="en-US" w:eastAsia="zh-CN"/>
        </w:rPr>
        <w:t>本项目生态环境影响评价范围：</w:t>
      </w:r>
      <w:r>
        <w:rPr>
          <w:rFonts w:hint="eastAsia" w:cs="Times New Roman"/>
          <w:color w:val="auto"/>
          <w:sz w:val="24"/>
          <w:highlight w:val="none"/>
          <w:lang w:val="en-US" w:eastAsia="zh-CN"/>
        </w:rPr>
        <w:t>项目占地</w:t>
      </w:r>
      <w:r>
        <w:rPr>
          <w:rFonts w:hint="eastAsia" w:ascii="Times New Roman" w:hAnsi="Times New Roman" w:eastAsia="宋体" w:cs="Times New Roman"/>
          <w:color w:val="auto"/>
          <w:sz w:val="24"/>
          <w:highlight w:val="none"/>
          <w:lang w:val="en-US" w:eastAsia="zh-CN"/>
        </w:rPr>
        <w:t>范</w:t>
      </w:r>
      <w:r>
        <w:rPr>
          <w:rFonts w:hint="eastAsia" w:ascii="Times New Roman" w:hAnsi="Times New Roman" w:eastAsia="宋体" w:cs="Times New Roman"/>
          <w:b w:val="0"/>
          <w:bCs w:val="0"/>
          <w:color w:val="auto"/>
          <w:sz w:val="24"/>
          <w:highlight w:val="none"/>
          <w:lang w:val="en-US" w:eastAsia="zh-CN"/>
        </w:rPr>
        <w:t>围</w:t>
      </w:r>
      <w:r>
        <w:rPr>
          <w:rFonts w:hint="eastAsia" w:ascii="Times New Roman" w:hAnsi="Times New Roman" w:cs="Times New Roman"/>
          <w:b w:val="0"/>
          <w:bCs w:val="0"/>
          <w:color w:val="auto"/>
          <w:sz w:val="24"/>
          <w:szCs w:val="24"/>
          <w:highlight w:val="none"/>
          <w:lang w:eastAsia="zh-CN"/>
        </w:rPr>
        <w:t>。</w:t>
      </w:r>
    </w:p>
    <w:p w14:paraId="1B745524">
      <w:pPr>
        <w:pStyle w:val="6"/>
        <w:pageBreakBefore w:val="0"/>
        <w:widowControl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highlight w:val="none"/>
        </w:rPr>
      </w:pPr>
      <w:bookmarkStart w:id="119" w:name="_Toc14110"/>
      <w:r>
        <w:rPr>
          <w:rFonts w:hint="default" w:ascii="Times New Roman" w:hAnsi="Times New Roman" w:cs="Times New Roman"/>
          <w:color w:val="000000"/>
          <w:highlight w:val="none"/>
        </w:rPr>
        <w:t>环境风险</w:t>
      </w:r>
      <w:bookmarkEnd w:id="119"/>
    </w:p>
    <w:p w14:paraId="7755452A">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rPr>
        <w:t>（1）环境风险潜势初判</w:t>
      </w:r>
    </w:p>
    <w:p w14:paraId="02F22081">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rPr>
        <w:t>本项目为铁矿采选企业配套排土场</w:t>
      </w:r>
      <w:r>
        <w:rPr>
          <w:rFonts w:hint="eastAsia"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rPr>
        <w:t>项目铁矿石所含的金属以铁元素为主，其他金属含量较低，且多为稳定态化合物，本项目排土场接纳的废石属一般固体废物</w:t>
      </w:r>
      <w:r>
        <w:rPr>
          <w:rFonts w:hint="eastAsia" w:cs="Times New Roman"/>
          <w:color w:val="000000"/>
          <w:kern w:val="0"/>
          <w:sz w:val="24"/>
          <w:szCs w:val="21"/>
          <w:highlight w:val="none"/>
          <w:lang w:eastAsia="zh-CN"/>
        </w:rPr>
        <w:t>；</w:t>
      </w:r>
      <w:r>
        <w:rPr>
          <w:rFonts w:hint="eastAsia" w:cs="Times New Roman"/>
          <w:color w:val="000000"/>
          <w:kern w:val="0"/>
          <w:sz w:val="24"/>
          <w:szCs w:val="21"/>
          <w:highlight w:val="none"/>
          <w:lang w:val="en-US" w:eastAsia="zh-CN"/>
        </w:rPr>
        <w:t>项目使用机械设备、车辆厂外维修站维修，不涉及废油</w:t>
      </w:r>
      <w:r>
        <w:rPr>
          <w:rFonts w:hint="default" w:ascii="Times New Roman" w:hAnsi="Times New Roman" w:eastAsia="宋体" w:cs="Times New Roman"/>
          <w:color w:val="000000"/>
          <w:kern w:val="0"/>
          <w:sz w:val="24"/>
          <w:szCs w:val="21"/>
          <w:highlight w:val="none"/>
        </w:rPr>
        <w:t>。因此，不存在风险物质，本项目环境风险潜势为Ⅰ。</w:t>
      </w:r>
    </w:p>
    <w:p w14:paraId="50BDA3EE">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rPr>
        <w:t>（2）环境风险评价等级</w:t>
      </w:r>
    </w:p>
    <w:p w14:paraId="36247947">
      <w:pPr>
        <w:pageBreakBefore w:val="0"/>
        <w:widowControl w:val="0"/>
        <w:kinsoku/>
        <w:wordWrap/>
        <w:overflowPunct/>
        <w:topLinePunct w:val="0"/>
        <w:autoSpaceDE/>
        <w:autoSpaceDN/>
        <w:bidi w:val="0"/>
        <w:spacing w:line="360" w:lineRule="auto"/>
        <w:ind w:firstLine="480" w:firstLineChars="200"/>
        <w:textAlignment w:val="auto"/>
        <w:rPr>
          <w:rFonts w:hint="eastAsia" w:cs="Times New Roman"/>
          <w:color w:val="000000"/>
          <w:kern w:val="0"/>
          <w:sz w:val="24"/>
          <w:szCs w:val="21"/>
          <w:highlight w:val="none"/>
          <w:lang w:eastAsia="zh-CN"/>
        </w:rPr>
      </w:pPr>
      <w:r>
        <w:rPr>
          <w:rFonts w:hint="default" w:ascii="Times New Roman" w:hAnsi="Times New Roman" w:eastAsia="宋体" w:cs="Times New Roman"/>
          <w:color w:val="000000"/>
          <w:kern w:val="0"/>
          <w:sz w:val="24"/>
          <w:szCs w:val="21"/>
          <w:highlight w:val="none"/>
        </w:rPr>
        <w:t>环境风险评价工作等级划分为一级、二级、三级。风险潜势为Ⅳ及以上，进行一级评价；风险潜势为Ⅲ，进行二级评价；风险潜势为Ⅱ，进行三级评价；风险潜势为Ⅰ，可开展简单分析。按照</w:t>
      </w:r>
      <w:r>
        <w:rPr>
          <w:rFonts w:hint="eastAsia" w:ascii="Times New Roman" w:hAnsi="Times New Roman" w:eastAsia="宋体" w:cs="Times New Roman"/>
          <w:color w:val="000000"/>
          <w:kern w:val="0"/>
          <w:sz w:val="24"/>
          <w:szCs w:val="21"/>
          <w:highlight w:val="none"/>
          <w:lang w:val="en-US" w:eastAsia="zh-CN"/>
        </w:rPr>
        <w:t>下表</w:t>
      </w:r>
      <w:r>
        <w:rPr>
          <w:rFonts w:hint="default" w:ascii="Times New Roman" w:hAnsi="Times New Roman" w:eastAsia="宋体" w:cs="Times New Roman"/>
          <w:color w:val="000000"/>
          <w:kern w:val="0"/>
          <w:sz w:val="24"/>
          <w:szCs w:val="21"/>
          <w:highlight w:val="none"/>
        </w:rPr>
        <w:t>确定评价工作等级</w:t>
      </w:r>
      <w:r>
        <w:rPr>
          <w:rFonts w:hint="eastAsia" w:cs="Times New Roman"/>
          <w:color w:val="000000"/>
          <w:kern w:val="0"/>
          <w:sz w:val="24"/>
          <w:szCs w:val="21"/>
          <w:highlight w:val="none"/>
          <w:lang w:eastAsia="zh-CN"/>
        </w:rPr>
        <w:t>。</w:t>
      </w:r>
    </w:p>
    <w:p w14:paraId="3B614C60">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45"/>
          <w:rFonts w:ascii="Times New Roman"/>
          <w:color w:val="auto"/>
          <w:szCs w:val="21"/>
          <w:highlight w:val="none"/>
        </w:rPr>
      </w:pPr>
      <w:r>
        <w:rPr>
          <w:rStyle w:val="145"/>
          <w:rFonts w:ascii="Times New Roman"/>
          <w:color w:val="auto"/>
          <w:szCs w:val="21"/>
          <w:highlight w:val="none"/>
        </w:rPr>
        <w:t>评价工作等级划分</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1705"/>
        <w:gridCol w:w="1705"/>
        <w:gridCol w:w="1705"/>
        <w:gridCol w:w="1705"/>
      </w:tblGrid>
      <w:tr w14:paraId="27F96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0" w:type="pct"/>
            <w:noWrap w:val="0"/>
            <w:vAlign w:val="center"/>
          </w:tcPr>
          <w:p w14:paraId="1A7D97E1">
            <w:pPr>
              <w:adjustRightInd w:val="0"/>
              <w:snapToGrid w:val="0"/>
              <w:spacing w:line="240" w:lineRule="auto"/>
              <w:jc w:val="center"/>
              <w:rPr>
                <w:rFonts w:ascii="Times New Roman"/>
                <w:b/>
                <w:bCs/>
                <w:color w:val="auto"/>
                <w:sz w:val="21"/>
                <w:szCs w:val="21"/>
                <w:highlight w:val="none"/>
              </w:rPr>
            </w:pPr>
            <w:r>
              <w:rPr>
                <w:rFonts w:ascii="Times New Roman"/>
                <w:b/>
                <w:bCs/>
                <w:color w:val="auto"/>
                <w:sz w:val="21"/>
                <w:szCs w:val="21"/>
                <w:highlight w:val="none"/>
              </w:rPr>
              <w:t>环境风险潜势</w:t>
            </w:r>
          </w:p>
        </w:tc>
        <w:tc>
          <w:tcPr>
            <w:tcW w:w="1000" w:type="pct"/>
            <w:noWrap w:val="0"/>
            <w:vAlign w:val="center"/>
          </w:tcPr>
          <w:p w14:paraId="7876EE6A">
            <w:pPr>
              <w:adjustRightInd w:val="0"/>
              <w:snapToGrid w:val="0"/>
              <w:spacing w:line="240" w:lineRule="auto"/>
              <w:jc w:val="center"/>
              <w:rPr>
                <w:rFonts w:ascii="Times New Roman"/>
                <w:b/>
                <w:bCs/>
                <w:color w:val="auto"/>
                <w:sz w:val="21"/>
                <w:szCs w:val="21"/>
                <w:highlight w:val="none"/>
              </w:rPr>
            </w:pPr>
            <w:r>
              <w:rPr>
                <w:rFonts w:ascii="Times New Roman"/>
                <w:b/>
                <w:bCs/>
                <w:color w:val="auto"/>
                <w:sz w:val="21"/>
                <w:szCs w:val="21"/>
                <w:highlight w:val="none"/>
              </w:rPr>
              <w:t>Ⅳ、Ⅳ+</w:t>
            </w:r>
          </w:p>
        </w:tc>
        <w:tc>
          <w:tcPr>
            <w:tcW w:w="1000" w:type="pct"/>
            <w:noWrap w:val="0"/>
            <w:vAlign w:val="center"/>
          </w:tcPr>
          <w:p w14:paraId="433D398E">
            <w:pPr>
              <w:adjustRightInd w:val="0"/>
              <w:snapToGrid w:val="0"/>
              <w:spacing w:line="240" w:lineRule="auto"/>
              <w:jc w:val="center"/>
              <w:rPr>
                <w:rFonts w:ascii="Times New Roman"/>
                <w:b/>
                <w:bCs/>
                <w:color w:val="auto"/>
                <w:sz w:val="21"/>
                <w:szCs w:val="21"/>
                <w:highlight w:val="none"/>
              </w:rPr>
            </w:pPr>
            <w:r>
              <w:rPr>
                <w:rFonts w:ascii="Times New Roman"/>
                <w:b/>
                <w:bCs/>
                <w:color w:val="auto"/>
                <w:sz w:val="21"/>
                <w:szCs w:val="21"/>
                <w:highlight w:val="none"/>
              </w:rPr>
              <w:t>Ⅲ</w:t>
            </w:r>
          </w:p>
        </w:tc>
        <w:tc>
          <w:tcPr>
            <w:tcW w:w="1000" w:type="pct"/>
            <w:noWrap w:val="0"/>
            <w:vAlign w:val="center"/>
          </w:tcPr>
          <w:p w14:paraId="350A4395">
            <w:pPr>
              <w:adjustRightInd w:val="0"/>
              <w:snapToGrid w:val="0"/>
              <w:spacing w:line="240" w:lineRule="auto"/>
              <w:jc w:val="center"/>
              <w:rPr>
                <w:rFonts w:ascii="Times New Roman"/>
                <w:b/>
                <w:bCs/>
                <w:color w:val="auto"/>
                <w:sz w:val="21"/>
                <w:szCs w:val="21"/>
                <w:highlight w:val="none"/>
              </w:rPr>
            </w:pPr>
            <w:r>
              <w:rPr>
                <w:rFonts w:ascii="Times New Roman"/>
                <w:b/>
                <w:bCs/>
                <w:color w:val="auto"/>
                <w:sz w:val="21"/>
                <w:szCs w:val="21"/>
                <w:highlight w:val="none"/>
              </w:rPr>
              <w:t>Ⅱ</w:t>
            </w:r>
          </w:p>
        </w:tc>
        <w:tc>
          <w:tcPr>
            <w:tcW w:w="1000" w:type="pct"/>
            <w:noWrap w:val="0"/>
            <w:vAlign w:val="center"/>
          </w:tcPr>
          <w:p w14:paraId="22DC26C9">
            <w:pPr>
              <w:adjustRightInd w:val="0"/>
              <w:snapToGrid w:val="0"/>
              <w:spacing w:line="240" w:lineRule="auto"/>
              <w:jc w:val="center"/>
              <w:rPr>
                <w:rFonts w:ascii="Times New Roman"/>
                <w:b/>
                <w:bCs/>
                <w:color w:val="auto"/>
                <w:sz w:val="21"/>
                <w:szCs w:val="21"/>
                <w:highlight w:val="none"/>
              </w:rPr>
            </w:pPr>
            <w:r>
              <w:rPr>
                <w:rFonts w:ascii="Times New Roman"/>
                <w:b/>
                <w:bCs/>
                <w:color w:val="auto"/>
                <w:sz w:val="21"/>
                <w:szCs w:val="21"/>
                <w:highlight w:val="none"/>
              </w:rPr>
              <w:t>Ⅰ</w:t>
            </w:r>
          </w:p>
        </w:tc>
      </w:tr>
      <w:tr w14:paraId="2A493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0" w:type="pct"/>
            <w:noWrap w:val="0"/>
            <w:vAlign w:val="center"/>
          </w:tcPr>
          <w:p w14:paraId="4288E5C6">
            <w:pPr>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评价工作等级</w:t>
            </w:r>
          </w:p>
        </w:tc>
        <w:tc>
          <w:tcPr>
            <w:tcW w:w="1000" w:type="pct"/>
            <w:noWrap w:val="0"/>
            <w:vAlign w:val="center"/>
          </w:tcPr>
          <w:p w14:paraId="3569C61A">
            <w:pPr>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一</w:t>
            </w:r>
          </w:p>
        </w:tc>
        <w:tc>
          <w:tcPr>
            <w:tcW w:w="1000" w:type="pct"/>
            <w:noWrap w:val="0"/>
            <w:vAlign w:val="center"/>
          </w:tcPr>
          <w:p w14:paraId="677249F6">
            <w:pPr>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二</w:t>
            </w:r>
          </w:p>
        </w:tc>
        <w:tc>
          <w:tcPr>
            <w:tcW w:w="1000" w:type="pct"/>
            <w:noWrap w:val="0"/>
            <w:vAlign w:val="center"/>
          </w:tcPr>
          <w:p w14:paraId="24EFA2F5">
            <w:pPr>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三</w:t>
            </w:r>
          </w:p>
        </w:tc>
        <w:tc>
          <w:tcPr>
            <w:tcW w:w="1000" w:type="pct"/>
            <w:noWrap w:val="0"/>
            <w:vAlign w:val="center"/>
          </w:tcPr>
          <w:p w14:paraId="4F796ADA">
            <w:pPr>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简单分析</w:t>
            </w:r>
          </w:p>
        </w:tc>
      </w:tr>
    </w:tbl>
    <w:p w14:paraId="4EAF5DB0">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rPr>
        <w:t>本项目环境风险潜势为Ⅰ，本项目环境风险价为简单分析。</w:t>
      </w:r>
    </w:p>
    <w:p w14:paraId="76349C10">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kern w:val="0"/>
          <w:sz w:val="24"/>
          <w:szCs w:val="21"/>
          <w:highlight w:val="none"/>
        </w:rPr>
      </w:pPr>
      <w:r>
        <w:rPr>
          <w:rFonts w:hint="eastAsia" w:ascii="Times New Roman" w:hAnsi="Times New Roman" w:eastAsia="宋体" w:cs="Times New Roman"/>
          <w:color w:val="000000"/>
          <w:kern w:val="0"/>
          <w:sz w:val="24"/>
          <w:szCs w:val="21"/>
          <w:highlight w:val="none"/>
          <w:lang w:eastAsia="zh-CN"/>
        </w:rPr>
        <w:t>根据项目特点，</w:t>
      </w:r>
      <w:r>
        <w:rPr>
          <w:rFonts w:hint="default" w:ascii="Times New Roman" w:hAnsi="Times New Roman" w:eastAsia="宋体" w:cs="Times New Roman"/>
          <w:color w:val="000000"/>
          <w:kern w:val="0"/>
          <w:sz w:val="24"/>
          <w:szCs w:val="21"/>
          <w:highlight w:val="none"/>
        </w:rPr>
        <w:t>排土场在运行过程可能存在着一定的环境风险，如排土场溃坝、强降雨、危险废物混入等，</w:t>
      </w:r>
      <w:r>
        <w:rPr>
          <w:rFonts w:hint="eastAsia" w:ascii="Times New Roman" w:hAnsi="Times New Roman" w:eastAsia="宋体" w:cs="Times New Roman"/>
          <w:color w:val="000000"/>
          <w:kern w:val="0"/>
          <w:sz w:val="24"/>
          <w:szCs w:val="21"/>
          <w:highlight w:val="none"/>
          <w:lang w:eastAsia="zh-CN"/>
        </w:rPr>
        <w:t>故需要对上述环境风险因素进行简单分析。</w:t>
      </w:r>
    </w:p>
    <w:p w14:paraId="184A5303">
      <w:pPr>
        <w:pStyle w:val="6"/>
        <w:pageBreakBefore w:val="0"/>
        <w:widowControl w:val="0"/>
        <w:kinsoku/>
        <w:wordWrap/>
        <w:overflowPunct/>
        <w:topLinePunct w:val="0"/>
        <w:autoSpaceDE/>
        <w:autoSpaceDN/>
        <w:bidi w:val="0"/>
        <w:spacing w:before="0" w:beforeLines="0" w:line="360" w:lineRule="auto"/>
        <w:textAlignment w:val="auto"/>
        <w:rPr>
          <w:rFonts w:hint="default" w:ascii="Times New Roman" w:hAnsi="Times New Roman" w:eastAsia="宋体" w:cs="Times New Roman"/>
          <w:b/>
          <w:bCs/>
          <w:color w:val="000000"/>
          <w:highlight w:val="none"/>
        </w:rPr>
      </w:pPr>
      <w:bookmarkStart w:id="120" w:name="_Toc68"/>
      <w:bookmarkStart w:id="121" w:name="_Toc30712"/>
      <w:r>
        <w:rPr>
          <w:rFonts w:hint="default" w:ascii="Times New Roman" w:hAnsi="Times New Roman" w:eastAsia="宋体" w:cs="Times New Roman"/>
          <w:b/>
          <w:bCs/>
          <w:color w:val="000000"/>
          <w:highlight w:val="none"/>
        </w:rPr>
        <w:t>环境影响评价范围</w:t>
      </w:r>
      <w:bookmarkEnd w:id="120"/>
      <w:bookmarkEnd w:id="121"/>
    </w:p>
    <w:p w14:paraId="28951DCE">
      <w:pPr>
        <w:pageBreakBefore w:val="0"/>
        <w:widowControl w:val="0"/>
        <w:kinsoku/>
        <w:wordWrap/>
        <w:overflowPunct/>
        <w:topLinePunct w:val="0"/>
        <w:autoSpaceDE/>
        <w:autoSpaceDN/>
        <w:bidi w:val="0"/>
        <w:spacing w:line="360" w:lineRule="auto"/>
        <w:ind w:firstLine="480" w:firstLineChars="200"/>
        <w:textAlignment w:val="auto"/>
        <w:rPr>
          <w:rFonts w:hint="eastAsia" w:cs="Times New Roman"/>
          <w:color w:val="000000"/>
          <w:kern w:val="0"/>
          <w:sz w:val="24"/>
          <w:szCs w:val="21"/>
          <w:highlight w:val="none"/>
          <w:lang w:val="en-US" w:eastAsia="zh-CN"/>
        </w:rPr>
      </w:pPr>
      <w:r>
        <w:rPr>
          <w:rFonts w:hint="default" w:ascii="Times New Roman" w:hAnsi="Times New Roman" w:cs="Times New Roman"/>
          <w:color w:val="000000"/>
          <w:kern w:val="0"/>
          <w:sz w:val="24"/>
          <w:szCs w:val="21"/>
          <w:highlight w:val="none"/>
        </w:rPr>
        <w:t>根据建设项目整体实施后可能对环境造成的影响范围，结合各环境要素和专题环境影响评价技术导则的要求，确定项目的评价范围</w:t>
      </w:r>
      <w:r>
        <w:rPr>
          <w:rFonts w:hint="eastAsia" w:ascii="Times New Roman" w:hAnsi="Times New Roman" w:cs="Times New Roman"/>
          <w:color w:val="000000"/>
          <w:kern w:val="0"/>
          <w:sz w:val="24"/>
          <w:szCs w:val="21"/>
          <w:highlight w:val="none"/>
          <w:lang w:eastAsia="zh-CN"/>
        </w:rPr>
        <w:t>，</w:t>
      </w:r>
      <w:r>
        <w:rPr>
          <w:rFonts w:hint="eastAsia" w:ascii="Times New Roman" w:hAnsi="Times New Roman" w:cs="Times New Roman"/>
          <w:color w:val="000000"/>
          <w:kern w:val="0"/>
          <w:sz w:val="24"/>
          <w:szCs w:val="21"/>
          <w:highlight w:val="none"/>
          <w:lang w:val="en-US" w:eastAsia="zh-CN"/>
        </w:rPr>
        <w:t>详见下表及附图</w:t>
      </w:r>
      <w:r>
        <w:rPr>
          <w:rFonts w:hint="eastAsia" w:cs="Times New Roman"/>
          <w:color w:val="000000"/>
          <w:kern w:val="0"/>
          <w:sz w:val="24"/>
          <w:szCs w:val="21"/>
          <w:highlight w:val="none"/>
          <w:lang w:val="en-US" w:eastAsia="zh-CN"/>
        </w:rPr>
        <w:t>。</w:t>
      </w:r>
    </w:p>
    <w:p w14:paraId="00F05BA7">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szCs w:val="21"/>
          <w:highlight w:val="none"/>
          <w:lang w:val="en-US" w:eastAsia="zh-CN"/>
        </w:rPr>
      </w:pPr>
    </w:p>
    <w:p w14:paraId="4B9B7A53">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szCs w:val="21"/>
          <w:highlight w:val="none"/>
          <w:lang w:val="en-US" w:eastAsia="zh-CN"/>
        </w:rPr>
      </w:pPr>
    </w:p>
    <w:p w14:paraId="04B2F50B">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color w:val="000000"/>
          <w:szCs w:val="21"/>
          <w:highlight w:val="none"/>
        </w:rPr>
      </w:pPr>
      <w:r>
        <w:rPr>
          <w:rStyle w:val="152"/>
          <w:rFonts w:hint="default" w:ascii="Times New Roman" w:hAnsi="Times New Roman" w:eastAsia="宋体" w:cs="Times New Roman"/>
          <w:color w:val="000000"/>
          <w:szCs w:val="21"/>
          <w:highlight w:val="none"/>
        </w:rPr>
        <w:t>评价</w:t>
      </w:r>
      <w:r>
        <w:rPr>
          <w:rStyle w:val="152"/>
          <w:rFonts w:hint="eastAsia" w:eastAsia="宋体" w:cs="Times New Roman"/>
          <w:color w:val="000000"/>
          <w:szCs w:val="21"/>
          <w:highlight w:val="none"/>
          <w:lang w:val="en-US" w:eastAsia="zh-CN"/>
        </w:rPr>
        <w:t>等级及评价</w:t>
      </w:r>
      <w:r>
        <w:rPr>
          <w:rStyle w:val="152"/>
          <w:rFonts w:hint="default" w:ascii="Times New Roman" w:hAnsi="Times New Roman" w:eastAsia="宋体" w:cs="Times New Roman"/>
          <w:color w:val="000000"/>
          <w:szCs w:val="21"/>
          <w:highlight w:val="none"/>
        </w:rPr>
        <w:t>范围</w:t>
      </w:r>
      <w:r>
        <w:rPr>
          <w:rStyle w:val="152"/>
          <w:rFonts w:hint="eastAsia" w:eastAsia="宋体" w:cs="Times New Roman"/>
          <w:color w:val="000000"/>
          <w:szCs w:val="21"/>
          <w:highlight w:val="none"/>
          <w:lang w:val="en-US" w:eastAsia="zh-CN"/>
        </w:rPr>
        <w:t>一览表</w:t>
      </w:r>
    </w:p>
    <w:tbl>
      <w:tblPr>
        <w:tblStyle w:val="5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34"/>
        <w:gridCol w:w="1958"/>
        <w:gridCol w:w="5133"/>
      </w:tblGrid>
      <w:tr w14:paraId="39F4B4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4A384A98">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专题</w:t>
            </w:r>
          </w:p>
        </w:tc>
        <w:tc>
          <w:tcPr>
            <w:tcW w:w="1148" w:type="pct"/>
            <w:noWrap w:val="0"/>
            <w:vAlign w:val="center"/>
          </w:tcPr>
          <w:p w14:paraId="58BCC9CE">
            <w:pPr>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评价等级</w:t>
            </w:r>
          </w:p>
        </w:tc>
        <w:tc>
          <w:tcPr>
            <w:tcW w:w="3009" w:type="pct"/>
            <w:noWrap w:val="0"/>
            <w:vAlign w:val="center"/>
          </w:tcPr>
          <w:p w14:paraId="7D1E6D00">
            <w:pPr>
              <w:spacing w:line="240" w:lineRule="auto"/>
              <w:ind w:firstLine="42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评价范围</w:t>
            </w:r>
          </w:p>
        </w:tc>
      </w:tr>
      <w:tr w14:paraId="2A8E1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6C59FFA6">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w:t>
            </w:r>
          </w:p>
        </w:tc>
        <w:tc>
          <w:tcPr>
            <w:tcW w:w="1148" w:type="pct"/>
            <w:noWrap w:val="0"/>
            <w:vAlign w:val="center"/>
          </w:tcPr>
          <w:p w14:paraId="1130FBBA">
            <w:pPr>
              <w:spacing w:line="30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二</w:t>
            </w:r>
            <w:r>
              <w:rPr>
                <w:rFonts w:hint="default" w:ascii="Times New Roman" w:hAnsi="Times New Roman" w:cs="Times New Roman"/>
                <w:snapToGrid w:val="0"/>
                <w:color w:val="auto"/>
                <w:kern w:val="0"/>
                <w:sz w:val="21"/>
                <w:szCs w:val="21"/>
                <w:highlight w:val="none"/>
              </w:rPr>
              <w:t>级</w:t>
            </w:r>
          </w:p>
        </w:tc>
        <w:tc>
          <w:tcPr>
            <w:tcW w:w="3009" w:type="pct"/>
            <w:noWrap w:val="0"/>
            <w:vAlign w:val="center"/>
          </w:tcPr>
          <w:p w14:paraId="7EFF1F11">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以排土场场地中心点边长为</w:t>
            </w:r>
            <w:r>
              <w:rPr>
                <w:rFonts w:hint="eastAsia" w:cs="Times New Roman"/>
                <w:color w:val="auto"/>
                <w:sz w:val="21"/>
                <w:szCs w:val="21"/>
                <w:highlight w:val="none"/>
                <w:lang w:eastAsia="zh-CN"/>
              </w:rPr>
              <w:t>5km矩形区域</w:t>
            </w:r>
          </w:p>
        </w:tc>
      </w:tr>
      <w:tr w14:paraId="629F4D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751EA1E4">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1148" w:type="pct"/>
            <w:noWrap w:val="0"/>
            <w:vAlign w:val="center"/>
          </w:tcPr>
          <w:p w14:paraId="62EA907F">
            <w:pPr>
              <w:spacing w:line="300" w:lineRule="exact"/>
              <w:ind w:firstLine="0" w:firstLineChars="0"/>
              <w:jc w:val="center"/>
              <w:rPr>
                <w:rFonts w:hint="default" w:ascii="Times New Roman" w:hAnsi="Times New Roman" w:cs="Times New Roman"/>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rPr>
              <w:t>三</w:t>
            </w:r>
            <w:r>
              <w:rPr>
                <w:rFonts w:hint="default" w:ascii="Times New Roman" w:hAnsi="Times New Roman" w:cs="Times New Roman"/>
                <w:snapToGrid w:val="0"/>
                <w:color w:val="auto"/>
                <w:kern w:val="0"/>
                <w:sz w:val="21"/>
                <w:szCs w:val="21"/>
                <w:highlight w:val="none"/>
                <w:lang w:eastAsia="zh-CN"/>
              </w:rPr>
              <w:t>级</w:t>
            </w:r>
            <w:r>
              <w:rPr>
                <w:rFonts w:hint="eastAsia" w:ascii="Times New Roman" w:hAnsi="Times New Roman" w:cs="Times New Roman"/>
                <w:snapToGrid w:val="0"/>
                <w:color w:val="auto"/>
                <w:kern w:val="0"/>
                <w:sz w:val="21"/>
                <w:szCs w:val="21"/>
                <w:highlight w:val="none"/>
                <w:lang w:val="en-US" w:eastAsia="zh-CN"/>
              </w:rPr>
              <w:t>B</w:t>
            </w:r>
          </w:p>
        </w:tc>
        <w:tc>
          <w:tcPr>
            <w:tcW w:w="3009" w:type="pct"/>
            <w:noWrap w:val="0"/>
            <w:vAlign w:val="center"/>
          </w:tcPr>
          <w:p w14:paraId="5EDA0E41">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w:t>
            </w:r>
          </w:p>
        </w:tc>
      </w:tr>
      <w:tr w14:paraId="6299BA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20D689E4">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地下水环境</w:t>
            </w:r>
          </w:p>
        </w:tc>
        <w:tc>
          <w:tcPr>
            <w:tcW w:w="1148" w:type="pct"/>
            <w:noWrap w:val="0"/>
            <w:vAlign w:val="center"/>
          </w:tcPr>
          <w:p w14:paraId="3D9F9F60">
            <w:pPr>
              <w:spacing w:line="300" w:lineRule="exact"/>
              <w:ind w:firstLine="0" w:firstLineChars="0"/>
              <w:jc w:val="center"/>
              <w:rPr>
                <w:rFonts w:hint="eastAsia" w:ascii="Times New Roman" w:hAnsi="Times New Roman" w:eastAsia="宋体" w:cs="Times New Roman"/>
                <w:snapToGrid w:val="0"/>
                <w:color w:val="auto"/>
                <w:kern w:val="0"/>
                <w:sz w:val="21"/>
                <w:szCs w:val="21"/>
                <w:highlight w:val="none"/>
                <w:lang w:eastAsia="zh-CN"/>
              </w:rPr>
            </w:pPr>
            <w:r>
              <w:rPr>
                <w:rFonts w:hint="eastAsia" w:cs="Times New Roman"/>
                <w:snapToGrid w:val="0"/>
                <w:color w:val="auto"/>
                <w:kern w:val="0"/>
                <w:sz w:val="21"/>
                <w:szCs w:val="21"/>
                <w:highlight w:val="none"/>
                <w:lang w:val="en-US" w:eastAsia="zh-CN"/>
              </w:rPr>
              <w:t>一级</w:t>
            </w:r>
          </w:p>
        </w:tc>
        <w:tc>
          <w:tcPr>
            <w:tcW w:w="3009" w:type="pct"/>
            <w:noWrap w:val="0"/>
            <w:vAlign w:val="center"/>
          </w:tcPr>
          <w:p w14:paraId="034AA389">
            <w:pPr>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北侧、南侧、西侧</w:t>
            </w:r>
            <w:r>
              <w:rPr>
                <w:rFonts w:ascii="Times New Roman"/>
                <w:snapToGrid w:val="0"/>
                <w:color w:val="auto"/>
                <w:kern w:val="0"/>
                <w:sz w:val="21"/>
                <w:szCs w:val="21"/>
                <w:highlight w:val="none"/>
              </w:rPr>
              <w:t>以山脊为零流量边界</w:t>
            </w:r>
            <w:r>
              <w:rPr>
                <w:rFonts w:hint="eastAsia" w:ascii="Times New Roman"/>
                <w:snapToGrid w:val="0"/>
                <w:color w:val="auto"/>
                <w:kern w:val="0"/>
                <w:sz w:val="21"/>
                <w:szCs w:val="21"/>
                <w:highlight w:val="none"/>
                <w:lang w:eastAsia="zh-CN"/>
              </w:rPr>
              <w:t>，</w:t>
            </w:r>
            <w:r>
              <w:rPr>
                <w:rFonts w:hint="eastAsia"/>
                <w:snapToGrid w:val="0"/>
                <w:color w:val="auto"/>
                <w:kern w:val="0"/>
                <w:sz w:val="21"/>
                <w:szCs w:val="21"/>
                <w:highlight w:val="none"/>
                <w:lang w:eastAsia="zh-CN"/>
              </w:rPr>
              <w:t>东侧以兴隆河为定水头边界</w:t>
            </w:r>
            <w:r>
              <w:rPr>
                <w:rFonts w:hint="eastAsia" w:ascii="Times New Roman"/>
                <w:snapToGrid w:val="0"/>
                <w:color w:val="auto"/>
                <w:kern w:val="0"/>
                <w:sz w:val="21"/>
                <w:szCs w:val="21"/>
                <w:highlight w:val="none"/>
              </w:rPr>
              <w:t>，</w:t>
            </w:r>
            <w:r>
              <w:rPr>
                <w:rFonts w:ascii="Times New Roman"/>
                <w:color w:val="auto"/>
                <w:spacing w:val="-4"/>
                <w:sz w:val="21"/>
                <w:szCs w:val="21"/>
                <w:highlight w:val="none"/>
              </w:rPr>
              <w:t>评价面积为</w:t>
            </w:r>
            <w:r>
              <w:rPr>
                <w:rFonts w:hint="eastAsia"/>
                <w:color w:val="auto"/>
                <w:spacing w:val="-4"/>
                <w:sz w:val="21"/>
                <w:szCs w:val="21"/>
                <w:highlight w:val="none"/>
                <w:lang w:val="en-US" w:eastAsia="zh-CN"/>
              </w:rPr>
              <w:t>4.38k</w:t>
            </w:r>
            <w:r>
              <w:rPr>
                <w:rFonts w:ascii="Times New Roman"/>
                <w:color w:val="auto"/>
                <w:spacing w:val="-4"/>
                <w:sz w:val="21"/>
                <w:szCs w:val="21"/>
                <w:highlight w:val="none"/>
              </w:rPr>
              <w:t>m</w:t>
            </w:r>
            <w:r>
              <w:rPr>
                <w:rFonts w:ascii="Times New Roman"/>
                <w:color w:val="auto"/>
                <w:spacing w:val="-4"/>
                <w:sz w:val="21"/>
                <w:szCs w:val="21"/>
                <w:highlight w:val="none"/>
                <w:vertAlign w:val="superscript"/>
              </w:rPr>
              <w:t>2</w:t>
            </w:r>
          </w:p>
        </w:tc>
      </w:tr>
      <w:tr w14:paraId="4E583D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2E577AF1">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1148" w:type="pct"/>
            <w:noWrap w:val="0"/>
            <w:vAlign w:val="center"/>
          </w:tcPr>
          <w:p w14:paraId="75EE940D">
            <w:pPr>
              <w:spacing w:line="30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rPr>
              <w:t>二</w:t>
            </w:r>
            <w:r>
              <w:rPr>
                <w:rFonts w:hint="default" w:ascii="Times New Roman" w:hAnsi="Times New Roman" w:cs="Times New Roman"/>
                <w:snapToGrid w:val="0"/>
                <w:color w:val="auto"/>
                <w:kern w:val="0"/>
                <w:sz w:val="21"/>
                <w:szCs w:val="21"/>
                <w:highlight w:val="none"/>
              </w:rPr>
              <w:t>级</w:t>
            </w:r>
          </w:p>
        </w:tc>
        <w:tc>
          <w:tcPr>
            <w:tcW w:w="3009" w:type="pct"/>
            <w:noWrap w:val="0"/>
            <w:vAlign w:val="center"/>
          </w:tcPr>
          <w:p w14:paraId="0682638E">
            <w:pPr>
              <w:spacing w:line="240" w:lineRule="auto"/>
              <w:ind w:firstLine="0" w:firstLineChars="0"/>
              <w:jc w:val="center"/>
              <w:rPr>
                <w:rFonts w:hint="eastAsia" w:ascii="Times New Roman" w:hAnsi="Times New Roman" w:eastAsia="宋体" w:cs="Times New Roman"/>
                <w:color w:val="auto"/>
                <w:spacing w:val="-4"/>
                <w:sz w:val="21"/>
                <w:szCs w:val="21"/>
                <w:highlight w:val="none"/>
                <w:lang w:val="en-US" w:eastAsia="zh-CN"/>
              </w:rPr>
            </w:pPr>
            <w:r>
              <w:rPr>
                <w:rFonts w:hint="eastAsia" w:cs="Times New Roman"/>
                <w:color w:val="auto"/>
                <w:spacing w:val="-4"/>
                <w:sz w:val="21"/>
                <w:szCs w:val="21"/>
                <w:highlight w:val="none"/>
                <w:lang w:eastAsia="zh-CN"/>
              </w:rPr>
              <w:t>场界</w:t>
            </w:r>
            <w:r>
              <w:rPr>
                <w:rFonts w:hint="default" w:ascii="Times New Roman" w:hAnsi="Times New Roman" w:cs="Times New Roman"/>
                <w:color w:val="auto"/>
                <w:spacing w:val="-4"/>
                <w:sz w:val="21"/>
                <w:szCs w:val="21"/>
                <w:highlight w:val="none"/>
              </w:rPr>
              <w:t>外200m</w:t>
            </w:r>
            <w:r>
              <w:rPr>
                <w:rFonts w:hint="eastAsia" w:cs="Times New Roman"/>
                <w:color w:val="auto"/>
                <w:spacing w:val="-4"/>
                <w:sz w:val="21"/>
                <w:szCs w:val="21"/>
                <w:highlight w:val="none"/>
                <w:lang w:val="en-US" w:eastAsia="zh-CN"/>
              </w:rPr>
              <w:t>范围</w:t>
            </w:r>
          </w:p>
        </w:tc>
      </w:tr>
      <w:tr w14:paraId="52E0A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4544BA2F">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土壤环境</w:t>
            </w:r>
          </w:p>
        </w:tc>
        <w:tc>
          <w:tcPr>
            <w:tcW w:w="1148" w:type="pct"/>
            <w:noWrap w:val="0"/>
            <w:vAlign w:val="center"/>
          </w:tcPr>
          <w:p w14:paraId="744F576B">
            <w:pPr>
              <w:spacing w:line="300" w:lineRule="exact"/>
              <w:ind w:firstLine="0" w:firstLineChars="0"/>
              <w:jc w:val="center"/>
              <w:rPr>
                <w:rFonts w:hint="default" w:cs="Times New Roman"/>
                <w:color w:val="auto"/>
                <w:sz w:val="21"/>
                <w:szCs w:val="21"/>
                <w:highlight w:val="none"/>
                <w:lang w:val="en-US" w:eastAsia="zh-CN"/>
              </w:rPr>
            </w:pPr>
            <w:r>
              <w:rPr>
                <w:rFonts w:hint="eastAsia" w:cs="Times New Roman"/>
                <w:snapToGrid w:val="0"/>
                <w:color w:val="auto"/>
                <w:kern w:val="0"/>
                <w:sz w:val="21"/>
                <w:szCs w:val="21"/>
                <w:highlight w:val="none"/>
                <w:lang w:val="en-US" w:eastAsia="zh-CN"/>
              </w:rPr>
              <w:t>污染影响型二</w:t>
            </w:r>
            <w:r>
              <w:rPr>
                <w:rFonts w:hint="eastAsia" w:ascii="Times New Roman" w:hAnsi="Times New Roman" w:cs="Times New Roman"/>
                <w:snapToGrid w:val="0"/>
                <w:color w:val="auto"/>
                <w:kern w:val="0"/>
                <w:sz w:val="21"/>
                <w:szCs w:val="21"/>
                <w:highlight w:val="none"/>
                <w:lang w:val="en-US" w:eastAsia="zh-CN"/>
              </w:rPr>
              <w:t>级</w:t>
            </w:r>
          </w:p>
        </w:tc>
        <w:tc>
          <w:tcPr>
            <w:tcW w:w="3009" w:type="pct"/>
            <w:noWrap w:val="0"/>
            <w:vAlign w:val="center"/>
          </w:tcPr>
          <w:p w14:paraId="6524A19B">
            <w:pPr>
              <w:spacing w:line="240" w:lineRule="auto"/>
              <w:ind w:firstLine="0" w:firstLineChars="0"/>
              <w:jc w:val="center"/>
              <w:rPr>
                <w:rFonts w:hint="eastAsia" w:ascii="Times New Roman" w:hAnsi="Times New Roman" w:eastAsia="宋体" w:cs="Times New Roman"/>
                <w:color w:val="auto"/>
                <w:spacing w:val="-4"/>
                <w:sz w:val="21"/>
                <w:szCs w:val="21"/>
                <w:highlight w:val="none"/>
                <w:lang w:val="en-US" w:eastAsia="zh-CN"/>
              </w:rPr>
            </w:pPr>
            <w:r>
              <w:rPr>
                <w:rFonts w:hint="eastAsia" w:cs="Times New Roman"/>
                <w:color w:val="auto"/>
                <w:spacing w:val="-4"/>
                <w:sz w:val="21"/>
                <w:szCs w:val="21"/>
                <w:highlight w:val="none"/>
                <w:lang w:eastAsia="zh-CN"/>
              </w:rPr>
              <w:t>场界外338m范围</w:t>
            </w:r>
          </w:p>
        </w:tc>
      </w:tr>
      <w:tr w14:paraId="2E2504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7864B58B">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生态环境</w:t>
            </w:r>
          </w:p>
        </w:tc>
        <w:tc>
          <w:tcPr>
            <w:tcW w:w="1148" w:type="pct"/>
            <w:noWrap w:val="0"/>
            <w:vAlign w:val="center"/>
          </w:tcPr>
          <w:p w14:paraId="0B9AA82A">
            <w:pPr>
              <w:spacing w:line="300" w:lineRule="exact"/>
              <w:ind w:firstLine="0" w:firstLineChars="0"/>
              <w:jc w:val="center"/>
              <w:rPr>
                <w:rFonts w:hint="default" w:ascii="Times New Roman" w:hAnsi="Times New Roman" w:cs="Times New Roman"/>
                <w:color w:val="auto"/>
                <w:sz w:val="21"/>
                <w:szCs w:val="21"/>
                <w:highlight w:val="none"/>
              </w:rPr>
            </w:pPr>
            <w:r>
              <w:rPr>
                <w:rFonts w:hint="eastAsia" w:cs="Times New Roman"/>
                <w:snapToGrid w:val="0"/>
                <w:color w:val="auto"/>
                <w:kern w:val="0"/>
                <w:sz w:val="21"/>
                <w:szCs w:val="21"/>
                <w:highlight w:val="none"/>
                <w:lang w:val="en-US" w:eastAsia="zh-CN"/>
              </w:rPr>
              <w:t>三</w:t>
            </w:r>
            <w:r>
              <w:rPr>
                <w:rFonts w:hint="default" w:ascii="Times New Roman" w:hAnsi="Times New Roman" w:cs="Times New Roman"/>
                <w:snapToGrid w:val="0"/>
                <w:color w:val="auto"/>
                <w:kern w:val="0"/>
                <w:sz w:val="21"/>
                <w:szCs w:val="21"/>
                <w:highlight w:val="none"/>
              </w:rPr>
              <w:t>级</w:t>
            </w:r>
          </w:p>
        </w:tc>
        <w:tc>
          <w:tcPr>
            <w:tcW w:w="3009" w:type="pct"/>
            <w:noWrap w:val="0"/>
            <w:vAlign w:val="center"/>
          </w:tcPr>
          <w:p w14:paraId="6E90CFFD">
            <w:pPr>
              <w:spacing w:line="240" w:lineRule="auto"/>
              <w:jc w:val="center"/>
              <w:rPr>
                <w:rFonts w:hint="eastAsia" w:ascii="Times New Roman" w:hAnsi="Times New Roman" w:eastAsia="宋体" w:cs="Times New Roman"/>
                <w:color w:val="auto"/>
                <w:sz w:val="21"/>
                <w:szCs w:val="21"/>
                <w:highlight w:val="none"/>
                <w:lang w:eastAsia="zh-CN"/>
              </w:rPr>
            </w:pPr>
            <w:r>
              <w:rPr>
                <w:rFonts w:hint="eastAsia" w:cs="Times New Roman"/>
                <w:color w:val="auto"/>
                <w:spacing w:val="-4"/>
                <w:sz w:val="21"/>
                <w:szCs w:val="21"/>
                <w:highlight w:val="none"/>
                <w:lang w:val="en-US" w:eastAsia="zh-CN"/>
              </w:rPr>
              <w:t>项目占地范围</w:t>
            </w:r>
          </w:p>
        </w:tc>
      </w:tr>
      <w:tr w14:paraId="11C1F4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1" w:type="pct"/>
            <w:noWrap w:val="0"/>
            <w:vAlign w:val="center"/>
          </w:tcPr>
          <w:p w14:paraId="522B2F19">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w:t>
            </w:r>
          </w:p>
        </w:tc>
        <w:tc>
          <w:tcPr>
            <w:tcW w:w="1148" w:type="pct"/>
            <w:noWrap w:val="0"/>
            <w:vAlign w:val="center"/>
          </w:tcPr>
          <w:p w14:paraId="4CEF0584">
            <w:pPr>
              <w:spacing w:line="30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rPr>
              <w:t>简单分析</w:t>
            </w:r>
          </w:p>
        </w:tc>
        <w:tc>
          <w:tcPr>
            <w:tcW w:w="3009" w:type="pct"/>
            <w:noWrap w:val="0"/>
            <w:vAlign w:val="center"/>
          </w:tcPr>
          <w:p w14:paraId="55090509">
            <w:pPr>
              <w:spacing w:line="240" w:lineRule="auto"/>
              <w:ind w:firstLine="42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w:t>
            </w:r>
          </w:p>
        </w:tc>
      </w:tr>
    </w:tbl>
    <w:p w14:paraId="24961925">
      <w:pPr>
        <w:pStyle w:val="5"/>
        <w:pageBreakBefore w:val="0"/>
        <w:widowControl w:val="0"/>
        <w:kinsoku/>
        <w:wordWrap/>
        <w:overflowPunct/>
        <w:topLinePunct w:val="0"/>
        <w:autoSpaceDE/>
        <w:autoSpaceDN/>
        <w:bidi w:val="0"/>
        <w:spacing w:before="0" w:after="0" w:line="360" w:lineRule="auto"/>
        <w:textAlignment w:val="auto"/>
        <w:rPr>
          <w:rFonts w:hint="default" w:ascii="Times New Roman" w:hAnsi="Times New Roman" w:cs="Times New Roman"/>
          <w:color w:val="000000"/>
          <w:sz w:val="28"/>
          <w:szCs w:val="28"/>
          <w:highlight w:val="none"/>
        </w:rPr>
      </w:pPr>
      <w:bookmarkStart w:id="122" w:name="_Toc14732"/>
      <w:bookmarkStart w:id="123" w:name="_Toc30003"/>
      <w:bookmarkStart w:id="124" w:name="_Toc13963"/>
      <w:bookmarkStart w:id="125" w:name="_Toc4770"/>
      <w:bookmarkStart w:id="126" w:name="_Toc29971"/>
      <w:bookmarkStart w:id="127" w:name="_Toc12353"/>
      <w:bookmarkStart w:id="128" w:name="_Toc13124"/>
      <w:bookmarkStart w:id="129" w:name="_Toc8384"/>
      <w:bookmarkStart w:id="130" w:name="_Toc5223"/>
      <w:bookmarkStart w:id="131" w:name="_Toc30976"/>
      <w:bookmarkStart w:id="132" w:name="_Toc7057"/>
      <w:bookmarkStart w:id="133" w:name="_Toc19330"/>
      <w:r>
        <w:rPr>
          <w:rFonts w:hint="default" w:ascii="Times New Roman" w:hAnsi="Times New Roman" w:cs="Times New Roman"/>
          <w:color w:val="000000"/>
          <w:sz w:val="28"/>
          <w:szCs w:val="28"/>
          <w:highlight w:val="none"/>
        </w:rPr>
        <w:t>相关规划</w:t>
      </w:r>
      <w:bookmarkEnd w:id="122"/>
      <w:bookmarkEnd w:id="123"/>
      <w:bookmarkEnd w:id="124"/>
      <w:bookmarkEnd w:id="125"/>
      <w:bookmarkEnd w:id="126"/>
      <w:bookmarkEnd w:id="127"/>
    </w:p>
    <w:p w14:paraId="7513AEFA">
      <w:pPr>
        <w:pStyle w:val="6"/>
        <w:pageBreakBefore w:val="0"/>
        <w:widowControl w:val="0"/>
        <w:kinsoku/>
        <w:wordWrap/>
        <w:overflowPunct/>
        <w:topLinePunct w:val="0"/>
        <w:autoSpaceDE/>
        <w:autoSpaceDN/>
        <w:bidi w:val="0"/>
        <w:spacing w:before="0" w:beforeLines="0" w:line="360" w:lineRule="auto"/>
        <w:textAlignment w:val="auto"/>
        <w:rPr>
          <w:highlight w:val="none"/>
        </w:rPr>
      </w:pPr>
      <w:r>
        <w:rPr>
          <w:rFonts w:hint="eastAsia"/>
          <w:highlight w:val="none"/>
        </w:rPr>
        <w:t>主体功能规划</w:t>
      </w:r>
    </w:p>
    <w:p w14:paraId="21ADFC3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Calibri"/>
          <w:b/>
          <w:sz w:val="24"/>
          <w:szCs w:val="24"/>
          <w:highlight w:val="none"/>
          <w:lang w:val="en-US" w:eastAsia="zh-CN"/>
        </w:rPr>
      </w:pPr>
      <w:r>
        <w:rPr>
          <w:rFonts w:ascii="Times New Roman" w:hAnsi="Times New Roman"/>
          <w:b/>
          <w:sz w:val="24"/>
          <w:szCs w:val="24"/>
          <w:highlight w:val="none"/>
        </w:rPr>
        <w:t>2.</w:t>
      </w:r>
      <w:r>
        <w:rPr>
          <w:rFonts w:hint="eastAsia"/>
          <w:b/>
          <w:sz w:val="24"/>
          <w:szCs w:val="24"/>
          <w:highlight w:val="none"/>
          <w:lang w:val="en-US" w:eastAsia="zh-CN"/>
        </w:rPr>
        <w:t>6</w:t>
      </w:r>
      <w:r>
        <w:rPr>
          <w:rFonts w:ascii="Times New Roman" w:hAnsi="Times New Roman"/>
          <w:b/>
          <w:sz w:val="24"/>
          <w:szCs w:val="24"/>
          <w:highlight w:val="none"/>
        </w:rPr>
        <w:t>.1.1</w:t>
      </w:r>
      <w:r>
        <w:rPr>
          <w:rFonts w:hint="eastAsia"/>
          <w:b/>
          <w:sz w:val="24"/>
          <w:szCs w:val="24"/>
          <w:highlight w:val="none"/>
          <w:lang w:eastAsia="zh-CN"/>
        </w:rPr>
        <w:t>《</w:t>
      </w:r>
      <w:r>
        <w:rPr>
          <w:rFonts w:hint="eastAsia" w:ascii="Times New Roman" w:hAnsi="Times New Roman"/>
          <w:b/>
          <w:sz w:val="24"/>
          <w:szCs w:val="24"/>
          <w:highlight w:val="none"/>
          <w:lang w:val="en-US" w:eastAsia="zh-CN"/>
        </w:rPr>
        <w:t>河北省主体功能区规划</w:t>
      </w:r>
      <w:r>
        <w:rPr>
          <w:rFonts w:hint="eastAsia"/>
          <w:b/>
          <w:sz w:val="24"/>
          <w:szCs w:val="24"/>
          <w:highlight w:val="none"/>
          <w:lang w:eastAsia="zh-CN"/>
        </w:rPr>
        <w:t>》</w:t>
      </w:r>
    </w:p>
    <w:p w14:paraId="01BB16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szCs w:val="21"/>
          <w:highlight w:val="none"/>
          <w:lang w:val="en-US" w:eastAsia="zh-CN"/>
        </w:rPr>
      </w:pPr>
      <w:r>
        <w:rPr>
          <w:rFonts w:hint="default" w:ascii="Times New Roman" w:hAnsi="Times New Roman" w:cs="Times New Roman"/>
          <w:color w:val="000000"/>
          <w:kern w:val="0"/>
          <w:sz w:val="24"/>
          <w:szCs w:val="21"/>
          <w:highlight w:val="none"/>
        </w:rPr>
        <w:t>《河北省主体功能区规划》指出：本规划的优化开发、重点开发、限制开发、禁止开发中</w:t>
      </w:r>
      <w:r>
        <w:rPr>
          <w:rFonts w:hint="eastAsia" w:ascii="宋体" w:hAnsi="宋体" w:eastAsia="宋体" w:cs="宋体"/>
          <w:color w:val="000000"/>
          <w:kern w:val="0"/>
          <w:sz w:val="24"/>
          <w:szCs w:val="21"/>
          <w:highlight w:val="none"/>
        </w:rPr>
        <w:t>的“开发”</w:t>
      </w:r>
      <w:r>
        <w:rPr>
          <w:rFonts w:hint="default" w:ascii="Times New Roman" w:hAnsi="Times New Roman" w:cs="Times New Roman"/>
          <w:color w:val="000000"/>
          <w:kern w:val="0"/>
          <w:sz w:val="24"/>
          <w:szCs w:val="21"/>
          <w:highlight w:val="none"/>
        </w:rPr>
        <w:t>，特指大规模高强度的工业化城镇化开发。限制开发，特指限制大规模高强度的工业化城镇化开发，并不是限制所有的开发活动。对农产品主产区，鼓励农业开发，并提供生态产品、服务产品及部分工业品；对重点生态功能区，允许一定程度的能源和矿产资源开发，并提供一定的农产品、工业品及服务产品。将一些区域确定为限制开发区域并不是限制发展，而是为了更好地保护这类区域的农业生产力和生态产品生产力，实现科学发展。</w:t>
      </w:r>
    </w:p>
    <w:p w14:paraId="67E047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highlight w:val="none"/>
          <w:lang w:eastAsia="zh-CN"/>
        </w:rPr>
      </w:pPr>
      <w:r>
        <w:rPr>
          <w:rFonts w:ascii="Times New Roman" w:eastAsia="宋体"/>
          <w:sz w:val="24"/>
          <w:szCs w:val="24"/>
          <w:highlight w:val="none"/>
        </w:rPr>
        <w:t>项目所在的</w:t>
      </w:r>
      <w:r>
        <w:rPr>
          <w:rFonts w:hint="eastAsia"/>
          <w:sz w:val="24"/>
          <w:szCs w:val="24"/>
          <w:highlight w:val="none"/>
          <w:lang w:val="en-US" w:eastAsia="zh-CN"/>
        </w:rPr>
        <w:t>承德市隆化县韩麻营镇，</w:t>
      </w:r>
      <w:r>
        <w:rPr>
          <w:rFonts w:ascii="Times New Roman" w:eastAsia="宋体"/>
          <w:sz w:val="24"/>
          <w:szCs w:val="24"/>
          <w:highlight w:val="none"/>
        </w:rPr>
        <w:t>属于</w:t>
      </w:r>
      <w:r>
        <w:rPr>
          <w:rFonts w:hint="eastAsia"/>
          <w:sz w:val="24"/>
          <w:szCs w:val="24"/>
          <w:highlight w:val="none"/>
          <w:lang w:val="en-US" w:eastAsia="zh-CN"/>
        </w:rPr>
        <w:t>限制开发区域（农产品主产区）。</w:t>
      </w:r>
      <w:r>
        <w:rPr>
          <w:rFonts w:ascii="Times New Roman" w:eastAsia="宋体"/>
          <w:sz w:val="24"/>
          <w:szCs w:val="24"/>
          <w:highlight w:val="none"/>
        </w:rPr>
        <w:t>功能定位为：</w:t>
      </w:r>
      <w:r>
        <w:rPr>
          <w:rFonts w:hint="eastAsia" w:ascii="Times New Roman" w:eastAsia="宋体"/>
          <w:sz w:val="24"/>
          <w:szCs w:val="24"/>
          <w:highlight w:val="none"/>
        </w:rPr>
        <w:t>国家农业生产重点建设区和农产品供给安全保障的重要区域；现代农业建设重点区，农产品加工、生态产业和县域特色经济示范区，新农村建设先行示范区。</w:t>
      </w:r>
      <w:r>
        <w:rPr>
          <w:rFonts w:ascii="Times New Roman" w:eastAsia="宋体"/>
          <w:sz w:val="24"/>
          <w:szCs w:val="24"/>
          <w:highlight w:val="none"/>
        </w:rPr>
        <w:t>本</w:t>
      </w:r>
      <w:r>
        <w:rPr>
          <w:rFonts w:hint="eastAsia"/>
          <w:sz w:val="24"/>
          <w:szCs w:val="24"/>
          <w:highlight w:val="none"/>
          <w:lang w:val="en-US" w:eastAsia="zh-CN"/>
        </w:rPr>
        <w:t>项目</w:t>
      </w:r>
      <w:r>
        <w:rPr>
          <w:rFonts w:ascii="Times New Roman" w:eastAsia="宋体"/>
          <w:sz w:val="24"/>
          <w:szCs w:val="24"/>
          <w:highlight w:val="none"/>
        </w:rPr>
        <w:t>排土场为</w:t>
      </w:r>
      <w:r>
        <w:rPr>
          <w:rFonts w:hint="eastAsia"/>
          <w:sz w:val="24"/>
          <w:szCs w:val="24"/>
          <w:highlight w:val="none"/>
          <w:lang w:val="en-US" w:eastAsia="zh-CN"/>
        </w:rPr>
        <w:t>采区、选厂</w:t>
      </w:r>
      <w:r>
        <w:rPr>
          <w:rFonts w:ascii="Times New Roman" w:eastAsia="宋体"/>
          <w:sz w:val="24"/>
          <w:szCs w:val="24"/>
          <w:highlight w:val="none"/>
        </w:rPr>
        <w:t>配套</w:t>
      </w:r>
      <w:r>
        <w:rPr>
          <w:rFonts w:hint="eastAsia" w:ascii="Times New Roman" w:eastAsia="宋体"/>
          <w:sz w:val="24"/>
          <w:szCs w:val="24"/>
          <w:highlight w:val="none"/>
        </w:rPr>
        <w:t>环保设施</w:t>
      </w:r>
      <w:r>
        <w:rPr>
          <w:rFonts w:ascii="Times New Roman" w:eastAsia="宋体"/>
          <w:sz w:val="24"/>
          <w:szCs w:val="24"/>
          <w:highlight w:val="none"/>
        </w:rPr>
        <w:t>工程，符合该规划要求</w:t>
      </w:r>
      <w:r>
        <w:rPr>
          <w:rFonts w:hint="eastAsia"/>
          <w:sz w:val="24"/>
          <w:szCs w:val="24"/>
          <w:highlight w:val="none"/>
          <w:lang w:eastAsia="zh-CN"/>
        </w:rPr>
        <w:t>。</w:t>
      </w:r>
    </w:p>
    <w:p w14:paraId="0DEF8490">
      <w:pPr>
        <w:pStyle w:val="6"/>
        <w:spacing w:before="0" w:beforeLines="0"/>
        <w:rPr>
          <w:rFonts w:hint="eastAsia" w:ascii="Times New Roman" w:hAnsi="Times New Roman" w:cs="Times New Roman"/>
          <w:b/>
          <w:bCs/>
          <w:color w:val="000000"/>
          <w:kern w:val="0"/>
          <w:sz w:val="24"/>
          <w:szCs w:val="21"/>
          <w:highlight w:val="none"/>
          <w:lang w:eastAsia="zh-CN"/>
        </w:rPr>
      </w:pPr>
      <w:r>
        <w:rPr>
          <w:rFonts w:hint="eastAsia" w:ascii="Times New Roman" w:hAnsi="Times New Roman" w:eastAsia="宋体" w:cs="Times New Roman"/>
          <w:szCs w:val="24"/>
          <w:highlight w:val="none"/>
          <w:lang w:val="en-US" w:eastAsia="zh-CN"/>
        </w:rPr>
        <w:t>生态功能</w:t>
      </w:r>
      <w:r>
        <w:rPr>
          <w:rFonts w:hint="default" w:ascii="Times New Roman" w:hAnsi="Times New Roman" w:eastAsia="宋体" w:cs="Times New Roman"/>
          <w:szCs w:val="24"/>
          <w:highlight w:val="none"/>
        </w:rPr>
        <w:t>规划</w:t>
      </w:r>
    </w:p>
    <w:p w14:paraId="7C03E62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2.6</w:t>
      </w:r>
      <w:r>
        <w:rPr>
          <w:rFonts w:hint="eastAsia" w:ascii="Times New Roman" w:hAnsi="Times New Roman" w:eastAsia="宋体" w:cs="Times New Roman"/>
          <w:b/>
          <w:sz w:val="24"/>
          <w:szCs w:val="24"/>
          <w:highlight w:val="none"/>
          <w:lang w:val="en-US" w:eastAsia="zh-CN"/>
        </w:rPr>
        <w:t>.</w:t>
      </w:r>
      <w:r>
        <w:rPr>
          <w:rFonts w:hint="eastAsia" w:ascii="Times New Roman" w:hAnsi="Times New Roman" w:cs="Times New Roman"/>
          <w:b/>
          <w:sz w:val="24"/>
          <w:szCs w:val="24"/>
          <w:highlight w:val="none"/>
          <w:lang w:val="en-US" w:eastAsia="zh-CN"/>
        </w:rPr>
        <w:t>2.1</w:t>
      </w:r>
      <w:r>
        <w:rPr>
          <w:rFonts w:hint="eastAsia" w:ascii="Times New Roman" w:hAnsi="Times New Roman" w:eastAsia="宋体" w:cs="Times New Roman"/>
          <w:b/>
          <w:sz w:val="24"/>
          <w:szCs w:val="24"/>
          <w:highlight w:val="none"/>
          <w:lang w:val="en-US" w:eastAsia="zh-CN"/>
        </w:rPr>
        <w:t>《河北省生态功能区划》</w:t>
      </w:r>
    </w:p>
    <w:p w14:paraId="62B60C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根据《河北省生态功能区划》，河北省生态功能分区分为4个生态区、10个生态亚区、31个生态功能区。本区保护措施和发展方向为：①本区应大力实施封山育林育草，在中酸性土壤上可种植华北落叶松、油松、栎树和山杨，在石灰岩山地可种侧柏、栎树。在河滩地可种柳、杨、槐、榆等；②加大退耕还林还草力度，保护现有天然林，营造水源涵养林、水土保持林、防风固沙林、经济林相结合，乔灌草相结合，发展生态农业、生态林业；③恢复生态系统功能，维持生物多样性；④加强工业污染治理，控制生产生活污水排放，保护滦河水质；⑤加强矿山环境保护管理，落实生态恢复措施；⑥适度发展生态旅游，减轻自然环境的压力。</w:t>
      </w:r>
    </w:p>
    <w:p w14:paraId="32C7992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本项目排土场最终封场后全部覆土绿化，有利于生态环境保护，符合该规划的相应要求。</w:t>
      </w:r>
    </w:p>
    <w:p w14:paraId="7ED112B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eastAsia" w:ascii="Times New Roman" w:hAnsi="Times New Roman" w:cs="Times New Roman"/>
          <w:color w:val="000000"/>
          <w:kern w:val="0"/>
          <w:sz w:val="24"/>
          <w:szCs w:val="24"/>
          <w:highlight w:val="none"/>
          <w:lang w:val="en-US" w:eastAsia="zh-CN"/>
        </w:rPr>
        <w:t>项目与</w:t>
      </w:r>
      <w:r>
        <w:rPr>
          <w:rFonts w:hint="default" w:ascii="Times New Roman" w:hAnsi="Times New Roman" w:cs="Times New Roman"/>
          <w:color w:val="000000"/>
          <w:kern w:val="0"/>
          <w:sz w:val="24"/>
          <w:szCs w:val="24"/>
          <w:highlight w:val="none"/>
        </w:rPr>
        <w:t>河北生态功能区划图</w:t>
      </w:r>
      <w:r>
        <w:rPr>
          <w:rFonts w:hint="eastAsia" w:ascii="Times New Roman" w:hAnsi="Times New Roman" w:cs="Times New Roman"/>
          <w:color w:val="000000"/>
          <w:kern w:val="0"/>
          <w:sz w:val="24"/>
          <w:szCs w:val="24"/>
          <w:highlight w:val="none"/>
          <w:lang w:val="en-US" w:eastAsia="zh-CN"/>
        </w:rPr>
        <w:t>位置关系见</w:t>
      </w:r>
      <w:r>
        <w:rPr>
          <w:rFonts w:hint="default" w:ascii="Times New Roman" w:hAnsi="Times New Roman" w:cs="Times New Roman"/>
          <w:color w:val="000000"/>
          <w:kern w:val="0"/>
          <w:sz w:val="24"/>
          <w:szCs w:val="24"/>
          <w:highlight w:val="none"/>
        </w:rPr>
        <w:t>下图所示：</w:t>
      </w:r>
    </w:p>
    <w:p w14:paraId="6BF484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highlight w:val="none"/>
        </w:rPr>
      </w:pPr>
      <w:r>
        <w:rPr>
          <w:sz w:val="24"/>
          <w:highlight w:val="none"/>
        </w:rPr>
        <mc:AlternateContent>
          <mc:Choice Requires="wpg">
            <w:drawing>
              <wp:anchor distT="0" distB="0" distL="114300" distR="114300" simplePos="0" relativeHeight="251681792" behindDoc="0" locked="0" layoutInCell="1" allowOverlap="1">
                <wp:simplePos x="0" y="0"/>
                <wp:positionH relativeFrom="column">
                  <wp:posOffset>3131820</wp:posOffset>
                </wp:positionH>
                <wp:positionV relativeFrom="paragraph">
                  <wp:posOffset>1176655</wp:posOffset>
                </wp:positionV>
                <wp:extent cx="675640" cy="473075"/>
                <wp:effectExtent l="4445" t="4445" r="5715" b="25400"/>
                <wp:wrapNone/>
                <wp:docPr id="48" name="组合 48"/>
                <wp:cNvGraphicFramePr/>
                <a:graphic xmlns:a="http://schemas.openxmlformats.org/drawingml/2006/main">
                  <a:graphicData uri="http://schemas.microsoft.com/office/word/2010/wordprocessingGroup">
                    <wpg:wgp>
                      <wpg:cNvGrpSpPr/>
                      <wpg:grpSpPr>
                        <a:xfrm>
                          <a:off x="0" y="0"/>
                          <a:ext cx="675640" cy="473075"/>
                          <a:chOff x="3713" y="641355"/>
                          <a:chExt cx="1064" cy="745"/>
                        </a:xfrm>
                        <a:effectLst/>
                      </wpg:grpSpPr>
                      <wps:wsp>
                        <wps:cNvPr id="66" name="五角星 64"/>
                        <wps:cNvSpPr/>
                        <wps:spPr>
                          <a:xfrm>
                            <a:off x="3912" y="641988"/>
                            <a:ext cx="113" cy="113"/>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7" name="矩形标注 94"/>
                        <wps:cNvSpPr/>
                        <wps:spPr>
                          <a:xfrm>
                            <a:off x="3713" y="641355"/>
                            <a:ext cx="1064" cy="368"/>
                          </a:xfrm>
                          <a:prstGeom prst="wedgeRectCallout">
                            <a:avLst>
                              <a:gd name="adj1" fmla="val -26127"/>
                              <a:gd name="adj2" fmla="val 116847"/>
                            </a:avLst>
                          </a:prstGeom>
                          <a:noFill/>
                          <a:ln w="9525" cap="flat" cmpd="sng" algn="ctr">
                            <a:solidFill>
                              <a:srgbClr val="FF0000"/>
                            </a:solidFill>
                            <a:prstDash val="solid"/>
                          </a:ln>
                          <a:effectLst/>
                        </wps:spPr>
                        <wps:txbx>
                          <w:txbxContent>
                            <w:p w14:paraId="6CF426D4">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wps:txbx>
                        <wps:bodyPr rot="0" spcFirstLastPara="0" vertOverflow="overflow" horzOverflow="overflow" vert="horz" wrap="square" lIns="18000" tIns="10800" rIns="1800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46.6pt;margin-top:92.65pt;height:37.25pt;width:53.2pt;z-index:251681792;mso-width-relative:page;mso-height-relative:page;" coordorigin="3713,641355" coordsize="1064,745" o:gfxdata="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">
                <o:lock v:ext="edit" aspectratio="f"/>
                <v:shape id="五角星 64" o:spid="_x0000_s1026" style="position:absolute;left:3912;top:641988;height:113;width:113;v-text-anchor:middle;" fillcolor="#FF0000" filled="t" stroked="t" coordsize="113,113" o:gfxdata="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U1TZugAAANsA&#10;AAAPAAAAAAAAAAEAIAAAACIAAABkcnMvZG93bnJldi54bWxQSwECFAAUAAAACACHTuJAMy8FnjsA&#10;AAA5AAAAEAAAAAAAAAABACAAAAAJAQAAZHJzL3NoYXBleG1sLnhtbFBLBQYAAAAABgAGAFsBAACz&#10;AwAAAAA=&#10;" path="m0,43l43,43,56,0,69,43,112,43,78,69,91,112,56,86,21,112,34,69xe">
                  <v:path o:connectlocs="56,0;0,43;21,112;91,112;112,43" o:connectangles="247,164,82,82,0"/>
                  <v:fill on="t" focussize="0,0"/>
                  <v:stroke weight="2pt" color="#FF0000" joinstyle="round"/>
                  <v:imagedata o:title=""/>
                  <o:lock v:ext="edit" aspectratio="f"/>
                </v:shape>
                <v:shape id="矩形标注 94" o:spid="_x0000_s1026" o:spt="61" type="#_x0000_t61" style="position:absolute;left:3713;top:641355;height:368;width:1064;v-text-anchor:middle;" filled="f" stroked="t" coordsize="21600,21600" o:gfxdata="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U0mugAAANsA&#10;AAAPAAAAAAAAAAEAIAAAACIAAABkcnMvZG93bnJldi54bWxQSwECFAAUAAAACACHTuJAMy8FnjsA&#10;AAA5AAAAEAAAAAAAAAABACAAAAAJAQAAZHJzL3NoYXBleG1sLnhtbFBLBQYAAAAABgAGAFsBAACz&#10;AwAAAAA=&#10;" adj="5157,36039">
                  <v:fill on="f" focussize="0,0"/>
                  <v:stroke color="#FF0000" joinstyle="round"/>
                  <v:imagedata o:title=""/>
                  <o:lock v:ext="edit" aspectratio="f"/>
                  <v:textbox inset="0.5mm,0.3mm,0.5mm,1.27mm">
                    <w:txbxContent>
                      <w:p w14:paraId="6CF426D4">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v:textbox>
                </v:shape>
              </v:group>
            </w:pict>
          </mc:Fallback>
        </mc:AlternateContent>
      </w:r>
      <w:r>
        <w:rPr>
          <w:rFonts w:hint="eastAsia"/>
          <w:color w:val="auto"/>
          <w:highlight w:val="none"/>
        </w:rPr>
        <w:drawing>
          <wp:inline distT="0" distB="0" distL="114300" distR="114300">
            <wp:extent cx="4807585" cy="6793230"/>
            <wp:effectExtent l="0" t="0" r="8255" b="3810"/>
            <wp:docPr id="75" name="图片 75" descr="河北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河北生态功能区划图"/>
                    <pic:cNvPicPr>
                      <a:picLocks noChangeAspect="1"/>
                    </pic:cNvPicPr>
                  </pic:nvPicPr>
                  <pic:blipFill>
                    <a:blip r:embed="rId13"/>
                    <a:stretch>
                      <a:fillRect/>
                    </a:stretch>
                  </pic:blipFill>
                  <pic:spPr>
                    <a:xfrm>
                      <a:off x="0" y="0"/>
                      <a:ext cx="4807585" cy="6793230"/>
                    </a:xfrm>
                    <a:prstGeom prst="rect">
                      <a:avLst/>
                    </a:prstGeom>
                  </pic:spPr>
                </pic:pic>
              </a:graphicData>
            </a:graphic>
          </wp:inline>
        </w:drawing>
      </w:r>
    </w:p>
    <w:p w14:paraId="0F574D5A">
      <w:pPr>
        <w:pStyle w:val="147"/>
        <w:keepNext w:val="0"/>
        <w:keepLines w:val="0"/>
        <w:pageBreakBefore w:val="0"/>
        <w:widowControl/>
        <w:numPr>
          <w:ilvl w:val="0"/>
          <w:numId w:val="18"/>
        </w:numPr>
        <w:tabs>
          <w:tab w:val="left" w:pos="420"/>
          <w:tab w:val="clear" w:pos="0"/>
        </w:tabs>
        <w:kinsoku/>
        <w:wordWrap/>
        <w:overflowPunct/>
        <w:topLinePunct w:val="0"/>
        <w:autoSpaceDE/>
        <w:autoSpaceDN/>
        <w:bidi w:val="0"/>
        <w:adjustRightInd/>
        <w:snapToGrid/>
        <w:spacing w:line="360" w:lineRule="auto"/>
        <w:ind w:left="0" w:leftChars="0" w:firstLine="0" w:firstLineChars="0"/>
        <w:jc w:val="center"/>
        <w:textAlignment w:val="auto"/>
        <w:rPr>
          <w:rFonts w:hint="default"/>
          <w:b/>
          <w:bCs/>
          <w:highlight w:val="none"/>
        </w:rPr>
      </w:pPr>
      <w:r>
        <w:rPr>
          <w:rFonts w:hint="default"/>
          <w:b/>
          <w:bCs/>
          <w:highlight w:val="none"/>
        </w:rPr>
        <w:t>河北生态功能区划图</w:t>
      </w:r>
    </w:p>
    <w:p w14:paraId="051DD22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2.6.2.2《河北省建设京津冀生态环境支撑区规划（2016-2020年）》</w:t>
      </w:r>
    </w:p>
    <w:p w14:paraId="19B35D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eastAsia" w:ascii="Times New Roman" w:hAnsi="Times New Roman" w:cs="Times New Roman"/>
          <w:color w:val="000000"/>
          <w:kern w:val="0"/>
          <w:sz w:val="24"/>
          <w:szCs w:val="21"/>
          <w:highlight w:val="none"/>
          <w:lang w:val="en-US" w:eastAsia="zh-CN"/>
        </w:rPr>
        <w:t>该</w:t>
      </w:r>
      <w:r>
        <w:rPr>
          <w:rFonts w:hint="default" w:ascii="Times New Roman" w:hAnsi="Times New Roman" w:cs="Times New Roman"/>
          <w:color w:val="000000"/>
          <w:kern w:val="0"/>
          <w:sz w:val="24"/>
          <w:szCs w:val="21"/>
          <w:highlight w:val="none"/>
        </w:rPr>
        <w:t>规划要求构</w:t>
      </w:r>
      <w:r>
        <w:rPr>
          <w:rFonts w:hint="eastAsia" w:ascii="宋体" w:hAnsi="宋体" w:eastAsia="宋体" w:cs="宋体"/>
          <w:color w:val="000000"/>
          <w:kern w:val="0"/>
          <w:sz w:val="24"/>
          <w:szCs w:val="21"/>
          <w:highlight w:val="none"/>
        </w:rPr>
        <w:t>建“一核、四区、多廊、多心”生态安全格局，其中“一核”为京津保中心区生态过渡带，“四区”为</w:t>
      </w:r>
      <w:r>
        <w:rPr>
          <w:rFonts w:hint="default" w:ascii="Times New Roman" w:hAnsi="Times New Roman" w:cs="Times New Roman"/>
          <w:color w:val="000000"/>
          <w:kern w:val="0"/>
          <w:sz w:val="24"/>
          <w:szCs w:val="21"/>
          <w:highlight w:val="none"/>
        </w:rPr>
        <w:t>坝上高原生态防护区、燕山—太行山生态涵养区、低平原生态修复区和海岸海域生态防护区。其中“燕山—太行山生态涵养区”主体生态功能是涵养水源、保持水土、生态休闲，主要任务是加快京津风沙源治理、太行山绿化、退耕还林、水土保持等生态工程建设，大力营造水源涵养林和水土保持林，推进潘家口、大黑汀等重要水源地保护工程和生态清洁小流域建设。恢复矿山生态环境，建设生态经济型防护林，发展林下经济，帮助农民脱贫致富。</w:t>
      </w:r>
    </w:p>
    <w:p w14:paraId="31DCA3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kern w:val="0"/>
          <w:sz w:val="24"/>
          <w:szCs w:val="21"/>
          <w:highlight w:val="none"/>
          <w:lang w:eastAsia="zh-CN"/>
        </w:rPr>
      </w:pPr>
      <w:r>
        <w:rPr>
          <w:rFonts w:hint="default" w:ascii="Times New Roman" w:hAnsi="Times New Roman" w:cs="Times New Roman"/>
          <w:color w:val="000000"/>
          <w:kern w:val="0"/>
          <w:sz w:val="24"/>
          <w:szCs w:val="21"/>
          <w:highlight w:val="none"/>
        </w:rPr>
        <w:t>本项目位于燕山一太行山生态涵养区，本项目建设过程对排土场坡面及台阶进行绿化，服务期满后封场时，对排土场采取植树种草等生态恢复措施，可提高项目占地范围内的植被覆盖率，减少水土流失；本项目不涉及露天矿山开采等问题</w:t>
      </w:r>
      <w:r>
        <w:rPr>
          <w:rFonts w:hint="eastAsia" w:cs="Times New Roman"/>
          <w:color w:val="000000"/>
          <w:kern w:val="0"/>
          <w:sz w:val="24"/>
          <w:szCs w:val="21"/>
          <w:highlight w:val="none"/>
          <w:lang w:eastAsia="zh-CN"/>
        </w:rPr>
        <w:t>。</w:t>
      </w:r>
      <w:r>
        <w:rPr>
          <w:rFonts w:hint="default" w:ascii="Times New Roman" w:hAnsi="Times New Roman" w:cs="Times New Roman"/>
          <w:color w:val="000000"/>
          <w:kern w:val="0"/>
          <w:sz w:val="24"/>
          <w:szCs w:val="21"/>
          <w:highlight w:val="none"/>
        </w:rPr>
        <w:t>综上，本项目的建设运营符合该规划的要求</w:t>
      </w:r>
      <w:r>
        <w:rPr>
          <w:rFonts w:hint="eastAsia" w:cs="Times New Roman"/>
          <w:color w:val="000000"/>
          <w:kern w:val="0"/>
          <w:sz w:val="24"/>
          <w:szCs w:val="21"/>
          <w:highlight w:val="none"/>
          <w:lang w:eastAsia="zh-CN"/>
        </w:rPr>
        <w:t>。</w:t>
      </w:r>
    </w:p>
    <w:p w14:paraId="258FC7C4">
      <w:pPr>
        <w:adjustRightInd w:val="0"/>
        <w:snapToGrid w:val="0"/>
        <w:spacing w:line="360" w:lineRule="auto"/>
        <w:ind w:left="0" w:leftChars="0" w:firstLine="0" w:firstLineChars="0"/>
        <w:jc w:val="both"/>
        <w:outlineLvl w:val="3"/>
        <w:rPr>
          <w:rFonts w:hint="default" w:ascii="Times New Roman" w:hAnsi="Times New Roman" w:cs="Times New Roman"/>
          <w:b/>
          <w:sz w:val="24"/>
          <w:highlight w:val="none"/>
        </w:rPr>
      </w:pPr>
      <w:r>
        <w:rPr>
          <w:rFonts w:hint="eastAsia" w:ascii="Times New Roman" w:hAnsi="Times New Roman" w:cs="Times New Roman"/>
          <w:b/>
          <w:sz w:val="24"/>
          <w:highlight w:val="none"/>
          <w:lang w:eastAsia="zh-CN"/>
        </w:rPr>
        <w:t>2.6</w:t>
      </w:r>
      <w:r>
        <w:rPr>
          <w:rFonts w:hint="default" w:ascii="Times New Roman" w:hAnsi="Times New Roman" w:cs="Times New Roman"/>
          <w:b/>
          <w:sz w:val="24"/>
          <w:highlight w:val="none"/>
        </w:rPr>
        <w:t>.</w:t>
      </w:r>
      <w:r>
        <w:rPr>
          <w:rFonts w:hint="eastAsia" w:ascii="Times New Roman" w:hAnsi="Times New Roman" w:cs="Times New Roman"/>
          <w:b/>
          <w:sz w:val="24"/>
          <w:highlight w:val="none"/>
          <w:lang w:val="en-US" w:eastAsia="zh-CN"/>
        </w:rPr>
        <w:t>2.3《</w:t>
      </w:r>
      <w:r>
        <w:rPr>
          <w:rFonts w:hint="default" w:ascii="Times New Roman" w:hAnsi="Times New Roman" w:cs="Times New Roman"/>
          <w:b/>
          <w:sz w:val="24"/>
          <w:highlight w:val="none"/>
        </w:rPr>
        <w:t>承德市重点水源涵养生态功能保护区规划</w:t>
      </w:r>
      <w:r>
        <w:rPr>
          <w:rFonts w:hint="eastAsia" w:ascii="Times New Roman" w:hAnsi="Times New Roman" w:cs="Times New Roman"/>
          <w:b/>
          <w:sz w:val="24"/>
          <w:highlight w:val="none"/>
          <w:lang w:val="en-US" w:eastAsia="zh-CN"/>
        </w:rPr>
        <w:t>》</w:t>
      </w:r>
    </w:p>
    <w:p w14:paraId="4129466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kern w:val="0"/>
          <w:sz w:val="24"/>
          <w:szCs w:val="21"/>
          <w:highlight w:val="none"/>
          <w:lang w:eastAsia="zh-CN"/>
        </w:rPr>
      </w:pPr>
      <w:r>
        <w:rPr>
          <w:rFonts w:hint="default" w:ascii="Times New Roman" w:hAnsi="Times New Roman" w:cs="Times New Roman"/>
          <w:sz w:val="24"/>
          <w:szCs w:val="24"/>
          <w:highlight w:val="none"/>
        </w:rPr>
        <w:t>根据《承德市重点水源涵养生态功能保护区规划》（2010年4月）（承德市环境保护局），</w:t>
      </w:r>
      <w:r>
        <w:rPr>
          <w:rFonts w:ascii="Times New Roman"/>
          <w:sz w:val="24"/>
          <w:szCs w:val="24"/>
          <w:highlight w:val="none"/>
        </w:rPr>
        <w:t>项目位于</w:t>
      </w:r>
      <w:r>
        <w:rPr>
          <w:rFonts w:hint="eastAsia" w:cs="Times New Roman"/>
          <w:color w:val="auto"/>
          <w:sz w:val="24"/>
          <w:szCs w:val="24"/>
          <w:highlight w:val="none"/>
          <w:lang w:val="en-US" w:eastAsia="zh-CN"/>
        </w:rPr>
        <w:t>承德市隆化县韩麻营镇东兴村东北沟</w:t>
      </w:r>
      <w:r>
        <w:rPr>
          <w:rFonts w:ascii="Times New Roman"/>
          <w:sz w:val="24"/>
          <w:szCs w:val="24"/>
          <w:highlight w:val="none"/>
        </w:rPr>
        <w:t>，</w:t>
      </w:r>
      <w:r>
        <w:rPr>
          <w:rFonts w:hint="eastAsia" w:cs="Times New Roman"/>
          <w:color w:val="auto"/>
          <w:sz w:val="24"/>
          <w:szCs w:val="24"/>
          <w:highlight w:val="none"/>
          <w:lang w:val="en-US" w:eastAsia="zh-CN"/>
        </w:rPr>
        <w:t>韩麻营镇</w:t>
      </w:r>
      <w:r>
        <w:rPr>
          <w:rFonts w:ascii="Times New Roman"/>
          <w:sz w:val="24"/>
          <w:szCs w:val="24"/>
          <w:highlight w:val="none"/>
        </w:rPr>
        <w:t>属于承德市京津水源地水源涵养重要区，属于承德市燕山山地水源涵养重要区</w:t>
      </w:r>
      <w:r>
        <w:rPr>
          <w:rFonts w:hint="default"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位置</w:t>
      </w:r>
      <w:r>
        <w:rPr>
          <w:rFonts w:hint="default" w:ascii="Times New Roman" w:hAnsi="Times New Roman" w:cs="Times New Roman"/>
          <w:sz w:val="24"/>
          <w:szCs w:val="24"/>
          <w:highlight w:val="none"/>
        </w:rPr>
        <w:t>关系示意图详见</w:t>
      </w:r>
      <w:r>
        <w:rPr>
          <w:rFonts w:hint="eastAsia" w:ascii="Times New Roman" w:hAnsi="Times New Roman" w:cs="Times New Roman"/>
          <w:sz w:val="24"/>
          <w:szCs w:val="24"/>
          <w:highlight w:val="none"/>
          <w:lang w:val="en-US" w:eastAsia="zh-CN"/>
        </w:rPr>
        <w:t>下图</w:t>
      </w:r>
      <w:r>
        <w:rPr>
          <w:rFonts w:hint="default" w:ascii="Times New Roman" w:hAnsi="Times New Roman" w:cs="Times New Roman"/>
          <w:sz w:val="24"/>
          <w:highlight w:val="none"/>
        </w:rPr>
        <w:t>。</w:t>
      </w:r>
    </w:p>
    <w:p w14:paraId="3E77568B">
      <w:pPr>
        <w:pStyle w:val="147"/>
        <w:keepNext w:val="0"/>
        <w:keepLines w:val="0"/>
        <w:pageBreakBefore w:val="0"/>
        <w:numPr>
          <w:ilvl w:val="0"/>
          <w:numId w:val="0"/>
        </w:numPr>
        <w:tabs>
          <w:tab w:val="left" w:pos="420"/>
        </w:tabs>
        <w:kinsoku/>
        <w:wordWrap/>
        <w:overflowPunct/>
        <w:topLinePunct w:val="0"/>
        <w:autoSpaceDE/>
        <w:autoSpaceDN/>
        <w:bidi w:val="0"/>
        <w:adjustRightInd/>
        <w:snapToGrid/>
        <w:spacing w:line="360" w:lineRule="auto"/>
        <w:ind w:leftChars="0" w:firstLine="482" w:firstLineChars="200"/>
        <w:jc w:val="both"/>
        <w:textAlignment w:val="auto"/>
        <w:rPr>
          <w:rStyle w:val="66"/>
          <w:rFonts w:hint="default" w:ascii="Times New Roman" w:hAnsi="Times New Roman" w:eastAsia="宋体" w:cs="Times New Roman"/>
          <w:b/>
          <w:color w:val="000000"/>
          <w:sz w:val="24"/>
          <w:szCs w:val="24"/>
          <w:highlight w:val="none"/>
          <w:lang w:eastAsia="zh-CN"/>
        </w:rPr>
      </w:pPr>
    </w:p>
    <w:p w14:paraId="6E48BF8C">
      <w:pPr>
        <w:widowControl/>
        <w:ind w:firstLine="0" w:firstLineChars="0"/>
        <w:jc w:val="center"/>
        <w:rPr>
          <w:rFonts w:cs="宋体"/>
          <w:kern w:val="0"/>
          <w:szCs w:val="24"/>
          <w:highlight w:val="none"/>
        </w:rPr>
      </w:pPr>
      <w:r>
        <w:rPr>
          <w:sz w:val="21"/>
          <w:highlight w:val="none"/>
        </w:rPr>
        <mc:AlternateContent>
          <mc:Choice Requires="wpg">
            <w:drawing>
              <wp:anchor distT="0" distB="0" distL="114300" distR="114300" simplePos="0" relativeHeight="251685888" behindDoc="0" locked="0" layoutInCell="1" allowOverlap="1">
                <wp:simplePos x="0" y="0"/>
                <wp:positionH relativeFrom="column">
                  <wp:posOffset>3228340</wp:posOffset>
                </wp:positionH>
                <wp:positionV relativeFrom="paragraph">
                  <wp:posOffset>2850515</wp:posOffset>
                </wp:positionV>
                <wp:extent cx="928370" cy="617220"/>
                <wp:effectExtent l="4445" t="4445" r="12065" b="3175"/>
                <wp:wrapNone/>
                <wp:docPr id="76" name="组合 76"/>
                <wp:cNvGraphicFramePr/>
                <a:graphic xmlns:a="http://schemas.openxmlformats.org/drawingml/2006/main">
                  <a:graphicData uri="http://schemas.microsoft.com/office/word/2010/wordprocessingGroup">
                    <wpg:wgp>
                      <wpg:cNvGrpSpPr/>
                      <wpg:grpSpPr>
                        <a:xfrm>
                          <a:off x="0" y="0"/>
                          <a:ext cx="928370" cy="617220"/>
                          <a:chOff x="11787" y="465617"/>
                          <a:chExt cx="1462" cy="972"/>
                        </a:xfrm>
                      </wpg:grpSpPr>
                      <wps:wsp>
                        <wps:cNvPr id="1524" name="自选图形 11"/>
                        <wps:cNvSpPr/>
                        <wps:spPr>
                          <a:xfrm>
                            <a:off x="11787" y="465617"/>
                            <a:ext cx="1462" cy="500"/>
                          </a:xfrm>
                          <a:prstGeom prst="wedgeRoundRectCallout">
                            <a:avLst>
                              <a:gd name="adj1" fmla="val -36208"/>
                              <a:gd name="adj2" fmla="val 130600"/>
                              <a:gd name="adj3" fmla="val 16667"/>
                            </a:avLst>
                          </a:prstGeom>
                          <a:solidFill>
                            <a:schemeClr val="bg1"/>
                          </a:solidFill>
                          <a:ln w="9525" cap="flat" cmpd="sng">
                            <a:solidFill>
                              <a:srgbClr val="FF0000"/>
                            </a:solidFill>
                            <a:prstDash val="solid"/>
                            <a:miter/>
                            <a:headEnd type="none" w="med" len="med"/>
                            <a:tailEnd type="none" w="med" len="med"/>
                          </a:ln>
                        </wps:spPr>
                        <wps:txbx>
                          <w:txbxContent>
                            <w:p w14:paraId="71B94B8D">
                              <w:pPr>
                                <w:spacing w:line="240" w:lineRule="auto"/>
                                <w:ind w:firstLine="0" w:firstLineChars="0"/>
                                <w:jc w:val="center"/>
                                <w:rPr>
                                  <w:b/>
                                  <w:bCs/>
                                  <w:color w:val="FF0000"/>
                                </w:rPr>
                              </w:pPr>
                              <w:r>
                                <w:rPr>
                                  <w:rFonts w:hint="eastAsia"/>
                                  <w:b/>
                                  <w:bCs/>
                                  <w:color w:val="FF0000"/>
                                </w:rPr>
                                <w:t>项目所在地</w:t>
                              </w:r>
                            </w:p>
                            <w:p w14:paraId="441CF09B">
                              <w:pPr>
                                <w:ind w:firstLine="0" w:firstLineChars="0"/>
                                <w:rPr>
                                  <w:b/>
                                  <w:color w:val="FF0000"/>
                                </w:rPr>
                              </w:pPr>
                            </w:p>
                          </w:txbxContent>
                        </wps:txbx>
                        <wps:bodyPr wrap="square" upright="1">
                          <a:noAutofit/>
                        </wps:bodyPr>
                      </wps:wsp>
                      <wps:wsp>
                        <wps:cNvPr id="1525" name="椭圆 12"/>
                        <wps:cNvSpPr/>
                        <wps:spPr>
                          <a:xfrm>
                            <a:off x="11918" y="466476"/>
                            <a:ext cx="113" cy="113"/>
                          </a:xfrm>
                          <a:prstGeom prst="ellipse">
                            <a:avLst/>
                          </a:prstGeom>
                          <a:solidFill>
                            <a:srgbClr val="FFFF00"/>
                          </a:solidFill>
                          <a:ln w="9525">
                            <a:noFill/>
                          </a:ln>
                        </wps:spPr>
                        <wps:bodyPr upright="1"/>
                      </wps:wsp>
                    </wpg:wgp>
                  </a:graphicData>
                </a:graphic>
              </wp:anchor>
            </w:drawing>
          </mc:Choice>
          <mc:Fallback>
            <w:pict>
              <v:group id="_x0000_s1026" o:spid="_x0000_s1026" o:spt="203" style="position:absolute;left:0pt;margin-left:254.2pt;margin-top:224.45pt;height:48.6pt;width:73.1pt;z-index:251685888;mso-width-relative:page;mso-height-relative:page;" coordorigin="11787,465617" coordsize="1462,972" o:gfxdata="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">
                <o:lock v:ext="edit" aspectratio="f"/>
                <v:shape id="自选图形 11" o:spid="_x0000_s1026" o:spt="62" type="#_x0000_t62" style="position:absolute;left:11787;top:465617;height:500;width:1462;" fillcolor="#FFFFFF [3212]" filled="t" stroked="t" coordsize="21600,21600" o:gfxdata="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i0BDy/&#10;AAAA3QAAAA8AAAAAAAAAAQAgAAAAIgAAAGRycy9kb3ducmV2LnhtbFBLAQIUABQAAAAIAIdO4kAz&#10;LwWeOwAAADkAAAAQAAAAAAAAAAEAIAAAAA4BAABkcnMvc2hhcGV4bWwueG1sUEsFBgAAAAAGAAYA&#10;WwEAALgDAAAAAA==&#10;" adj="2979,39010,14400">
                  <v:fill on="t" focussize="0,0"/>
                  <v:stroke color="#FF0000" joinstyle="miter"/>
                  <v:imagedata o:title=""/>
                  <o:lock v:ext="edit" aspectratio="f"/>
                  <v:textbox>
                    <w:txbxContent>
                      <w:p w14:paraId="71B94B8D">
                        <w:pPr>
                          <w:spacing w:line="240" w:lineRule="auto"/>
                          <w:ind w:firstLine="0" w:firstLineChars="0"/>
                          <w:jc w:val="center"/>
                          <w:rPr>
                            <w:b/>
                            <w:bCs/>
                            <w:color w:val="FF0000"/>
                          </w:rPr>
                        </w:pPr>
                        <w:r>
                          <w:rPr>
                            <w:rFonts w:hint="eastAsia"/>
                            <w:b/>
                            <w:bCs/>
                            <w:color w:val="FF0000"/>
                          </w:rPr>
                          <w:t>项目所在地</w:t>
                        </w:r>
                      </w:p>
                      <w:p w14:paraId="441CF09B">
                        <w:pPr>
                          <w:ind w:firstLine="0" w:firstLineChars="0"/>
                          <w:rPr>
                            <w:b/>
                            <w:color w:val="FF0000"/>
                          </w:rPr>
                        </w:pPr>
                      </w:p>
                    </w:txbxContent>
                  </v:textbox>
                </v:shape>
                <v:shape id="椭圆 12" o:spid="_x0000_s1026" o:spt="3" type="#_x0000_t3" style="position:absolute;left:11918;top:466476;height:113;width:113;" fillcolor="#FFFF00" filled="t" stroked="f" coordsize="21600,21600" o:gfxdata="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sn4G8AAAA&#10;3QAAAA8AAAAAAAAAAQAgAAAAIgAAAGRycy9kb3ducmV2LnhtbFBLAQIUABQAAAAIAIdO4kAzLwWe&#10;OwAAADkAAAAQAAAAAAAAAAEAIAAAAAsBAABkcnMvc2hhcGV4bWwueG1sUEsFBgAAAAAGAAYAWwEA&#10;ALUDAAAAAA==&#10;">
                  <v:fill on="t" focussize="0,0"/>
                  <v:stroke on="f"/>
                  <v:imagedata o:title=""/>
                  <o:lock v:ext="edit" aspectratio="f"/>
                </v:shape>
              </v:group>
            </w:pict>
          </mc:Fallback>
        </mc:AlternateContent>
      </w:r>
      <w:r>
        <w:rPr>
          <w:rFonts w:cs="宋体"/>
          <w:kern w:val="0"/>
          <w:szCs w:val="24"/>
          <w:highlight w:val="none"/>
        </w:rPr>
        <w:drawing>
          <wp:inline distT="0" distB="0" distL="0" distR="0">
            <wp:extent cx="5626735" cy="6324600"/>
            <wp:effectExtent l="0" t="0" r="12065" b="0"/>
            <wp:docPr id="133" name="图片 149" descr="C:\Users\董鑫桥\AppData\Roaming\Tencent\Users\387780692\QQ\WinTemp\RichOle\`I9E)@95CFE{O80$]5XHMQ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9" descr="C:\Users\董鑫桥\AppData\Roaming\Tencent\Users\387780692\QQ\WinTemp\RichOle\`I9E)@95CFE{O80$]5XHMQ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626735" cy="6324600"/>
                    </a:xfrm>
                    <a:prstGeom prst="rect">
                      <a:avLst/>
                    </a:prstGeom>
                    <a:noFill/>
                    <a:ln>
                      <a:noFill/>
                    </a:ln>
                  </pic:spPr>
                </pic:pic>
              </a:graphicData>
            </a:graphic>
          </wp:inline>
        </w:drawing>
      </w:r>
    </w:p>
    <w:p w14:paraId="651E7B90">
      <w:pPr>
        <w:pStyle w:val="147"/>
        <w:numPr>
          <w:ilvl w:val="0"/>
          <w:numId w:val="18"/>
        </w:numPr>
        <w:tabs>
          <w:tab w:val="left" w:pos="420"/>
          <w:tab w:val="clear" w:pos="0"/>
        </w:tabs>
        <w:spacing w:line="240" w:lineRule="auto"/>
        <w:ind w:left="0" w:leftChars="0" w:firstLine="0" w:firstLineChars="0"/>
        <w:jc w:val="center"/>
        <w:rPr>
          <w:color w:val="000000"/>
          <w:szCs w:val="24"/>
          <w:highlight w:val="none"/>
        </w:rPr>
      </w:pPr>
      <w:r>
        <w:rPr>
          <w:b/>
          <w:sz w:val="21"/>
          <w:szCs w:val="21"/>
          <w:highlight w:val="none"/>
        </w:rPr>
        <w:t>项目与承德市京津水源涵养重要区规划的关系示意图</w:t>
      </w:r>
    </w:p>
    <w:p w14:paraId="30F1EFC3">
      <w:pPr>
        <w:ind w:firstLine="0" w:firstLineChars="0"/>
        <w:jc w:val="center"/>
        <w:rPr>
          <w:highlight w:val="none"/>
        </w:rPr>
      </w:pPr>
      <w:r>
        <w:rPr>
          <w:sz w:val="21"/>
          <w:highlight w:val="none"/>
        </w:rPr>
        <mc:AlternateContent>
          <mc:Choice Requires="wpg">
            <w:drawing>
              <wp:anchor distT="0" distB="0" distL="114300" distR="114300" simplePos="0" relativeHeight="251684864" behindDoc="0" locked="0" layoutInCell="1" allowOverlap="1">
                <wp:simplePos x="0" y="0"/>
                <wp:positionH relativeFrom="column">
                  <wp:posOffset>3094990</wp:posOffset>
                </wp:positionH>
                <wp:positionV relativeFrom="paragraph">
                  <wp:posOffset>3169920</wp:posOffset>
                </wp:positionV>
                <wp:extent cx="953135" cy="609600"/>
                <wp:effectExtent l="4445" t="4445" r="17780" b="10795"/>
                <wp:wrapNone/>
                <wp:docPr id="78" name="组合 78"/>
                <wp:cNvGraphicFramePr/>
                <a:graphic xmlns:a="http://schemas.openxmlformats.org/drawingml/2006/main">
                  <a:graphicData uri="http://schemas.microsoft.com/office/word/2010/wordprocessingGroup">
                    <wpg:wgp>
                      <wpg:cNvGrpSpPr/>
                      <wpg:grpSpPr>
                        <a:xfrm>
                          <a:off x="0" y="0"/>
                          <a:ext cx="953135" cy="609600"/>
                          <a:chOff x="8704" y="476462"/>
                          <a:chExt cx="1501" cy="960"/>
                        </a:xfrm>
                      </wpg:grpSpPr>
                      <wps:wsp>
                        <wps:cNvPr id="151" name="自选图形 11"/>
                        <wps:cNvSpPr/>
                        <wps:spPr>
                          <a:xfrm>
                            <a:off x="8704" y="476462"/>
                            <a:ext cx="1501" cy="500"/>
                          </a:xfrm>
                          <a:prstGeom prst="wedgeRoundRectCallout">
                            <a:avLst>
                              <a:gd name="adj1" fmla="val -36208"/>
                              <a:gd name="adj2" fmla="val 130600"/>
                              <a:gd name="adj3" fmla="val 16667"/>
                            </a:avLst>
                          </a:prstGeom>
                          <a:solidFill>
                            <a:schemeClr val="bg1"/>
                          </a:solidFill>
                          <a:ln w="9525" cap="flat" cmpd="sng">
                            <a:solidFill>
                              <a:srgbClr val="FF0000"/>
                            </a:solidFill>
                            <a:prstDash val="solid"/>
                            <a:miter/>
                            <a:headEnd type="none" w="med" len="med"/>
                            <a:tailEnd type="none" w="med" len="med"/>
                          </a:ln>
                        </wps:spPr>
                        <wps:txbx>
                          <w:txbxContent>
                            <w:p w14:paraId="6940BCD8">
                              <w:pPr>
                                <w:spacing w:line="240" w:lineRule="auto"/>
                                <w:ind w:firstLine="0" w:firstLineChars="0"/>
                                <w:jc w:val="center"/>
                                <w:rPr>
                                  <w:b/>
                                  <w:bCs/>
                                  <w:color w:val="FF0000"/>
                                </w:rPr>
                              </w:pPr>
                              <w:r>
                                <w:rPr>
                                  <w:rFonts w:hint="eastAsia"/>
                                  <w:b/>
                                  <w:bCs/>
                                  <w:color w:val="FF0000"/>
                                </w:rPr>
                                <w:t>项目所在地</w:t>
                              </w:r>
                            </w:p>
                            <w:p w14:paraId="1E044E9D">
                              <w:pPr>
                                <w:ind w:firstLine="0" w:firstLineChars="0"/>
                                <w:rPr>
                                  <w:b/>
                                  <w:color w:val="FF0000"/>
                                </w:rPr>
                              </w:pPr>
                            </w:p>
                          </w:txbxContent>
                        </wps:txbx>
                        <wps:bodyPr wrap="square" upright="1">
                          <a:noAutofit/>
                        </wps:bodyPr>
                      </wps:wsp>
                      <wps:wsp>
                        <wps:cNvPr id="139" name="椭圆 12"/>
                        <wps:cNvSpPr/>
                        <wps:spPr>
                          <a:xfrm>
                            <a:off x="8845" y="477309"/>
                            <a:ext cx="113" cy="113"/>
                          </a:xfrm>
                          <a:prstGeom prst="ellipse">
                            <a:avLst/>
                          </a:prstGeom>
                          <a:solidFill>
                            <a:srgbClr val="FFFF00"/>
                          </a:solidFill>
                          <a:ln w="9525">
                            <a:noFill/>
                          </a:ln>
                        </wps:spPr>
                        <wps:bodyPr upright="1"/>
                      </wps:wsp>
                    </wpg:wgp>
                  </a:graphicData>
                </a:graphic>
              </wp:anchor>
            </w:drawing>
          </mc:Choice>
          <mc:Fallback>
            <w:pict>
              <v:group id="_x0000_s1026" o:spid="_x0000_s1026" o:spt="203" style="position:absolute;left:0pt;margin-left:243.7pt;margin-top:249.6pt;height:48pt;width:75.05pt;z-index:251684864;mso-width-relative:page;mso-height-relative:page;" coordorigin="8704,476462" coordsize="1501,960" o:gfxdata="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D9PkJs3AAAAAsBAAAP&#10;AAAAAAAAAAEAIAAAACIAAABkcnMvZG93bnJldi54bWxQSwECFAAUAAAACACHTuJA52KrajEDAACn&#10;BwAADgAAAAAAAAABACAAAAArAQAAZHJzL2Uyb0RvYy54bWxQSwUGAAAAAAYABgBZAQAAzgYAAAAA&#10;">
                <o:lock v:ext="edit" aspectratio="f"/>
                <v:shape id="自选图形 11" o:spid="_x0000_s1026" o:spt="62" type="#_x0000_t62" style="position:absolute;left:8704;top:476462;height:500;width:1501;" fillcolor="#FFFFFF [3212]" filled="t" stroked="t" coordsize="21600,21600" o:gfxdata="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anvzvQAA&#10;ANwAAAAPAAAAAAAAAAEAIAAAACIAAABkcnMvZG93bnJldi54bWxQSwECFAAUAAAACACHTuJAMy8F&#10;njsAAAA5AAAAEAAAAAAAAAABACAAAAAMAQAAZHJzL3NoYXBleG1sLnhtbFBLBQYAAAAABgAGAFsB&#10;AAC2AwAAAAA=&#10;" adj="2979,39010,14400">
                  <v:fill on="t" focussize="0,0"/>
                  <v:stroke color="#FF0000" joinstyle="miter"/>
                  <v:imagedata o:title=""/>
                  <o:lock v:ext="edit" aspectratio="f"/>
                  <v:textbox>
                    <w:txbxContent>
                      <w:p w14:paraId="6940BCD8">
                        <w:pPr>
                          <w:spacing w:line="240" w:lineRule="auto"/>
                          <w:ind w:firstLine="0" w:firstLineChars="0"/>
                          <w:jc w:val="center"/>
                          <w:rPr>
                            <w:b/>
                            <w:bCs/>
                            <w:color w:val="FF0000"/>
                          </w:rPr>
                        </w:pPr>
                        <w:r>
                          <w:rPr>
                            <w:rFonts w:hint="eastAsia"/>
                            <w:b/>
                            <w:bCs/>
                            <w:color w:val="FF0000"/>
                          </w:rPr>
                          <w:t>项目所在地</w:t>
                        </w:r>
                      </w:p>
                      <w:p w14:paraId="1E044E9D">
                        <w:pPr>
                          <w:ind w:firstLine="0" w:firstLineChars="0"/>
                          <w:rPr>
                            <w:b/>
                            <w:color w:val="FF0000"/>
                          </w:rPr>
                        </w:pPr>
                      </w:p>
                    </w:txbxContent>
                  </v:textbox>
                </v:shape>
                <v:shape id="椭圆 12" o:spid="_x0000_s1026" o:spt="3" type="#_x0000_t3" style="position:absolute;left:8845;top:477309;height:113;width:113;" fillcolor="#FFFF00" filled="t" stroked="f" coordsize="21600,21600" o:gfxdata="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kzayvQAA&#10;ANwAAAAPAAAAAAAAAAEAIAAAACIAAABkcnMvZG93bnJldi54bWxQSwECFAAUAAAACACHTuJAMy8F&#10;njsAAAA5AAAAEAAAAAAAAAABACAAAAAMAQAAZHJzL3NoYXBleG1sLnhtbFBLBQYAAAAABgAGAFsB&#10;AAC2AwAAAAA=&#10;">
                  <v:fill on="t" focussize="0,0"/>
                  <v:stroke on="f"/>
                  <v:imagedata o:title=""/>
                  <o:lock v:ext="edit" aspectratio="f"/>
                </v:shape>
              </v:group>
            </w:pict>
          </mc:Fallback>
        </mc:AlternateContent>
      </w:r>
      <w:r>
        <w:rPr>
          <w:highlight w:val="none"/>
        </w:rPr>
        <w:drawing>
          <wp:inline distT="0" distB="0" distL="114300" distR="114300">
            <wp:extent cx="5506085" cy="6206490"/>
            <wp:effectExtent l="0" t="0" r="10795" b="11430"/>
            <wp:docPr id="141" name="图片 142" descr="C:\Users\董鑫桥\AppData\Roaming\Tencent\Users\387780692\QQ\WinTemp\RichOle\DQ8UT}08ZFG)5~@LWXK0B]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2" descr="C:\Users\董鑫桥\AppData\Roaming\Tencent\Users\387780692\QQ\WinTemp\RichOle\DQ8UT}08ZFG)5~@LWXK0B]L.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506085" cy="6206490"/>
                    </a:xfrm>
                    <a:prstGeom prst="rect">
                      <a:avLst/>
                    </a:prstGeom>
                    <a:noFill/>
                    <a:ln>
                      <a:noFill/>
                    </a:ln>
                  </pic:spPr>
                </pic:pic>
              </a:graphicData>
            </a:graphic>
          </wp:inline>
        </w:drawing>
      </w:r>
    </w:p>
    <w:p w14:paraId="0C3165A0">
      <w:pPr>
        <w:pStyle w:val="147"/>
        <w:keepNext w:val="0"/>
        <w:keepLines w:val="0"/>
        <w:pageBreakBefore w:val="0"/>
        <w:numPr>
          <w:ilvl w:val="0"/>
          <w:numId w:val="18"/>
        </w:numPr>
        <w:tabs>
          <w:tab w:val="left" w:pos="420"/>
          <w:tab w:val="clear" w:pos="0"/>
        </w:tabs>
        <w:kinsoku/>
        <w:wordWrap/>
        <w:overflowPunct/>
        <w:topLinePunct w:val="0"/>
        <w:autoSpaceDE/>
        <w:autoSpaceDN/>
        <w:bidi w:val="0"/>
        <w:spacing w:line="360" w:lineRule="auto"/>
        <w:ind w:left="0" w:leftChars="0" w:firstLine="0" w:firstLineChars="0"/>
        <w:jc w:val="center"/>
        <w:textAlignment w:val="auto"/>
        <w:rPr>
          <w:color w:val="000000"/>
          <w:sz w:val="21"/>
          <w:szCs w:val="21"/>
          <w:highlight w:val="none"/>
        </w:rPr>
      </w:pPr>
      <w:r>
        <w:rPr>
          <w:highlight w:val="none"/>
        </w:rPr>
        <mc:AlternateContent>
          <mc:Choice Requires="wps">
            <w:drawing>
              <wp:anchor distT="0" distB="0" distL="114300" distR="114300" simplePos="0" relativeHeight="251682816" behindDoc="0" locked="0" layoutInCell="1" allowOverlap="1">
                <wp:simplePos x="0" y="0"/>
                <wp:positionH relativeFrom="column">
                  <wp:posOffset>2785110</wp:posOffset>
                </wp:positionH>
                <wp:positionV relativeFrom="paragraph">
                  <wp:posOffset>4926965</wp:posOffset>
                </wp:positionV>
                <wp:extent cx="90805" cy="90805"/>
                <wp:effectExtent l="0" t="0" r="635" b="635"/>
                <wp:wrapNone/>
                <wp:docPr id="149" name="椭圆 12"/>
                <wp:cNvGraphicFramePr/>
                <a:graphic xmlns:a="http://schemas.openxmlformats.org/drawingml/2006/main">
                  <a:graphicData uri="http://schemas.microsoft.com/office/word/2010/wordprocessingShape">
                    <wps:wsp>
                      <wps:cNvSpPr/>
                      <wps:spPr>
                        <a:xfrm>
                          <a:off x="0" y="0"/>
                          <a:ext cx="90805" cy="90805"/>
                        </a:xfrm>
                        <a:prstGeom prst="ellipse">
                          <a:avLst/>
                        </a:prstGeom>
                        <a:solidFill>
                          <a:srgbClr val="FF0000"/>
                        </a:solidFill>
                        <a:ln w="9525">
                          <a:noFill/>
                        </a:ln>
                      </wps:spPr>
                      <wps:bodyPr upright="1"/>
                    </wps:wsp>
                  </a:graphicData>
                </a:graphic>
              </wp:anchor>
            </w:drawing>
          </mc:Choice>
          <mc:Fallback>
            <w:pict>
              <v:shape id="椭圆 12" o:spid="_x0000_s1026" o:spt="3" type="#_x0000_t3" style="position:absolute;left:0pt;margin-left:219.3pt;margin-top:387.95pt;height:7.15pt;width:7.15pt;z-index:251682816;mso-width-relative:page;mso-height-relative:page;" fillcolor="#FF0000" filled="t" stroked="f" coordsize="21600,21600" o:gfxdata="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nft1G2gAAAAsBAAAPAAAAAAAAAAEAIAAAACIAAABkcnMvZG93bnJldi54bWxQSwEC&#10;FAAUAAAACACHTuJACJbwD7kBAABrAwAADgAAAAAAAAABACAAAAApAQAAZHJzL2Uyb0RvYy54bWxQ&#10;SwUGAAAAAAYABgBZAQAAVAUAAAAA&#10;">
                <v:fill on="t" focussize="0,0"/>
                <v:stroke on="f"/>
                <v:imagedata o:title=""/>
                <o:lock v:ext="edit" aspectratio="f"/>
              </v:shape>
            </w:pict>
          </mc:Fallback>
        </mc:AlternateContent>
      </w:r>
      <w:r>
        <w:rPr>
          <w:highlight w:val="none"/>
        </w:rPr>
        <mc:AlternateContent>
          <mc:Choice Requires="wps">
            <w:drawing>
              <wp:anchor distT="0" distB="0" distL="114300" distR="114300" simplePos="0" relativeHeight="251683840" behindDoc="0" locked="0" layoutInCell="1" allowOverlap="1">
                <wp:simplePos x="0" y="0"/>
                <wp:positionH relativeFrom="column">
                  <wp:posOffset>1850390</wp:posOffset>
                </wp:positionH>
                <wp:positionV relativeFrom="paragraph">
                  <wp:posOffset>5164455</wp:posOffset>
                </wp:positionV>
                <wp:extent cx="1155700" cy="317500"/>
                <wp:effectExtent l="4445" t="181610" r="13335" b="19050"/>
                <wp:wrapNone/>
                <wp:docPr id="150" name="自选图形 11"/>
                <wp:cNvGraphicFramePr/>
                <a:graphic xmlns:a="http://schemas.openxmlformats.org/drawingml/2006/main">
                  <a:graphicData uri="http://schemas.microsoft.com/office/word/2010/wordprocessingShape">
                    <wps:wsp>
                      <wps:cNvSpPr/>
                      <wps:spPr>
                        <a:xfrm>
                          <a:off x="0" y="0"/>
                          <a:ext cx="1155700" cy="317500"/>
                        </a:xfrm>
                        <a:prstGeom prst="wedgeRoundRectCallout">
                          <a:avLst>
                            <a:gd name="adj1" fmla="val 35701"/>
                            <a:gd name="adj2" fmla="val -104353"/>
                            <a:gd name="adj3" fmla="val 16667"/>
                          </a:avLst>
                        </a:prstGeom>
                        <a:noFill/>
                        <a:ln w="9525" cap="flat" cmpd="sng">
                          <a:solidFill>
                            <a:srgbClr val="FF0000"/>
                          </a:solidFill>
                          <a:prstDash val="solid"/>
                          <a:miter/>
                          <a:headEnd type="none" w="med" len="med"/>
                          <a:tailEnd type="none" w="med" len="med"/>
                        </a:ln>
                      </wps:spPr>
                      <wps:txbx>
                        <w:txbxContent>
                          <w:p w14:paraId="34F12FE0">
                            <w:pPr>
                              <w:spacing w:line="240" w:lineRule="auto"/>
                              <w:ind w:firstLine="0" w:firstLineChars="0"/>
                              <w:jc w:val="center"/>
                              <w:rPr>
                                <w:b/>
                                <w:bCs/>
                                <w:color w:val="FF0000"/>
                              </w:rPr>
                            </w:pPr>
                            <w:r>
                              <w:rPr>
                                <w:rFonts w:hint="eastAsia"/>
                                <w:b/>
                                <w:bCs/>
                                <w:color w:val="FF0000"/>
                              </w:rPr>
                              <w:t>项目所在地</w:t>
                            </w:r>
                          </w:p>
                          <w:p w14:paraId="640DF459">
                            <w:pPr>
                              <w:ind w:firstLine="0" w:firstLineChars="0"/>
                              <w:rPr>
                                <w:b/>
                                <w:color w:val="FF0000"/>
                              </w:rPr>
                            </w:pPr>
                          </w:p>
                        </w:txbxContent>
                      </wps:txbx>
                      <wps:bodyPr wrap="square" upright="1">
                        <a:noAutofit/>
                      </wps:bodyPr>
                    </wps:wsp>
                  </a:graphicData>
                </a:graphic>
              </wp:anchor>
            </w:drawing>
          </mc:Choice>
          <mc:Fallback>
            <w:pict>
              <v:shape id="自选图形 11" o:spid="_x0000_s1026" o:spt="62" type="#_x0000_t62" style="position:absolute;left:0pt;margin-left:145.7pt;margin-top:406.65pt;height:25pt;width:91pt;z-index:251683840;mso-width-relative:page;mso-height-relative:page;" filled="f" stroked="t" coordsize="21600,21600" o:gfxdata="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Jk7KB2wAAAAsBAAAPAAAAAAAAAAEAIAAAACIAAABkcnMvZG93bnJldi54bWxQSwECFAAUAAAA&#10;CACHTuJAtruqrl0CAAC5BAAADgAAAAAAAAABACAAAAAqAQAAZHJzL2Uyb0RvYy54bWxQSwUGAAAA&#10;AAYABgBZAQAA+QUAAAAA&#10;" adj="18511,-11740,14400">
                <v:fill on="f" focussize="0,0"/>
                <v:stroke color="#FF0000" joinstyle="miter"/>
                <v:imagedata o:title=""/>
                <o:lock v:ext="edit" aspectratio="f"/>
                <v:textbox>
                  <w:txbxContent>
                    <w:p w14:paraId="34F12FE0">
                      <w:pPr>
                        <w:spacing w:line="240" w:lineRule="auto"/>
                        <w:ind w:firstLine="0" w:firstLineChars="0"/>
                        <w:jc w:val="center"/>
                        <w:rPr>
                          <w:b/>
                          <w:bCs/>
                          <w:color w:val="FF0000"/>
                        </w:rPr>
                      </w:pPr>
                      <w:r>
                        <w:rPr>
                          <w:rFonts w:hint="eastAsia"/>
                          <w:b/>
                          <w:bCs/>
                          <w:color w:val="FF0000"/>
                        </w:rPr>
                        <w:t>项目所在地</w:t>
                      </w:r>
                    </w:p>
                    <w:p w14:paraId="640DF459">
                      <w:pPr>
                        <w:ind w:firstLine="0" w:firstLineChars="0"/>
                        <w:rPr>
                          <w:b/>
                          <w:color w:val="FF0000"/>
                        </w:rPr>
                      </w:pPr>
                    </w:p>
                  </w:txbxContent>
                </v:textbox>
              </v:shape>
            </w:pict>
          </mc:Fallback>
        </mc:AlternateContent>
      </w:r>
      <w:r>
        <w:rPr>
          <w:b/>
          <w:sz w:val="21"/>
          <w:szCs w:val="21"/>
          <w:highlight w:val="none"/>
        </w:rPr>
        <w:t>项目与承德市燕山山地水源涵养重要区规划的关系示意图</w:t>
      </w:r>
    </w:p>
    <w:p w14:paraId="22050042">
      <w:pPr>
        <w:pStyle w:val="6"/>
        <w:spacing w:before="0" w:beforeLines="0"/>
        <w:rPr>
          <w:rFonts w:hint="default" w:ascii="Times New Roman" w:hAnsi="Times New Roman" w:eastAsia="宋体" w:cs="Times New Roman"/>
          <w:szCs w:val="24"/>
          <w:highlight w:val="none"/>
        </w:rPr>
      </w:pPr>
      <w:r>
        <w:rPr>
          <w:rFonts w:hint="default" w:ascii="Times New Roman" w:hAnsi="Times New Roman" w:eastAsia="宋体" w:cs="Times New Roman"/>
          <w:szCs w:val="24"/>
          <w:highlight w:val="none"/>
        </w:rPr>
        <w:t>生态环境保护“十四五规划”</w:t>
      </w:r>
    </w:p>
    <w:p w14:paraId="41C6DC9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b/>
          <w:sz w:val="24"/>
          <w:szCs w:val="24"/>
          <w:highlight w:val="none"/>
          <w:lang w:val="en-US" w:eastAsia="zh-CN"/>
        </w:rPr>
      </w:pPr>
      <w:r>
        <w:rPr>
          <w:rFonts w:hint="eastAsia" w:ascii="Times New Roman" w:hAnsi="Times New Roman"/>
          <w:b/>
          <w:sz w:val="24"/>
          <w:szCs w:val="24"/>
          <w:highlight w:val="none"/>
          <w:lang w:eastAsia="zh-CN"/>
        </w:rPr>
        <w:t>2.6</w:t>
      </w:r>
      <w:r>
        <w:rPr>
          <w:rFonts w:ascii="Times New Roman" w:hAnsi="Times New Roman"/>
          <w:b/>
          <w:sz w:val="24"/>
          <w:szCs w:val="24"/>
          <w:highlight w:val="none"/>
        </w:rPr>
        <w:t>.</w:t>
      </w:r>
      <w:r>
        <w:rPr>
          <w:rFonts w:hint="eastAsia" w:ascii="Times New Roman" w:hAnsi="Times New Roman"/>
          <w:b/>
          <w:sz w:val="24"/>
          <w:szCs w:val="24"/>
          <w:highlight w:val="none"/>
          <w:lang w:val="en-US" w:eastAsia="zh-CN"/>
        </w:rPr>
        <w:t>3.1《“十四五”土壤、地下水和农村生态环境保护规划》、《河北省土壤和地下水污染防治“十四五”规划》</w:t>
      </w:r>
      <w:r>
        <w:rPr>
          <w:rFonts w:hint="eastAsia"/>
          <w:b/>
          <w:sz w:val="24"/>
          <w:szCs w:val="24"/>
          <w:highlight w:val="none"/>
          <w:lang w:val="en-US" w:eastAsia="zh-CN"/>
        </w:rPr>
        <w:t>、</w:t>
      </w:r>
      <w:r>
        <w:rPr>
          <w:rFonts w:hint="eastAsia" w:ascii="Times New Roman" w:hAnsi="Times New Roman"/>
          <w:b/>
          <w:sz w:val="24"/>
          <w:szCs w:val="24"/>
          <w:highlight w:val="none"/>
          <w:lang w:val="en-US" w:eastAsia="zh-CN"/>
        </w:rPr>
        <w:t>《承德市“十四五”土壤、地下水和农村生态环境保护规划》</w:t>
      </w:r>
    </w:p>
    <w:p w14:paraId="1C5B0C0B">
      <w:pPr>
        <w:spacing w:line="360" w:lineRule="auto"/>
        <w:ind w:firstLine="480" w:firstLineChars="200"/>
        <w:rPr>
          <w:rFonts w:hint="eastAsia" w:cs="Times New Roman"/>
          <w:kern w:val="0"/>
          <w:sz w:val="24"/>
          <w:highlight w:val="none"/>
          <w:lang w:eastAsia="zh-CN"/>
        </w:rPr>
      </w:pPr>
      <w:r>
        <w:rPr>
          <w:rFonts w:hint="default" w:ascii="Times New Roman" w:hAnsi="Times New Roman" w:cs="Times New Roman"/>
          <w:kern w:val="0"/>
          <w:sz w:val="24"/>
          <w:highlight w:val="none"/>
        </w:rPr>
        <w:t>本项目与《</w:t>
      </w:r>
      <w:r>
        <w:rPr>
          <w:rFonts w:hint="eastAsia" w:ascii="宋体" w:hAnsi="宋体" w:eastAsia="宋体" w:cs="宋体"/>
          <w:kern w:val="0"/>
          <w:sz w:val="24"/>
          <w:highlight w:val="none"/>
        </w:rPr>
        <w:t>“十四五”</w:t>
      </w:r>
      <w:r>
        <w:rPr>
          <w:rFonts w:hint="default" w:ascii="Times New Roman" w:hAnsi="Times New Roman" w:cs="Times New Roman"/>
          <w:kern w:val="0"/>
          <w:sz w:val="24"/>
          <w:highlight w:val="none"/>
        </w:rPr>
        <w:t>土壤、地下水和农村生态环境保护规划》(环土壤[20211120号)、《河北省土壤和地下水污染防</w:t>
      </w:r>
      <w:r>
        <w:rPr>
          <w:rFonts w:hint="eastAsia" w:ascii="宋体" w:hAnsi="宋体" w:eastAsia="宋体" w:cs="宋体"/>
          <w:kern w:val="0"/>
          <w:sz w:val="24"/>
          <w:highlight w:val="none"/>
        </w:rPr>
        <w:t>治“十四五”规</w:t>
      </w:r>
      <w:r>
        <w:rPr>
          <w:rFonts w:hint="default" w:ascii="Times New Roman" w:hAnsi="Times New Roman" w:cs="Times New Roman"/>
          <w:kern w:val="0"/>
          <w:sz w:val="24"/>
          <w:highlight w:val="none"/>
        </w:rPr>
        <w:t>划》</w:t>
      </w:r>
      <w:r>
        <w:rPr>
          <w:rFonts w:hint="eastAsia" w:cs="Times New Roman"/>
          <w:kern w:val="0"/>
          <w:sz w:val="24"/>
          <w:highlight w:val="none"/>
          <w:lang w:eastAsia="zh-CN"/>
        </w:rPr>
        <w:t>、</w:t>
      </w:r>
      <w:r>
        <w:rPr>
          <w:rFonts w:hint="eastAsia" w:cs="Times New Roman"/>
          <w:kern w:val="0"/>
          <w:sz w:val="24"/>
          <w:highlight w:val="none"/>
          <w:lang w:eastAsia="zh-CN"/>
        </w:rPr>
        <w:t>《承德市“十四五”土壤、地下水和农村生态环境保护规划》（承土领办〔2022〕6号）</w:t>
      </w:r>
      <w:r>
        <w:rPr>
          <w:rFonts w:hint="default" w:ascii="Times New Roman" w:hAnsi="Times New Roman" w:cs="Times New Roman"/>
          <w:kern w:val="0"/>
          <w:sz w:val="24"/>
          <w:highlight w:val="none"/>
        </w:rPr>
        <w:t>符合性分析见下表</w:t>
      </w:r>
      <w:r>
        <w:rPr>
          <w:rFonts w:hint="eastAsia" w:cs="Times New Roman"/>
          <w:kern w:val="0"/>
          <w:sz w:val="24"/>
          <w:highlight w:val="none"/>
          <w:lang w:eastAsia="zh-CN"/>
        </w:rPr>
        <w:t>。</w:t>
      </w:r>
    </w:p>
    <w:p w14:paraId="00B547FF">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b/>
          <w:kern w:val="0"/>
          <w:sz w:val="24"/>
          <w:highlight w:val="none"/>
        </w:rPr>
      </w:pPr>
      <w:r>
        <w:rPr>
          <w:rStyle w:val="152"/>
          <w:rFonts w:eastAsia="宋体"/>
          <w:b/>
          <w:color w:val="auto"/>
          <w:szCs w:val="21"/>
          <w:highlight w:val="none"/>
        </w:rPr>
        <w:t>与《</w:t>
      </w:r>
      <w:r>
        <w:rPr>
          <w:rStyle w:val="152"/>
          <w:rFonts w:hint="eastAsia" w:ascii="宋体" w:hAnsi="宋体" w:eastAsia="宋体" w:cs="宋体"/>
          <w:b/>
          <w:color w:val="auto"/>
          <w:szCs w:val="21"/>
          <w:highlight w:val="none"/>
        </w:rPr>
        <w:t>“十四五”土</w:t>
      </w:r>
      <w:r>
        <w:rPr>
          <w:rStyle w:val="152"/>
          <w:rFonts w:eastAsia="宋体"/>
          <w:b/>
          <w:color w:val="auto"/>
          <w:szCs w:val="21"/>
          <w:highlight w:val="none"/>
        </w:rPr>
        <w:t>壤、地下水和农村生态环境保护规划》</w:t>
      </w:r>
      <w:r>
        <w:rPr>
          <w:rStyle w:val="152"/>
          <w:rFonts w:hint="eastAsia" w:eastAsia="宋体"/>
          <w:b/>
          <w:color w:val="auto"/>
          <w:szCs w:val="21"/>
          <w:highlight w:val="none"/>
          <w:lang w:eastAsia="zh-CN"/>
        </w:rPr>
        <w:t>、</w:t>
      </w:r>
      <w:r>
        <w:rPr>
          <w:rStyle w:val="152"/>
          <w:rFonts w:hint="eastAsia" w:eastAsia="宋体"/>
          <w:b/>
          <w:color w:val="auto"/>
          <w:szCs w:val="21"/>
          <w:highlight w:val="none"/>
        </w:rPr>
        <w:t>《河北省土壤和地下水污染防治“十四五”规划》</w:t>
      </w:r>
      <w:r>
        <w:rPr>
          <w:rStyle w:val="152"/>
          <w:rFonts w:hint="eastAsia" w:eastAsia="宋体"/>
          <w:b/>
          <w:color w:val="auto"/>
          <w:szCs w:val="21"/>
          <w:highlight w:val="none"/>
          <w:lang w:eastAsia="zh-CN"/>
        </w:rPr>
        <w:t>、《承德市“十四五”土壤、地下水和农村生态环境保护规划》</w:t>
      </w:r>
      <w:r>
        <w:rPr>
          <w:rStyle w:val="152"/>
          <w:rFonts w:eastAsia="宋体"/>
          <w:b/>
          <w:color w:val="auto"/>
          <w:szCs w:val="21"/>
          <w:highlight w:val="none"/>
        </w:rPr>
        <w:t>符合性一览表</w:t>
      </w:r>
    </w:p>
    <w:tbl>
      <w:tblPr>
        <w:tblStyle w:val="58"/>
        <w:tblW w:w="5226"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004"/>
        <w:gridCol w:w="4531"/>
        <w:gridCol w:w="2667"/>
        <w:gridCol w:w="496"/>
      </w:tblGrid>
      <w:tr w14:paraId="389479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577" w:type="pct"/>
            <w:vMerge w:val="restart"/>
            <w:tcBorders>
              <w:top w:val="single" w:color="000000" w:sz="4" w:space="0"/>
              <w:left w:val="single" w:color="000000" w:sz="4" w:space="0"/>
              <w:right w:val="single" w:color="000000" w:sz="4" w:space="0"/>
            </w:tcBorders>
            <w:vAlign w:val="center"/>
          </w:tcPr>
          <w:p w14:paraId="35CC4A6B">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eastAsia="宋体"/>
                <w:b/>
                <w:bCs/>
                <w:sz w:val="21"/>
                <w:highlight w:val="none"/>
                <w:lang w:val="en-US" w:eastAsia="zh-CN"/>
              </w:rPr>
            </w:pPr>
            <w:r>
              <w:rPr>
                <w:rFonts w:hint="eastAsia" w:eastAsia="宋体"/>
                <w:b/>
                <w:bCs/>
                <w:sz w:val="21"/>
                <w:highlight w:val="none"/>
                <w:lang w:val="en-US" w:eastAsia="zh-CN"/>
              </w:rPr>
              <w:t>规划名称</w:t>
            </w:r>
          </w:p>
        </w:tc>
        <w:tc>
          <w:tcPr>
            <w:tcW w:w="2604" w:type="pct"/>
            <w:vMerge w:val="restart"/>
            <w:tcBorders>
              <w:top w:val="single" w:color="000000" w:sz="4" w:space="0"/>
              <w:left w:val="single" w:color="000000" w:sz="4" w:space="0"/>
              <w:right w:val="single" w:color="000000" w:sz="4" w:space="0"/>
            </w:tcBorders>
            <w:vAlign w:val="center"/>
          </w:tcPr>
          <w:p w14:paraId="394C4EFF">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eastAsia="宋体"/>
                <w:b/>
                <w:bCs/>
                <w:sz w:val="21"/>
                <w:highlight w:val="none"/>
              </w:rPr>
            </w:pPr>
            <w:r>
              <w:rPr>
                <w:rFonts w:hint="eastAsia" w:eastAsia="宋体"/>
                <w:b/>
                <w:bCs/>
                <w:sz w:val="21"/>
                <w:highlight w:val="none"/>
              </w:rPr>
              <w:t>规划</w:t>
            </w:r>
            <w:r>
              <w:rPr>
                <w:rFonts w:eastAsia="宋体"/>
                <w:b/>
                <w:bCs/>
                <w:sz w:val="21"/>
                <w:highlight w:val="none"/>
              </w:rPr>
              <w:t>要求</w:t>
            </w:r>
          </w:p>
        </w:tc>
        <w:tc>
          <w:tcPr>
            <w:tcW w:w="1818" w:type="pct"/>
            <w:gridSpan w:val="2"/>
            <w:tcBorders>
              <w:top w:val="single" w:color="000000" w:sz="4" w:space="0"/>
              <w:left w:val="single" w:color="000000" w:sz="4" w:space="0"/>
              <w:bottom w:val="single" w:color="000000" w:sz="4" w:space="0"/>
              <w:right w:val="single" w:color="000000" w:sz="4" w:space="0"/>
            </w:tcBorders>
            <w:vAlign w:val="center"/>
          </w:tcPr>
          <w:p w14:paraId="3C33AE5C">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b/>
                <w:bCs/>
                <w:sz w:val="21"/>
                <w:highlight w:val="none"/>
              </w:rPr>
            </w:pPr>
            <w:r>
              <w:rPr>
                <w:rFonts w:eastAsia="宋体"/>
                <w:b/>
                <w:bCs/>
                <w:sz w:val="21"/>
                <w:highlight w:val="none"/>
              </w:rPr>
              <w:t>本项目</w:t>
            </w:r>
          </w:p>
        </w:tc>
      </w:tr>
      <w:tr w14:paraId="73E182F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577" w:type="pct"/>
            <w:vMerge w:val="continue"/>
            <w:tcBorders>
              <w:left w:val="single" w:color="000000" w:sz="4" w:space="0"/>
              <w:bottom w:val="single" w:color="000000" w:sz="4" w:space="0"/>
              <w:right w:val="single" w:color="000000" w:sz="4" w:space="0"/>
            </w:tcBorders>
            <w:vAlign w:val="center"/>
          </w:tcPr>
          <w:p w14:paraId="7873A2C7">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b/>
                <w:bCs/>
                <w:sz w:val="21"/>
                <w:highlight w:val="none"/>
              </w:rPr>
            </w:pPr>
          </w:p>
        </w:tc>
        <w:tc>
          <w:tcPr>
            <w:tcW w:w="2604" w:type="pct"/>
            <w:vMerge w:val="continue"/>
            <w:tcBorders>
              <w:left w:val="single" w:color="000000" w:sz="4" w:space="0"/>
              <w:bottom w:val="single" w:color="000000" w:sz="4" w:space="0"/>
              <w:right w:val="single" w:color="000000" w:sz="4" w:space="0"/>
            </w:tcBorders>
            <w:vAlign w:val="center"/>
          </w:tcPr>
          <w:p w14:paraId="2CDD0387">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b/>
                <w:bCs/>
                <w:sz w:val="21"/>
                <w:highlight w:val="none"/>
              </w:rPr>
            </w:pPr>
          </w:p>
        </w:tc>
        <w:tc>
          <w:tcPr>
            <w:tcW w:w="1533" w:type="pct"/>
            <w:tcBorders>
              <w:top w:val="single" w:color="000000" w:sz="4" w:space="0"/>
              <w:left w:val="single" w:color="000000" w:sz="4" w:space="0"/>
              <w:bottom w:val="single" w:color="000000" w:sz="4" w:space="0"/>
              <w:right w:val="single" w:color="000000" w:sz="4" w:space="0"/>
            </w:tcBorders>
            <w:vAlign w:val="center"/>
          </w:tcPr>
          <w:p w14:paraId="6525DAEA">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b/>
                <w:bCs/>
                <w:sz w:val="21"/>
                <w:highlight w:val="none"/>
              </w:rPr>
            </w:pPr>
            <w:r>
              <w:rPr>
                <w:rFonts w:eastAsia="宋体"/>
                <w:b/>
                <w:bCs/>
                <w:sz w:val="21"/>
                <w:highlight w:val="none"/>
              </w:rPr>
              <w:t>对应内容</w:t>
            </w:r>
          </w:p>
        </w:tc>
        <w:tc>
          <w:tcPr>
            <w:tcW w:w="284" w:type="pct"/>
            <w:tcBorders>
              <w:top w:val="single" w:color="000000" w:sz="4" w:space="0"/>
              <w:left w:val="single" w:color="000000" w:sz="4" w:space="0"/>
              <w:bottom w:val="single" w:color="000000" w:sz="4" w:space="0"/>
              <w:right w:val="single" w:color="000000" w:sz="4" w:space="0"/>
            </w:tcBorders>
            <w:vAlign w:val="center"/>
          </w:tcPr>
          <w:p w14:paraId="47AB1625">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b/>
                <w:bCs/>
                <w:sz w:val="21"/>
                <w:highlight w:val="none"/>
              </w:rPr>
            </w:pPr>
            <w:r>
              <w:rPr>
                <w:rFonts w:eastAsia="宋体"/>
                <w:b/>
                <w:bCs/>
                <w:sz w:val="21"/>
                <w:highlight w:val="none"/>
              </w:rPr>
              <w:t>结论</w:t>
            </w:r>
          </w:p>
        </w:tc>
      </w:tr>
      <w:tr w14:paraId="14177DC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577" w:type="pct"/>
            <w:tcBorders>
              <w:top w:val="single" w:color="000000" w:sz="4" w:space="0"/>
              <w:left w:val="single" w:color="000000" w:sz="4" w:space="0"/>
              <w:bottom w:val="single" w:color="000000" w:sz="4" w:space="0"/>
              <w:right w:val="single" w:color="000000" w:sz="4" w:space="0"/>
            </w:tcBorders>
            <w:vAlign w:val="center"/>
          </w:tcPr>
          <w:p w14:paraId="4D858B8B">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b w:val="0"/>
                <w:bCs/>
                <w:sz w:val="21"/>
                <w:highlight w:val="none"/>
              </w:rPr>
            </w:pPr>
            <w:r>
              <w:rPr>
                <w:rStyle w:val="152"/>
                <w:rFonts w:eastAsia="宋体"/>
                <w:b w:val="0"/>
                <w:bCs/>
                <w:color w:val="auto"/>
                <w:szCs w:val="21"/>
                <w:highlight w:val="none"/>
              </w:rPr>
              <w:t>《</w:t>
            </w:r>
            <w:r>
              <w:rPr>
                <w:rStyle w:val="152"/>
                <w:rFonts w:hint="eastAsia" w:ascii="宋体" w:hAnsi="宋体" w:eastAsia="宋体" w:cs="宋体"/>
                <w:b w:val="0"/>
                <w:bCs/>
                <w:color w:val="auto"/>
                <w:szCs w:val="21"/>
                <w:highlight w:val="none"/>
              </w:rPr>
              <w:t>“十四五”土</w:t>
            </w:r>
            <w:r>
              <w:rPr>
                <w:rStyle w:val="152"/>
                <w:rFonts w:eastAsia="宋体"/>
                <w:b w:val="0"/>
                <w:bCs/>
                <w:color w:val="auto"/>
                <w:szCs w:val="21"/>
                <w:highlight w:val="none"/>
              </w:rPr>
              <w:t>壤、地下水和农村生态环境保护规划》</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CA7826">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eastAsia="宋体"/>
                <w:sz w:val="21"/>
                <w:highlight w:val="none"/>
              </w:rPr>
              <w:t>加强土壤污染防治：①防范工矿企业新增土壤污染，严格建设项目土壤环境影响评价制度。对涉及有毒有害物质可能造成土壤污染的新(改、扩)建项目，依法进行环境影响评价，提出并落实防腐蚀、防渗漏、防遗撒等土壤污染防治具体措施。②深入实施耕地分类管理，切实加大保护力度。依法将符合条件的优先保护类耕地划为永久基本农田，在永久基本农田集中区域，不得规划新建可能造成土壤污染的建设项目。</w:t>
            </w:r>
          </w:p>
        </w:tc>
        <w:tc>
          <w:tcPr>
            <w:tcW w:w="1533" w:type="pct"/>
            <w:tcBorders>
              <w:top w:val="single" w:color="000000" w:sz="4" w:space="0"/>
              <w:left w:val="single" w:color="000000" w:sz="4" w:space="0"/>
              <w:bottom w:val="single" w:color="000000" w:sz="4" w:space="0"/>
              <w:right w:val="single" w:color="000000" w:sz="4" w:space="0"/>
            </w:tcBorders>
            <w:vAlign w:val="center"/>
          </w:tcPr>
          <w:p w14:paraId="3DDF52A2">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sz w:val="21"/>
                <w:highlight w:val="none"/>
              </w:rPr>
            </w:pPr>
            <w:r>
              <w:rPr>
                <w:rFonts w:hint="default" w:ascii="Times New Roman" w:hAnsi="Times New Roman" w:eastAsia="宋体" w:cs="Times New Roman"/>
                <w:color w:val="auto"/>
                <w:sz w:val="21"/>
                <w:highlight w:val="none"/>
              </w:rPr>
              <w:t>①项目目前正在进行环境影响评价工作，环评文件提出了土壤污染防治措施，并</w:t>
            </w:r>
            <w:r>
              <w:rPr>
                <w:rFonts w:hint="default" w:ascii="Times New Roman" w:hAnsi="Times New Roman" w:eastAsia="宋体" w:cs="Times New Roman"/>
                <w:color w:val="auto"/>
                <w:sz w:val="21"/>
                <w:highlight w:val="none"/>
                <w:lang w:val="en-US" w:eastAsia="zh-CN"/>
              </w:rPr>
              <w:t>按</w:t>
            </w:r>
            <w:r>
              <w:rPr>
                <w:rFonts w:hint="default" w:ascii="Times New Roman" w:hAnsi="Times New Roman" w:eastAsia="宋体" w:cs="Times New Roman"/>
                <w:color w:val="auto"/>
                <w:sz w:val="21"/>
                <w:highlight w:val="none"/>
              </w:rPr>
              <w:t>要求定期进行土壤自行监测，后续将严格按照环评文件的要求进行落实</w:t>
            </w:r>
            <w:r>
              <w:rPr>
                <w:rFonts w:hint="eastAsia" w:ascii="宋体" w:hAnsi="宋体" w:eastAsia="宋体" w:cs="宋体"/>
                <w:color w:val="auto"/>
                <w:sz w:val="21"/>
                <w:highlight w:val="none"/>
              </w:rPr>
              <w:t>。②</w:t>
            </w:r>
            <w:r>
              <w:rPr>
                <w:rFonts w:hint="eastAsia" w:ascii="宋体" w:hAnsi="宋体" w:eastAsia="宋体" w:cs="宋体"/>
                <w:color w:val="auto"/>
                <w:sz w:val="21"/>
                <w:highlight w:val="none"/>
                <w:lang w:val="en-US" w:eastAsia="zh-CN"/>
              </w:rPr>
              <w:t>项目</w:t>
            </w:r>
            <w:r>
              <w:rPr>
                <w:rFonts w:hint="eastAsia" w:ascii="宋体" w:hAnsi="宋体" w:eastAsia="宋体" w:cs="宋体"/>
                <w:color w:val="auto"/>
                <w:sz w:val="21"/>
                <w:highlight w:val="none"/>
              </w:rPr>
              <w:t>占地不涉及永久基本农田。</w:t>
            </w:r>
          </w:p>
        </w:tc>
        <w:tc>
          <w:tcPr>
            <w:tcW w:w="284" w:type="pct"/>
            <w:tcBorders>
              <w:top w:val="single" w:color="000000" w:sz="4" w:space="0"/>
              <w:left w:val="single" w:color="000000" w:sz="4" w:space="0"/>
              <w:bottom w:val="single" w:color="000000" w:sz="4" w:space="0"/>
              <w:right w:val="single" w:color="000000" w:sz="4" w:space="0"/>
            </w:tcBorders>
            <w:vAlign w:val="center"/>
          </w:tcPr>
          <w:p w14:paraId="12D93AEA">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sz w:val="21"/>
                <w:highlight w:val="none"/>
              </w:rPr>
            </w:pPr>
            <w:r>
              <w:rPr>
                <w:rFonts w:hint="eastAsia" w:eastAsia="宋体"/>
                <w:sz w:val="21"/>
                <w:highlight w:val="none"/>
              </w:rPr>
              <w:t>符合</w:t>
            </w:r>
          </w:p>
        </w:tc>
      </w:tr>
      <w:tr w14:paraId="2766ADA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577" w:type="pct"/>
            <w:tcBorders>
              <w:top w:val="single" w:color="000000" w:sz="4" w:space="0"/>
              <w:left w:val="single" w:color="000000" w:sz="4" w:space="0"/>
              <w:bottom w:val="single" w:color="000000" w:sz="4" w:space="0"/>
              <w:right w:val="single" w:color="000000" w:sz="4" w:space="0"/>
            </w:tcBorders>
            <w:vAlign w:val="center"/>
          </w:tcPr>
          <w:p w14:paraId="0B4F02D7">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b w:val="0"/>
                <w:bCs/>
                <w:sz w:val="21"/>
                <w:highlight w:val="none"/>
              </w:rPr>
            </w:pPr>
            <w:r>
              <w:rPr>
                <w:rStyle w:val="152"/>
                <w:rFonts w:hint="eastAsia" w:eastAsia="宋体"/>
                <w:b w:val="0"/>
                <w:bCs/>
                <w:color w:val="auto"/>
                <w:szCs w:val="21"/>
                <w:highlight w:val="none"/>
              </w:rPr>
              <w:t>《河北省土壤和地下水污染防治“十四五”规划》</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4F51F8">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eastAsia="宋体"/>
                <w:sz w:val="21"/>
                <w:highlight w:val="none"/>
              </w:rPr>
              <w:t>加强地下水污染防治：①落实地下水防渗和监测措施：督促“一企一库”“两场两区”（即化学品生产企业、尾矿库、危险废物处置场、垃圾填埋场、化工产业为主导的工业集聚区、矿山开采区）采取防渗漏措施，按要求建设地下水环境监测井，开展地下水环境自行监测；②强化地下水型饮用水水源保护，规范地下水型饮用水水源保护区环境管理；加强地下水型饮用水水源补给区保护。</w:t>
            </w:r>
          </w:p>
        </w:tc>
        <w:tc>
          <w:tcPr>
            <w:tcW w:w="1533" w:type="pct"/>
            <w:tcBorders>
              <w:top w:val="single" w:color="000000" w:sz="4" w:space="0"/>
              <w:left w:val="single" w:color="000000" w:sz="4" w:space="0"/>
              <w:bottom w:val="single" w:color="000000" w:sz="4" w:space="0"/>
              <w:right w:val="single" w:color="000000" w:sz="4" w:space="0"/>
            </w:tcBorders>
            <w:vAlign w:val="center"/>
          </w:tcPr>
          <w:p w14:paraId="277E36C5">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sz w:val="21"/>
                <w:highlight w:val="none"/>
              </w:rPr>
            </w:pPr>
            <w:r>
              <w:rPr>
                <w:rFonts w:hint="default" w:ascii="Times New Roman" w:hAnsi="Times New Roman" w:eastAsia="宋体" w:cs="Times New Roman"/>
                <w:color w:val="auto"/>
                <w:sz w:val="21"/>
                <w:highlight w:val="none"/>
              </w:rPr>
              <w:t>①</w:t>
            </w:r>
            <w:r>
              <w:rPr>
                <w:rFonts w:hint="default" w:ascii="Times New Roman" w:hAnsi="Times New Roman" w:eastAsia="宋体" w:cs="Times New Roman"/>
                <w:color w:val="auto"/>
                <w:sz w:val="21"/>
                <w:highlight w:val="none"/>
                <w:lang w:val="en-US" w:eastAsia="zh-CN"/>
              </w:rPr>
              <w:t>项目</w:t>
            </w:r>
            <w:r>
              <w:rPr>
                <w:rFonts w:hint="eastAsia" w:eastAsia="宋体" w:cs="Times New Roman"/>
                <w:color w:val="auto"/>
                <w:sz w:val="21"/>
                <w:highlight w:val="none"/>
                <w:lang w:val="en-US" w:eastAsia="zh-CN"/>
              </w:rPr>
              <w:t>为采区废石、选厂废石堆存场，</w:t>
            </w:r>
            <w:r>
              <w:rPr>
                <w:rFonts w:hint="default" w:ascii="Times New Roman" w:hAnsi="Times New Roman" w:eastAsia="宋体" w:cs="Times New Roman"/>
                <w:color w:val="auto"/>
                <w:sz w:val="21"/>
                <w:highlight w:val="none"/>
                <w:lang w:val="en-US" w:eastAsia="zh-CN"/>
              </w:rPr>
              <w:t>项目</w:t>
            </w:r>
            <w:r>
              <w:rPr>
                <w:rFonts w:hint="default" w:ascii="Times New Roman" w:hAnsi="Times New Roman" w:eastAsia="宋体" w:cs="Times New Roman"/>
                <w:color w:val="auto"/>
                <w:sz w:val="21"/>
                <w:highlight w:val="none"/>
              </w:rPr>
              <w:t>设置地下水监测井，地下水及土壤按照规范要求进行跟踪监测。②本项目不涉及饮用水水源保护区及补给区。</w:t>
            </w:r>
          </w:p>
        </w:tc>
        <w:tc>
          <w:tcPr>
            <w:tcW w:w="284" w:type="pct"/>
            <w:tcBorders>
              <w:top w:val="single" w:color="000000" w:sz="4" w:space="0"/>
              <w:left w:val="single" w:color="000000" w:sz="4" w:space="0"/>
              <w:bottom w:val="single" w:color="000000" w:sz="4" w:space="0"/>
              <w:right w:val="single" w:color="000000" w:sz="4" w:space="0"/>
            </w:tcBorders>
            <w:vAlign w:val="center"/>
          </w:tcPr>
          <w:p w14:paraId="7E53A4B4">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eastAsia="宋体"/>
                <w:sz w:val="21"/>
                <w:highlight w:val="none"/>
              </w:rPr>
            </w:pPr>
            <w:r>
              <w:rPr>
                <w:rFonts w:hint="eastAsia" w:eastAsia="宋体"/>
                <w:sz w:val="21"/>
                <w:highlight w:val="none"/>
              </w:rPr>
              <w:t>符合</w:t>
            </w:r>
          </w:p>
        </w:tc>
      </w:tr>
      <w:tr w14:paraId="5160411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577" w:type="pct"/>
            <w:vMerge w:val="restart"/>
            <w:tcBorders>
              <w:top w:val="single" w:color="000000" w:sz="4" w:space="0"/>
              <w:left w:val="single" w:color="000000" w:sz="4" w:space="0"/>
              <w:right w:val="single" w:color="000000" w:sz="4" w:space="0"/>
            </w:tcBorders>
            <w:vAlign w:val="center"/>
          </w:tcPr>
          <w:p w14:paraId="1CD7EFE9">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eastAsia="宋体"/>
                <w:b w:val="0"/>
                <w:bCs/>
                <w:sz w:val="21"/>
                <w:highlight w:val="none"/>
              </w:rPr>
            </w:pPr>
            <w:r>
              <w:rPr>
                <w:rStyle w:val="152"/>
                <w:rFonts w:hint="eastAsia" w:eastAsia="宋体"/>
                <w:b w:val="0"/>
                <w:bCs/>
                <w:color w:val="auto"/>
                <w:szCs w:val="21"/>
                <w:highlight w:val="none"/>
                <w:lang w:eastAsia="zh-CN"/>
              </w:rPr>
              <w:t>《承德市“十四五”土壤、地下水和农村生态环境保护规划》</w:t>
            </w: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D829F">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深化地下水污染防治</w:t>
            </w:r>
            <w:r>
              <w:rPr>
                <w:rFonts w:hint="eastAsia" w:eastAsia="宋体" w:cs="Times New Roman"/>
                <w:kern w:val="0"/>
                <w:sz w:val="21"/>
                <w:szCs w:val="21"/>
                <w:highlight w:val="none"/>
                <w:lang w:val="en-US" w:eastAsia="zh-CN" w:bidi="ar-SA"/>
              </w:rPr>
              <w:t>：</w:t>
            </w:r>
            <w:r>
              <w:rPr>
                <w:rFonts w:hint="eastAsia" w:ascii="Times New Roman" w:hAnsi="Times New Roman" w:eastAsia="宋体" w:cs="Times New Roman"/>
                <w:kern w:val="0"/>
                <w:sz w:val="21"/>
                <w:szCs w:val="21"/>
                <w:highlight w:val="none"/>
                <w:lang w:val="en-US" w:eastAsia="zh-CN" w:bidi="ar-SA"/>
              </w:rPr>
              <w:t>突出污染源头防治，加强“一企一库”、“两场两区”地下水环境监管。统筹开展地下水污染协同防治，建立我市地下水污染防治分区划分体系，划定地下水污染治理区、防控区和保护区，按照国家有关要求有序推进地下水污染风险管控。</w:t>
            </w:r>
          </w:p>
        </w:tc>
        <w:tc>
          <w:tcPr>
            <w:tcW w:w="1533" w:type="pct"/>
            <w:tcBorders>
              <w:top w:val="single" w:color="000000" w:sz="4" w:space="0"/>
              <w:left w:val="single" w:color="000000" w:sz="4" w:space="0"/>
              <w:bottom w:val="single" w:color="000000" w:sz="4" w:space="0"/>
              <w:right w:val="single" w:color="000000" w:sz="4" w:space="0"/>
            </w:tcBorders>
            <w:vAlign w:val="center"/>
          </w:tcPr>
          <w:p w14:paraId="0C345D00">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val="en-US" w:eastAsia="zh-CN"/>
              </w:rPr>
              <w:t>项目</w:t>
            </w:r>
            <w:r>
              <w:rPr>
                <w:rFonts w:hint="eastAsia" w:eastAsia="宋体" w:cs="Times New Roman"/>
                <w:color w:val="auto"/>
                <w:sz w:val="21"/>
                <w:highlight w:val="none"/>
                <w:lang w:val="en-US" w:eastAsia="zh-CN"/>
              </w:rPr>
              <w:t>为采区废石、选厂废石堆存场，</w:t>
            </w:r>
            <w:r>
              <w:rPr>
                <w:rFonts w:hint="default" w:ascii="Times New Roman" w:hAnsi="Times New Roman" w:eastAsia="宋体" w:cs="Times New Roman"/>
                <w:color w:val="auto"/>
                <w:sz w:val="21"/>
                <w:highlight w:val="none"/>
                <w:lang w:val="en-US" w:eastAsia="zh-CN"/>
              </w:rPr>
              <w:t>项目</w:t>
            </w:r>
            <w:r>
              <w:rPr>
                <w:rFonts w:hint="default" w:ascii="Times New Roman" w:hAnsi="Times New Roman" w:eastAsia="宋体" w:cs="Times New Roman"/>
                <w:color w:val="auto"/>
                <w:sz w:val="21"/>
                <w:highlight w:val="none"/>
              </w:rPr>
              <w:t>设置地下水监测井，地下水及土壤按照规范要求进行跟踪监测</w:t>
            </w:r>
            <w:r>
              <w:rPr>
                <w:rFonts w:hint="eastAsia" w:eastAsia="宋体" w:cs="Times New Roman"/>
                <w:color w:val="auto"/>
                <w:sz w:val="21"/>
                <w:highlight w:val="none"/>
                <w:lang w:eastAsia="zh-CN"/>
              </w:rPr>
              <w:t>。</w:t>
            </w:r>
          </w:p>
        </w:tc>
        <w:tc>
          <w:tcPr>
            <w:tcW w:w="284" w:type="pct"/>
            <w:tcBorders>
              <w:top w:val="single" w:color="000000" w:sz="4" w:space="0"/>
              <w:left w:val="single" w:color="000000" w:sz="4" w:space="0"/>
              <w:bottom w:val="single" w:color="000000" w:sz="4" w:space="0"/>
              <w:right w:val="single" w:color="000000" w:sz="4" w:space="0"/>
            </w:tcBorders>
            <w:vAlign w:val="center"/>
          </w:tcPr>
          <w:p w14:paraId="29EB4610">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eastAsia="宋体"/>
                <w:sz w:val="21"/>
                <w:highlight w:val="none"/>
              </w:rPr>
            </w:pPr>
            <w:r>
              <w:rPr>
                <w:rFonts w:hint="eastAsia" w:eastAsia="宋体"/>
                <w:sz w:val="21"/>
                <w:highlight w:val="none"/>
              </w:rPr>
              <w:t>符合</w:t>
            </w:r>
          </w:p>
        </w:tc>
      </w:tr>
      <w:tr w14:paraId="2DB20A1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577" w:type="pct"/>
            <w:vMerge w:val="continue"/>
            <w:tcBorders>
              <w:left w:val="single" w:color="000000" w:sz="4" w:space="0"/>
              <w:right w:val="single" w:color="000000" w:sz="4" w:space="0"/>
            </w:tcBorders>
            <w:vAlign w:val="center"/>
          </w:tcPr>
          <w:p w14:paraId="0A9537DA">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Style w:val="152"/>
                <w:rFonts w:hint="eastAsia" w:eastAsia="宋体"/>
                <w:b w:val="0"/>
                <w:bCs/>
                <w:color w:val="auto"/>
                <w:szCs w:val="21"/>
                <w:highlight w:val="none"/>
                <w:lang w:eastAsia="zh-CN"/>
              </w:rPr>
            </w:pP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23E88">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实施土壤污染源头防控</w:t>
            </w:r>
            <w:r>
              <w:rPr>
                <w:rFonts w:hint="eastAsia" w:eastAsia="宋体" w:cs="Times New Roman"/>
                <w:kern w:val="0"/>
                <w:sz w:val="21"/>
                <w:szCs w:val="21"/>
                <w:highlight w:val="none"/>
                <w:lang w:val="en-US" w:eastAsia="zh-CN" w:bidi="ar-SA"/>
              </w:rPr>
              <w:t>：强化工业企业土壤污染风险防控，新（改、扩）建项目涉及有毒有害物质可能造成土壤污染的，采取有效防范措施落实土壤和地下水污染防治技术要求。依据土壤污染状况详查、涉重金属全口径清单、排污许可管理、重点行业企业调查等，梳理与土壤污染相关的重点行业企业清单，重点对有色金属矿采选与冶炼、焦化、化工、制药等重点行业企业，结合实际采取差异化管理措施；加强土壤污染重点监管单位隐患排查和自行监测工作等，实施土壤污染源头防控。</w:t>
            </w:r>
          </w:p>
        </w:tc>
        <w:tc>
          <w:tcPr>
            <w:tcW w:w="1533" w:type="pct"/>
            <w:tcBorders>
              <w:top w:val="single" w:color="000000" w:sz="4" w:space="0"/>
              <w:left w:val="single" w:color="000000" w:sz="4" w:space="0"/>
              <w:bottom w:val="single" w:color="000000" w:sz="4" w:space="0"/>
              <w:right w:val="single" w:color="000000" w:sz="4" w:space="0"/>
            </w:tcBorders>
            <w:vAlign w:val="center"/>
          </w:tcPr>
          <w:p w14:paraId="1E6B6037">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eastAsia" w:eastAsia="宋体" w:cs="Times New Roman"/>
                <w:color w:val="auto"/>
                <w:sz w:val="21"/>
                <w:highlight w:val="none"/>
                <w:lang w:val="en-US" w:eastAsia="zh-CN"/>
              </w:rPr>
              <w:t>本项目不涉及有毒有害物质，设置土壤跟踪监测点位定期开展土壤监测。</w:t>
            </w:r>
          </w:p>
        </w:tc>
        <w:tc>
          <w:tcPr>
            <w:tcW w:w="284" w:type="pct"/>
            <w:tcBorders>
              <w:top w:val="single" w:color="000000" w:sz="4" w:space="0"/>
              <w:left w:val="single" w:color="000000" w:sz="4" w:space="0"/>
              <w:bottom w:val="single" w:color="000000" w:sz="4" w:space="0"/>
              <w:right w:val="single" w:color="000000" w:sz="4" w:space="0"/>
            </w:tcBorders>
            <w:vAlign w:val="center"/>
          </w:tcPr>
          <w:p w14:paraId="5B6A73FE">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eastAsia="宋体"/>
                <w:sz w:val="21"/>
                <w:highlight w:val="none"/>
              </w:rPr>
            </w:pPr>
            <w:r>
              <w:rPr>
                <w:rFonts w:hint="eastAsia" w:eastAsia="宋体"/>
                <w:sz w:val="21"/>
                <w:highlight w:val="none"/>
              </w:rPr>
              <w:t>符合</w:t>
            </w:r>
          </w:p>
        </w:tc>
      </w:tr>
      <w:tr w14:paraId="42321CD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577" w:type="pct"/>
            <w:vMerge w:val="continue"/>
            <w:tcBorders>
              <w:left w:val="single" w:color="000000" w:sz="4" w:space="0"/>
              <w:bottom w:val="single" w:color="000000" w:sz="4" w:space="0"/>
              <w:right w:val="single" w:color="000000" w:sz="4" w:space="0"/>
            </w:tcBorders>
            <w:vAlign w:val="center"/>
          </w:tcPr>
          <w:p w14:paraId="573F94CA">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Style w:val="152"/>
                <w:rFonts w:hint="eastAsia" w:eastAsia="宋体"/>
                <w:b w:val="0"/>
                <w:bCs/>
                <w:color w:val="auto"/>
                <w:szCs w:val="21"/>
                <w:highlight w:val="none"/>
                <w:lang w:eastAsia="zh-CN"/>
              </w:rPr>
            </w:pPr>
          </w:p>
        </w:tc>
        <w:tc>
          <w:tcPr>
            <w:tcW w:w="2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F9BE5A">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强化工业固体废物污染防治</w:t>
            </w:r>
            <w:r>
              <w:rPr>
                <w:rFonts w:hint="eastAsia" w:eastAsia="宋体" w:cs="Times New Roman"/>
                <w:kern w:val="0"/>
                <w:sz w:val="21"/>
                <w:szCs w:val="21"/>
                <w:highlight w:val="none"/>
                <w:lang w:val="en-US" w:eastAsia="zh-CN" w:bidi="ar-SA"/>
              </w:rPr>
              <w:t>：</w:t>
            </w:r>
            <w:r>
              <w:rPr>
                <w:rFonts w:hint="eastAsia" w:ascii="Times New Roman" w:hAnsi="Times New Roman" w:eastAsia="宋体" w:cs="Times New Roman"/>
                <w:kern w:val="0"/>
                <w:sz w:val="21"/>
                <w:szCs w:val="21"/>
                <w:highlight w:val="none"/>
                <w:lang w:val="en-US" w:eastAsia="zh-CN" w:bidi="ar-SA"/>
              </w:rPr>
              <w:t>持续开展非法和不规范堆存渣场排查整治，建立排污单位工业固体废物管理台账。推行生产企业“逆向回收”等模式，推动大宗工业固体废物贮存处置总量趋零增长。探索钢铁行业大宗固体废弃物综合利用示范模式，推进综合利用产业集聚发展，提升综合利用水平。</w:t>
            </w:r>
          </w:p>
        </w:tc>
        <w:tc>
          <w:tcPr>
            <w:tcW w:w="1533" w:type="pct"/>
            <w:tcBorders>
              <w:top w:val="single" w:color="000000" w:sz="4" w:space="0"/>
              <w:left w:val="single" w:color="000000" w:sz="4" w:space="0"/>
              <w:bottom w:val="single" w:color="000000" w:sz="4" w:space="0"/>
              <w:right w:val="single" w:color="000000" w:sz="4" w:space="0"/>
            </w:tcBorders>
            <w:vAlign w:val="center"/>
          </w:tcPr>
          <w:p w14:paraId="3D04D4B9">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eastAsia" w:eastAsia="宋体" w:cs="Times New Roman"/>
                <w:color w:val="auto"/>
                <w:sz w:val="21"/>
                <w:highlight w:val="none"/>
                <w:lang w:val="en-US" w:eastAsia="zh-CN"/>
              </w:rPr>
              <w:t>本项目为采区废石、选厂废石堆存场，规范堆存。</w:t>
            </w:r>
          </w:p>
        </w:tc>
        <w:tc>
          <w:tcPr>
            <w:tcW w:w="284" w:type="pct"/>
            <w:tcBorders>
              <w:top w:val="single" w:color="000000" w:sz="4" w:space="0"/>
              <w:left w:val="single" w:color="000000" w:sz="4" w:space="0"/>
              <w:bottom w:val="single" w:color="000000" w:sz="4" w:space="0"/>
              <w:right w:val="single" w:color="000000" w:sz="4" w:space="0"/>
            </w:tcBorders>
            <w:vAlign w:val="center"/>
          </w:tcPr>
          <w:p w14:paraId="4D10F15D">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eastAsia="宋体"/>
                <w:sz w:val="21"/>
                <w:highlight w:val="none"/>
              </w:rPr>
            </w:pPr>
            <w:r>
              <w:rPr>
                <w:rFonts w:hint="eastAsia" w:eastAsia="宋体"/>
                <w:sz w:val="21"/>
                <w:highlight w:val="none"/>
              </w:rPr>
              <w:t>符合</w:t>
            </w:r>
          </w:p>
        </w:tc>
      </w:tr>
    </w:tbl>
    <w:p w14:paraId="7A8D9D16">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highlight w:val="none"/>
        </w:rPr>
      </w:pPr>
      <w:r>
        <w:rPr>
          <w:rFonts w:hint="eastAsia"/>
          <w:kern w:val="0"/>
          <w:sz w:val="24"/>
          <w:highlight w:val="none"/>
        </w:rPr>
        <w:t>根据上表可知，项目建设符合</w:t>
      </w:r>
      <w:r>
        <w:rPr>
          <w:kern w:val="0"/>
          <w:sz w:val="24"/>
          <w:highlight w:val="none"/>
        </w:rPr>
        <w:t>《</w:t>
      </w:r>
      <w:r>
        <w:rPr>
          <w:rFonts w:hint="eastAsia" w:ascii="宋体" w:hAnsi="宋体" w:cs="宋体"/>
          <w:kern w:val="0"/>
          <w:sz w:val="24"/>
          <w:highlight w:val="none"/>
        </w:rPr>
        <w:t>“十四五”土</w:t>
      </w:r>
      <w:r>
        <w:rPr>
          <w:kern w:val="0"/>
          <w:sz w:val="24"/>
          <w:highlight w:val="none"/>
        </w:rPr>
        <w:t>壤、地下水和农村生态环境保护规划》(环</w:t>
      </w:r>
      <w:r>
        <w:rPr>
          <w:rFonts w:hint="default" w:ascii="Times New Roman" w:hAnsi="Times New Roman" w:cs="Times New Roman"/>
          <w:kern w:val="0"/>
          <w:sz w:val="24"/>
          <w:highlight w:val="none"/>
        </w:rPr>
        <w:t>土壤[20211120号</w:t>
      </w:r>
      <w:r>
        <w:rPr>
          <w:kern w:val="0"/>
          <w:sz w:val="24"/>
          <w:highlight w:val="none"/>
        </w:rPr>
        <w:t>)</w:t>
      </w:r>
      <w:r>
        <w:rPr>
          <w:rFonts w:hint="eastAsia"/>
          <w:kern w:val="0"/>
          <w:sz w:val="24"/>
          <w:highlight w:val="none"/>
        </w:rPr>
        <w:t>、《河北省土壤和地下水污染防治“十四五”规划》</w:t>
      </w:r>
      <w:r>
        <w:rPr>
          <w:rFonts w:hint="eastAsia"/>
          <w:kern w:val="0"/>
          <w:sz w:val="24"/>
          <w:highlight w:val="none"/>
          <w:lang w:eastAsia="zh-CN"/>
        </w:rPr>
        <w:t>、</w:t>
      </w:r>
      <w:r>
        <w:rPr>
          <w:rFonts w:hint="eastAsia" w:cs="Times New Roman"/>
          <w:kern w:val="0"/>
          <w:sz w:val="24"/>
          <w:highlight w:val="none"/>
          <w:lang w:eastAsia="zh-CN"/>
        </w:rPr>
        <w:t>《承德市“十四五”土壤、地下水和农村生态环境保护规划》（承土领办〔2022〕6号）</w:t>
      </w:r>
      <w:r>
        <w:rPr>
          <w:rFonts w:hint="eastAsia"/>
          <w:kern w:val="0"/>
          <w:sz w:val="24"/>
          <w:highlight w:val="none"/>
        </w:rPr>
        <w:t>相关要求。</w:t>
      </w:r>
    </w:p>
    <w:p w14:paraId="56AE40D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2.6</w:t>
      </w:r>
      <w:r>
        <w:rPr>
          <w:rFonts w:hint="eastAsia" w:ascii="Times New Roman" w:hAnsi="Times New Roman" w:eastAsia="宋体" w:cs="Times New Roman"/>
          <w:b/>
          <w:sz w:val="24"/>
          <w:szCs w:val="24"/>
          <w:highlight w:val="none"/>
          <w:lang w:val="en-US" w:eastAsia="zh-CN"/>
        </w:rPr>
        <w:t>.</w:t>
      </w:r>
      <w:r>
        <w:rPr>
          <w:rFonts w:hint="eastAsia" w:ascii="Times New Roman" w:hAnsi="Times New Roman" w:cs="Times New Roman"/>
          <w:b/>
          <w:sz w:val="24"/>
          <w:szCs w:val="24"/>
          <w:highlight w:val="none"/>
          <w:lang w:val="en-US" w:eastAsia="zh-CN"/>
        </w:rPr>
        <w:t>3.2</w:t>
      </w:r>
      <w:r>
        <w:rPr>
          <w:rFonts w:hint="default" w:ascii="Times New Roman" w:hAnsi="Times New Roman" w:eastAsia="宋体" w:cs="Times New Roman"/>
          <w:b/>
          <w:sz w:val="24"/>
          <w:szCs w:val="24"/>
          <w:highlight w:val="none"/>
          <w:lang w:val="en-US" w:eastAsia="zh-CN"/>
        </w:rPr>
        <w:t>《河北省建设京津冀生态环境支撑区</w:t>
      </w:r>
      <w:r>
        <w:rPr>
          <w:rFonts w:hint="eastAsia" w:ascii="宋体" w:hAnsi="宋体" w:eastAsia="宋体" w:cs="宋体"/>
          <w:b/>
          <w:sz w:val="24"/>
          <w:szCs w:val="24"/>
          <w:highlight w:val="none"/>
          <w:lang w:val="en-US" w:eastAsia="zh-CN"/>
        </w:rPr>
        <w:t>“十四五”</w:t>
      </w:r>
      <w:r>
        <w:rPr>
          <w:rFonts w:hint="default" w:ascii="Times New Roman" w:hAnsi="Times New Roman" w:eastAsia="宋体" w:cs="Times New Roman"/>
          <w:b/>
          <w:sz w:val="24"/>
          <w:szCs w:val="24"/>
          <w:highlight w:val="none"/>
          <w:lang w:val="en-US" w:eastAsia="zh-CN"/>
        </w:rPr>
        <w:t>规划》</w:t>
      </w:r>
    </w:p>
    <w:p w14:paraId="30924A3E">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 w:val="24"/>
          <w:szCs w:val="24"/>
          <w:highlight w:val="none"/>
          <w:lang w:val="en-US" w:eastAsia="zh-CN"/>
        </w:rPr>
      </w:pPr>
      <w:r>
        <w:rPr>
          <w:color w:val="auto"/>
          <w:sz w:val="24"/>
          <w:szCs w:val="24"/>
          <w:highlight w:val="none"/>
        </w:rPr>
        <w:t>根据</w:t>
      </w:r>
      <w:r>
        <w:rPr>
          <w:rFonts w:hint="eastAsia"/>
          <w:color w:val="auto"/>
          <w:sz w:val="24"/>
          <w:szCs w:val="24"/>
          <w:highlight w:val="none"/>
        </w:rPr>
        <w:t>《河北省建设京津冀生态环境支撑区“十四五”规划》</w:t>
      </w:r>
      <w:r>
        <w:rPr>
          <w:color w:val="auto"/>
          <w:sz w:val="24"/>
          <w:szCs w:val="24"/>
          <w:highlight w:val="none"/>
        </w:rPr>
        <w:t>：</w:t>
      </w:r>
      <w:r>
        <w:rPr>
          <w:rFonts w:hint="eastAsia"/>
          <w:color w:val="auto"/>
          <w:sz w:val="24"/>
          <w:szCs w:val="24"/>
          <w:highlight w:val="none"/>
        </w:rPr>
        <w:t>将全省分为环京津生态过渡带、坝上高原生态防护区、燕山－太行山生态涵养区、低平原生态修复区、沿海生态防护区五个区域。</w:t>
      </w:r>
      <w:r>
        <w:rPr>
          <w:rFonts w:hint="eastAsia"/>
          <w:color w:val="auto"/>
          <w:sz w:val="24"/>
          <w:szCs w:val="24"/>
          <w:highlight w:val="none"/>
          <w:lang w:val="en-US" w:eastAsia="zh-CN"/>
        </w:rPr>
        <w:t>燕山－太行山生态涵养区位于燕山和太行山山地，包括张家口、承德、唐山、秦皇岛、保定、石家庄、邢台、邯郸市的56个县（市、区），作为京津冀生态安全屏障，主体生态功能是涵养水源、保持水土、生态休闲。</w:t>
      </w:r>
    </w:p>
    <w:p w14:paraId="485B964C">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sz w:val="24"/>
          <w:szCs w:val="24"/>
          <w:highlight w:val="none"/>
        </w:rPr>
      </w:pPr>
      <w:r>
        <w:rPr>
          <w:rFonts w:hint="eastAsia"/>
          <w:color w:val="auto"/>
          <w:sz w:val="24"/>
          <w:szCs w:val="24"/>
          <w:highlight w:val="none"/>
          <w:lang w:val="en-US" w:eastAsia="zh-CN"/>
        </w:rPr>
        <w:t>“规划”要求：</w:t>
      </w:r>
      <w:r>
        <w:rPr>
          <w:rFonts w:hint="eastAsia"/>
          <w:color w:val="auto"/>
          <w:sz w:val="24"/>
          <w:szCs w:val="24"/>
          <w:highlight w:val="none"/>
        </w:rPr>
        <w:t>筑牢燕山和太行山”两山“生态安全屏障。依托“两山“天然生态屏障功能，重点开展风沙源治理、太行山绿化、退耕还林等生态工程建设，推动潘家口、大黑汀等重要水源地保护工程，加强矿产资源开发管理与矿山修复，推进植被修复和水土流失防治，发挥水源涵养、水土保持作用。</w:t>
      </w:r>
    </w:p>
    <w:p w14:paraId="59FF2B23">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 w:val="24"/>
          <w:szCs w:val="28"/>
          <w:highlight w:val="none"/>
          <w:lang w:eastAsia="zh-CN"/>
        </w:rPr>
      </w:pPr>
      <w:r>
        <w:rPr>
          <w:rFonts w:hint="eastAsia"/>
          <w:color w:val="auto"/>
          <w:sz w:val="24"/>
          <w:szCs w:val="28"/>
          <w:highlight w:val="none"/>
          <w:lang w:eastAsia="zh-CN"/>
        </w:rPr>
        <w:t>“规划”提出：高标准推动承德可持续发展。持续强化污染治理，实施水源涵养能力提升行动。创新水源涵养功能区生态保护补偿长效机制，将承德建成“涵水产流、阻沙保土、永续利用”的京津冀水源涵养功能区。</w:t>
      </w:r>
    </w:p>
    <w:p w14:paraId="6B7A6C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kern w:val="0"/>
          <w:sz w:val="24"/>
          <w:szCs w:val="24"/>
          <w:highlight w:val="none"/>
          <w:lang w:eastAsia="zh-CN"/>
        </w:rPr>
      </w:pPr>
      <w:r>
        <w:rPr>
          <w:color w:val="auto"/>
          <w:sz w:val="24"/>
          <w:szCs w:val="28"/>
          <w:highlight w:val="none"/>
        </w:rPr>
        <w:t>本项目位于燕山一太行山生态涵养区，</w:t>
      </w:r>
      <w:r>
        <w:rPr>
          <w:rFonts w:hint="eastAsia"/>
          <w:color w:val="auto"/>
          <w:sz w:val="24"/>
          <w:szCs w:val="28"/>
          <w:highlight w:val="none"/>
          <w:lang w:eastAsia="zh-CN"/>
        </w:rPr>
        <w:t>属于采区、选厂配套的排土场，</w:t>
      </w:r>
      <w:r>
        <w:rPr>
          <w:color w:val="auto"/>
          <w:sz w:val="24"/>
          <w:szCs w:val="28"/>
          <w:highlight w:val="none"/>
        </w:rPr>
        <w:t>本项目</w:t>
      </w:r>
      <w:r>
        <w:rPr>
          <w:rFonts w:hint="eastAsia"/>
          <w:color w:val="auto"/>
          <w:sz w:val="24"/>
          <w:szCs w:val="28"/>
          <w:highlight w:val="none"/>
        </w:rPr>
        <w:t>封场期将对排土场</w:t>
      </w:r>
      <w:r>
        <w:rPr>
          <w:color w:val="auto"/>
          <w:sz w:val="24"/>
          <w:szCs w:val="28"/>
          <w:highlight w:val="none"/>
        </w:rPr>
        <w:t>坡面及台阶进行绿化，</w:t>
      </w:r>
      <w:r>
        <w:rPr>
          <w:rFonts w:hint="eastAsia"/>
          <w:color w:val="auto"/>
          <w:sz w:val="24"/>
          <w:szCs w:val="28"/>
          <w:highlight w:val="none"/>
        </w:rPr>
        <w:t>采用</w:t>
      </w:r>
      <w:r>
        <w:rPr>
          <w:color w:val="auto"/>
          <w:sz w:val="24"/>
          <w:szCs w:val="28"/>
          <w:highlight w:val="none"/>
        </w:rPr>
        <w:t>植树种草等生态恢复措施，可提高项目占地范围内的植被覆盖率，减少水土流失</w:t>
      </w:r>
      <w:r>
        <w:rPr>
          <w:rFonts w:hint="eastAsia"/>
          <w:color w:val="auto"/>
          <w:sz w:val="24"/>
          <w:szCs w:val="28"/>
          <w:highlight w:val="none"/>
          <w:lang w:eastAsia="zh-CN"/>
        </w:rPr>
        <w:t>，满足规划中“</w:t>
      </w:r>
      <w:r>
        <w:rPr>
          <w:rFonts w:hint="eastAsia"/>
          <w:color w:val="auto"/>
          <w:sz w:val="24"/>
          <w:szCs w:val="24"/>
          <w:highlight w:val="none"/>
        </w:rPr>
        <w:t>推进植被修复和水土流失防治，发挥水源涵养、水土保持作用</w:t>
      </w:r>
      <w:r>
        <w:rPr>
          <w:rFonts w:hint="eastAsia"/>
          <w:color w:val="auto"/>
          <w:sz w:val="24"/>
          <w:szCs w:val="28"/>
          <w:highlight w:val="none"/>
          <w:lang w:eastAsia="zh-CN"/>
        </w:rPr>
        <w:t>”的要求</w:t>
      </w:r>
      <w:r>
        <w:rPr>
          <w:color w:val="auto"/>
          <w:sz w:val="24"/>
          <w:szCs w:val="28"/>
          <w:highlight w:val="none"/>
        </w:rPr>
        <w:t>，符合该规划。</w:t>
      </w:r>
    </w:p>
    <w:p w14:paraId="3E729F45">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2.6.3.3《河北省生态环境保护“十四五”规划》</w:t>
      </w:r>
    </w:p>
    <w:p w14:paraId="73526164">
      <w:pPr>
        <w:spacing w:line="360" w:lineRule="auto"/>
        <w:ind w:firstLine="480" w:firstLineChars="200"/>
        <w:rPr>
          <w:rFonts w:hint="eastAsia" w:cs="Times New Roman"/>
          <w:kern w:val="0"/>
          <w:sz w:val="24"/>
          <w:highlight w:val="none"/>
          <w:lang w:eastAsia="zh-CN"/>
        </w:rPr>
      </w:pPr>
      <w:r>
        <w:rPr>
          <w:rFonts w:hint="default" w:ascii="Times New Roman" w:hAnsi="Times New Roman" w:eastAsia="宋体" w:cs="Times New Roman"/>
          <w:kern w:val="0"/>
          <w:sz w:val="24"/>
          <w:highlight w:val="none"/>
        </w:rPr>
        <w:t>本项目与《河北省人民政府关于印发河北省生态环境保护“十四五”规划的通知》（冀政字[2022]2号）符合性分析见下表</w:t>
      </w:r>
      <w:r>
        <w:rPr>
          <w:rFonts w:hint="eastAsia" w:cs="Times New Roman"/>
          <w:kern w:val="0"/>
          <w:sz w:val="24"/>
          <w:highlight w:val="none"/>
          <w:lang w:eastAsia="zh-CN"/>
        </w:rPr>
        <w:t>。</w:t>
      </w:r>
    </w:p>
    <w:p w14:paraId="74782694">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s="Times New Roman"/>
          <w:kern w:val="0"/>
          <w:sz w:val="24"/>
          <w:highlight w:val="none"/>
          <w:lang w:eastAsia="zh-CN"/>
        </w:rPr>
      </w:pPr>
    </w:p>
    <w:p w14:paraId="024C85D7">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s="Times New Roman"/>
          <w:kern w:val="0"/>
          <w:sz w:val="24"/>
          <w:highlight w:val="none"/>
          <w:lang w:eastAsia="zh-CN"/>
        </w:rPr>
      </w:pPr>
    </w:p>
    <w:p w14:paraId="1BA96B67">
      <w:pPr>
        <w:pStyle w:val="170"/>
        <w:numPr>
          <w:ilvl w:val="0"/>
          <w:numId w:val="19"/>
        </w:numPr>
        <w:bidi w:val="0"/>
        <w:ind w:left="0" w:leftChars="0" w:firstLine="0" w:firstLineChars="0"/>
        <w:jc w:val="center"/>
        <w:rPr>
          <w:rFonts w:hint="default" w:ascii="Times New Roman" w:hAnsi="Times New Roman" w:eastAsia="宋体" w:cs="Times New Roman"/>
          <w:b/>
          <w:kern w:val="0"/>
          <w:sz w:val="24"/>
          <w:highlight w:val="none"/>
        </w:rPr>
      </w:pPr>
      <w:r>
        <w:rPr>
          <w:rStyle w:val="152"/>
          <w:rFonts w:hint="default" w:ascii="Times New Roman" w:hAnsi="Times New Roman" w:eastAsia="宋体" w:cs="Times New Roman"/>
          <w:b/>
          <w:color w:val="auto"/>
          <w:szCs w:val="21"/>
          <w:highlight w:val="none"/>
          <w:lang w:val="en-US" w:eastAsia="zh-CN"/>
        </w:rPr>
        <w:t>项目</w:t>
      </w:r>
      <w:r>
        <w:rPr>
          <w:rStyle w:val="152"/>
          <w:rFonts w:hint="default" w:ascii="Times New Roman" w:hAnsi="Times New Roman" w:eastAsia="宋体" w:cs="Times New Roman"/>
          <w:b/>
          <w:color w:val="auto"/>
          <w:sz w:val="21"/>
          <w:szCs w:val="21"/>
          <w:highlight w:val="none"/>
        </w:rPr>
        <w:t>与《</w:t>
      </w:r>
      <w:r>
        <w:rPr>
          <w:rFonts w:hint="default" w:ascii="Times New Roman" w:hAnsi="Times New Roman" w:eastAsia="宋体" w:cs="Times New Roman"/>
          <w:b/>
          <w:sz w:val="21"/>
          <w:szCs w:val="21"/>
          <w:highlight w:val="none"/>
          <w:lang w:val="en-US" w:eastAsia="zh-CN"/>
        </w:rPr>
        <w:t>河北省生态环境保护“十四五”规划</w:t>
      </w:r>
      <w:r>
        <w:rPr>
          <w:rStyle w:val="152"/>
          <w:rFonts w:hint="default" w:ascii="Times New Roman" w:hAnsi="Times New Roman" w:eastAsia="宋体" w:cs="Times New Roman"/>
          <w:b/>
          <w:color w:val="auto"/>
          <w:sz w:val="21"/>
          <w:szCs w:val="21"/>
          <w:highlight w:val="none"/>
        </w:rPr>
        <w:t>》符合性一</w:t>
      </w:r>
      <w:r>
        <w:rPr>
          <w:rStyle w:val="152"/>
          <w:rFonts w:hint="default" w:ascii="Times New Roman" w:hAnsi="Times New Roman" w:eastAsia="宋体" w:cs="Times New Roman"/>
          <w:b/>
          <w:color w:val="auto"/>
          <w:szCs w:val="21"/>
          <w:highlight w:val="none"/>
        </w:rPr>
        <w:t>览表</w:t>
      </w:r>
    </w:p>
    <w:tbl>
      <w:tblPr>
        <w:tblStyle w:val="58"/>
        <w:tblW w:w="5219"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4372"/>
        <w:gridCol w:w="3820"/>
        <w:gridCol w:w="495"/>
      </w:tblGrid>
      <w:tr w14:paraId="77630DB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2516" w:type="pct"/>
            <w:vMerge w:val="restart"/>
            <w:tcBorders>
              <w:top w:val="single" w:color="000000" w:sz="4" w:space="0"/>
              <w:left w:val="single" w:color="000000" w:sz="4" w:space="0"/>
              <w:bottom w:val="single" w:color="000000" w:sz="4" w:space="0"/>
              <w:right w:val="single" w:color="000000" w:sz="4" w:space="0"/>
            </w:tcBorders>
            <w:vAlign w:val="center"/>
          </w:tcPr>
          <w:p w14:paraId="403EE7EB">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规划要求</w:t>
            </w:r>
          </w:p>
        </w:tc>
        <w:tc>
          <w:tcPr>
            <w:tcW w:w="2483" w:type="pct"/>
            <w:gridSpan w:val="2"/>
            <w:tcBorders>
              <w:top w:val="single" w:color="000000" w:sz="4" w:space="0"/>
              <w:left w:val="single" w:color="000000" w:sz="4" w:space="0"/>
              <w:bottom w:val="single" w:color="000000" w:sz="4" w:space="0"/>
              <w:right w:val="single" w:color="000000" w:sz="4" w:space="0"/>
            </w:tcBorders>
            <w:vAlign w:val="center"/>
          </w:tcPr>
          <w:p w14:paraId="37905DB0">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本项目</w:t>
            </w:r>
          </w:p>
        </w:tc>
      </w:tr>
      <w:tr w14:paraId="28D33D3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2516" w:type="pct"/>
            <w:vMerge w:val="continue"/>
            <w:tcBorders>
              <w:top w:val="single" w:color="000000" w:sz="4" w:space="0"/>
              <w:left w:val="single" w:color="000000" w:sz="4" w:space="0"/>
              <w:bottom w:val="single" w:color="000000" w:sz="4" w:space="0"/>
              <w:right w:val="single" w:color="000000" w:sz="4" w:space="0"/>
            </w:tcBorders>
            <w:vAlign w:val="center"/>
          </w:tcPr>
          <w:p w14:paraId="56AD09D8">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sz w:val="21"/>
                <w:szCs w:val="21"/>
                <w:highlight w:val="none"/>
              </w:rPr>
            </w:pPr>
          </w:p>
        </w:tc>
        <w:tc>
          <w:tcPr>
            <w:tcW w:w="2198" w:type="pct"/>
            <w:tcBorders>
              <w:top w:val="single" w:color="000000" w:sz="4" w:space="0"/>
              <w:left w:val="single" w:color="000000" w:sz="4" w:space="0"/>
              <w:bottom w:val="single" w:color="000000" w:sz="4" w:space="0"/>
              <w:right w:val="single" w:color="000000" w:sz="4" w:space="0"/>
            </w:tcBorders>
            <w:vAlign w:val="center"/>
          </w:tcPr>
          <w:p w14:paraId="269A897C">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对应内容</w:t>
            </w:r>
          </w:p>
        </w:tc>
        <w:tc>
          <w:tcPr>
            <w:tcW w:w="284" w:type="pct"/>
            <w:tcBorders>
              <w:top w:val="single" w:color="000000" w:sz="4" w:space="0"/>
              <w:left w:val="single" w:color="000000" w:sz="4" w:space="0"/>
              <w:bottom w:val="single" w:color="000000" w:sz="4" w:space="0"/>
              <w:right w:val="single" w:color="000000" w:sz="4" w:space="0"/>
            </w:tcBorders>
            <w:vAlign w:val="center"/>
          </w:tcPr>
          <w:p w14:paraId="18C16052">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结论</w:t>
            </w:r>
          </w:p>
        </w:tc>
      </w:tr>
      <w:tr w14:paraId="3063094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2516" w:type="pct"/>
            <w:tcBorders>
              <w:top w:val="single" w:color="000000" w:sz="4" w:space="0"/>
              <w:left w:val="single" w:color="000000" w:sz="4" w:space="0"/>
              <w:bottom w:val="single" w:color="000000" w:sz="4" w:space="0"/>
              <w:right w:val="single" w:color="000000" w:sz="4" w:space="0"/>
            </w:tcBorders>
            <w:vAlign w:val="center"/>
          </w:tcPr>
          <w:p w14:paraId="5C23A51E">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①严格落实矿产资源开采、运输和加工过程防尘、除尘措施，实施矿山生产污染物排放在线监测；</w:t>
            </w:r>
          </w:p>
        </w:tc>
        <w:tc>
          <w:tcPr>
            <w:tcW w:w="3908" w:type="dxa"/>
            <w:tcBorders>
              <w:top w:val="single" w:color="000000" w:sz="4" w:space="0"/>
              <w:left w:val="single" w:color="000000" w:sz="4" w:space="0"/>
              <w:bottom w:val="single" w:color="000000" w:sz="4" w:space="0"/>
              <w:right w:val="single" w:color="000000" w:sz="4" w:space="0"/>
            </w:tcBorders>
            <w:vAlign w:val="center"/>
          </w:tcPr>
          <w:p w14:paraId="653E0425">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宋体" w:hAnsi="宋体" w:eastAsia="宋体" w:cs="宋体"/>
                <w:sz w:val="21"/>
                <w:szCs w:val="21"/>
                <w:highlight w:val="none"/>
              </w:rPr>
            </w:pPr>
            <w:r>
              <w:rPr>
                <w:rFonts w:hint="eastAsia" w:ascii="宋体" w:hAnsi="宋体" w:eastAsia="宋体" w:cs="宋体"/>
                <w:color w:val="auto"/>
                <w:sz w:val="21"/>
                <w:szCs w:val="21"/>
                <w:highlight w:val="none"/>
                <w:lang w:val="en-US" w:eastAsia="zh-CN"/>
              </w:rPr>
              <w:t>本项目</w:t>
            </w:r>
            <w:r>
              <w:rPr>
                <w:rFonts w:hint="eastAsia" w:ascii="宋体" w:hAnsi="宋体" w:eastAsia="宋体" w:cs="宋体"/>
                <w:color w:val="auto"/>
                <w:sz w:val="21"/>
                <w:szCs w:val="21"/>
                <w:highlight w:val="none"/>
              </w:rPr>
              <w:t>作业过程中</w:t>
            </w:r>
            <w:r>
              <w:rPr>
                <w:rFonts w:hint="eastAsia" w:ascii="宋体" w:hAnsi="宋体" w:eastAsia="宋体" w:cs="宋体"/>
                <w:color w:val="auto"/>
                <w:sz w:val="21"/>
                <w:szCs w:val="21"/>
                <w:highlight w:val="none"/>
                <w:lang w:val="en-US" w:eastAsia="zh-CN"/>
              </w:rPr>
              <w:t>喷淋或</w:t>
            </w:r>
            <w:r>
              <w:rPr>
                <w:rFonts w:hint="eastAsia" w:ascii="宋体" w:hAnsi="宋体" w:eastAsia="宋体" w:cs="宋体"/>
                <w:color w:val="auto"/>
                <w:sz w:val="21"/>
                <w:szCs w:val="21"/>
                <w:highlight w:val="none"/>
              </w:rPr>
              <w:t>喷雾降尘，保持废弃土石料的湿度，倾卸物料时不随意扬撒。</w:t>
            </w:r>
          </w:p>
        </w:tc>
        <w:tc>
          <w:tcPr>
            <w:tcW w:w="284" w:type="pct"/>
            <w:tcBorders>
              <w:top w:val="single" w:color="000000" w:sz="4" w:space="0"/>
              <w:left w:val="single" w:color="000000" w:sz="4" w:space="0"/>
              <w:bottom w:val="single" w:color="000000" w:sz="4" w:space="0"/>
              <w:right w:val="single" w:color="000000" w:sz="4" w:space="0"/>
            </w:tcBorders>
            <w:vAlign w:val="center"/>
          </w:tcPr>
          <w:p w14:paraId="59A1FB65">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0172F4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2516" w:type="pct"/>
            <w:tcBorders>
              <w:top w:val="single" w:color="000000" w:sz="4" w:space="0"/>
              <w:left w:val="single" w:color="000000" w:sz="4" w:space="0"/>
              <w:bottom w:val="single" w:color="000000" w:sz="4" w:space="0"/>
              <w:right w:val="single" w:color="000000" w:sz="4" w:space="0"/>
            </w:tcBorders>
            <w:vAlign w:val="center"/>
          </w:tcPr>
          <w:p w14:paraId="7347CF6D">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②推进露天矿山生态修复和绿色矿山建设，深入实施采煤沉陷区治理；</w:t>
            </w:r>
          </w:p>
        </w:tc>
        <w:tc>
          <w:tcPr>
            <w:tcW w:w="3908" w:type="dxa"/>
            <w:tcBorders>
              <w:top w:val="single" w:color="000000" w:sz="4" w:space="0"/>
              <w:left w:val="single" w:color="000000" w:sz="4" w:space="0"/>
              <w:bottom w:val="single" w:color="000000" w:sz="4" w:space="0"/>
              <w:right w:val="single" w:color="000000" w:sz="4" w:space="0"/>
            </w:tcBorders>
            <w:vAlign w:val="center"/>
          </w:tcPr>
          <w:p w14:paraId="7ED729E2">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宋体" w:hAnsi="宋体" w:eastAsia="宋体" w:cs="宋体"/>
                <w:sz w:val="21"/>
                <w:szCs w:val="21"/>
                <w:highlight w:val="none"/>
              </w:rPr>
            </w:pPr>
            <w:r>
              <w:rPr>
                <w:rFonts w:hint="eastAsia" w:ascii="宋体" w:hAnsi="宋体" w:eastAsia="宋体" w:cs="宋体"/>
                <w:color w:val="auto"/>
                <w:sz w:val="21"/>
                <w:szCs w:val="21"/>
                <w:highlight w:val="none"/>
              </w:rPr>
              <w:t>本项目符合绿色矿山建设标准的各项要求。</w:t>
            </w:r>
          </w:p>
        </w:tc>
        <w:tc>
          <w:tcPr>
            <w:tcW w:w="284" w:type="pct"/>
            <w:tcBorders>
              <w:top w:val="single" w:color="000000" w:sz="4" w:space="0"/>
              <w:left w:val="single" w:color="000000" w:sz="4" w:space="0"/>
              <w:bottom w:val="single" w:color="000000" w:sz="4" w:space="0"/>
              <w:right w:val="single" w:color="000000" w:sz="4" w:space="0"/>
            </w:tcBorders>
            <w:vAlign w:val="center"/>
          </w:tcPr>
          <w:p w14:paraId="7783E095">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0F67D05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2516" w:type="pct"/>
            <w:tcBorders>
              <w:top w:val="single" w:color="000000" w:sz="4" w:space="0"/>
              <w:left w:val="single" w:color="000000" w:sz="4" w:space="0"/>
              <w:bottom w:val="single" w:color="000000" w:sz="4" w:space="0"/>
              <w:right w:val="single" w:color="000000" w:sz="4" w:space="0"/>
            </w:tcBorders>
            <w:vAlign w:val="center"/>
          </w:tcPr>
          <w:p w14:paraId="76EB2142">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③加强化学品生产企业、工业集聚区、矿山开采区等污染源对地表水的环境风险管控；</w:t>
            </w:r>
          </w:p>
        </w:tc>
        <w:tc>
          <w:tcPr>
            <w:tcW w:w="3908" w:type="dxa"/>
            <w:tcBorders>
              <w:top w:val="single" w:color="000000" w:sz="4" w:space="0"/>
              <w:left w:val="single" w:color="000000" w:sz="4" w:space="0"/>
              <w:bottom w:val="single" w:color="000000" w:sz="4" w:space="0"/>
              <w:right w:val="single" w:color="000000" w:sz="4" w:space="0"/>
            </w:tcBorders>
            <w:vAlign w:val="center"/>
          </w:tcPr>
          <w:p w14:paraId="26C4DC90">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宋体" w:hAnsi="宋体" w:eastAsia="宋体" w:cs="宋体"/>
                <w:sz w:val="21"/>
                <w:szCs w:val="21"/>
                <w:highlight w:val="none"/>
              </w:rPr>
            </w:pPr>
            <w:r>
              <w:rPr>
                <w:rFonts w:hint="eastAsia" w:ascii="宋体" w:hAnsi="宋体" w:eastAsia="宋体" w:cs="宋体"/>
                <w:color w:val="auto"/>
                <w:sz w:val="21"/>
                <w:szCs w:val="21"/>
                <w:highlight w:val="none"/>
              </w:rPr>
              <w:t>排土场区域降雨产生的淋滤废水全部蒸发或通过下渗损耗，不会对地表水产生污染影响。</w:t>
            </w:r>
          </w:p>
        </w:tc>
        <w:tc>
          <w:tcPr>
            <w:tcW w:w="284" w:type="pct"/>
            <w:tcBorders>
              <w:top w:val="single" w:color="000000" w:sz="4" w:space="0"/>
              <w:left w:val="single" w:color="000000" w:sz="4" w:space="0"/>
              <w:bottom w:val="single" w:color="000000" w:sz="4" w:space="0"/>
              <w:right w:val="single" w:color="000000" w:sz="4" w:space="0"/>
            </w:tcBorders>
            <w:vAlign w:val="center"/>
          </w:tcPr>
          <w:p w14:paraId="4C7A60A7">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7BB9B96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2516" w:type="pct"/>
            <w:tcBorders>
              <w:top w:val="single" w:color="000000" w:sz="4" w:space="0"/>
              <w:left w:val="single" w:color="000000" w:sz="4" w:space="0"/>
              <w:bottom w:val="single" w:color="000000" w:sz="4" w:space="0"/>
              <w:right w:val="single" w:color="000000" w:sz="4" w:space="0"/>
            </w:tcBorders>
            <w:vAlign w:val="center"/>
          </w:tcPr>
          <w:p w14:paraId="336F3157">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④完善环境风险全过程监管：以化工园区、尾矿库、冶炼企业等为重点，健全防范化解突发生态环境事件风险和应急准备责任体系，严格落实企业主体责任。鼓励尾矿库企业通过尾矿综合利用减少尾矿堆存量，依法严厉打击违法违规排放尾矿的行为。坚持“一库一策”，实施矿井涌水、废渣风险管控与治理工程。</w:t>
            </w:r>
          </w:p>
        </w:tc>
        <w:tc>
          <w:tcPr>
            <w:tcW w:w="3908" w:type="dxa"/>
            <w:tcBorders>
              <w:top w:val="single" w:color="000000" w:sz="4" w:space="0"/>
              <w:left w:val="single" w:color="000000" w:sz="4" w:space="0"/>
              <w:bottom w:val="single" w:color="000000" w:sz="4" w:space="0"/>
              <w:right w:val="single" w:color="000000" w:sz="4" w:space="0"/>
            </w:tcBorders>
            <w:vAlign w:val="center"/>
          </w:tcPr>
          <w:p w14:paraId="6AF507AE">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宋体" w:hAnsi="宋体" w:eastAsia="宋体" w:cs="宋体"/>
                <w:sz w:val="21"/>
                <w:szCs w:val="21"/>
                <w:highlight w:val="none"/>
              </w:rPr>
            </w:pPr>
            <w:r>
              <w:rPr>
                <w:rFonts w:hint="eastAsia" w:ascii="宋体" w:hAnsi="宋体" w:eastAsia="宋体" w:cs="宋体"/>
                <w:color w:val="auto"/>
                <w:sz w:val="21"/>
                <w:szCs w:val="21"/>
                <w:highlight w:val="none"/>
              </w:rPr>
              <w:t>企业</w:t>
            </w:r>
            <w:r>
              <w:rPr>
                <w:rFonts w:hint="eastAsia" w:ascii="宋体" w:hAnsi="宋体" w:eastAsia="宋体" w:cs="宋体"/>
                <w:color w:val="auto"/>
                <w:sz w:val="21"/>
                <w:szCs w:val="21"/>
                <w:highlight w:val="none"/>
                <w:lang w:val="en-US" w:eastAsia="zh-CN"/>
              </w:rPr>
              <w:t>拟</w:t>
            </w:r>
            <w:r>
              <w:rPr>
                <w:rFonts w:hint="eastAsia" w:ascii="宋体" w:hAnsi="宋体" w:eastAsia="宋体" w:cs="宋体"/>
                <w:color w:val="auto"/>
                <w:sz w:val="21"/>
                <w:szCs w:val="21"/>
                <w:highlight w:val="none"/>
              </w:rPr>
              <w:t>编制《突发环境事件应急预案》，健全防范化解突发生态环境事件风险和应急准备责任体系。</w:t>
            </w:r>
          </w:p>
        </w:tc>
        <w:tc>
          <w:tcPr>
            <w:tcW w:w="284" w:type="pct"/>
            <w:tcBorders>
              <w:top w:val="single" w:color="000000" w:sz="4" w:space="0"/>
              <w:left w:val="single" w:color="000000" w:sz="4" w:space="0"/>
              <w:bottom w:val="single" w:color="000000" w:sz="4" w:space="0"/>
              <w:right w:val="single" w:color="000000" w:sz="4" w:space="0"/>
            </w:tcBorders>
            <w:vAlign w:val="center"/>
          </w:tcPr>
          <w:p w14:paraId="191FE169">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7C4377C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2516" w:type="pct"/>
            <w:tcBorders>
              <w:top w:val="single" w:color="000000" w:sz="4" w:space="0"/>
              <w:left w:val="single" w:color="000000" w:sz="4" w:space="0"/>
              <w:bottom w:val="single" w:color="000000" w:sz="4" w:space="0"/>
              <w:right w:val="single" w:color="000000" w:sz="4" w:space="0"/>
            </w:tcBorders>
            <w:vAlign w:val="center"/>
          </w:tcPr>
          <w:p w14:paraId="2C4ECE68">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⑤推动重金属污染综合防控：强化涉重金属工业园区和重点工矿企业的重金属污染物排放及周边大气、水体和土壤环境中的重金属监测，加强环境风险隐患排查。开展尾矿库和历史遗留重金属废渣环境风险隐患排查评估，建立尾矿库分级分类环境管理制度。</w:t>
            </w:r>
          </w:p>
        </w:tc>
        <w:tc>
          <w:tcPr>
            <w:tcW w:w="3908" w:type="dxa"/>
            <w:tcBorders>
              <w:top w:val="single" w:color="000000" w:sz="4" w:space="0"/>
              <w:left w:val="single" w:color="000000" w:sz="4" w:space="0"/>
              <w:bottom w:val="single" w:color="000000" w:sz="4" w:space="0"/>
              <w:right w:val="single" w:color="000000" w:sz="4" w:space="0"/>
            </w:tcBorders>
            <w:vAlign w:val="center"/>
          </w:tcPr>
          <w:p w14:paraId="314C1180">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宋体" w:hAnsi="宋体" w:eastAsia="宋体" w:cs="宋体"/>
                <w:sz w:val="21"/>
                <w:szCs w:val="21"/>
                <w:highlight w:val="none"/>
              </w:rPr>
            </w:pPr>
            <w:r>
              <w:rPr>
                <w:rFonts w:hint="eastAsia" w:ascii="宋体" w:hAnsi="宋体" w:eastAsia="宋体" w:cs="宋体"/>
                <w:color w:val="auto"/>
                <w:sz w:val="21"/>
                <w:szCs w:val="21"/>
                <w:highlight w:val="none"/>
                <w:lang w:val="en-US" w:eastAsia="zh-CN"/>
              </w:rPr>
              <w:t>企业定期开展环境质量监测</w:t>
            </w:r>
            <w:r>
              <w:rPr>
                <w:rFonts w:hint="eastAsia" w:ascii="宋体" w:hAnsi="宋体" w:eastAsia="宋体" w:cs="宋体"/>
                <w:color w:val="auto"/>
                <w:sz w:val="21"/>
                <w:szCs w:val="21"/>
                <w:highlight w:val="none"/>
              </w:rPr>
              <w:t>。</w:t>
            </w:r>
          </w:p>
        </w:tc>
        <w:tc>
          <w:tcPr>
            <w:tcW w:w="284" w:type="pct"/>
            <w:tcBorders>
              <w:top w:val="single" w:color="000000" w:sz="4" w:space="0"/>
              <w:left w:val="single" w:color="000000" w:sz="4" w:space="0"/>
              <w:bottom w:val="single" w:color="000000" w:sz="4" w:space="0"/>
              <w:right w:val="single" w:color="000000" w:sz="4" w:space="0"/>
            </w:tcBorders>
            <w:vAlign w:val="center"/>
          </w:tcPr>
          <w:p w14:paraId="4922DC10">
            <w:pPr>
              <w:pStyle w:val="227"/>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bl>
    <w:p w14:paraId="7154FB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kern w:val="0"/>
          <w:sz w:val="24"/>
          <w:highlight w:val="none"/>
          <w:lang w:eastAsia="zh-CN"/>
        </w:rPr>
      </w:pPr>
      <w:r>
        <w:rPr>
          <w:rFonts w:hint="default" w:ascii="Times New Roman" w:hAnsi="Times New Roman" w:eastAsia="宋体" w:cs="Times New Roman"/>
          <w:kern w:val="0"/>
          <w:sz w:val="24"/>
          <w:highlight w:val="none"/>
        </w:rPr>
        <w:t>根据上表可知，项目符合《河北省人民政府关于印发河北省生态环境保护“十四五”规划的通知》(冀政字[2022]2号)的相关要求</w:t>
      </w:r>
      <w:r>
        <w:rPr>
          <w:rFonts w:hint="eastAsia" w:ascii="Times New Roman" w:hAnsi="Times New Roman" w:eastAsia="宋体" w:cs="Times New Roman"/>
          <w:kern w:val="0"/>
          <w:sz w:val="24"/>
          <w:highlight w:val="none"/>
          <w:lang w:eastAsia="zh-CN"/>
        </w:rPr>
        <w:t>。</w:t>
      </w:r>
    </w:p>
    <w:p w14:paraId="05B95A15">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2.6.3.4</w:t>
      </w:r>
      <w:r>
        <w:rPr>
          <w:rFonts w:hint="default" w:ascii="Times New Roman" w:hAnsi="Times New Roman" w:eastAsia="宋体" w:cs="Times New Roman"/>
          <w:b/>
          <w:sz w:val="24"/>
          <w:szCs w:val="24"/>
          <w:highlight w:val="none"/>
          <w:lang w:val="en-US" w:eastAsia="zh-CN"/>
        </w:rPr>
        <w:t>《承德市生态环境保</w:t>
      </w:r>
      <w:r>
        <w:rPr>
          <w:rFonts w:hint="eastAsia" w:ascii="宋体" w:hAnsi="宋体" w:eastAsia="宋体" w:cs="宋体"/>
          <w:b/>
          <w:sz w:val="24"/>
          <w:szCs w:val="24"/>
          <w:highlight w:val="none"/>
          <w:lang w:val="en-US" w:eastAsia="zh-CN"/>
        </w:rPr>
        <w:t>护“十四五”</w:t>
      </w:r>
      <w:r>
        <w:rPr>
          <w:rFonts w:hint="default" w:ascii="Times New Roman" w:hAnsi="Times New Roman" w:eastAsia="宋体" w:cs="Times New Roman"/>
          <w:b/>
          <w:sz w:val="24"/>
          <w:szCs w:val="24"/>
          <w:highlight w:val="none"/>
          <w:lang w:val="en-US" w:eastAsia="zh-CN"/>
        </w:rPr>
        <w:t>规划》</w:t>
      </w:r>
    </w:p>
    <w:p w14:paraId="209BD5FA">
      <w:pPr>
        <w:spacing w:line="360" w:lineRule="auto"/>
        <w:ind w:firstLine="480" w:firstLineChars="200"/>
        <w:rPr>
          <w:rFonts w:hint="eastAsia"/>
          <w:kern w:val="0"/>
          <w:sz w:val="24"/>
          <w:highlight w:val="none"/>
        </w:rPr>
      </w:pPr>
      <w:r>
        <w:rPr>
          <w:rFonts w:hint="eastAsia"/>
          <w:kern w:val="0"/>
          <w:sz w:val="24"/>
          <w:highlight w:val="none"/>
        </w:rPr>
        <w:t>根据《承德市生态环境保护“十四五”规划》</w:t>
      </w:r>
      <w:r>
        <w:rPr>
          <w:rFonts w:hint="eastAsia"/>
          <w:kern w:val="0"/>
          <w:sz w:val="24"/>
          <w:highlight w:val="none"/>
          <w:lang w:eastAsia="zh-CN"/>
        </w:rPr>
        <w:t>（</w:t>
      </w:r>
      <w:r>
        <w:rPr>
          <w:rFonts w:hint="eastAsia"/>
          <w:kern w:val="0"/>
          <w:sz w:val="24"/>
          <w:highlight w:val="none"/>
        </w:rPr>
        <w:t>承市政字</w:t>
      </w:r>
      <w:r>
        <w:rPr>
          <w:rFonts w:hint="eastAsia"/>
          <w:kern w:val="0"/>
          <w:sz w:val="24"/>
          <w:highlight w:val="none"/>
          <w:lang w:eastAsia="zh-CN"/>
        </w:rPr>
        <w:t>〔</w:t>
      </w:r>
      <w:r>
        <w:rPr>
          <w:rFonts w:hint="eastAsia"/>
          <w:kern w:val="0"/>
          <w:sz w:val="24"/>
          <w:highlight w:val="none"/>
        </w:rPr>
        <w:t>2022</w:t>
      </w:r>
      <w:r>
        <w:rPr>
          <w:rFonts w:hint="eastAsia"/>
          <w:kern w:val="0"/>
          <w:sz w:val="24"/>
          <w:highlight w:val="none"/>
          <w:lang w:eastAsia="zh-CN"/>
        </w:rPr>
        <w:t>〕</w:t>
      </w:r>
      <w:r>
        <w:rPr>
          <w:rFonts w:hint="eastAsia"/>
          <w:kern w:val="0"/>
          <w:sz w:val="24"/>
          <w:highlight w:val="none"/>
        </w:rPr>
        <w:t>16号</w:t>
      </w:r>
      <w:r>
        <w:rPr>
          <w:rFonts w:hint="eastAsia"/>
          <w:kern w:val="0"/>
          <w:sz w:val="24"/>
          <w:highlight w:val="none"/>
          <w:lang w:eastAsia="zh-CN"/>
        </w:rPr>
        <w:t>）</w:t>
      </w:r>
      <w:r>
        <w:rPr>
          <w:rFonts w:hint="eastAsia"/>
          <w:kern w:val="0"/>
          <w:sz w:val="24"/>
          <w:highlight w:val="none"/>
        </w:rPr>
        <w:t>：建立健全固体废物监管体系，强化源头减量及废物利用。持续开展非法和不规范堆存渣场排查整治，建立排污单位工业固体废物管理台账。推行生产企业“逆向回收”等模式，推动大宗工业固体废物贮存处置总量趋零增长。推进高品质生态文明建设，持续加强生态保护和修复，积极争创国家生态文明示范市（县）和“绿水青山就是金山银山”实践创新基地。</w:t>
      </w:r>
    </w:p>
    <w:p w14:paraId="67DD79CF">
      <w:pPr>
        <w:spacing w:line="360" w:lineRule="auto"/>
        <w:ind w:firstLine="480" w:firstLineChars="200"/>
        <w:rPr>
          <w:rFonts w:hint="eastAsia"/>
          <w:kern w:val="0"/>
          <w:sz w:val="24"/>
          <w:highlight w:val="none"/>
          <w:lang w:eastAsia="zh-CN"/>
        </w:rPr>
      </w:pPr>
      <w:r>
        <w:rPr>
          <w:rFonts w:hint="eastAsia"/>
          <w:kern w:val="0"/>
          <w:sz w:val="24"/>
          <w:highlight w:val="none"/>
        </w:rPr>
        <w:t>本项目</w:t>
      </w:r>
      <w:r>
        <w:rPr>
          <w:rFonts w:hint="eastAsia"/>
          <w:kern w:val="0"/>
          <w:sz w:val="24"/>
          <w:highlight w:val="none"/>
          <w:lang w:val="en-US" w:eastAsia="zh-CN"/>
        </w:rPr>
        <w:t>为</w:t>
      </w:r>
      <w:r>
        <w:rPr>
          <w:rFonts w:hint="eastAsia"/>
          <w:color w:val="auto"/>
          <w:sz w:val="24"/>
          <w:szCs w:val="28"/>
          <w:highlight w:val="none"/>
          <w:lang w:eastAsia="zh-CN"/>
        </w:rPr>
        <w:t>采区、选厂配套的排土场</w:t>
      </w:r>
      <w:r>
        <w:rPr>
          <w:rFonts w:hint="eastAsia"/>
          <w:kern w:val="0"/>
          <w:sz w:val="24"/>
          <w:highlight w:val="none"/>
        </w:rPr>
        <w:t>，封场期将对排土场坡面及台阶进行绿化，采用植树种草等生态恢复措施，可提高项目占地范围内的植被覆盖率，减少水土流失，符合</w:t>
      </w:r>
      <w:r>
        <w:rPr>
          <w:rFonts w:hint="eastAsia"/>
          <w:kern w:val="0"/>
          <w:sz w:val="24"/>
          <w:highlight w:val="none"/>
          <w:lang w:val="en-US" w:eastAsia="zh-CN"/>
        </w:rPr>
        <w:t>该</w:t>
      </w:r>
      <w:r>
        <w:rPr>
          <w:rFonts w:hint="eastAsia"/>
          <w:kern w:val="0"/>
          <w:sz w:val="24"/>
          <w:highlight w:val="none"/>
        </w:rPr>
        <w:t>规划要求</w:t>
      </w:r>
      <w:r>
        <w:rPr>
          <w:rFonts w:hint="eastAsia"/>
          <w:kern w:val="0"/>
          <w:sz w:val="24"/>
          <w:highlight w:val="none"/>
          <w:lang w:eastAsia="zh-CN"/>
        </w:rPr>
        <w:t>。</w:t>
      </w:r>
    </w:p>
    <w:p w14:paraId="63F9F8D1">
      <w:pPr>
        <w:pStyle w:val="6"/>
        <w:spacing w:before="0" w:beforeLines="0"/>
        <w:rPr>
          <w:rFonts w:hint="default" w:ascii="Times New Roman" w:hAnsi="Times New Roman" w:eastAsia="宋体" w:cs="Times New Roman"/>
          <w:szCs w:val="24"/>
          <w:highlight w:val="none"/>
        </w:rPr>
      </w:pPr>
      <w:r>
        <w:rPr>
          <w:rFonts w:hint="eastAsia" w:ascii="Times New Roman" w:hAnsi="Times New Roman" w:eastAsia="宋体" w:cs="Times New Roman"/>
          <w:b/>
          <w:color w:val="auto"/>
          <w:highlight w:val="none"/>
          <w:lang w:val="en-US" w:eastAsia="zh-CN"/>
        </w:rPr>
        <w:t>《关于“十四五”大宗固体废弃物综合利用的指导意见》</w:t>
      </w:r>
    </w:p>
    <w:p w14:paraId="4BCDD501">
      <w:pPr>
        <w:spacing w:line="360" w:lineRule="auto"/>
        <w:ind w:firstLine="480" w:firstLineChars="200"/>
        <w:rPr>
          <w:rFonts w:hint="default"/>
          <w:kern w:val="0"/>
          <w:sz w:val="24"/>
          <w:highlight w:val="none"/>
          <w:lang w:val="en-US" w:eastAsia="zh-CN"/>
        </w:rPr>
      </w:pPr>
      <w:r>
        <w:rPr>
          <w:rFonts w:hint="eastAsia"/>
          <w:kern w:val="0"/>
          <w:sz w:val="24"/>
          <w:highlight w:val="none"/>
          <w:lang w:val="en-US" w:eastAsia="zh-CN"/>
        </w:rPr>
        <w:t>根据</w:t>
      </w:r>
      <w:r>
        <w:rPr>
          <w:rFonts w:hint="eastAsia"/>
          <w:kern w:val="0"/>
          <w:sz w:val="24"/>
          <w:highlight w:val="none"/>
          <w:lang w:eastAsia="zh-CN"/>
        </w:rPr>
        <w:t>《关于“十四五”大宗固体废弃物综合利用的指导意见》（发改环资〔2021〕381号）</w:t>
      </w:r>
      <w:r>
        <w:rPr>
          <w:rFonts w:hint="eastAsia"/>
          <w:kern w:val="0"/>
          <w:sz w:val="24"/>
          <w:highlight w:val="none"/>
          <w:lang w:val="en-US" w:eastAsia="zh-CN"/>
        </w:rPr>
        <w:t>要求：稳步推进金属尾矿有价组分高效提取及整体利用，推动采矿废石制备砂石骨料、陶粒、干混砂浆等砂源替代材料和胶凝回填利用，探索尾矿在生态环境治理领域的利用。加快推进黑色金属、有色金属、稀贵金属等共伴生矿产资源综合开发利用和有价组分梯级回收，推动有价金属提取后剩余废渣的规模化利用。依法依规推动已闭库尾矿库生态修复，未经批准不得擅自回采尾矿。</w:t>
      </w:r>
    </w:p>
    <w:p w14:paraId="008C9F2B">
      <w:pPr>
        <w:spacing w:line="360" w:lineRule="auto"/>
        <w:ind w:firstLine="480" w:firstLineChars="200"/>
        <w:rPr>
          <w:rFonts w:hint="eastAsia" w:eastAsia="宋体"/>
          <w:kern w:val="0"/>
          <w:sz w:val="24"/>
          <w:highlight w:val="none"/>
          <w:lang w:eastAsia="zh-CN"/>
        </w:rPr>
      </w:pPr>
      <w:r>
        <w:rPr>
          <w:rFonts w:hint="eastAsia"/>
          <w:color w:val="auto"/>
          <w:sz w:val="24"/>
          <w:szCs w:val="24"/>
          <w:highlight w:val="none"/>
          <w:lang w:eastAsia="zh-CN"/>
        </w:rPr>
        <w:t>本项目为采区、选厂配套的排土场</w:t>
      </w:r>
      <w:r>
        <w:rPr>
          <w:rFonts w:hint="eastAsia"/>
          <w:kern w:val="0"/>
          <w:sz w:val="24"/>
          <w:highlight w:val="none"/>
        </w:rPr>
        <w:t>，</w:t>
      </w:r>
      <w:r>
        <w:rPr>
          <w:rFonts w:hint="eastAsia"/>
          <w:kern w:val="0"/>
          <w:sz w:val="24"/>
          <w:highlight w:val="none"/>
          <w:lang w:val="en-US" w:eastAsia="zh-CN"/>
        </w:rPr>
        <w:t>解决了废石去向，</w:t>
      </w:r>
      <w:r>
        <w:rPr>
          <w:rFonts w:hint="eastAsia" w:ascii="Times New Roman" w:hAnsi="Times New Roman" w:eastAsia="宋体" w:cs="Times New Roman"/>
          <w:color w:val="auto"/>
          <w:sz w:val="24"/>
          <w:szCs w:val="24"/>
          <w:highlight w:val="none"/>
          <w:lang w:val="en-US" w:eastAsia="zh-CN"/>
        </w:rPr>
        <w:t>项目建设符合</w:t>
      </w:r>
      <w:r>
        <w:rPr>
          <w:rFonts w:hint="eastAsia"/>
          <w:kern w:val="0"/>
          <w:sz w:val="24"/>
          <w:highlight w:val="none"/>
          <w:lang w:eastAsia="zh-CN"/>
        </w:rPr>
        <w:t>《关于“十四五”大宗固体废弃物综合利用的指导意见》（发改环资〔2021〕381号）</w:t>
      </w:r>
      <w:r>
        <w:rPr>
          <w:rFonts w:hint="eastAsia"/>
          <w:kern w:val="0"/>
          <w:sz w:val="24"/>
          <w:highlight w:val="none"/>
          <w:lang w:val="en-US" w:eastAsia="zh-CN"/>
        </w:rPr>
        <w:t>要求</w:t>
      </w:r>
      <w:r>
        <w:rPr>
          <w:rFonts w:hint="eastAsia"/>
          <w:kern w:val="0"/>
          <w:sz w:val="24"/>
          <w:highlight w:val="none"/>
          <w:lang w:eastAsia="zh-CN"/>
        </w:rPr>
        <w:t>。</w:t>
      </w:r>
    </w:p>
    <w:p w14:paraId="5C632E29">
      <w:pPr>
        <w:pStyle w:val="6"/>
        <w:spacing w:before="0" w:beforeLines="0"/>
        <w:rPr>
          <w:rFonts w:hint="default" w:ascii="Times New Roman" w:hAnsi="Times New Roman" w:eastAsia="宋体" w:cs="Times New Roman"/>
          <w:szCs w:val="24"/>
          <w:highlight w:val="none"/>
        </w:rPr>
      </w:pPr>
      <w:r>
        <w:rPr>
          <w:rFonts w:hint="eastAsia" w:ascii="Times New Roman" w:hAnsi="Times New Roman" w:eastAsia="宋体" w:cs="Times New Roman"/>
          <w:b/>
          <w:color w:val="auto"/>
          <w:highlight w:val="none"/>
          <w:lang w:val="en-US" w:eastAsia="zh-CN"/>
        </w:rPr>
        <w:t>《</w:t>
      </w:r>
      <w:r>
        <w:rPr>
          <w:rFonts w:hint="eastAsia" w:cs="Times New Roman"/>
          <w:b/>
          <w:color w:val="auto"/>
          <w:highlight w:val="none"/>
          <w:lang w:val="en-US" w:eastAsia="zh-CN"/>
        </w:rPr>
        <w:t>隆化县国土空间总体规划</w:t>
      </w:r>
      <w:r>
        <w:rPr>
          <w:rFonts w:hint="eastAsia" w:ascii="Times New Roman" w:hAnsi="Times New Roman" w:eastAsia="宋体" w:cs="Times New Roman"/>
          <w:b/>
          <w:color w:val="auto"/>
          <w:highlight w:val="none"/>
          <w:lang w:val="en-US" w:eastAsia="zh-CN"/>
        </w:rPr>
        <w:t>（2021</w:t>
      </w:r>
      <w:r>
        <w:rPr>
          <w:rFonts w:hint="eastAsia"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2035年）》</w:t>
      </w:r>
    </w:p>
    <w:p w14:paraId="15F849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w:t>
      </w:r>
      <w:r>
        <w:rPr>
          <w:rFonts w:hint="eastAsia" w:cs="Times New Roman"/>
          <w:color w:val="auto"/>
          <w:sz w:val="24"/>
          <w:szCs w:val="24"/>
          <w:highlight w:val="none"/>
          <w:lang w:val="en-US" w:eastAsia="zh-CN"/>
        </w:rPr>
        <w:t>隆化县国土空间总体规划</w:t>
      </w:r>
      <w:r>
        <w:rPr>
          <w:rFonts w:hint="eastAsia" w:ascii="Times New Roman" w:hAnsi="Times New Roman" w:eastAsia="宋体" w:cs="Times New Roman"/>
          <w:color w:val="auto"/>
          <w:sz w:val="24"/>
          <w:szCs w:val="24"/>
          <w:highlight w:val="none"/>
          <w:lang w:val="en-US" w:eastAsia="zh-CN"/>
        </w:rPr>
        <w:t>（2021</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2035年）》要求：加强矿产资源的综合管理，优化矿山开发利用结构和布局，提升矿产资源集约利用度，实现矿业全面转型升级和绿色发展。</w:t>
      </w:r>
    </w:p>
    <w:p w14:paraId="39D5F9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lang w:eastAsia="zh-CN"/>
        </w:rPr>
        <w:t>本项目为采区、选厂配套的排土场</w:t>
      </w:r>
      <w:r>
        <w:rPr>
          <w:rFonts w:hint="eastAsia"/>
          <w:kern w:val="0"/>
          <w:sz w:val="24"/>
          <w:highlight w:val="none"/>
        </w:rPr>
        <w:t>，</w:t>
      </w:r>
      <w:r>
        <w:rPr>
          <w:rFonts w:hint="eastAsia"/>
          <w:kern w:val="0"/>
          <w:sz w:val="24"/>
          <w:highlight w:val="none"/>
          <w:lang w:val="en-US" w:eastAsia="zh-CN"/>
        </w:rPr>
        <w:t>解决废石去向，</w:t>
      </w:r>
      <w:r>
        <w:rPr>
          <w:rFonts w:hint="eastAsia" w:ascii="Times New Roman" w:hAnsi="Times New Roman" w:eastAsia="宋体" w:cs="Times New Roman"/>
          <w:color w:val="auto"/>
          <w:sz w:val="24"/>
          <w:szCs w:val="24"/>
          <w:highlight w:val="none"/>
          <w:lang w:val="en-US" w:eastAsia="zh-CN"/>
        </w:rPr>
        <w:t>项目建设符合《</w:t>
      </w:r>
      <w:r>
        <w:rPr>
          <w:rFonts w:hint="eastAsia" w:cs="Times New Roman"/>
          <w:color w:val="auto"/>
          <w:sz w:val="24"/>
          <w:szCs w:val="24"/>
          <w:highlight w:val="none"/>
          <w:lang w:val="en-US" w:eastAsia="zh-CN"/>
        </w:rPr>
        <w:t>隆化县国土空间总体规划</w:t>
      </w:r>
      <w:r>
        <w:rPr>
          <w:rFonts w:hint="eastAsia" w:ascii="Times New Roman" w:hAnsi="Times New Roman" w:eastAsia="宋体" w:cs="Times New Roman"/>
          <w:color w:val="auto"/>
          <w:sz w:val="24"/>
          <w:szCs w:val="24"/>
          <w:highlight w:val="none"/>
          <w:lang w:val="en-US" w:eastAsia="zh-CN"/>
        </w:rPr>
        <w:t>（2021</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2035年）》的相关要求。</w:t>
      </w:r>
    </w:p>
    <w:p w14:paraId="5EC6FE9D">
      <w:pPr>
        <w:pStyle w:val="6"/>
        <w:pageBreakBefore w:val="0"/>
        <w:widowControl w:val="0"/>
        <w:kinsoku/>
        <w:wordWrap/>
        <w:overflowPunct/>
        <w:topLinePunct w:val="0"/>
        <w:autoSpaceDE/>
        <w:autoSpaceDN/>
        <w:bidi w:val="0"/>
        <w:spacing w:before="0" w:beforeLines="0" w:line="360" w:lineRule="auto"/>
        <w:textAlignment w:val="auto"/>
        <w:rPr>
          <w:highlight w:val="none"/>
        </w:rPr>
      </w:pPr>
      <w:bookmarkStart w:id="134" w:name="_Toc27655"/>
      <w:bookmarkStart w:id="135" w:name="_Toc26672"/>
      <w:r>
        <w:rPr>
          <w:rFonts w:hint="eastAsia"/>
          <w:highlight w:val="none"/>
        </w:rPr>
        <w:t>环境功能区划</w:t>
      </w:r>
      <w:bookmarkEnd w:id="134"/>
      <w:bookmarkEnd w:id="135"/>
    </w:p>
    <w:p w14:paraId="0F394E57">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lang w:val="en-US" w:eastAsia="zh-CN"/>
        </w:rPr>
        <w:t>1</w:t>
      </w: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cs="Times New Roman"/>
          <w:color w:val="000000"/>
          <w:kern w:val="0"/>
          <w:sz w:val="24"/>
          <w:szCs w:val="21"/>
          <w:highlight w:val="none"/>
        </w:rPr>
        <w:t>环境空气质量功能区划</w:t>
      </w:r>
    </w:p>
    <w:p w14:paraId="69EE9C80">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auto"/>
          <w:kern w:val="0"/>
          <w:sz w:val="24"/>
          <w:szCs w:val="21"/>
          <w:highlight w:val="none"/>
          <w:lang w:val="en-US" w:eastAsia="zh-CN"/>
        </w:rPr>
        <w:t>根据2016年12月《承德市环境空气质量功能区划技术报告》（承德市环境保护局），大气环境功能区划定范围为承德市市域范围，</w:t>
      </w:r>
      <w:r>
        <w:rPr>
          <w:rFonts w:hint="eastAsia" w:ascii="Times New Roman" w:hAnsi="Times New Roman" w:eastAsia="宋体" w:cs="Times New Roman"/>
          <w:color w:val="auto"/>
          <w:kern w:val="0"/>
          <w:sz w:val="24"/>
          <w:szCs w:val="21"/>
          <w:highlight w:val="none"/>
          <w:lang w:val="en-US" w:eastAsia="zh-CN"/>
        </w:rPr>
        <w:t>未对本项目所在区域进行划分。</w:t>
      </w:r>
      <w:r>
        <w:rPr>
          <w:rFonts w:hint="eastAsia" w:ascii="Times New Roman" w:hAnsi="Times New Roman" w:cs="Times New Roman"/>
          <w:color w:val="000000"/>
          <w:kern w:val="0"/>
          <w:sz w:val="24"/>
          <w:szCs w:val="21"/>
          <w:highlight w:val="none"/>
          <w:lang w:val="en-US" w:eastAsia="zh-CN"/>
        </w:rPr>
        <w:t>参照</w:t>
      </w:r>
      <w:r>
        <w:rPr>
          <w:rFonts w:hint="default" w:ascii="Times New Roman" w:hAnsi="Times New Roman" w:cs="Times New Roman"/>
          <w:color w:val="000000"/>
          <w:kern w:val="0"/>
          <w:sz w:val="24"/>
          <w:szCs w:val="21"/>
          <w:highlight w:val="none"/>
        </w:rPr>
        <w:t>《环境空气质量标准》（GB3096-2012）相关规定：</w:t>
      </w:r>
      <w:r>
        <w:rPr>
          <w:rFonts w:hint="default" w:ascii="Times New Roman" w:hAnsi="Times New Roman" w:cs="Times New Roman"/>
          <w:color w:val="000000"/>
          <w:sz w:val="24"/>
          <w:highlight w:val="none"/>
        </w:rPr>
        <w:t>项目占地范围处于大气环境质量功能区分类中的二类区，其环境空气质量标准执行《环境空气质量标准》（GB3096-2012）</w:t>
      </w:r>
      <w:r>
        <w:rPr>
          <w:rFonts w:hint="eastAsia" w:ascii="Times New Roman" w:hAnsi="Times New Roman" w:cs="Times New Roman"/>
          <w:color w:val="000000"/>
          <w:sz w:val="24"/>
          <w:highlight w:val="none"/>
          <w:lang w:val="en-US" w:eastAsia="zh-CN"/>
        </w:rPr>
        <w:t>及其修改单中的</w:t>
      </w:r>
      <w:r>
        <w:rPr>
          <w:rFonts w:hint="default" w:ascii="Times New Roman" w:hAnsi="Times New Roman" w:cs="Times New Roman"/>
          <w:color w:val="000000"/>
          <w:sz w:val="24"/>
          <w:highlight w:val="none"/>
        </w:rPr>
        <w:t>二级标准。</w:t>
      </w:r>
    </w:p>
    <w:p w14:paraId="2DE99457">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lang w:val="en-US" w:eastAsia="zh-CN"/>
        </w:rPr>
        <w:t>2</w:t>
      </w: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lang w:val="en-US" w:eastAsia="zh-CN"/>
        </w:rPr>
        <w:t>地表</w:t>
      </w:r>
      <w:r>
        <w:rPr>
          <w:rFonts w:hint="default" w:ascii="Times New Roman" w:hAnsi="Times New Roman" w:cs="Times New Roman"/>
          <w:color w:val="000000"/>
          <w:kern w:val="0"/>
          <w:sz w:val="24"/>
          <w:szCs w:val="21"/>
          <w:highlight w:val="none"/>
        </w:rPr>
        <w:t>水环境功能区划</w:t>
      </w:r>
    </w:p>
    <w:p w14:paraId="0F102479">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000000"/>
          <w:kern w:val="0"/>
          <w:sz w:val="24"/>
          <w:szCs w:val="21"/>
          <w:highlight w:val="none"/>
          <w:lang w:eastAsia="zh-CN"/>
        </w:rPr>
      </w:pPr>
      <w:r>
        <w:rPr>
          <w:rFonts w:hint="default" w:ascii="Times New Roman" w:hAnsi="Times New Roman" w:cs="Times New Roman"/>
          <w:color w:val="000000"/>
          <w:kern w:val="0"/>
          <w:sz w:val="24"/>
          <w:szCs w:val="21"/>
          <w:highlight w:val="none"/>
        </w:rPr>
        <w:t>区域地表径流为</w:t>
      </w:r>
      <w:r>
        <w:rPr>
          <w:rFonts w:hint="eastAsia" w:cs="Times New Roman"/>
          <w:color w:val="000000"/>
          <w:kern w:val="0"/>
          <w:sz w:val="24"/>
          <w:szCs w:val="21"/>
          <w:highlight w:val="none"/>
          <w:lang w:eastAsia="zh-CN"/>
        </w:rPr>
        <w:t>兴隆河</w:t>
      </w:r>
      <w:r>
        <w:rPr>
          <w:rFonts w:hint="default" w:ascii="Times New Roman" w:hAnsi="Times New Roman" w:cs="Times New Roman"/>
          <w:color w:val="000000"/>
          <w:kern w:val="0"/>
          <w:sz w:val="24"/>
          <w:szCs w:val="21"/>
          <w:highlight w:val="none"/>
        </w:rPr>
        <w:t>，</w:t>
      </w:r>
      <w:r>
        <w:rPr>
          <w:rFonts w:hint="eastAsia" w:cs="Times New Roman"/>
          <w:color w:val="000000"/>
          <w:kern w:val="0"/>
          <w:sz w:val="24"/>
          <w:szCs w:val="21"/>
          <w:highlight w:val="none"/>
          <w:lang w:val="en-US" w:eastAsia="zh-CN"/>
        </w:rPr>
        <w:t>武烈河一级支流，按照河北省水利厅与省环保局联合下发的《河北省水功能区划》（冀水资〔2017〕127号）的要求，武烈河保护级别为地表</w:t>
      </w:r>
      <w:r>
        <w:rPr>
          <w:rFonts w:hint="default" w:ascii="Times New Roman" w:hAnsi="Times New Roman" w:cs="Times New Roman"/>
          <w:color w:val="000000"/>
          <w:kern w:val="0"/>
          <w:sz w:val="24"/>
          <w:szCs w:val="21"/>
          <w:highlight w:val="none"/>
          <w:lang w:val="en-US" w:eastAsia="zh-CN"/>
        </w:rPr>
        <w:t>水Ⅱ类，执行《地表水环境质量标准》（GB3838-2002）中Ⅱ</w:t>
      </w:r>
      <w:r>
        <w:rPr>
          <w:rFonts w:hint="eastAsia" w:cs="Times New Roman"/>
          <w:color w:val="000000"/>
          <w:kern w:val="0"/>
          <w:sz w:val="24"/>
          <w:szCs w:val="21"/>
          <w:highlight w:val="none"/>
          <w:lang w:val="en-US" w:eastAsia="zh-CN"/>
        </w:rPr>
        <w:t>类标准</w:t>
      </w:r>
      <w:r>
        <w:rPr>
          <w:rFonts w:hint="default" w:ascii="Times New Roman" w:hAnsi="Times New Roman" w:cs="Times New Roman"/>
          <w:color w:val="000000"/>
          <w:kern w:val="0"/>
          <w:sz w:val="24"/>
          <w:szCs w:val="21"/>
          <w:highlight w:val="none"/>
          <w:lang w:val="en-US" w:eastAsia="zh-CN"/>
        </w:rPr>
        <w:t>。</w:t>
      </w:r>
    </w:p>
    <w:p w14:paraId="349B678C">
      <w:pPr>
        <w:pStyle w:val="2"/>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000000"/>
          <w:kern w:val="0"/>
          <w:sz w:val="24"/>
          <w:szCs w:val="21"/>
          <w:highlight w:val="none"/>
          <w:lang w:val="en-US" w:eastAsia="zh-CN"/>
        </w:rPr>
      </w:pP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lang w:val="en-US" w:eastAsia="zh-CN"/>
        </w:rPr>
        <w:t>3</w:t>
      </w: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lang w:val="en-US" w:eastAsia="zh-CN"/>
        </w:rPr>
        <w:t>地下水</w:t>
      </w:r>
      <w:r>
        <w:rPr>
          <w:rFonts w:hint="default" w:ascii="Times New Roman" w:hAnsi="Times New Roman" w:cs="Times New Roman"/>
          <w:color w:val="000000"/>
          <w:kern w:val="0"/>
          <w:sz w:val="24"/>
          <w:szCs w:val="21"/>
          <w:highlight w:val="none"/>
        </w:rPr>
        <w:t>环境功能区划</w:t>
      </w:r>
    </w:p>
    <w:p w14:paraId="27732831">
      <w:pPr>
        <w:pStyle w:val="2"/>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000000"/>
          <w:kern w:val="0"/>
          <w:sz w:val="24"/>
          <w:szCs w:val="21"/>
          <w:highlight w:val="none"/>
          <w:lang w:eastAsia="zh-CN"/>
        </w:rPr>
      </w:pPr>
      <w:r>
        <w:rPr>
          <w:rFonts w:hint="default" w:ascii="Times New Roman" w:hAnsi="Times New Roman" w:cs="Times New Roman"/>
          <w:color w:val="000000"/>
          <w:kern w:val="0"/>
          <w:sz w:val="24"/>
          <w:szCs w:val="21"/>
          <w:highlight w:val="none"/>
        </w:rPr>
        <w:t>区域地下水主要适用于集中式生活饮用水水源及工、农业用水，根据《地下水质量标准》(GB/T14848-2017)，区域地下水质量为Ⅲ类</w:t>
      </w:r>
      <w:r>
        <w:rPr>
          <w:rFonts w:hint="eastAsia" w:ascii="Times New Roman" w:hAnsi="Times New Roman" w:cs="Times New Roman"/>
          <w:color w:val="000000"/>
          <w:kern w:val="0"/>
          <w:sz w:val="24"/>
          <w:szCs w:val="21"/>
          <w:highlight w:val="none"/>
          <w:lang w:eastAsia="zh-CN"/>
        </w:rPr>
        <w:t>，</w:t>
      </w:r>
      <w:r>
        <w:rPr>
          <w:rFonts w:hint="eastAsia" w:ascii="Times New Roman" w:hAnsi="Times New Roman" w:cs="Times New Roman"/>
          <w:color w:val="000000"/>
          <w:kern w:val="0"/>
          <w:sz w:val="24"/>
          <w:szCs w:val="21"/>
          <w:highlight w:val="none"/>
          <w:lang w:val="en-US" w:eastAsia="zh-CN"/>
        </w:rPr>
        <w:t>执行</w:t>
      </w:r>
      <w:r>
        <w:rPr>
          <w:rFonts w:hint="default" w:ascii="Times New Roman" w:hAnsi="Times New Roman" w:cs="Times New Roman"/>
          <w:color w:val="000000"/>
          <w:kern w:val="0"/>
          <w:sz w:val="24"/>
          <w:szCs w:val="21"/>
          <w:highlight w:val="none"/>
        </w:rPr>
        <w:t>《地下水质量标准》(GB/T14848-2017)Ⅲ类</w:t>
      </w:r>
      <w:r>
        <w:rPr>
          <w:rFonts w:hint="eastAsia" w:ascii="Times New Roman" w:hAnsi="Times New Roman" w:cs="Times New Roman"/>
          <w:color w:val="000000"/>
          <w:kern w:val="0"/>
          <w:sz w:val="24"/>
          <w:szCs w:val="21"/>
          <w:highlight w:val="none"/>
          <w:lang w:val="en-US" w:eastAsia="zh-CN"/>
        </w:rPr>
        <w:t>标准</w:t>
      </w:r>
      <w:r>
        <w:rPr>
          <w:rFonts w:hint="default" w:ascii="Times New Roman" w:hAnsi="Times New Roman" w:cs="Times New Roman"/>
          <w:color w:val="000000"/>
          <w:kern w:val="0"/>
          <w:sz w:val="24"/>
          <w:szCs w:val="21"/>
          <w:highlight w:val="none"/>
        </w:rPr>
        <w:t>。</w:t>
      </w:r>
    </w:p>
    <w:p w14:paraId="29C3F4A4">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eastAsia="宋体" w:cs="Times New Roman"/>
          <w:color w:val="000000"/>
          <w:kern w:val="0"/>
          <w:sz w:val="24"/>
          <w:szCs w:val="21"/>
          <w:highlight w:val="none"/>
          <w:lang w:val="en-US" w:eastAsia="zh-CN"/>
        </w:rPr>
        <w:t>4</w:t>
      </w:r>
      <w:r>
        <w:rPr>
          <w:rFonts w:hint="default" w:ascii="Times New Roman" w:hAnsi="Times New Roman" w:eastAsia="宋体" w:cs="Times New Roman"/>
          <w:color w:val="000000"/>
          <w:kern w:val="0"/>
          <w:sz w:val="24"/>
          <w:szCs w:val="21"/>
          <w:highlight w:val="none"/>
          <w:lang w:eastAsia="zh-CN"/>
        </w:rPr>
        <w:t>）</w:t>
      </w:r>
      <w:r>
        <w:rPr>
          <w:rFonts w:hint="default" w:ascii="Times New Roman" w:hAnsi="Times New Roman" w:cs="Times New Roman"/>
          <w:color w:val="000000"/>
          <w:kern w:val="0"/>
          <w:sz w:val="24"/>
          <w:szCs w:val="21"/>
          <w:highlight w:val="none"/>
        </w:rPr>
        <w:t>声环境功能区划</w:t>
      </w:r>
    </w:p>
    <w:p w14:paraId="66D3698A">
      <w:pPr>
        <w:pStyle w:val="2"/>
        <w:keepNext w:val="0"/>
        <w:keepLines w:val="0"/>
        <w:pageBreakBefore w:val="0"/>
        <w:widowControl w:val="0"/>
        <w:kinsoku/>
        <w:wordWrap/>
        <w:overflowPunct/>
        <w:topLinePunct w:val="0"/>
        <w:bidi w:val="0"/>
        <w:snapToGrid/>
        <w:spacing w:line="360" w:lineRule="auto"/>
        <w:ind w:firstLine="480" w:firstLineChars="200"/>
        <w:textAlignment w:val="auto"/>
        <w:rPr>
          <w:rStyle w:val="66"/>
          <w:rFonts w:hint="default" w:ascii="Times New Roman" w:hAnsi="Times New Roman" w:cs="Times New Roman"/>
          <w:color w:val="000000"/>
          <w:sz w:val="24"/>
          <w:szCs w:val="24"/>
          <w:highlight w:val="none"/>
        </w:rPr>
      </w:pPr>
      <w:r>
        <w:rPr>
          <w:rFonts w:hint="default"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lang w:val="en-US" w:eastAsia="zh-CN"/>
        </w:rPr>
        <w:t>区域无</w:t>
      </w:r>
      <w:r>
        <w:rPr>
          <w:rFonts w:hint="default" w:ascii="Times New Roman" w:hAnsi="Times New Roman" w:cs="Times New Roman"/>
          <w:color w:val="auto"/>
          <w:kern w:val="0"/>
          <w:sz w:val="24"/>
          <w:szCs w:val="24"/>
          <w:highlight w:val="none"/>
        </w:rPr>
        <w:t>声环境功能区</w:t>
      </w:r>
      <w:r>
        <w:rPr>
          <w:rFonts w:hint="default" w:ascii="Times New Roman" w:hAnsi="Times New Roman" w:cs="Times New Roman"/>
          <w:color w:val="auto"/>
          <w:kern w:val="0"/>
          <w:sz w:val="24"/>
          <w:szCs w:val="24"/>
          <w:highlight w:val="none"/>
          <w:lang w:val="en-US" w:eastAsia="zh-CN"/>
        </w:rPr>
        <w:t>划</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000000"/>
          <w:kern w:val="0"/>
          <w:sz w:val="24"/>
          <w:szCs w:val="21"/>
          <w:highlight w:val="none"/>
          <w:lang w:val="en-US" w:eastAsia="zh-CN"/>
        </w:rPr>
        <w:t>参照</w:t>
      </w:r>
      <w:r>
        <w:rPr>
          <w:rFonts w:hint="default" w:ascii="Times New Roman" w:hAnsi="Times New Roman" w:cs="Times New Roman"/>
          <w:color w:val="000000"/>
          <w:kern w:val="0"/>
          <w:sz w:val="24"/>
          <w:szCs w:val="21"/>
          <w:highlight w:val="none"/>
        </w:rPr>
        <w:t>《声环境质量标准》（GB3096-2008）</w:t>
      </w:r>
      <w:r>
        <w:rPr>
          <w:rFonts w:hint="default" w:ascii="Times New Roman" w:hAnsi="Times New Roman" w:eastAsia="宋体" w:cs="Times New Roman"/>
          <w:color w:val="000000"/>
          <w:kern w:val="0"/>
          <w:sz w:val="24"/>
          <w:szCs w:val="21"/>
          <w:highlight w:val="none"/>
          <w:lang w:eastAsia="zh-CN"/>
        </w:rPr>
        <w:t>，</w:t>
      </w:r>
      <w:r>
        <w:rPr>
          <w:rFonts w:hint="eastAsia" w:ascii="Times New Roman" w:hAnsi="Times New Roman" w:eastAsia="宋体" w:cs="Times New Roman"/>
          <w:color w:val="000000"/>
          <w:kern w:val="0"/>
          <w:sz w:val="24"/>
          <w:szCs w:val="21"/>
          <w:highlight w:val="none"/>
          <w:lang w:val="en-US" w:eastAsia="zh-CN"/>
        </w:rPr>
        <w:t>本</w:t>
      </w:r>
      <w:r>
        <w:rPr>
          <w:rFonts w:hint="default" w:ascii="Times New Roman" w:hAnsi="Times New Roman" w:eastAsia="宋体" w:cs="Times New Roman"/>
          <w:color w:val="000000"/>
          <w:kern w:val="0"/>
          <w:sz w:val="24"/>
          <w:szCs w:val="21"/>
          <w:highlight w:val="none"/>
          <w:lang w:val="en-US" w:eastAsia="zh-CN"/>
        </w:rPr>
        <w:t>项目所在区域为居住、工业混杂区，</w:t>
      </w:r>
      <w:r>
        <w:rPr>
          <w:rFonts w:hint="eastAsia" w:ascii="Times New Roman" w:hAnsi="Times New Roman" w:eastAsia="宋体" w:cs="Times New Roman"/>
          <w:color w:val="000000"/>
          <w:kern w:val="0"/>
          <w:sz w:val="24"/>
          <w:szCs w:val="21"/>
          <w:highlight w:val="none"/>
          <w:lang w:val="en-US" w:eastAsia="zh-CN"/>
        </w:rPr>
        <w:t>因此本</w:t>
      </w:r>
      <w:r>
        <w:rPr>
          <w:rFonts w:hint="default" w:ascii="Times New Roman" w:hAnsi="Times New Roman" w:cs="Times New Roman"/>
          <w:color w:val="000000"/>
          <w:kern w:val="0"/>
          <w:sz w:val="24"/>
          <w:szCs w:val="21"/>
          <w:highlight w:val="none"/>
        </w:rPr>
        <w:t>项目占地范围处于2类声环境功能区，其声环境质量标准执行《声环境质量标准》（GB3096-2008）2类区标准。</w:t>
      </w:r>
    </w:p>
    <w:p w14:paraId="1169AC26">
      <w:pPr>
        <w:pStyle w:val="5"/>
        <w:pageBreakBefore w:val="0"/>
        <w:widowControl w:val="0"/>
        <w:kinsoku/>
        <w:wordWrap/>
        <w:overflowPunct/>
        <w:topLinePunct w:val="0"/>
        <w:autoSpaceDE/>
        <w:autoSpaceDN/>
        <w:bidi w:val="0"/>
        <w:spacing w:before="0" w:after="0" w:line="360" w:lineRule="auto"/>
        <w:textAlignment w:val="auto"/>
        <w:rPr>
          <w:rFonts w:hint="default" w:ascii="Times New Roman" w:hAnsi="Times New Roman" w:cs="Times New Roman"/>
          <w:color w:val="000000"/>
          <w:sz w:val="28"/>
          <w:szCs w:val="28"/>
          <w:highlight w:val="none"/>
        </w:rPr>
      </w:pPr>
      <w:r>
        <w:rPr>
          <w:rFonts w:hint="default" w:ascii="Times New Roman" w:hAnsi="Times New Roman" w:cs="Times New Roman"/>
          <w:color w:val="000000"/>
          <w:sz w:val="28"/>
          <w:szCs w:val="28"/>
          <w:highlight w:val="none"/>
        </w:rPr>
        <w:t>相关政策及规范符合性分析</w:t>
      </w:r>
      <w:bookmarkEnd w:id="128"/>
      <w:bookmarkEnd w:id="129"/>
      <w:bookmarkEnd w:id="130"/>
      <w:bookmarkEnd w:id="131"/>
      <w:bookmarkEnd w:id="132"/>
      <w:bookmarkEnd w:id="133"/>
    </w:p>
    <w:p w14:paraId="12B8840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根据国家《产业结构调整指导目录（2024年本）》（国家发展改革委令第29号），项目为</w:t>
      </w:r>
      <w:r>
        <w:rPr>
          <w:rFonts w:hint="eastAsia" w:cs="Times New Roman"/>
          <w:color w:val="000000"/>
          <w:kern w:val="0"/>
          <w:sz w:val="24"/>
          <w:szCs w:val="21"/>
          <w:highlight w:val="none"/>
          <w:lang w:val="en-US" w:eastAsia="zh-CN"/>
        </w:rPr>
        <w:t>排土场工程</w:t>
      </w:r>
      <w:r>
        <w:rPr>
          <w:rFonts w:hint="default" w:ascii="Times New Roman" w:hAnsi="Times New Roman" w:cs="Times New Roman"/>
          <w:color w:val="000000"/>
          <w:kern w:val="0"/>
          <w:sz w:val="24"/>
          <w:szCs w:val="21"/>
          <w:highlight w:val="none"/>
        </w:rPr>
        <w:t>，不属于鼓励类、限制类、淘汰类项目。</w:t>
      </w:r>
      <w:r>
        <w:rPr>
          <w:rFonts w:hint="eastAsia" w:cs="Times New Roman"/>
          <w:color w:val="auto"/>
          <w:sz w:val="24"/>
          <w:highlight w:val="none"/>
          <w:lang w:val="en-US" w:eastAsia="zh-CN"/>
        </w:rPr>
        <w:t>2024年7月2日</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隆化县数据和政务服务局</w:t>
      </w:r>
      <w:r>
        <w:rPr>
          <w:rFonts w:hint="eastAsia" w:ascii="Times New Roman" w:hAnsi="Times New Roman" w:cs="Times New Roman"/>
          <w:color w:val="auto"/>
          <w:sz w:val="24"/>
          <w:highlight w:val="none"/>
          <w:lang w:val="en-US" w:eastAsia="zh-CN"/>
        </w:rPr>
        <w:t>对“</w:t>
      </w:r>
      <w:r>
        <w:rPr>
          <w:rFonts w:hint="eastAsia" w:cs="Times New Roman"/>
          <w:color w:val="auto"/>
          <w:sz w:val="24"/>
          <w:highlight w:val="none"/>
          <w:lang w:val="en-US" w:eastAsia="zh-CN"/>
        </w:rPr>
        <w:t>承德天宝矿业集团大昌矿业有限公司东北沟排土场建设项目</w:t>
      </w:r>
      <w:r>
        <w:rPr>
          <w:rFonts w:hint="eastAsia" w:ascii="Times New Roman" w:hAnsi="Times New Roman" w:cs="Times New Roman"/>
          <w:color w:val="auto"/>
          <w:sz w:val="24"/>
          <w:highlight w:val="none"/>
          <w:lang w:val="en-US" w:eastAsia="zh-CN"/>
        </w:rPr>
        <w:t>”进行了备案，备案编号：</w:t>
      </w:r>
      <w:r>
        <w:rPr>
          <w:rFonts w:hint="eastAsia" w:cs="Times New Roman"/>
          <w:color w:val="auto"/>
          <w:sz w:val="24"/>
          <w:highlight w:val="none"/>
          <w:lang w:val="en-US" w:eastAsia="zh-CN"/>
        </w:rPr>
        <w:t>隆数政投资备〔2024〕41号</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000000"/>
          <w:kern w:val="0"/>
          <w:sz w:val="24"/>
          <w:szCs w:val="21"/>
          <w:highlight w:val="none"/>
        </w:rPr>
        <w:t>因此项目建设符合国家、地方产业政策。</w:t>
      </w:r>
    </w:p>
    <w:p w14:paraId="521B2B93">
      <w:pPr>
        <w:pStyle w:val="5"/>
        <w:pageBreakBefore w:val="0"/>
        <w:widowControl w:val="0"/>
        <w:kinsoku/>
        <w:wordWrap/>
        <w:overflowPunct/>
        <w:topLinePunct w:val="0"/>
        <w:bidi w:val="0"/>
        <w:spacing w:before="0" w:after="0" w:line="360" w:lineRule="auto"/>
        <w:textAlignment w:val="auto"/>
        <w:rPr>
          <w:rFonts w:hint="default" w:ascii="Times New Roman" w:hAnsi="Times New Roman" w:cs="Times New Roman"/>
          <w:color w:val="000000"/>
          <w:sz w:val="28"/>
          <w:szCs w:val="28"/>
          <w:highlight w:val="none"/>
        </w:rPr>
      </w:pPr>
      <w:bookmarkStart w:id="136" w:name="_Toc14501"/>
      <w:bookmarkStart w:id="137" w:name="_Toc15615"/>
      <w:bookmarkStart w:id="138" w:name="_Toc2900"/>
      <w:bookmarkStart w:id="139" w:name="_Toc26350"/>
      <w:bookmarkStart w:id="140" w:name="_Toc6802"/>
      <w:r>
        <w:rPr>
          <w:rFonts w:hint="default" w:ascii="Times New Roman" w:hAnsi="Times New Roman" w:cs="Times New Roman"/>
          <w:color w:val="000000"/>
          <w:sz w:val="28"/>
          <w:szCs w:val="28"/>
          <w:highlight w:val="none"/>
        </w:rPr>
        <w:t>主要环境保护目标</w:t>
      </w:r>
      <w:bookmarkEnd w:id="136"/>
      <w:bookmarkEnd w:id="137"/>
      <w:bookmarkEnd w:id="138"/>
      <w:bookmarkEnd w:id="139"/>
      <w:bookmarkEnd w:id="140"/>
    </w:p>
    <w:p w14:paraId="46E3CC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000000"/>
          <w:kern w:val="0"/>
          <w:sz w:val="24"/>
          <w:szCs w:val="21"/>
          <w:highlight w:val="none"/>
          <w:lang w:eastAsia="zh-CN"/>
        </w:rPr>
      </w:pPr>
      <w:r>
        <w:rPr>
          <w:rFonts w:hint="default" w:ascii="Times New Roman" w:hAnsi="Times New Roman" w:cs="Times New Roman"/>
          <w:color w:val="auto"/>
          <w:sz w:val="24"/>
          <w:szCs w:val="24"/>
          <w:highlight w:val="none"/>
        </w:rPr>
        <w:t>根据环境影响因素识别结果、项目工程特点及周围环境特征，确定本工程主要环境保护目标，</w:t>
      </w:r>
      <w:r>
        <w:rPr>
          <w:rFonts w:hint="default" w:ascii="Times New Roman" w:hAnsi="Times New Roman" w:cs="Times New Roman"/>
          <w:color w:val="000000"/>
          <w:kern w:val="0"/>
          <w:sz w:val="24"/>
          <w:szCs w:val="21"/>
          <w:highlight w:val="none"/>
        </w:rPr>
        <w:t>项目主要环境保护目标详见下表</w:t>
      </w:r>
      <w:r>
        <w:rPr>
          <w:rFonts w:hint="eastAsia" w:cs="Times New Roman"/>
          <w:color w:val="000000"/>
          <w:kern w:val="0"/>
          <w:sz w:val="24"/>
          <w:szCs w:val="21"/>
          <w:highlight w:val="none"/>
          <w:lang w:eastAsia="zh-CN"/>
        </w:rPr>
        <w:t>。</w:t>
      </w:r>
    </w:p>
    <w:p w14:paraId="1002266E">
      <w:pPr>
        <w:pStyle w:val="208"/>
        <w:pageBreakBefore w:val="0"/>
        <w:widowControl w:val="0"/>
        <w:numPr>
          <w:ilvl w:val="5"/>
          <w:numId w:val="17"/>
        </w:numPr>
        <w:tabs>
          <w:tab w:val="left" w:pos="420"/>
          <w:tab w:val="clear" w:pos="0"/>
        </w:tabs>
        <w:kinsoku/>
        <w:wordWrap/>
        <w:overflowPunct/>
        <w:topLinePunct w:val="0"/>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color w:val="auto"/>
          <w:szCs w:val="21"/>
          <w:highlight w:val="none"/>
        </w:rPr>
      </w:pPr>
      <w:r>
        <w:rPr>
          <w:rStyle w:val="152"/>
          <w:rFonts w:hint="default" w:ascii="Times New Roman" w:hAnsi="Times New Roman" w:eastAsia="宋体" w:cs="Times New Roman"/>
          <w:color w:val="auto"/>
          <w:szCs w:val="21"/>
          <w:highlight w:val="none"/>
        </w:rPr>
        <w:t>环境空气保护目标一览表</w:t>
      </w:r>
    </w:p>
    <w:tbl>
      <w:tblPr>
        <w:tblStyle w:val="58"/>
        <w:tblW w:w="517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454"/>
        <w:gridCol w:w="1140"/>
        <w:gridCol w:w="1413"/>
        <w:gridCol w:w="1271"/>
        <w:gridCol w:w="687"/>
        <w:gridCol w:w="646"/>
        <w:gridCol w:w="692"/>
        <w:gridCol w:w="514"/>
        <w:gridCol w:w="725"/>
        <w:gridCol w:w="1069"/>
      </w:tblGrid>
      <w:tr w14:paraId="203744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restart"/>
            <w:tcBorders>
              <w:tl2br w:val="nil"/>
              <w:tr2bl w:val="nil"/>
            </w:tcBorders>
            <w:noWrap w:val="0"/>
            <w:vAlign w:val="center"/>
          </w:tcPr>
          <w:p w14:paraId="3764878D">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环境要素</w:t>
            </w:r>
          </w:p>
        </w:tc>
        <w:tc>
          <w:tcPr>
            <w:tcW w:w="661" w:type="pct"/>
            <w:vMerge w:val="restart"/>
            <w:tcBorders>
              <w:tl2br w:val="nil"/>
              <w:tr2bl w:val="nil"/>
            </w:tcBorders>
            <w:noWrap w:val="0"/>
            <w:vAlign w:val="center"/>
          </w:tcPr>
          <w:p w14:paraId="3CD04842">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1558" w:type="pct"/>
            <w:gridSpan w:val="2"/>
            <w:tcBorders>
              <w:tl2br w:val="nil"/>
              <w:tr2bl w:val="nil"/>
            </w:tcBorders>
            <w:noWrap w:val="0"/>
            <w:vAlign w:val="center"/>
          </w:tcPr>
          <w:p w14:paraId="000C1ADD">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坐标</w:t>
            </w:r>
          </w:p>
        </w:tc>
        <w:tc>
          <w:tcPr>
            <w:tcW w:w="399" w:type="pct"/>
            <w:vMerge w:val="restart"/>
            <w:tcBorders>
              <w:tl2br w:val="nil"/>
              <w:tr2bl w:val="nil"/>
            </w:tcBorders>
            <w:noWrap w:val="0"/>
            <w:vAlign w:val="center"/>
          </w:tcPr>
          <w:p w14:paraId="4F48D5AF">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保护对象</w:t>
            </w:r>
          </w:p>
        </w:tc>
        <w:tc>
          <w:tcPr>
            <w:tcW w:w="375" w:type="pct"/>
            <w:vMerge w:val="restart"/>
            <w:tcBorders>
              <w:tl2br w:val="nil"/>
              <w:tr2bl w:val="nil"/>
            </w:tcBorders>
            <w:noWrap w:val="0"/>
            <w:vAlign w:val="center"/>
          </w:tcPr>
          <w:p w14:paraId="16359E52">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保护内容</w:t>
            </w:r>
          </w:p>
        </w:tc>
        <w:tc>
          <w:tcPr>
            <w:tcW w:w="401" w:type="pct"/>
            <w:vMerge w:val="restart"/>
            <w:tcBorders>
              <w:tl2br w:val="nil"/>
              <w:tr2bl w:val="nil"/>
            </w:tcBorders>
            <w:noWrap w:val="0"/>
            <w:vAlign w:val="center"/>
          </w:tcPr>
          <w:p w14:paraId="6046247F">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环境功能区</w:t>
            </w:r>
          </w:p>
        </w:tc>
        <w:tc>
          <w:tcPr>
            <w:tcW w:w="298" w:type="pct"/>
            <w:vMerge w:val="restart"/>
            <w:tcBorders>
              <w:tl2br w:val="nil"/>
              <w:tr2bl w:val="nil"/>
            </w:tcBorders>
            <w:noWrap w:val="0"/>
            <w:vAlign w:val="center"/>
          </w:tcPr>
          <w:p w14:paraId="167FE59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sz w:val="21"/>
                <w:szCs w:val="21"/>
                <w:highlight w:val="none"/>
                <w:lang w:val="en-US" w:eastAsia="zh-CN"/>
              </w:rPr>
              <w:t>相对方位</w:t>
            </w:r>
          </w:p>
        </w:tc>
        <w:tc>
          <w:tcPr>
            <w:tcW w:w="421" w:type="pct"/>
            <w:vMerge w:val="restart"/>
            <w:tcBorders>
              <w:tl2br w:val="nil"/>
              <w:tr2bl w:val="nil"/>
            </w:tcBorders>
            <w:noWrap w:val="0"/>
            <w:vAlign w:val="center"/>
          </w:tcPr>
          <w:p w14:paraId="39D7D722">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sz w:val="21"/>
                <w:szCs w:val="21"/>
                <w:highlight w:val="none"/>
                <w:lang w:val="en-US" w:eastAsia="zh-CN"/>
              </w:rPr>
              <w:t>相对距离（</w:t>
            </w:r>
            <w:r>
              <w:rPr>
                <w:rFonts w:hint="default" w:ascii="Times New Roman" w:hAnsi="Times New Roman" w:cs="Times New Roman"/>
                <w:b/>
                <w:color w:val="auto"/>
                <w:sz w:val="21"/>
                <w:szCs w:val="21"/>
                <w:highlight w:val="none"/>
              </w:rPr>
              <w:t>m</w:t>
            </w:r>
            <w:r>
              <w:rPr>
                <w:rFonts w:hint="eastAsia" w:ascii="Times New Roman" w:hAnsi="Times New Roman" w:eastAsia="宋体" w:cs="Times New Roman"/>
                <w:b/>
                <w:color w:val="auto"/>
                <w:sz w:val="21"/>
                <w:szCs w:val="21"/>
                <w:highlight w:val="none"/>
                <w:lang w:val="en-US" w:eastAsia="zh-CN"/>
              </w:rPr>
              <w:t>）</w:t>
            </w:r>
          </w:p>
        </w:tc>
        <w:tc>
          <w:tcPr>
            <w:tcW w:w="620" w:type="pct"/>
            <w:vMerge w:val="restart"/>
            <w:tcBorders>
              <w:tl2br w:val="nil"/>
              <w:tr2bl w:val="nil"/>
            </w:tcBorders>
            <w:noWrap w:val="0"/>
            <w:vAlign w:val="center"/>
          </w:tcPr>
          <w:p w14:paraId="047773C9">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环境质量标准</w:t>
            </w:r>
          </w:p>
        </w:tc>
      </w:tr>
      <w:tr w14:paraId="067D03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4C34AE3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p>
        </w:tc>
        <w:tc>
          <w:tcPr>
            <w:tcW w:w="661" w:type="pct"/>
            <w:vMerge w:val="continue"/>
            <w:tcBorders>
              <w:tl2br w:val="nil"/>
              <w:tr2bl w:val="nil"/>
            </w:tcBorders>
            <w:noWrap w:val="0"/>
            <w:vAlign w:val="center"/>
          </w:tcPr>
          <w:p w14:paraId="79AAA5CA">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p>
        </w:tc>
        <w:tc>
          <w:tcPr>
            <w:tcW w:w="820" w:type="pct"/>
            <w:tcBorders>
              <w:tl2br w:val="nil"/>
              <w:tr2bl w:val="nil"/>
            </w:tcBorders>
            <w:noWrap w:val="0"/>
            <w:vAlign w:val="center"/>
          </w:tcPr>
          <w:p w14:paraId="6DC559E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E/°</w:t>
            </w:r>
          </w:p>
        </w:tc>
        <w:tc>
          <w:tcPr>
            <w:tcW w:w="737" w:type="pct"/>
            <w:tcBorders>
              <w:tl2br w:val="nil"/>
              <w:tr2bl w:val="nil"/>
            </w:tcBorders>
            <w:noWrap w:val="0"/>
            <w:vAlign w:val="center"/>
          </w:tcPr>
          <w:p w14:paraId="7E1C1991">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N/°</w:t>
            </w:r>
          </w:p>
        </w:tc>
        <w:tc>
          <w:tcPr>
            <w:tcW w:w="399" w:type="pct"/>
            <w:vMerge w:val="continue"/>
            <w:tcBorders>
              <w:tl2br w:val="nil"/>
              <w:tr2bl w:val="nil"/>
            </w:tcBorders>
            <w:noWrap w:val="0"/>
            <w:vAlign w:val="center"/>
          </w:tcPr>
          <w:p w14:paraId="7904429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p>
        </w:tc>
        <w:tc>
          <w:tcPr>
            <w:tcW w:w="375" w:type="pct"/>
            <w:vMerge w:val="continue"/>
            <w:tcBorders>
              <w:tl2br w:val="nil"/>
              <w:tr2bl w:val="nil"/>
            </w:tcBorders>
            <w:noWrap w:val="0"/>
            <w:vAlign w:val="center"/>
          </w:tcPr>
          <w:p w14:paraId="198A491C">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p>
        </w:tc>
        <w:tc>
          <w:tcPr>
            <w:tcW w:w="401" w:type="pct"/>
            <w:vMerge w:val="continue"/>
            <w:tcBorders>
              <w:tl2br w:val="nil"/>
              <w:tr2bl w:val="nil"/>
            </w:tcBorders>
            <w:noWrap w:val="0"/>
            <w:vAlign w:val="center"/>
          </w:tcPr>
          <w:p w14:paraId="6FCF1C33">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p>
        </w:tc>
        <w:tc>
          <w:tcPr>
            <w:tcW w:w="298" w:type="pct"/>
            <w:vMerge w:val="continue"/>
            <w:tcBorders>
              <w:tl2br w:val="nil"/>
              <w:tr2bl w:val="nil"/>
            </w:tcBorders>
            <w:noWrap w:val="0"/>
            <w:vAlign w:val="center"/>
          </w:tcPr>
          <w:p w14:paraId="6B57185B">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b/>
                <w:color w:val="auto"/>
                <w:sz w:val="21"/>
                <w:szCs w:val="21"/>
                <w:highlight w:val="none"/>
                <w:lang w:val="en-US" w:eastAsia="zh-CN"/>
              </w:rPr>
            </w:pPr>
          </w:p>
        </w:tc>
        <w:tc>
          <w:tcPr>
            <w:tcW w:w="421" w:type="pct"/>
            <w:vMerge w:val="continue"/>
            <w:tcBorders>
              <w:tl2br w:val="nil"/>
              <w:tr2bl w:val="nil"/>
            </w:tcBorders>
            <w:noWrap w:val="0"/>
            <w:vAlign w:val="center"/>
          </w:tcPr>
          <w:p w14:paraId="7A98F0CE">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b/>
                <w:color w:val="auto"/>
                <w:sz w:val="21"/>
                <w:szCs w:val="21"/>
                <w:highlight w:val="none"/>
                <w:lang w:val="en-US" w:eastAsia="zh-CN"/>
              </w:rPr>
            </w:pPr>
          </w:p>
        </w:tc>
        <w:tc>
          <w:tcPr>
            <w:tcW w:w="620" w:type="pct"/>
            <w:vMerge w:val="continue"/>
            <w:tcBorders>
              <w:tl2br w:val="nil"/>
              <w:tr2bl w:val="nil"/>
            </w:tcBorders>
            <w:noWrap w:val="0"/>
            <w:vAlign w:val="center"/>
          </w:tcPr>
          <w:p w14:paraId="71D2FC5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b/>
                <w:color w:val="auto"/>
                <w:sz w:val="21"/>
                <w:szCs w:val="21"/>
                <w:highlight w:val="none"/>
              </w:rPr>
            </w:pPr>
          </w:p>
        </w:tc>
      </w:tr>
      <w:tr w14:paraId="138594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restart"/>
            <w:tcBorders>
              <w:tl2br w:val="nil"/>
              <w:tr2bl w:val="nil"/>
            </w:tcBorders>
            <w:noWrap w:val="0"/>
            <w:vAlign w:val="center"/>
          </w:tcPr>
          <w:p w14:paraId="0DF2C5C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w:t>
            </w:r>
          </w:p>
        </w:tc>
        <w:tc>
          <w:tcPr>
            <w:tcW w:w="661" w:type="pct"/>
            <w:tcBorders>
              <w:tl2br w:val="nil"/>
              <w:tr2bl w:val="nil"/>
            </w:tcBorders>
            <w:noWrap w:val="0"/>
            <w:vAlign w:val="center"/>
          </w:tcPr>
          <w:p w14:paraId="09CE17A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东兴村</w:t>
            </w:r>
          </w:p>
        </w:tc>
        <w:tc>
          <w:tcPr>
            <w:tcW w:w="820" w:type="pct"/>
            <w:tcBorders>
              <w:tl2br w:val="nil"/>
              <w:tr2bl w:val="nil"/>
            </w:tcBorders>
            <w:noWrap w:val="0"/>
            <w:vAlign w:val="center"/>
          </w:tcPr>
          <w:p w14:paraId="56FE715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117.8147028</w:t>
            </w:r>
          </w:p>
        </w:tc>
        <w:tc>
          <w:tcPr>
            <w:tcW w:w="737" w:type="pct"/>
            <w:tcBorders>
              <w:tl2br w:val="nil"/>
              <w:tr2bl w:val="nil"/>
            </w:tcBorders>
            <w:noWrap w:val="0"/>
            <w:vAlign w:val="center"/>
          </w:tcPr>
          <w:p w14:paraId="061FFD2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41.24027601</w:t>
            </w:r>
          </w:p>
        </w:tc>
        <w:tc>
          <w:tcPr>
            <w:tcW w:w="399" w:type="pct"/>
            <w:tcBorders>
              <w:tl2br w:val="nil"/>
              <w:tr2bl w:val="nil"/>
            </w:tcBorders>
            <w:noWrap w:val="0"/>
            <w:vAlign w:val="center"/>
          </w:tcPr>
          <w:p w14:paraId="51E0F36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noWrap w:val="0"/>
            <w:vAlign w:val="center"/>
          </w:tcPr>
          <w:p w14:paraId="06FC6BCC">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noWrap w:val="0"/>
            <w:vAlign w:val="center"/>
          </w:tcPr>
          <w:p w14:paraId="18683EDF">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shd w:val="clear" w:color="auto" w:fill="auto"/>
            <w:noWrap w:val="0"/>
            <w:vAlign w:val="center"/>
          </w:tcPr>
          <w:p w14:paraId="266E437C">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eastAsia"/>
                <w:color w:val="auto"/>
                <w:spacing w:val="0"/>
                <w:sz w:val="21"/>
                <w:szCs w:val="21"/>
                <w:highlight w:val="none"/>
                <w:lang w:val="en-US" w:eastAsia="zh-CN"/>
              </w:rPr>
              <w:t>E</w:t>
            </w:r>
          </w:p>
        </w:tc>
        <w:tc>
          <w:tcPr>
            <w:tcW w:w="421" w:type="pct"/>
            <w:tcBorders>
              <w:tl2br w:val="nil"/>
              <w:tr2bl w:val="nil"/>
            </w:tcBorders>
            <w:shd w:val="clear" w:color="auto" w:fill="auto"/>
            <w:noWrap w:val="0"/>
            <w:vAlign w:val="center"/>
          </w:tcPr>
          <w:p w14:paraId="7770BEDF">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eastAsia"/>
                <w:color w:val="auto"/>
                <w:spacing w:val="0"/>
                <w:sz w:val="21"/>
                <w:szCs w:val="21"/>
                <w:highlight w:val="none"/>
                <w:lang w:val="en-US" w:eastAsia="zh-CN"/>
              </w:rPr>
              <w:t>908</w:t>
            </w:r>
          </w:p>
        </w:tc>
        <w:tc>
          <w:tcPr>
            <w:tcW w:w="620" w:type="pct"/>
            <w:vMerge w:val="restart"/>
            <w:tcBorders>
              <w:tl2br w:val="nil"/>
              <w:tr2bl w:val="nil"/>
            </w:tcBorders>
            <w:noWrap w:val="0"/>
            <w:vAlign w:val="center"/>
          </w:tcPr>
          <w:p w14:paraId="69A4824C">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《环境空气质量标准》</w:t>
            </w:r>
            <w:r>
              <w:rPr>
                <w:rFonts w:hint="eastAsia" w:ascii="Times New Roman" w:hAnsi="Times New Roman" w:cs="Times New Roman"/>
                <w:color w:val="auto"/>
                <w:sz w:val="21"/>
                <w:szCs w:val="21"/>
                <w:highlight w:val="none"/>
                <w:lang w:eastAsia="zh-CN"/>
              </w:rPr>
              <w:t>（GB3095-2012）及其修改单中的二级标准</w:t>
            </w:r>
          </w:p>
        </w:tc>
      </w:tr>
      <w:tr w14:paraId="71D26D5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07A79553">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c>
          <w:tcPr>
            <w:tcW w:w="661" w:type="pct"/>
            <w:tcBorders>
              <w:tl2br w:val="nil"/>
              <w:tr2bl w:val="nil"/>
            </w:tcBorders>
            <w:noWrap w:val="0"/>
            <w:vAlign w:val="center"/>
          </w:tcPr>
          <w:p w14:paraId="7CCF25F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黑石头</w:t>
            </w:r>
          </w:p>
        </w:tc>
        <w:tc>
          <w:tcPr>
            <w:tcW w:w="820" w:type="pct"/>
            <w:tcBorders>
              <w:tl2br w:val="nil"/>
              <w:tr2bl w:val="nil"/>
            </w:tcBorders>
            <w:noWrap w:val="0"/>
            <w:vAlign w:val="center"/>
          </w:tcPr>
          <w:p w14:paraId="2F18854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117.8097246</w:t>
            </w:r>
          </w:p>
        </w:tc>
        <w:tc>
          <w:tcPr>
            <w:tcW w:w="737" w:type="pct"/>
            <w:tcBorders>
              <w:tl2br w:val="nil"/>
              <w:tr2bl w:val="nil"/>
            </w:tcBorders>
            <w:noWrap w:val="0"/>
            <w:vAlign w:val="center"/>
          </w:tcPr>
          <w:p w14:paraId="2213A94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41.22628561</w:t>
            </w:r>
          </w:p>
        </w:tc>
        <w:tc>
          <w:tcPr>
            <w:tcW w:w="399" w:type="pct"/>
            <w:tcBorders>
              <w:tl2br w:val="nil"/>
              <w:tr2bl w:val="nil"/>
            </w:tcBorders>
            <w:noWrap w:val="0"/>
            <w:vAlign w:val="center"/>
          </w:tcPr>
          <w:p w14:paraId="6A51EE5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noWrap w:val="0"/>
            <w:vAlign w:val="center"/>
          </w:tcPr>
          <w:p w14:paraId="102D3D3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noWrap w:val="0"/>
            <w:vAlign w:val="center"/>
          </w:tcPr>
          <w:p w14:paraId="3C5755C8">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noWrap w:val="0"/>
            <w:vAlign w:val="center"/>
          </w:tcPr>
          <w:p w14:paraId="59EDBB05">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kern w:val="2"/>
                <w:sz w:val="21"/>
                <w:szCs w:val="21"/>
                <w:highlight w:val="none"/>
                <w:lang w:val="en-US" w:eastAsia="zh-CN" w:bidi="ar-SA"/>
              </w:rPr>
              <w:t>SE</w:t>
            </w:r>
          </w:p>
        </w:tc>
        <w:tc>
          <w:tcPr>
            <w:tcW w:w="421" w:type="pct"/>
            <w:tcBorders>
              <w:tl2br w:val="nil"/>
              <w:tr2bl w:val="nil"/>
            </w:tcBorders>
            <w:noWrap w:val="0"/>
            <w:vAlign w:val="center"/>
          </w:tcPr>
          <w:p w14:paraId="45A5F639">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kern w:val="2"/>
                <w:sz w:val="21"/>
                <w:szCs w:val="21"/>
                <w:highlight w:val="none"/>
                <w:lang w:val="en-US" w:eastAsia="zh-CN" w:bidi="ar-SA"/>
              </w:rPr>
              <w:t>1188</w:t>
            </w:r>
          </w:p>
        </w:tc>
        <w:tc>
          <w:tcPr>
            <w:tcW w:w="620" w:type="pct"/>
            <w:vMerge w:val="continue"/>
            <w:tcBorders>
              <w:tl2br w:val="nil"/>
              <w:tr2bl w:val="nil"/>
            </w:tcBorders>
            <w:noWrap w:val="0"/>
            <w:vAlign w:val="center"/>
          </w:tcPr>
          <w:p w14:paraId="165973A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r>
      <w:tr w14:paraId="0751D5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26E08D62">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c>
          <w:tcPr>
            <w:tcW w:w="661" w:type="pct"/>
            <w:tcBorders>
              <w:tl2br w:val="nil"/>
              <w:tr2bl w:val="nil"/>
            </w:tcBorders>
            <w:noWrap w:val="0"/>
            <w:vAlign w:val="center"/>
          </w:tcPr>
          <w:p w14:paraId="492A882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小乌苏沟村</w:t>
            </w:r>
          </w:p>
        </w:tc>
        <w:tc>
          <w:tcPr>
            <w:tcW w:w="820" w:type="pct"/>
            <w:tcBorders>
              <w:tl2br w:val="nil"/>
              <w:tr2bl w:val="nil"/>
            </w:tcBorders>
            <w:noWrap w:val="0"/>
            <w:vAlign w:val="center"/>
          </w:tcPr>
          <w:p w14:paraId="2992976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117.8148744</w:t>
            </w:r>
          </w:p>
        </w:tc>
        <w:tc>
          <w:tcPr>
            <w:tcW w:w="737" w:type="pct"/>
            <w:tcBorders>
              <w:tl2br w:val="nil"/>
              <w:tr2bl w:val="nil"/>
            </w:tcBorders>
            <w:noWrap w:val="0"/>
            <w:vAlign w:val="center"/>
          </w:tcPr>
          <w:p w14:paraId="1D56AD2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41.22349611</w:t>
            </w:r>
          </w:p>
        </w:tc>
        <w:tc>
          <w:tcPr>
            <w:tcW w:w="399" w:type="pct"/>
            <w:tcBorders>
              <w:tl2br w:val="nil"/>
              <w:tr2bl w:val="nil"/>
            </w:tcBorders>
            <w:noWrap w:val="0"/>
            <w:vAlign w:val="center"/>
          </w:tcPr>
          <w:p w14:paraId="0D52C2F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noWrap w:val="0"/>
            <w:vAlign w:val="center"/>
          </w:tcPr>
          <w:p w14:paraId="1239CACF">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noWrap w:val="0"/>
            <w:vAlign w:val="center"/>
          </w:tcPr>
          <w:p w14:paraId="3367A7E0">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noWrap w:val="0"/>
            <w:vAlign w:val="center"/>
          </w:tcPr>
          <w:p w14:paraId="7F130B20">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SE</w:t>
            </w:r>
          </w:p>
        </w:tc>
        <w:tc>
          <w:tcPr>
            <w:tcW w:w="421" w:type="pct"/>
            <w:tcBorders>
              <w:tl2br w:val="nil"/>
              <w:tr2bl w:val="nil"/>
            </w:tcBorders>
            <w:noWrap w:val="0"/>
            <w:vAlign w:val="center"/>
          </w:tcPr>
          <w:p w14:paraId="6F0E717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2180</w:t>
            </w:r>
          </w:p>
        </w:tc>
        <w:tc>
          <w:tcPr>
            <w:tcW w:w="620" w:type="pct"/>
            <w:vMerge w:val="continue"/>
            <w:tcBorders>
              <w:tl2br w:val="nil"/>
              <w:tr2bl w:val="nil"/>
            </w:tcBorders>
            <w:noWrap w:val="0"/>
            <w:vAlign w:val="center"/>
          </w:tcPr>
          <w:p w14:paraId="34EBA1A4">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color w:val="auto"/>
                <w:sz w:val="21"/>
                <w:szCs w:val="21"/>
                <w:highlight w:val="none"/>
                <w:lang w:eastAsia="zh-CN"/>
              </w:rPr>
            </w:pPr>
          </w:p>
        </w:tc>
      </w:tr>
      <w:tr w14:paraId="33C944D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62B4494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c>
          <w:tcPr>
            <w:tcW w:w="661" w:type="pct"/>
            <w:tcBorders>
              <w:tl2br w:val="nil"/>
              <w:tr2bl w:val="nil"/>
            </w:tcBorders>
            <w:noWrap w:val="0"/>
            <w:vAlign w:val="center"/>
          </w:tcPr>
          <w:p w14:paraId="5182472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东台</w:t>
            </w:r>
          </w:p>
        </w:tc>
        <w:tc>
          <w:tcPr>
            <w:tcW w:w="820" w:type="pct"/>
            <w:tcBorders>
              <w:tl2br w:val="nil"/>
              <w:tr2bl w:val="nil"/>
            </w:tcBorders>
            <w:noWrap w:val="0"/>
            <w:vAlign w:val="center"/>
          </w:tcPr>
          <w:p w14:paraId="6802A66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117.8187583</w:t>
            </w:r>
          </w:p>
        </w:tc>
        <w:tc>
          <w:tcPr>
            <w:tcW w:w="737" w:type="pct"/>
            <w:tcBorders>
              <w:tl2br w:val="nil"/>
              <w:tr2bl w:val="nil"/>
            </w:tcBorders>
            <w:noWrap w:val="0"/>
            <w:vAlign w:val="center"/>
          </w:tcPr>
          <w:p w14:paraId="581CD14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41.22173658</w:t>
            </w:r>
          </w:p>
        </w:tc>
        <w:tc>
          <w:tcPr>
            <w:tcW w:w="399" w:type="pct"/>
            <w:tcBorders>
              <w:tl2br w:val="nil"/>
              <w:tr2bl w:val="nil"/>
            </w:tcBorders>
            <w:noWrap w:val="0"/>
            <w:vAlign w:val="center"/>
          </w:tcPr>
          <w:p w14:paraId="24B34E2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noWrap w:val="0"/>
            <w:vAlign w:val="center"/>
          </w:tcPr>
          <w:p w14:paraId="57A25ECA">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noWrap w:val="0"/>
            <w:vAlign w:val="center"/>
          </w:tcPr>
          <w:p w14:paraId="188078A1">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noWrap w:val="0"/>
            <w:vAlign w:val="center"/>
          </w:tcPr>
          <w:p w14:paraId="46BE2146">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SE</w:t>
            </w:r>
          </w:p>
        </w:tc>
        <w:tc>
          <w:tcPr>
            <w:tcW w:w="421" w:type="pct"/>
            <w:tcBorders>
              <w:tl2br w:val="nil"/>
              <w:tr2bl w:val="nil"/>
            </w:tcBorders>
            <w:noWrap w:val="0"/>
            <w:vAlign w:val="center"/>
          </w:tcPr>
          <w:p w14:paraId="58E034F9">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2619</w:t>
            </w:r>
          </w:p>
        </w:tc>
        <w:tc>
          <w:tcPr>
            <w:tcW w:w="620" w:type="pct"/>
            <w:vMerge w:val="continue"/>
            <w:tcBorders>
              <w:tl2br w:val="nil"/>
              <w:tr2bl w:val="nil"/>
            </w:tcBorders>
            <w:noWrap w:val="0"/>
            <w:vAlign w:val="center"/>
          </w:tcPr>
          <w:p w14:paraId="7C343AD0">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color w:val="auto"/>
                <w:sz w:val="21"/>
                <w:szCs w:val="21"/>
                <w:highlight w:val="none"/>
                <w:lang w:eastAsia="zh-CN"/>
              </w:rPr>
            </w:pPr>
          </w:p>
        </w:tc>
      </w:tr>
      <w:tr w14:paraId="039FF3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5021271A">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c>
          <w:tcPr>
            <w:tcW w:w="661" w:type="pct"/>
            <w:tcBorders>
              <w:tl2br w:val="nil"/>
              <w:tr2bl w:val="nil"/>
            </w:tcBorders>
            <w:noWrap w:val="0"/>
            <w:vAlign w:val="center"/>
          </w:tcPr>
          <w:p w14:paraId="1A14680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杨家沟</w:t>
            </w:r>
          </w:p>
        </w:tc>
        <w:tc>
          <w:tcPr>
            <w:tcW w:w="820" w:type="pct"/>
            <w:tcBorders>
              <w:tl2br w:val="nil"/>
              <w:tr2bl w:val="nil"/>
            </w:tcBorders>
            <w:noWrap w:val="0"/>
            <w:vAlign w:val="center"/>
          </w:tcPr>
          <w:p w14:paraId="13712F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117.8027079</w:t>
            </w:r>
          </w:p>
        </w:tc>
        <w:tc>
          <w:tcPr>
            <w:tcW w:w="737" w:type="pct"/>
            <w:tcBorders>
              <w:tl2br w:val="nil"/>
              <w:tr2bl w:val="nil"/>
            </w:tcBorders>
            <w:noWrap w:val="0"/>
            <w:vAlign w:val="center"/>
          </w:tcPr>
          <w:p w14:paraId="3ED5D1E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41.22819534</w:t>
            </w:r>
          </w:p>
        </w:tc>
        <w:tc>
          <w:tcPr>
            <w:tcW w:w="399" w:type="pct"/>
            <w:tcBorders>
              <w:tl2br w:val="nil"/>
              <w:tr2bl w:val="nil"/>
            </w:tcBorders>
            <w:noWrap w:val="0"/>
            <w:vAlign w:val="center"/>
          </w:tcPr>
          <w:p w14:paraId="45C202D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noWrap w:val="0"/>
            <w:vAlign w:val="center"/>
          </w:tcPr>
          <w:p w14:paraId="7EACE58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noWrap w:val="0"/>
            <w:vAlign w:val="center"/>
          </w:tcPr>
          <w:p w14:paraId="7AB97B35">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noWrap w:val="0"/>
            <w:vAlign w:val="center"/>
          </w:tcPr>
          <w:p w14:paraId="495008B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SE</w:t>
            </w:r>
          </w:p>
        </w:tc>
        <w:tc>
          <w:tcPr>
            <w:tcW w:w="421" w:type="pct"/>
            <w:tcBorders>
              <w:tl2br w:val="nil"/>
              <w:tr2bl w:val="nil"/>
            </w:tcBorders>
            <w:noWrap w:val="0"/>
            <w:vAlign w:val="center"/>
          </w:tcPr>
          <w:p w14:paraId="040E86ED">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1125</w:t>
            </w:r>
          </w:p>
        </w:tc>
        <w:tc>
          <w:tcPr>
            <w:tcW w:w="620" w:type="pct"/>
            <w:vMerge w:val="continue"/>
            <w:tcBorders>
              <w:tl2br w:val="nil"/>
              <w:tr2bl w:val="nil"/>
            </w:tcBorders>
            <w:noWrap w:val="0"/>
            <w:vAlign w:val="center"/>
          </w:tcPr>
          <w:p w14:paraId="586EF9A6">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r>
      <w:tr w14:paraId="6029DB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16DDF28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c>
          <w:tcPr>
            <w:tcW w:w="661" w:type="pct"/>
            <w:tcBorders>
              <w:tl2br w:val="nil"/>
              <w:tr2bl w:val="nil"/>
            </w:tcBorders>
            <w:noWrap w:val="0"/>
            <w:vAlign w:val="center"/>
          </w:tcPr>
          <w:p w14:paraId="6CCEA1F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龙王庙村</w:t>
            </w:r>
          </w:p>
        </w:tc>
        <w:tc>
          <w:tcPr>
            <w:tcW w:w="820" w:type="pct"/>
            <w:tcBorders>
              <w:tl2br w:val="nil"/>
              <w:tr2bl w:val="nil"/>
            </w:tcBorders>
            <w:noWrap w:val="0"/>
            <w:vAlign w:val="center"/>
          </w:tcPr>
          <w:p w14:paraId="6F2666A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117.7988885</w:t>
            </w:r>
          </w:p>
        </w:tc>
        <w:tc>
          <w:tcPr>
            <w:tcW w:w="737" w:type="pct"/>
            <w:tcBorders>
              <w:tl2br w:val="nil"/>
              <w:tr2bl w:val="nil"/>
            </w:tcBorders>
            <w:noWrap w:val="0"/>
            <w:vAlign w:val="center"/>
          </w:tcPr>
          <w:p w14:paraId="7117088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41.22956863</w:t>
            </w:r>
          </w:p>
        </w:tc>
        <w:tc>
          <w:tcPr>
            <w:tcW w:w="399" w:type="pct"/>
            <w:tcBorders>
              <w:tl2br w:val="nil"/>
              <w:tr2bl w:val="nil"/>
            </w:tcBorders>
            <w:noWrap w:val="0"/>
            <w:vAlign w:val="center"/>
          </w:tcPr>
          <w:p w14:paraId="62E79E11">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noWrap w:val="0"/>
            <w:vAlign w:val="center"/>
          </w:tcPr>
          <w:p w14:paraId="553920CA">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noWrap w:val="0"/>
            <w:vAlign w:val="center"/>
          </w:tcPr>
          <w:p w14:paraId="467811E5">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noWrap w:val="0"/>
            <w:vAlign w:val="center"/>
          </w:tcPr>
          <w:p w14:paraId="3F4F59D0">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S</w:t>
            </w:r>
          </w:p>
        </w:tc>
        <w:tc>
          <w:tcPr>
            <w:tcW w:w="421" w:type="pct"/>
            <w:tcBorders>
              <w:tl2br w:val="nil"/>
              <w:tr2bl w:val="nil"/>
            </w:tcBorders>
            <w:noWrap w:val="0"/>
            <w:vAlign w:val="center"/>
          </w:tcPr>
          <w:p w14:paraId="7816EFA3">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1104</w:t>
            </w:r>
          </w:p>
        </w:tc>
        <w:tc>
          <w:tcPr>
            <w:tcW w:w="620" w:type="pct"/>
            <w:vMerge w:val="continue"/>
            <w:tcBorders>
              <w:tl2br w:val="nil"/>
              <w:tr2bl w:val="nil"/>
            </w:tcBorders>
            <w:noWrap w:val="0"/>
            <w:vAlign w:val="center"/>
          </w:tcPr>
          <w:p w14:paraId="456819C8">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r>
      <w:tr w14:paraId="3ADDDE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1E910EBC">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c>
          <w:tcPr>
            <w:tcW w:w="661" w:type="pct"/>
            <w:tcBorders>
              <w:tl2br w:val="nil"/>
              <w:tr2bl w:val="nil"/>
            </w:tcBorders>
            <w:noWrap w:val="0"/>
            <w:vAlign w:val="center"/>
          </w:tcPr>
          <w:p w14:paraId="2D9953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石灰窑沟</w:t>
            </w:r>
          </w:p>
        </w:tc>
        <w:tc>
          <w:tcPr>
            <w:tcW w:w="820" w:type="pct"/>
            <w:tcBorders>
              <w:tl2br w:val="nil"/>
              <w:tr2bl w:val="nil"/>
            </w:tcBorders>
            <w:noWrap w:val="0"/>
            <w:vAlign w:val="center"/>
          </w:tcPr>
          <w:p w14:paraId="2531F9F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117.7825162</w:t>
            </w:r>
          </w:p>
        </w:tc>
        <w:tc>
          <w:tcPr>
            <w:tcW w:w="737" w:type="pct"/>
            <w:tcBorders>
              <w:tl2br w:val="nil"/>
              <w:tr2bl w:val="nil"/>
            </w:tcBorders>
            <w:noWrap w:val="0"/>
            <w:vAlign w:val="center"/>
          </w:tcPr>
          <w:p w14:paraId="201B528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41.22242323</w:t>
            </w:r>
          </w:p>
        </w:tc>
        <w:tc>
          <w:tcPr>
            <w:tcW w:w="399" w:type="pct"/>
            <w:tcBorders>
              <w:tl2br w:val="nil"/>
              <w:tr2bl w:val="nil"/>
            </w:tcBorders>
            <w:noWrap w:val="0"/>
            <w:vAlign w:val="center"/>
          </w:tcPr>
          <w:p w14:paraId="531F96E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noWrap w:val="0"/>
            <w:vAlign w:val="center"/>
          </w:tcPr>
          <w:p w14:paraId="75FB75D8">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noWrap w:val="0"/>
            <w:vAlign w:val="center"/>
          </w:tcPr>
          <w:p w14:paraId="05C8CA98">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noWrap w:val="0"/>
            <w:vAlign w:val="center"/>
          </w:tcPr>
          <w:p w14:paraId="7DDB5040">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SW</w:t>
            </w:r>
          </w:p>
        </w:tc>
        <w:tc>
          <w:tcPr>
            <w:tcW w:w="421" w:type="pct"/>
            <w:tcBorders>
              <w:tl2br w:val="nil"/>
              <w:tr2bl w:val="nil"/>
            </w:tcBorders>
            <w:noWrap w:val="0"/>
            <w:vAlign w:val="center"/>
          </w:tcPr>
          <w:p w14:paraId="19F804C8">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1954</w:t>
            </w:r>
          </w:p>
        </w:tc>
        <w:tc>
          <w:tcPr>
            <w:tcW w:w="620" w:type="pct"/>
            <w:vMerge w:val="continue"/>
            <w:tcBorders>
              <w:tl2br w:val="nil"/>
              <w:tr2bl w:val="nil"/>
            </w:tcBorders>
            <w:noWrap w:val="0"/>
            <w:vAlign w:val="center"/>
          </w:tcPr>
          <w:p w14:paraId="60E87EFF">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r>
      <w:tr w14:paraId="7352CC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263" w:type="pct"/>
            <w:vMerge w:val="continue"/>
            <w:tcBorders>
              <w:tl2br w:val="nil"/>
              <w:tr2bl w:val="nil"/>
            </w:tcBorders>
            <w:noWrap w:val="0"/>
            <w:vAlign w:val="center"/>
          </w:tcPr>
          <w:p w14:paraId="1155FFC0">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c>
          <w:tcPr>
            <w:tcW w:w="661" w:type="pct"/>
            <w:tcBorders>
              <w:tl2br w:val="nil"/>
              <w:tr2bl w:val="nil"/>
            </w:tcBorders>
            <w:shd w:val="clear" w:color="auto" w:fill="auto"/>
            <w:noWrap w:val="0"/>
            <w:vAlign w:val="center"/>
          </w:tcPr>
          <w:p w14:paraId="4674E21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大西沟</w:t>
            </w:r>
          </w:p>
        </w:tc>
        <w:tc>
          <w:tcPr>
            <w:tcW w:w="820" w:type="pct"/>
            <w:tcBorders>
              <w:tl2br w:val="nil"/>
              <w:tr2bl w:val="nil"/>
            </w:tcBorders>
            <w:shd w:val="clear" w:color="auto" w:fill="auto"/>
            <w:noWrap w:val="0"/>
            <w:vAlign w:val="center"/>
          </w:tcPr>
          <w:p w14:paraId="5050A2A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117.7736542</w:t>
            </w:r>
          </w:p>
        </w:tc>
        <w:tc>
          <w:tcPr>
            <w:tcW w:w="737" w:type="pct"/>
            <w:tcBorders>
              <w:tl2br w:val="nil"/>
              <w:tr2bl w:val="nil"/>
            </w:tcBorders>
            <w:shd w:val="clear" w:color="auto" w:fill="auto"/>
            <w:noWrap w:val="0"/>
            <w:vAlign w:val="center"/>
          </w:tcPr>
          <w:p w14:paraId="3540974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41.25580064</w:t>
            </w:r>
          </w:p>
        </w:tc>
        <w:tc>
          <w:tcPr>
            <w:tcW w:w="399" w:type="pct"/>
            <w:tcBorders>
              <w:tl2br w:val="nil"/>
              <w:tr2bl w:val="nil"/>
            </w:tcBorders>
            <w:shd w:val="clear" w:color="auto" w:fill="auto"/>
            <w:noWrap w:val="0"/>
            <w:vAlign w:val="center"/>
          </w:tcPr>
          <w:p w14:paraId="69A37C3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居住区</w:t>
            </w:r>
          </w:p>
        </w:tc>
        <w:tc>
          <w:tcPr>
            <w:tcW w:w="375" w:type="pct"/>
            <w:tcBorders>
              <w:tl2br w:val="nil"/>
              <w:tr2bl w:val="nil"/>
            </w:tcBorders>
            <w:shd w:val="clear" w:color="auto" w:fill="auto"/>
            <w:noWrap w:val="0"/>
            <w:vAlign w:val="center"/>
          </w:tcPr>
          <w:p w14:paraId="77976290">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居民</w:t>
            </w:r>
          </w:p>
        </w:tc>
        <w:tc>
          <w:tcPr>
            <w:tcW w:w="401" w:type="pct"/>
            <w:tcBorders>
              <w:tl2br w:val="nil"/>
              <w:tr2bl w:val="nil"/>
            </w:tcBorders>
            <w:shd w:val="clear" w:color="auto" w:fill="auto"/>
            <w:noWrap w:val="0"/>
            <w:vAlign w:val="center"/>
          </w:tcPr>
          <w:p w14:paraId="0D9EA33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二类区</w:t>
            </w:r>
          </w:p>
        </w:tc>
        <w:tc>
          <w:tcPr>
            <w:tcW w:w="298" w:type="pct"/>
            <w:tcBorders>
              <w:tl2br w:val="nil"/>
              <w:tr2bl w:val="nil"/>
            </w:tcBorders>
            <w:noWrap w:val="0"/>
            <w:vAlign w:val="center"/>
          </w:tcPr>
          <w:p w14:paraId="6B24C589">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NW</w:t>
            </w:r>
          </w:p>
        </w:tc>
        <w:tc>
          <w:tcPr>
            <w:tcW w:w="421" w:type="pct"/>
            <w:tcBorders>
              <w:tl2br w:val="nil"/>
              <w:tr2bl w:val="nil"/>
            </w:tcBorders>
            <w:noWrap w:val="0"/>
            <w:vAlign w:val="center"/>
          </w:tcPr>
          <w:p w14:paraId="4AAF1A5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1382</w:t>
            </w:r>
          </w:p>
        </w:tc>
        <w:tc>
          <w:tcPr>
            <w:tcW w:w="620" w:type="pct"/>
            <w:vMerge w:val="continue"/>
            <w:tcBorders>
              <w:tl2br w:val="nil"/>
              <w:tr2bl w:val="nil"/>
            </w:tcBorders>
            <w:noWrap w:val="0"/>
            <w:vAlign w:val="center"/>
          </w:tcPr>
          <w:p w14:paraId="3C7D44CC">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cs="Times New Roman"/>
                <w:color w:val="auto"/>
                <w:sz w:val="21"/>
                <w:szCs w:val="21"/>
                <w:highlight w:val="none"/>
              </w:rPr>
            </w:pPr>
          </w:p>
        </w:tc>
      </w:tr>
    </w:tbl>
    <w:p w14:paraId="1D517AE0">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rPr>
      </w:pPr>
      <w:r>
        <w:rPr>
          <w:rStyle w:val="152"/>
          <w:rFonts w:hint="eastAsia" w:ascii="Times New Roman" w:hAnsi="Times New Roman" w:eastAsia="宋体" w:cs="Times New Roman"/>
          <w:b/>
          <w:color w:val="auto"/>
          <w:szCs w:val="21"/>
          <w:highlight w:val="none"/>
          <w:lang w:val="en-US" w:eastAsia="zh-CN"/>
        </w:rPr>
        <w:t>其他</w:t>
      </w:r>
      <w:r>
        <w:rPr>
          <w:rStyle w:val="152"/>
          <w:rFonts w:hint="default" w:ascii="Times New Roman" w:hAnsi="Times New Roman" w:eastAsia="宋体" w:cs="Times New Roman"/>
          <w:b/>
          <w:color w:val="auto"/>
          <w:szCs w:val="21"/>
          <w:highlight w:val="none"/>
        </w:rPr>
        <w:t>环境保护目标一览表</w:t>
      </w:r>
    </w:p>
    <w:tbl>
      <w:tblPr>
        <w:tblStyle w:val="58"/>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892"/>
        <w:gridCol w:w="1978"/>
        <w:gridCol w:w="1120"/>
        <w:gridCol w:w="1306"/>
        <w:gridCol w:w="3229"/>
      </w:tblGrid>
      <w:tr w14:paraId="0807A4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restart"/>
            <w:tcBorders>
              <w:tl2br w:val="nil"/>
              <w:tr2bl w:val="nil"/>
            </w:tcBorders>
            <w:noWrap w:val="0"/>
            <w:vAlign w:val="center"/>
          </w:tcPr>
          <w:p w14:paraId="39E7C4E7">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环境要素</w:t>
            </w:r>
          </w:p>
        </w:tc>
        <w:tc>
          <w:tcPr>
            <w:tcW w:w="1160" w:type="pct"/>
            <w:vMerge w:val="restart"/>
            <w:tcBorders>
              <w:tl2br w:val="nil"/>
              <w:tr2bl w:val="nil"/>
            </w:tcBorders>
            <w:noWrap w:val="0"/>
            <w:vAlign w:val="center"/>
          </w:tcPr>
          <w:p w14:paraId="685CFCC7">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保护目标</w:t>
            </w:r>
          </w:p>
        </w:tc>
        <w:tc>
          <w:tcPr>
            <w:tcW w:w="1423" w:type="pct"/>
            <w:gridSpan w:val="2"/>
            <w:tcBorders>
              <w:tl2br w:val="nil"/>
              <w:tr2bl w:val="nil"/>
            </w:tcBorders>
            <w:noWrap w:val="0"/>
            <w:vAlign w:val="center"/>
          </w:tcPr>
          <w:p w14:paraId="7CD913C2">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sz w:val="21"/>
                <w:szCs w:val="21"/>
                <w:highlight w:val="none"/>
                <w:lang w:val="en-US" w:eastAsia="zh-CN"/>
              </w:rPr>
              <w:t>相对</w:t>
            </w:r>
            <w:r>
              <w:rPr>
                <w:rFonts w:hint="eastAsia" w:cs="Times New Roman"/>
                <w:b/>
                <w:color w:val="auto"/>
                <w:sz w:val="21"/>
                <w:szCs w:val="21"/>
                <w:highlight w:val="none"/>
                <w:lang w:val="en-US" w:eastAsia="zh-CN"/>
              </w:rPr>
              <w:t>场区</w:t>
            </w:r>
          </w:p>
        </w:tc>
        <w:tc>
          <w:tcPr>
            <w:tcW w:w="1893" w:type="pct"/>
            <w:vMerge w:val="restart"/>
            <w:tcBorders>
              <w:tl2br w:val="nil"/>
              <w:tr2bl w:val="nil"/>
            </w:tcBorders>
            <w:noWrap w:val="0"/>
            <w:vAlign w:val="center"/>
          </w:tcPr>
          <w:p w14:paraId="17A40450">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环境质量标准</w:t>
            </w:r>
          </w:p>
        </w:tc>
      </w:tr>
      <w:tr w14:paraId="6CC21F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7C5A8B67">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b/>
                <w:bCs/>
                <w:color w:val="auto"/>
                <w:spacing w:val="0"/>
                <w:sz w:val="21"/>
                <w:szCs w:val="21"/>
                <w:highlight w:val="none"/>
              </w:rPr>
            </w:pPr>
          </w:p>
        </w:tc>
        <w:tc>
          <w:tcPr>
            <w:tcW w:w="1160" w:type="pct"/>
            <w:vMerge w:val="continue"/>
            <w:tcBorders>
              <w:tl2br w:val="nil"/>
              <w:tr2bl w:val="nil"/>
            </w:tcBorders>
            <w:noWrap w:val="0"/>
            <w:vAlign w:val="center"/>
          </w:tcPr>
          <w:p w14:paraId="5D3588B9">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b/>
                <w:bCs/>
                <w:color w:val="auto"/>
                <w:spacing w:val="0"/>
                <w:sz w:val="21"/>
                <w:szCs w:val="21"/>
                <w:highlight w:val="none"/>
              </w:rPr>
            </w:pPr>
          </w:p>
        </w:tc>
        <w:tc>
          <w:tcPr>
            <w:tcW w:w="657" w:type="pct"/>
            <w:tcBorders>
              <w:tl2br w:val="nil"/>
              <w:tr2bl w:val="nil"/>
            </w:tcBorders>
            <w:noWrap w:val="0"/>
            <w:vAlign w:val="center"/>
          </w:tcPr>
          <w:p w14:paraId="4AF6D28F">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cs="Times New Roman"/>
                <w:b/>
                <w:bCs/>
                <w:color w:val="auto"/>
                <w:spacing w:val="0"/>
                <w:kern w:val="2"/>
                <w:sz w:val="21"/>
                <w:szCs w:val="21"/>
                <w:highlight w:val="none"/>
                <w:lang w:val="en-US" w:eastAsia="zh-CN" w:bidi="ar-SA"/>
              </w:rPr>
            </w:pPr>
            <w:r>
              <w:rPr>
                <w:rFonts w:hint="default" w:ascii="Times New Roman" w:hAnsi="Times New Roman" w:cs="Times New Roman"/>
                <w:b/>
                <w:bCs/>
                <w:color w:val="auto"/>
                <w:spacing w:val="0"/>
                <w:kern w:val="0"/>
                <w:sz w:val="21"/>
                <w:szCs w:val="21"/>
                <w:highlight w:val="none"/>
              </w:rPr>
              <w:t>相对方位</w:t>
            </w:r>
          </w:p>
        </w:tc>
        <w:tc>
          <w:tcPr>
            <w:tcW w:w="765" w:type="pct"/>
            <w:tcBorders>
              <w:tl2br w:val="nil"/>
              <w:tr2bl w:val="nil"/>
            </w:tcBorders>
            <w:noWrap w:val="0"/>
            <w:vAlign w:val="center"/>
          </w:tcPr>
          <w:p w14:paraId="586FF75B">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cs="Times New Roman"/>
                <w:b/>
                <w:bCs/>
                <w:color w:val="auto"/>
                <w:spacing w:val="0"/>
                <w:kern w:val="2"/>
                <w:sz w:val="21"/>
                <w:szCs w:val="21"/>
                <w:highlight w:val="none"/>
                <w:lang w:val="en-US" w:eastAsia="zh-CN" w:bidi="ar-SA"/>
              </w:rPr>
            </w:pPr>
            <w:r>
              <w:rPr>
                <w:rFonts w:hint="default" w:ascii="Times New Roman" w:hAnsi="Times New Roman" w:cs="Times New Roman"/>
                <w:b/>
                <w:bCs/>
                <w:color w:val="auto"/>
                <w:spacing w:val="0"/>
                <w:kern w:val="0"/>
                <w:sz w:val="21"/>
                <w:szCs w:val="21"/>
                <w:highlight w:val="none"/>
              </w:rPr>
              <w:t>相对距离/m</w:t>
            </w:r>
          </w:p>
        </w:tc>
        <w:tc>
          <w:tcPr>
            <w:tcW w:w="1893" w:type="pct"/>
            <w:vMerge w:val="continue"/>
            <w:tcBorders>
              <w:tl2br w:val="nil"/>
              <w:tr2bl w:val="nil"/>
            </w:tcBorders>
            <w:noWrap w:val="0"/>
            <w:vAlign w:val="center"/>
          </w:tcPr>
          <w:p w14:paraId="53FE5358">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b/>
                <w:bCs/>
                <w:color w:val="auto"/>
                <w:spacing w:val="0"/>
                <w:sz w:val="21"/>
                <w:szCs w:val="21"/>
                <w:highlight w:val="none"/>
              </w:rPr>
            </w:pPr>
          </w:p>
        </w:tc>
      </w:tr>
      <w:tr w14:paraId="5145A5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6041B64F">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color w:val="auto"/>
                <w:spacing w:val="0"/>
                <w:sz w:val="21"/>
                <w:szCs w:val="21"/>
                <w:highlight w:val="none"/>
              </w:rPr>
            </w:pPr>
            <w:r>
              <w:rPr>
                <w:rFonts w:ascii="Times New Roman"/>
                <w:color w:val="auto"/>
                <w:spacing w:val="0"/>
                <w:sz w:val="21"/>
                <w:szCs w:val="21"/>
                <w:highlight w:val="none"/>
              </w:rPr>
              <w:t>地表水环境</w:t>
            </w:r>
          </w:p>
        </w:tc>
        <w:tc>
          <w:tcPr>
            <w:tcW w:w="1160" w:type="pct"/>
            <w:tcBorders>
              <w:tl2br w:val="nil"/>
              <w:tr2bl w:val="nil"/>
            </w:tcBorders>
            <w:noWrap w:val="0"/>
            <w:vAlign w:val="center"/>
          </w:tcPr>
          <w:p w14:paraId="37129AA9">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兴隆河</w:t>
            </w:r>
          </w:p>
        </w:tc>
        <w:tc>
          <w:tcPr>
            <w:tcW w:w="657" w:type="pct"/>
            <w:tcBorders>
              <w:tl2br w:val="nil"/>
              <w:tr2bl w:val="nil"/>
            </w:tcBorders>
            <w:noWrap w:val="0"/>
            <w:vAlign w:val="center"/>
          </w:tcPr>
          <w:p w14:paraId="63ED2B2B">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NW</w:t>
            </w:r>
          </w:p>
        </w:tc>
        <w:tc>
          <w:tcPr>
            <w:tcW w:w="765" w:type="pct"/>
            <w:tcBorders>
              <w:tl2br w:val="nil"/>
              <w:tr2bl w:val="nil"/>
            </w:tcBorders>
            <w:noWrap w:val="0"/>
            <w:vAlign w:val="center"/>
          </w:tcPr>
          <w:p w14:paraId="416EC633">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3680</w:t>
            </w:r>
          </w:p>
        </w:tc>
        <w:tc>
          <w:tcPr>
            <w:tcW w:w="1893" w:type="pct"/>
            <w:tcBorders>
              <w:tl2br w:val="nil"/>
              <w:tr2bl w:val="nil"/>
            </w:tcBorders>
            <w:noWrap w:val="0"/>
            <w:vAlign w:val="center"/>
          </w:tcPr>
          <w:p w14:paraId="0E68A562">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ascii="Times New Roman" w:hAnsi="Times New Roman" w:cs="Times New Roman"/>
                <w:color w:val="auto"/>
                <w:spacing w:val="0"/>
                <w:sz w:val="21"/>
                <w:szCs w:val="21"/>
                <w:highlight w:val="none"/>
              </w:rPr>
            </w:pPr>
            <w:r>
              <w:rPr>
                <w:rFonts w:ascii="Times New Roman"/>
                <w:color w:val="auto"/>
                <w:spacing w:val="0"/>
                <w:sz w:val="21"/>
                <w:szCs w:val="21"/>
                <w:highlight w:val="none"/>
              </w:rPr>
              <w:t>《地表水环境质量标准》(GB3838-2002)</w:t>
            </w:r>
            <w:r>
              <w:rPr>
                <w:rFonts w:hint="default" w:ascii="Times New Roman" w:hAnsi="Times New Roman" w:cs="Times New Roman"/>
                <w:color w:val="auto"/>
                <w:spacing w:val="0"/>
                <w:sz w:val="21"/>
                <w:szCs w:val="21"/>
                <w:highlight w:val="none"/>
              </w:rPr>
              <w:t>Ⅱ</w:t>
            </w:r>
            <w:r>
              <w:rPr>
                <w:rFonts w:ascii="Times New Roman"/>
                <w:color w:val="auto"/>
                <w:spacing w:val="0"/>
                <w:sz w:val="21"/>
                <w:szCs w:val="21"/>
                <w:highlight w:val="none"/>
              </w:rPr>
              <w:t>类标准</w:t>
            </w:r>
          </w:p>
        </w:tc>
      </w:tr>
      <w:tr w14:paraId="39F802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restart"/>
            <w:tcBorders>
              <w:tl2br w:val="nil"/>
              <w:tr2bl w:val="nil"/>
            </w:tcBorders>
            <w:noWrap w:val="0"/>
            <w:vAlign w:val="center"/>
          </w:tcPr>
          <w:p w14:paraId="7F0CCCF4">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r>
              <w:rPr>
                <w:rFonts w:ascii="Times New Roman"/>
                <w:color w:val="auto"/>
                <w:spacing w:val="0"/>
                <w:sz w:val="21"/>
                <w:szCs w:val="21"/>
                <w:highlight w:val="none"/>
              </w:rPr>
              <w:t>地下水环境</w:t>
            </w:r>
          </w:p>
        </w:tc>
        <w:tc>
          <w:tcPr>
            <w:tcW w:w="1160" w:type="pct"/>
            <w:tcBorders>
              <w:tl2br w:val="nil"/>
              <w:tr2bl w:val="nil"/>
            </w:tcBorders>
            <w:noWrap w:val="0"/>
            <w:vAlign w:val="center"/>
          </w:tcPr>
          <w:p w14:paraId="08E5B806">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eastAsia="宋体" w:cs="Times New Roman"/>
                <w:color w:val="auto"/>
                <w:spacing w:val="0"/>
                <w:sz w:val="21"/>
                <w:szCs w:val="21"/>
                <w:highlight w:val="none"/>
                <w:lang w:val="en-US" w:eastAsia="zh-CN"/>
              </w:rPr>
            </w:pPr>
            <w:r>
              <w:rPr>
                <w:rFonts w:ascii="Times New Roman" w:hAnsi="Times New Roman"/>
                <w:color w:val="auto"/>
                <w:spacing w:val="0"/>
                <w:sz w:val="21"/>
                <w:szCs w:val="21"/>
                <w:highlight w:val="none"/>
              </w:rPr>
              <w:t>区域</w:t>
            </w:r>
            <w:r>
              <w:rPr>
                <w:rFonts w:hint="eastAsia" w:ascii="Times New Roman" w:hAnsi="Times New Roman"/>
                <w:color w:val="auto"/>
                <w:spacing w:val="0"/>
                <w:sz w:val="21"/>
                <w:szCs w:val="21"/>
                <w:highlight w:val="none"/>
                <w:lang w:val="en-US" w:eastAsia="zh-CN"/>
              </w:rPr>
              <w:t>地下水</w:t>
            </w:r>
          </w:p>
        </w:tc>
        <w:tc>
          <w:tcPr>
            <w:tcW w:w="1423" w:type="pct"/>
            <w:gridSpan w:val="2"/>
            <w:tcBorders>
              <w:tl2br w:val="nil"/>
              <w:tr2bl w:val="nil"/>
            </w:tcBorders>
            <w:noWrap w:val="0"/>
            <w:vAlign w:val="center"/>
          </w:tcPr>
          <w:p w14:paraId="7C1397EC">
            <w:pPr>
              <w:keepNext w:val="0"/>
              <w:keepLines w:val="0"/>
              <w:pageBreakBefore w:val="0"/>
              <w:kinsoku/>
              <w:wordWrap/>
              <w:overflowPunct/>
              <w:topLinePunct/>
              <w:autoSpaceDE/>
              <w:autoSpaceDN/>
              <w:bidi w:val="0"/>
              <w:spacing w:line="280" w:lineRule="exact"/>
              <w:ind w:firstLine="0" w:firstLineChars="0"/>
              <w:jc w:val="center"/>
              <w:textAlignment w:val="auto"/>
              <w:rPr>
                <w:rFonts w:hint="eastAsia"/>
                <w:color w:val="auto"/>
                <w:spacing w:val="0"/>
                <w:sz w:val="21"/>
                <w:szCs w:val="21"/>
                <w:highlight w:val="none"/>
                <w:lang w:val="en-US" w:eastAsia="zh-CN"/>
              </w:rPr>
            </w:pPr>
            <w:r>
              <w:rPr>
                <w:rFonts w:hint="eastAsia"/>
                <w:color w:val="auto"/>
                <w:spacing w:val="0"/>
                <w:sz w:val="21"/>
                <w:szCs w:val="21"/>
                <w:highlight w:val="none"/>
                <w:lang w:val="en-US" w:eastAsia="zh-CN"/>
              </w:rPr>
              <w:t>项目场地及地下水径流下游方向的潜水含水层</w:t>
            </w:r>
          </w:p>
        </w:tc>
        <w:tc>
          <w:tcPr>
            <w:tcW w:w="1893" w:type="pct"/>
            <w:vMerge w:val="restart"/>
            <w:tcBorders>
              <w:tl2br w:val="nil"/>
              <w:tr2bl w:val="nil"/>
            </w:tcBorders>
            <w:noWrap w:val="0"/>
            <w:vAlign w:val="center"/>
          </w:tcPr>
          <w:p w14:paraId="03086EB4">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r>
              <w:rPr>
                <w:rFonts w:ascii="Times New Roman"/>
                <w:color w:val="auto"/>
                <w:spacing w:val="0"/>
                <w:sz w:val="21"/>
                <w:szCs w:val="21"/>
                <w:highlight w:val="none"/>
              </w:rPr>
              <w:t>《地下水质量标准》（GB/T14848-2017）Ⅲ类标准</w:t>
            </w:r>
          </w:p>
        </w:tc>
      </w:tr>
      <w:tr w14:paraId="01D6C7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707341B3">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c>
          <w:tcPr>
            <w:tcW w:w="1160" w:type="pct"/>
            <w:tcBorders>
              <w:tl2br w:val="nil"/>
              <w:tr2bl w:val="nil"/>
            </w:tcBorders>
            <w:noWrap w:val="0"/>
            <w:vAlign w:val="center"/>
          </w:tcPr>
          <w:p w14:paraId="0E1FB3D5">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hAnsi="Times New Roman"/>
                <w:color w:val="auto"/>
                <w:spacing w:val="0"/>
                <w:sz w:val="21"/>
                <w:szCs w:val="21"/>
                <w:highlight w:val="none"/>
              </w:rPr>
            </w:pPr>
            <w:r>
              <w:rPr>
                <w:rFonts w:hint="eastAsia" w:cs="Times New Roman"/>
                <w:color w:val="auto"/>
                <w:kern w:val="2"/>
                <w:sz w:val="21"/>
                <w:szCs w:val="21"/>
                <w:highlight w:val="none"/>
                <w:lang w:val="en-US" w:eastAsia="zh-CN" w:bidi="ar-SA"/>
              </w:rPr>
              <w:t>东兴村</w:t>
            </w:r>
          </w:p>
        </w:tc>
        <w:tc>
          <w:tcPr>
            <w:tcW w:w="657" w:type="pct"/>
            <w:tcBorders>
              <w:tl2br w:val="nil"/>
              <w:tr2bl w:val="nil"/>
            </w:tcBorders>
            <w:noWrap w:val="0"/>
            <w:vAlign w:val="center"/>
          </w:tcPr>
          <w:p w14:paraId="3BBDEDE9">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olor w:val="auto"/>
                <w:spacing w:val="0"/>
                <w:sz w:val="21"/>
                <w:szCs w:val="21"/>
                <w:highlight w:val="none"/>
                <w:lang w:val="en-US" w:eastAsia="zh-CN"/>
              </w:rPr>
            </w:pPr>
            <w:r>
              <w:rPr>
                <w:rFonts w:hint="eastAsia"/>
                <w:color w:val="auto"/>
                <w:spacing w:val="0"/>
                <w:sz w:val="21"/>
                <w:szCs w:val="21"/>
                <w:highlight w:val="none"/>
                <w:lang w:val="en-US" w:eastAsia="zh-CN"/>
              </w:rPr>
              <w:t>E</w:t>
            </w:r>
          </w:p>
        </w:tc>
        <w:tc>
          <w:tcPr>
            <w:tcW w:w="765" w:type="pct"/>
            <w:tcBorders>
              <w:tl2br w:val="nil"/>
              <w:tr2bl w:val="nil"/>
            </w:tcBorders>
            <w:noWrap w:val="0"/>
            <w:vAlign w:val="center"/>
          </w:tcPr>
          <w:p w14:paraId="24B191B6">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olor w:val="auto"/>
                <w:spacing w:val="0"/>
                <w:sz w:val="21"/>
                <w:szCs w:val="21"/>
                <w:highlight w:val="none"/>
                <w:lang w:val="en-US" w:eastAsia="zh-CN"/>
              </w:rPr>
            </w:pPr>
            <w:r>
              <w:rPr>
                <w:rFonts w:hint="eastAsia"/>
                <w:color w:val="auto"/>
                <w:spacing w:val="0"/>
                <w:sz w:val="21"/>
                <w:szCs w:val="21"/>
                <w:highlight w:val="none"/>
                <w:lang w:val="en-US" w:eastAsia="zh-CN"/>
              </w:rPr>
              <w:t>908</w:t>
            </w:r>
          </w:p>
        </w:tc>
        <w:tc>
          <w:tcPr>
            <w:tcW w:w="1893" w:type="pct"/>
            <w:vMerge w:val="continue"/>
            <w:tcBorders>
              <w:tl2br w:val="nil"/>
              <w:tr2bl w:val="nil"/>
            </w:tcBorders>
            <w:noWrap w:val="0"/>
            <w:vAlign w:val="center"/>
          </w:tcPr>
          <w:p w14:paraId="40428BCC">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r>
      <w:tr w14:paraId="2B3281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276A16D2">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c>
          <w:tcPr>
            <w:tcW w:w="1160" w:type="pct"/>
            <w:tcBorders>
              <w:tl2br w:val="nil"/>
              <w:tr2bl w:val="nil"/>
            </w:tcBorders>
            <w:noWrap w:val="0"/>
            <w:vAlign w:val="center"/>
          </w:tcPr>
          <w:p w14:paraId="4AE540B8">
            <w:pPr>
              <w:widowControl w:val="0"/>
              <w:bidi w:val="0"/>
              <w:adjustRightInd w:val="0"/>
              <w:snapToGrid w:val="0"/>
              <w:spacing w:line="240" w:lineRule="auto"/>
              <w:ind w:firstLine="0" w:firstLineChars="0"/>
              <w:jc w:val="center"/>
              <w:textAlignment w:val="bottom"/>
              <w:rPr>
                <w:rFonts w:ascii="Times New Roman" w:hAnsi="Times New Roman"/>
                <w:color w:val="auto"/>
                <w:spacing w:val="0"/>
                <w:sz w:val="21"/>
                <w:szCs w:val="21"/>
                <w:highlight w:val="none"/>
              </w:rPr>
            </w:pPr>
            <w:r>
              <w:rPr>
                <w:rFonts w:hint="default" w:ascii="Times New Roman" w:hAnsi="Times New Roman" w:cs="Times New Roman"/>
                <w:color w:val="auto"/>
                <w:kern w:val="2"/>
                <w:sz w:val="21"/>
                <w:szCs w:val="21"/>
                <w:highlight w:val="none"/>
                <w:lang w:val="en-US" w:eastAsia="zh-CN" w:bidi="ar-SA"/>
              </w:rPr>
              <w:t>韩三沟门村</w:t>
            </w:r>
          </w:p>
        </w:tc>
        <w:tc>
          <w:tcPr>
            <w:tcW w:w="657" w:type="pct"/>
            <w:tcBorders>
              <w:tl2br w:val="nil"/>
              <w:tr2bl w:val="nil"/>
            </w:tcBorders>
            <w:noWrap w:val="0"/>
            <w:vAlign w:val="center"/>
          </w:tcPr>
          <w:p w14:paraId="5FCD7334">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olor w:val="auto"/>
                <w:spacing w:val="0"/>
                <w:sz w:val="21"/>
                <w:szCs w:val="21"/>
                <w:highlight w:val="none"/>
                <w:lang w:val="en-US" w:eastAsia="zh-CN"/>
              </w:rPr>
            </w:pPr>
            <w:r>
              <w:rPr>
                <w:rFonts w:hint="eastAsia"/>
                <w:color w:val="auto"/>
                <w:spacing w:val="0"/>
                <w:sz w:val="21"/>
                <w:szCs w:val="21"/>
                <w:highlight w:val="none"/>
                <w:lang w:val="en-US" w:eastAsia="zh-CN"/>
              </w:rPr>
              <w:t>NE</w:t>
            </w:r>
          </w:p>
        </w:tc>
        <w:tc>
          <w:tcPr>
            <w:tcW w:w="765" w:type="pct"/>
            <w:tcBorders>
              <w:tl2br w:val="nil"/>
              <w:tr2bl w:val="nil"/>
            </w:tcBorders>
            <w:noWrap w:val="0"/>
            <w:vAlign w:val="center"/>
          </w:tcPr>
          <w:p w14:paraId="739FB69A">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olor w:val="auto"/>
                <w:spacing w:val="0"/>
                <w:sz w:val="21"/>
                <w:szCs w:val="21"/>
                <w:highlight w:val="none"/>
                <w:lang w:val="en-US" w:eastAsia="zh-CN"/>
              </w:rPr>
            </w:pPr>
            <w:r>
              <w:rPr>
                <w:rFonts w:hint="eastAsia"/>
                <w:color w:val="auto"/>
                <w:spacing w:val="0"/>
                <w:sz w:val="21"/>
                <w:szCs w:val="21"/>
                <w:highlight w:val="none"/>
                <w:lang w:val="en-US" w:eastAsia="zh-CN"/>
              </w:rPr>
              <w:t>2819</w:t>
            </w:r>
          </w:p>
        </w:tc>
        <w:tc>
          <w:tcPr>
            <w:tcW w:w="1893" w:type="pct"/>
            <w:vMerge w:val="continue"/>
            <w:tcBorders>
              <w:tl2br w:val="nil"/>
              <w:tr2bl w:val="nil"/>
            </w:tcBorders>
            <w:noWrap w:val="0"/>
            <w:vAlign w:val="center"/>
          </w:tcPr>
          <w:p w14:paraId="3D3CD284">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r>
      <w:tr w14:paraId="4CA28B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4640E325">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c>
          <w:tcPr>
            <w:tcW w:w="1160" w:type="pct"/>
            <w:tcBorders>
              <w:tl2br w:val="nil"/>
              <w:tr2bl w:val="nil"/>
            </w:tcBorders>
            <w:noWrap w:val="0"/>
            <w:vAlign w:val="center"/>
          </w:tcPr>
          <w:p w14:paraId="47A0AB14">
            <w:pPr>
              <w:widowControl w:val="0"/>
              <w:bidi w:val="0"/>
              <w:adjustRightInd w:val="0"/>
              <w:snapToGrid w:val="0"/>
              <w:spacing w:line="240" w:lineRule="auto"/>
              <w:ind w:firstLine="0" w:firstLineChars="0"/>
              <w:jc w:val="center"/>
              <w:textAlignment w:val="bottom"/>
              <w:rPr>
                <w:rFonts w:ascii="Times New Roman" w:hAnsi="Times New Roman"/>
                <w:color w:val="auto"/>
                <w:spacing w:val="0"/>
                <w:sz w:val="21"/>
                <w:szCs w:val="21"/>
                <w:highlight w:val="none"/>
              </w:rPr>
            </w:pPr>
            <w:r>
              <w:rPr>
                <w:rFonts w:hint="default" w:ascii="Times New Roman" w:hAnsi="Times New Roman" w:cs="Times New Roman"/>
                <w:color w:val="auto"/>
                <w:kern w:val="2"/>
                <w:sz w:val="21"/>
                <w:szCs w:val="21"/>
                <w:highlight w:val="none"/>
                <w:lang w:val="en-US" w:eastAsia="zh-CN" w:bidi="ar-SA"/>
              </w:rPr>
              <w:t>韩麻营镇政府</w:t>
            </w:r>
          </w:p>
        </w:tc>
        <w:tc>
          <w:tcPr>
            <w:tcW w:w="657" w:type="pct"/>
            <w:tcBorders>
              <w:tl2br w:val="nil"/>
              <w:tr2bl w:val="nil"/>
            </w:tcBorders>
            <w:noWrap w:val="0"/>
            <w:vAlign w:val="center"/>
          </w:tcPr>
          <w:p w14:paraId="16534327">
            <w:pPr>
              <w:keepNext w:val="0"/>
              <w:keepLines w:val="0"/>
              <w:pageBreakBefore w:val="0"/>
              <w:kinsoku/>
              <w:wordWrap/>
              <w:overflowPunct/>
              <w:topLinePunct/>
              <w:autoSpaceDE/>
              <w:autoSpaceDN/>
              <w:bidi w:val="0"/>
              <w:spacing w:line="280" w:lineRule="exact"/>
              <w:ind w:firstLine="0" w:firstLineChars="0"/>
              <w:jc w:val="center"/>
              <w:textAlignment w:val="auto"/>
              <w:rPr>
                <w:rFonts w:hint="eastAsia"/>
                <w:color w:val="auto"/>
                <w:spacing w:val="0"/>
                <w:sz w:val="21"/>
                <w:szCs w:val="21"/>
                <w:highlight w:val="none"/>
                <w:lang w:val="en-US" w:eastAsia="zh-CN"/>
              </w:rPr>
            </w:pPr>
            <w:r>
              <w:rPr>
                <w:rFonts w:hint="eastAsia"/>
                <w:color w:val="auto"/>
                <w:spacing w:val="0"/>
                <w:sz w:val="21"/>
                <w:szCs w:val="21"/>
                <w:highlight w:val="none"/>
                <w:lang w:val="en-US" w:eastAsia="zh-CN"/>
              </w:rPr>
              <w:t>NE</w:t>
            </w:r>
          </w:p>
        </w:tc>
        <w:tc>
          <w:tcPr>
            <w:tcW w:w="765" w:type="pct"/>
            <w:tcBorders>
              <w:tl2br w:val="nil"/>
              <w:tr2bl w:val="nil"/>
            </w:tcBorders>
            <w:noWrap w:val="0"/>
            <w:vAlign w:val="center"/>
          </w:tcPr>
          <w:p w14:paraId="46C7F4A8">
            <w:pPr>
              <w:keepNext w:val="0"/>
              <w:keepLines w:val="0"/>
              <w:pageBreakBefore w:val="0"/>
              <w:kinsoku/>
              <w:wordWrap/>
              <w:overflowPunct/>
              <w:topLinePunct/>
              <w:autoSpaceDE/>
              <w:autoSpaceDN/>
              <w:bidi w:val="0"/>
              <w:spacing w:line="280" w:lineRule="exact"/>
              <w:ind w:firstLine="0" w:firstLineChars="0"/>
              <w:jc w:val="center"/>
              <w:textAlignment w:val="auto"/>
              <w:rPr>
                <w:rFonts w:hint="default"/>
                <w:color w:val="auto"/>
                <w:spacing w:val="0"/>
                <w:sz w:val="21"/>
                <w:szCs w:val="21"/>
                <w:highlight w:val="none"/>
                <w:lang w:val="en-US" w:eastAsia="zh-CN"/>
              </w:rPr>
            </w:pPr>
            <w:r>
              <w:rPr>
                <w:rFonts w:hint="eastAsia"/>
                <w:color w:val="auto"/>
                <w:spacing w:val="0"/>
                <w:sz w:val="21"/>
                <w:szCs w:val="21"/>
                <w:highlight w:val="none"/>
                <w:lang w:val="en-US" w:eastAsia="zh-CN"/>
              </w:rPr>
              <w:t>5181</w:t>
            </w:r>
          </w:p>
        </w:tc>
        <w:tc>
          <w:tcPr>
            <w:tcW w:w="1893" w:type="pct"/>
            <w:vMerge w:val="continue"/>
            <w:tcBorders>
              <w:tl2br w:val="nil"/>
              <w:tr2bl w:val="nil"/>
            </w:tcBorders>
            <w:noWrap w:val="0"/>
            <w:vAlign w:val="center"/>
          </w:tcPr>
          <w:p w14:paraId="2EC000B2">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r>
      <w:tr w14:paraId="386883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1B23AB97">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c>
          <w:tcPr>
            <w:tcW w:w="1160" w:type="pct"/>
            <w:tcBorders>
              <w:tl2br w:val="nil"/>
              <w:tr2bl w:val="nil"/>
            </w:tcBorders>
            <w:noWrap w:val="0"/>
            <w:vAlign w:val="center"/>
          </w:tcPr>
          <w:p w14:paraId="1C721F94">
            <w:pPr>
              <w:widowControl w:val="0"/>
              <w:bidi w:val="0"/>
              <w:adjustRightInd w:val="0"/>
              <w:snapToGrid w:val="0"/>
              <w:spacing w:line="240" w:lineRule="auto"/>
              <w:ind w:firstLine="0" w:firstLineChars="0"/>
              <w:jc w:val="center"/>
              <w:textAlignment w:val="bottom"/>
              <w:rPr>
                <w:rFonts w:hint="default" w:ascii="Times New Roman" w:hAnsi="Times New Roman"/>
                <w:color w:val="auto"/>
                <w:spacing w:val="0"/>
                <w:sz w:val="21"/>
                <w:szCs w:val="21"/>
                <w:highlight w:val="none"/>
                <w:lang w:val="en-US"/>
              </w:rPr>
            </w:pPr>
            <w:r>
              <w:rPr>
                <w:rFonts w:hint="default" w:ascii="Times New Roman" w:hAnsi="Times New Roman" w:cs="Times New Roman"/>
                <w:color w:val="auto"/>
                <w:kern w:val="2"/>
                <w:sz w:val="21"/>
                <w:szCs w:val="21"/>
                <w:highlight w:val="none"/>
                <w:lang w:val="en-US" w:eastAsia="zh-CN" w:bidi="ar-SA"/>
              </w:rPr>
              <w:t>金三角嘉园</w:t>
            </w:r>
          </w:p>
        </w:tc>
        <w:tc>
          <w:tcPr>
            <w:tcW w:w="657" w:type="pct"/>
            <w:tcBorders>
              <w:tl2br w:val="nil"/>
              <w:tr2bl w:val="nil"/>
            </w:tcBorders>
            <w:shd w:val="clear" w:color="auto" w:fill="auto"/>
            <w:noWrap w:val="0"/>
            <w:vAlign w:val="center"/>
          </w:tcPr>
          <w:p w14:paraId="4173C08A">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0"/>
                <w:sz w:val="21"/>
                <w:szCs w:val="21"/>
                <w:highlight w:val="none"/>
                <w:lang w:val="en-US" w:eastAsia="zh-CN"/>
              </w:rPr>
              <w:t>NE</w:t>
            </w:r>
          </w:p>
        </w:tc>
        <w:tc>
          <w:tcPr>
            <w:tcW w:w="765" w:type="pct"/>
            <w:tcBorders>
              <w:tl2br w:val="nil"/>
              <w:tr2bl w:val="nil"/>
            </w:tcBorders>
            <w:shd w:val="clear" w:color="auto" w:fill="auto"/>
            <w:noWrap w:val="0"/>
            <w:vAlign w:val="center"/>
          </w:tcPr>
          <w:p w14:paraId="3C3D45DA">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5375</w:t>
            </w:r>
          </w:p>
        </w:tc>
        <w:tc>
          <w:tcPr>
            <w:tcW w:w="1893" w:type="pct"/>
            <w:vMerge w:val="continue"/>
            <w:tcBorders>
              <w:tl2br w:val="nil"/>
              <w:tr2bl w:val="nil"/>
            </w:tcBorders>
            <w:noWrap w:val="0"/>
            <w:vAlign w:val="center"/>
          </w:tcPr>
          <w:p w14:paraId="05AB0E22">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p>
        </w:tc>
      </w:tr>
      <w:tr w14:paraId="08754D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719C52EE">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r>
              <w:rPr>
                <w:rFonts w:hint="default" w:ascii="Times New Roman" w:hAnsi="Times New Roman" w:cs="Times New Roman"/>
                <w:color w:val="auto"/>
                <w:spacing w:val="0"/>
                <w:sz w:val="21"/>
                <w:szCs w:val="21"/>
                <w:highlight w:val="none"/>
              </w:rPr>
              <w:t>声环境</w:t>
            </w:r>
          </w:p>
        </w:tc>
        <w:tc>
          <w:tcPr>
            <w:tcW w:w="1160" w:type="pct"/>
            <w:tcBorders>
              <w:tl2br w:val="nil"/>
              <w:tr2bl w:val="nil"/>
            </w:tcBorders>
            <w:noWrap w:val="0"/>
            <w:vAlign w:val="center"/>
          </w:tcPr>
          <w:p w14:paraId="3BC08969">
            <w:pPr>
              <w:topLinePunct/>
              <w:adjustRightInd w:val="0"/>
              <w:snapToGrid w:val="0"/>
              <w:spacing w:line="240" w:lineRule="auto"/>
              <w:jc w:val="center"/>
              <w:rPr>
                <w:rFonts w:ascii="Times New Roman" w:hAnsi="Times New Roman"/>
                <w:color w:val="auto"/>
                <w:spacing w:val="0"/>
                <w:kern w:val="2"/>
                <w:sz w:val="21"/>
                <w:szCs w:val="21"/>
                <w:highlight w:val="none"/>
                <w:lang w:val="en-US" w:eastAsia="zh-CN" w:bidi="ar-SA"/>
              </w:rPr>
            </w:pPr>
            <w:r>
              <w:rPr>
                <w:rFonts w:ascii="Times New Roman"/>
                <w:color w:val="auto"/>
                <w:sz w:val="21"/>
                <w:szCs w:val="21"/>
                <w:highlight w:val="none"/>
              </w:rPr>
              <w:t>区域声环境</w:t>
            </w:r>
          </w:p>
        </w:tc>
        <w:tc>
          <w:tcPr>
            <w:tcW w:w="1423" w:type="pct"/>
            <w:gridSpan w:val="2"/>
            <w:tcBorders>
              <w:tl2br w:val="nil"/>
              <w:tr2bl w:val="nil"/>
            </w:tcBorders>
            <w:noWrap w:val="0"/>
            <w:vAlign w:val="center"/>
          </w:tcPr>
          <w:p w14:paraId="2D811CF6">
            <w:pPr>
              <w:topLinePunct/>
              <w:adjustRightInd w:val="0"/>
              <w:snapToGrid w:val="0"/>
              <w:spacing w:line="240" w:lineRule="auto"/>
              <w:jc w:val="center"/>
              <w:rPr>
                <w:rFonts w:hint="eastAsia" w:cs="Times New Roman"/>
                <w:color w:val="auto"/>
                <w:spacing w:val="0"/>
                <w:sz w:val="21"/>
                <w:szCs w:val="21"/>
                <w:highlight w:val="none"/>
                <w:lang w:val="en-US" w:eastAsia="zh-CN"/>
              </w:rPr>
            </w:pPr>
            <w:r>
              <w:rPr>
                <w:rFonts w:hint="eastAsia" w:ascii="Times New Roman"/>
                <w:color w:val="auto"/>
                <w:sz w:val="21"/>
                <w:szCs w:val="21"/>
                <w:highlight w:val="none"/>
                <w:lang w:val="en-US" w:eastAsia="zh-CN"/>
              </w:rPr>
              <w:t>场</w:t>
            </w:r>
            <w:r>
              <w:rPr>
                <w:rFonts w:ascii="Times New Roman"/>
                <w:color w:val="auto"/>
                <w:sz w:val="21"/>
                <w:szCs w:val="21"/>
                <w:highlight w:val="none"/>
              </w:rPr>
              <w:t>界外200m范围内</w:t>
            </w:r>
          </w:p>
        </w:tc>
        <w:tc>
          <w:tcPr>
            <w:tcW w:w="1893" w:type="pct"/>
            <w:tcBorders>
              <w:tl2br w:val="nil"/>
              <w:tr2bl w:val="nil"/>
            </w:tcBorders>
            <w:noWrap w:val="0"/>
            <w:vAlign w:val="center"/>
          </w:tcPr>
          <w:p w14:paraId="74CE6DF7">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r>
              <w:rPr>
                <w:rFonts w:hint="default" w:ascii="Times New Roman" w:hAnsi="Times New Roman" w:cs="Times New Roman"/>
                <w:color w:val="auto"/>
                <w:spacing w:val="0"/>
                <w:sz w:val="21"/>
                <w:szCs w:val="21"/>
                <w:highlight w:val="none"/>
              </w:rPr>
              <w:t>《声环境质量标准》（GB3096-2008）</w:t>
            </w:r>
            <w:r>
              <w:rPr>
                <w:rFonts w:hint="eastAsia" w:cs="Times New Roman"/>
                <w:color w:val="auto"/>
                <w:spacing w:val="0"/>
                <w:sz w:val="21"/>
                <w:szCs w:val="21"/>
                <w:highlight w:val="none"/>
                <w:lang w:val="en-US" w:eastAsia="zh-CN"/>
              </w:rPr>
              <w:t>2</w:t>
            </w:r>
            <w:r>
              <w:rPr>
                <w:rFonts w:hint="default" w:ascii="Times New Roman" w:hAnsi="Times New Roman" w:cs="Times New Roman"/>
                <w:color w:val="auto"/>
                <w:spacing w:val="0"/>
                <w:sz w:val="21"/>
                <w:szCs w:val="21"/>
                <w:highlight w:val="none"/>
              </w:rPr>
              <w:t>类区标准</w:t>
            </w:r>
          </w:p>
        </w:tc>
      </w:tr>
      <w:tr w14:paraId="56591F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restart"/>
            <w:tcBorders>
              <w:tl2br w:val="nil"/>
              <w:tr2bl w:val="nil"/>
            </w:tcBorders>
            <w:noWrap w:val="0"/>
            <w:vAlign w:val="center"/>
          </w:tcPr>
          <w:p w14:paraId="21047B60">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hint="eastAsia"/>
                <w:color w:val="auto"/>
                <w:spacing w:val="0"/>
                <w:sz w:val="21"/>
                <w:szCs w:val="21"/>
                <w:highlight w:val="none"/>
                <w:lang w:eastAsia="zh-CN"/>
              </w:rPr>
            </w:pPr>
            <w:r>
              <w:rPr>
                <w:rFonts w:hint="eastAsia"/>
                <w:color w:val="auto"/>
                <w:spacing w:val="0"/>
                <w:sz w:val="21"/>
                <w:szCs w:val="21"/>
                <w:highlight w:val="none"/>
                <w:lang w:eastAsia="zh-CN"/>
              </w:rPr>
              <w:t>土壤环境</w:t>
            </w:r>
          </w:p>
        </w:tc>
        <w:tc>
          <w:tcPr>
            <w:tcW w:w="2583" w:type="pct"/>
            <w:gridSpan w:val="3"/>
            <w:tcBorders>
              <w:tl2br w:val="nil"/>
              <w:tr2bl w:val="nil"/>
            </w:tcBorders>
            <w:noWrap w:val="0"/>
            <w:vAlign w:val="center"/>
          </w:tcPr>
          <w:p w14:paraId="28E4E1F6">
            <w:pPr>
              <w:keepNext w:val="0"/>
              <w:keepLines w:val="0"/>
              <w:pageBreakBefore w:val="0"/>
              <w:kinsoku/>
              <w:wordWrap/>
              <w:overflowPunct/>
              <w:topLinePunct w:val="0"/>
              <w:autoSpaceDE/>
              <w:autoSpaceDN/>
              <w:bidi w:val="0"/>
              <w:adjustRightInd/>
              <w:snapToGrid/>
              <w:spacing w:line="240" w:lineRule="atLeast"/>
              <w:jc w:val="center"/>
              <w:rPr>
                <w:rFonts w:hint="eastAsia"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场界外338m范围</w:t>
            </w:r>
            <w:r>
              <w:rPr>
                <w:rFonts w:hint="eastAsia"/>
                <w:color w:val="auto"/>
                <w:spacing w:val="0"/>
                <w:sz w:val="21"/>
                <w:szCs w:val="21"/>
                <w:highlight w:val="none"/>
                <w:lang w:val="en-US" w:eastAsia="zh-CN"/>
              </w:rPr>
              <w:t>的建设用地</w:t>
            </w:r>
          </w:p>
        </w:tc>
        <w:tc>
          <w:tcPr>
            <w:tcW w:w="1893" w:type="pct"/>
            <w:tcBorders>
              <w:tl2br w:val="nil"/>
              <w:tr2bl w:val="nil"/>
            </w:tcBorders>
            <w:noWrap w:val="0"/>
            <w:vAlign w:val="center"/>
          </w:tcPr>
          <w:p w14:paraId="463213B4">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《土壤环境质量建设用地土壤污染风险管控标准》(GB36600-2018)风险筛选值要求及《建设用地土壤污染风险筛选值》(DB13/T 5216-20</w:t>
            </w:r>
            <w:r>
              <w:rPr>
                <w:rFonts w:hint="eastAsia" w:cs="Times New Roman"/>
                <w:color w:val="auto"/>
                <w:spacing w:val="0"/>
                <w:sz w:val="21"/>
                <w:szCs w:val="21"/>
                <w:highlight w:val="none"/>
                <w:lang w:val="en-US" w:eastAsia="zh-CN"/>
              </w:rPr>
              <w:t>22</w:t>
            </w:r>
            <w:r>
              <w:rPr>
                <w:rFonts w:hint="eastAsia" w:ascii="Times New Roman" w:hAnsi="Times New Roman" w:eastAsia="宋体"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中</w:t>
            </w:r>
            <w:r>
              <w:rPr>
                <w:rFonts w:hint="eastAsia" w:ascii="Times New Roman" w:hAnsi="Times New Roman" w:eastAsia="宋体" w:cs="Times New Roman"/>
                <w:color w:val="auto"/>
                <w:spacing w:val="0"/>
                <w:sz w:val="21"/>
                <w:szCs w:val="21"/>
                <w:highlight w:val="none"/>
                <w:lang w:val="en-US" w:eastAsia="zh-CN"/>
              </w:rPr>
              <w:t>第二类用地筛选值要求</w:t>
            </w:r>
          </w:p>
        </w:tc>
      </w:tr>
      <w:tr w14:paraId="287E25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08626DFE">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hint="eastAsia"/>
                <w:color w:val="auto"/>
                <w:spacing w:val="0"/>
                <w:sz w:val="21"/>
                <w:szCs w:val="21"/>
                <w:highlight w:val="none"/>
                <w:lang w:eastAsia="zh-CN"/>
              </w:rPr>
            </w:pPr>
          </w:p>
        </w:tc>
        <w:tc>
          <w:tcPr>
            <w:tcW w:w="2583" w:type="pct"/>
            <w:gridSpan w:val="3"/>
            <w:tcBorders>
              <w:tl2br w:val="nil"/>
              <w:tr2bl w:val="nil"/>
            </w:tcBorders>
            <w:noWrap w:val="0"/>
            <w:vAlign w:val="center"/>
          </w:tcPr>
          <w:p w14:paraId="69D8B8FD">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hint="default" w:ascii="Times New Roman"/>
                <w:color w:val="auto"/>
                <w:spacing w:val="0"/>
                <w:sz w:val="21"/>
                <w:szCs w:val="21"/>
                <w:highlight w:val="none"/>
                <w:lang w:val="en-US" w:eastAsia="zh-CN"/>
              </w:rPr>
            </w:pPr>
            <w:r>
              <w:rPr>
                <w:rFonts w:hint="eastAsia"/>
                <w:color w:val="auto"/>
                <w:sz w:val="21"/>
                <w:szCs w:val="21"/>
                <w:highlight w:val="none"/>
                <w:lang w:val="en-US" w:eastAsia="zh-CN"/>
              </w:rPr>
              <w:t>场界外338m范围</w:t>
            </w:r>
            <w:r>
              <w:rPr>
                <w:rFonts w:hint="eastAsia"/>
                <w:color w:val="auto"/>
                <w:spacing w:val="0"/>
                <w:sz w:val="21"/>
                <w:szCs w:val="21"/>
                <w:highlight w:val="none"/>
                <w:lang w:val="en-US" w:eastAsia="zh-CN"/>
              </w:rPr>
              <w:t>的山林</w:t>
            </w:r>
          </w:p>
        </w:tc>
        <w:tc>
          <w:tcPr>
            <w:tcW w:w="1893" w:type="pct"/>
            <w:tcBorders>
              <w:tl2br w:val="nil"/>
              <w:tr2bl w:val="nil"/>
            </w:tcBorders>
            <w:noWrap w:val="0"/>
            <w:vAlign w:val="center"/>
          </w:tcPr>
          <w:p w14:paraId="1DC92519">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《土壤环境质量 农用地土壤污染风险管控标准》（GB15618-2018）表1中筛选值标准</w:t>
            </w:r>
          </w:p>
        </w:tc>
      </w:tr>
      <w:tr w14:paraId="30F9BC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5F3762C0">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ascii="Times New Roman"/>
                <w:color w:val="auto"/>
                <w:spacing w:val="0"/>
                <w:sz w:val="21"/>
                <w:szCs w:val="21"/>
                <w:highlight w:val="none"/>
              </w:rPr>
            </w:pPr>
            <w:r>
              <w:rPr>
                <w:rFonts w:ascii="Times New Roman"/>
                <w:color w:val="auto"/>
                <w:spacing w:val="0"/>
                <w:sz w:val="21"/>
                <w:szCs w:val="21"/>
                <w:highlight w:val="none"/>
              </w:rPr>
              <w:t>生态环境</w:t>
            </w:r>
          </w:p>
        </w:tc>
        <w:tc>
          <w:tcPr>
            <w:tcW w:w="1160" w:type="pct"/>
            <w:tcBorders>
              <w:tl2br w:val="nil"/>
              <w:tr2bl w:val="nil"/>
            </w:tcBorders>
            <w:noWrap w:val="0"/>
            <w:vAlign w:val="center"/>
          </w:tcPr>
          <w:p w14:paraId="3EC54572">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pacing w:val="0"/>
                <w:kern w:val="0"/>
                <w:sz w:val="21"/>
                <w:szCs w:val="21"/>
                <w:highlight w:val="none"/>
                <w:lang w:bidi="ar"/>
              </w:rPr>
            </w:pPr>
            <w:r>
              <w:rPr>
                <w:rFonts w:hint="default" w:ascii="Times New Roman" w:hAnsi="Times New Roman" w:cs="Times New Roman"/>
                <w:color w:val="auto"/>
                <w:spacing w:val="0"/>
                <w:kern w:val="0"/>
                <w:sz w:val="21"/>
                <w:szCs w:val="21"/>
                <w:highlight w:val="none"/>
                <w:lang w:bidi="ar"/>
              </w:rPr>
              <w:t>生态系统及自然资源</w:t>
            </w:r>
          </w:p>
        </w:tc>
        <w:tc>
          <w:tcPr>
            <w:tcW w:w="1423" w:type="pct"/>
            <w:gridSpan w:val="2"/>
            <w:tcBorders>
              <w:tl2br w:val="nil"/>
              <w:tr2bl w:val="nil"/>
            </w:tcBorders>
            <w:noWrap w:val="0"/>
            <w:vAlign w:val="center"/>
          </w:tcPr>
          <w:p w14:paraId="1A44F118">
            <w:pPr>
              <w:keepNext w:val="0"/>
              <w:keepLines w:val="0"/>
              <w:pageBreakBefore w:val="0"/>
              <w:kinsoku/>
              <w:wordWrap/>
              <w:overflowPunct/>
              <w:topLinePunct/>
              <w:autoSpaceDE/>
              <w:autoSpaceDN/>
              <w:bidi w:val="0"/>
              <w:spacing w:line="280" w:lineRule="exact"/>
              <w:ind w:firstLine="0" w:firstLineChars="0"/>
              <w:jc w:val="center"/>
              <w:textAlignment w:val="auto"/>
              <w:rPr>
                <w:rFonts w:ascii="Times New Roman"/>
                <w:color w:val="auto"/>
                <w:spacing w:val="0"/>
                <w:sz w:val="21"/>
                <w:szCs w:val="21"/>
                <w:highlight w:val="none"/>
              </w:rPr>
            </w:pPr>
            <w:r>
              <w:rPr>
                <w:rFonts w:hint="eastAsia" w:ascii="Times New Roman"/>
                <w:color w:val="auto"/>
                <w:sz w:val="21"/>
                <w:szCs w:val="21"/>
                <w:highlight w:val="none"/>
                <w:lang w:val="en-US" w:eastAsia="zh-CN"/>
              </w:rPr>
              <w:t>项目占地范围</w:t>
            </w:r>
          </w:p>
        </w:tc>
        <w:tc>
          <w:tcPr>
            <w:tcW w:w="1893" w:type="pct"/>
            <w:tcBorders>
              <w:tl2br w:val="nil"/>
              <w:tr2bl w:val="nil"/>
            </w:tcBorders>
            <w:noWrap w:val="0"/>
            <w:vAlign w:val="center"/>
          </w:tcPr>
          <w:p w14:paraId="0E979EDC">
            <w:pPr>
              <w:keepNext w:val="0"/>
              <w:keepLines w:val="0"/>
              <w:pageBreakBefore w:val="0"/>
              <w:kinsoku/>
              <w:wordWrap/>
              <w:overflowPunct/>
              <w:topLinePunct/>
              <w:autoSpaceDE/>
              <w:autoSpaceDN/>
              <w:bidi w:val="0"/>
              <w:adjustRightInd w:val="0"/>
              <w:snapToGrid w:val="0"/>
              <w:spacing w:line="280" w:lineRule="exact"/>
              <w:ind w:firstLine="0" w:firstLineChars="0"/>
              <w:jc w:val="center"/>
              <w:textAlignment w:val="auto"/>
              <w:rPr>
                <w:rFonts w:ascii="Times New Roman"/>
                <w:color w:val="auto"/>
                <w:spacing w:val="0"/>
                <w:sz w:val="21"/>
                <w:szCs w:val="21"/>
                <w:highlight w:val="none"/>
              </w:rPr>
            </w:pPr>
            <w:r>
              <w:rPr>
                <w:rFonts w:hint="eastAsia" w:cs="Times New Roman"/>
                <w:color w:val="auto"/>
                <w:spacing w:val="0"/>
                <w:sz w:val="21"/>
                <w:szCs w:val="21"/>
                <w:highlight w:val="none"/>
                <w:lang w:val="en-US" w:eastAsia="zh-CN"/>
              </w:rPr>
              <w:t>/</w:t>
            </w:r>
          </w:p>
        </w:tc>
      </w:tr>
    </w:tbl>
    <w:p w14:paraId="01B7CDCD">
      <w:pPr>
        <w:pStyle w:val="5"/>
        <w:pageBreakBefore w:val="0"/>
        <w:widowControl w:val="0"/>
        <w:kinsoku/>
        <w:wordWrap/>
        <w:overflowPunct/>
        <w:topLinePunct w:val="0"/>
        <w:autoSpaceDE/>
        <w:autoSpaceDN/>
        <w:bidi w:val="0"/>
        <w:spacing w:before="0" w:after="0" w:line="360" w:lineRule="auto"/>
        <w:textAlignment w:val="auto"/>
        <w:rPr>
          <w:rFonts w:hint="default" w:ascii="Times New Roman" w:hAnsi="Times New Roman" w:cs="Times New Roman"/>
          <w:color w:val="000000"/>
          <w:sz w:val="28"/>
          <w:szCs w:val="28"/>
          <w:highlight w:val="none"/>
        </w:rPr>
      </w:pPr>
      <w:bookmarkStart w:id="141" w:name="_Toc8763"/>
      <w:bookmarkStart w:id="142" w:name="_Toc16756"/>
      <w:bookmarkStart w:id="143" w:name="_Toc330"/>
      <w:bookmarkStart w:id="144" w:name="_Toc27923"/>
      <w:bookmarkStart w:id="145" w:name="_Toc4184"/>
      <w:bookmarkStart w:id="146" w:name="_Toc7936"/>
      <w:bookmarkStart w:id="147" w:name="_Toc208131706"/>
      <w:bookmarkStart w:id="148" w:name="_Toc183508635"/>
      <w:bookmarkStart w:id="149" w:name="_Toc223164634"/>
      <w:bookmarkStart w:id="150" w:name="_Toc218393907"/>
      <w:bookmarkStart w:id="151" w:name="_Toc189799270"/>
      <w:bookmarkStart w:id="152" w:name="_Toc223091066"/>
      <w:bookmarkStart w:id="153" w:name="_Toc218845051"/>
      <w:bookmarkStart w:id="154" w:name="_Toc228096056"/>
      <w:bookmarkStart w:id="155" w:name="_Toc218393963"/>
      <w:bookmarkStart w:id="156" w:name="_Toc184032746"/>
      <w:bookmarkStart w:id="157" w:name="_Toc223091496"/>
      <w:bookmarkStart w:id="158" w:name="_Toc223163891"/>
      <w:bookmarkStart w:id="159" w:name="_Toc249416777"/>
      <w:bookmarkStart w:id="160" w:name="_Toc227306905"/>
      <w:bookmarkStart w:id="161" w:name="_Toc218846014"/>
      <w:bookmarkStart w:id="162" w:name="_Toc227378977"/>
      <w:bookmarkStart w:id="163" w:name="_Toc183509366"/>
      <w:r>
        <w:rPr>
          <w:rFonts w:hint="default" w:ascii="Times New Roman" w:hAnsi="Times New Roman" w:cs="Times New Roman"/>
          <w:color w:val="000000"/>
          <w:sz w:val="28"/>
          <w:szCs w:val="28"/>
          <w:highlight w:val="none"/>
        </w:rPr>
        <w:t>环境影响评价标准</w:t>
      </w:r>
      <w:bookmarkEnd w:id="141"/>
      <w:bookmarkEnd w:id="142"/>
      <w:bookmarkEnd w:id="143"/>
      <w:bookmarkEnd w:id="144"/>
      <w:bookmarkEnd w:id="145"/>
      <w:bookmarkEnd w:id="146"/>
    </w:p>
    <w:p w14:paraId="3282C7F4">
      <w:pPr>
        <w:pStyle w:val="6"/>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cs="Times New Roman"/>
          <w:color w:val="000000"/>
          <w:highlight w:val="none"/>
        </w:rPr>
      </w:pPr>
      <w:bookmarkStart w:id="164" w:name="_Toc22764"/>
      <w:bookmarkStart w:id="165" w:name="_Toc7558"/>
      <w:r>
        <w:rPr>
          <w:rFonts w:hint="default" w:ascii="Times New Roman" w:hAnsi="Times New Roman" w:cs="Times New Roman"/>
          <w:color w:val="000000"/>
          <w:highlight w:val="none"/>
        </w:rPr>
        <w:t>环境质量标准</w:t>
      </w:r>
      <w:bookmarkEnd w:id="164"/>
      <w:bookmarkEnd w:id="165"/>
    </w:p>
    <w:p w14:paraId="23BAD305">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（1）环境空气</w:t>
      </w:r>
    </w:p>
    <w:p w14:paraId="4EC39FAB">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环境空气质量执行《环境空气质量标准》（GB3095-2012）及其修改单中的二级标准，详见下表。</w:t>
      </w:r>
    </w:p>
    <w:p w14:paraId="109C3485">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lang w:val="en-US" w:eastAsia="zh-CN"/>
        </w:rPr>
      </w:pPr>
      <w:r>
        <w:rPr>
          <w:rStyle w:val="152"/>
          <w:rFonts w:hint="default" w:ascii="Times New Roman" w:hAnsi="Times New Roman" w:eastAsia="宋体" w:cs="Times New Roman"/>
          <w:b/>
          <w:color w:val="auto"/>
          <w:szCs w:val="21"/>
          <w:highlight w:val="none"/>
          <w:lang w:val="en-US" w:eastAsia="zh-CN"/>
        </w:rPr>
        <w:t>环境空气质量标准一览表</w:t>
      </w:r>
    </w:p>
    <w:tbl>
      <w:tblPr>
        <w:tblStyle w:val="58"/>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0"/>
        <w:gridCol w:w="842"/>
        <w:gridCol w:w="1715"/>
        <w:gridCol w:w="922"/>
        <w:gridCol w:w="951"/>
        <w:gridCol w:w="2728"/>
      </w:tblGrid>
      <w:tr w14:paraId="109B1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noWrap w:val="0"/>
            <w:vAlign w:val="center"/>
          </w:tcPr>
          <w:p w14:paraId="699A98E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1500" w:type="pct"/>
            <w:gridSpan w:val="2"/>
            <w:noWrap w:val="0"/>
            <w:vAlign w:val="center"/>
          </w:tcPr>
          <w:p w14:paraId="77C9615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污染物名称</w:t>
            </w:r>
          </w:p>
        </w:tc>
        <w:tc>
          <w:tcPr>
            <w:tcW w:w="541" w:type="pct"/>
            <w:noWrap w:val="0"/>
            <w:vAlign w:val="center"/>
          </w:tcPr>
          <w:p w14:paraId="7DCA72F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标准值</w:t>
            </w:r>
          </w:p>
        </w:tc>
        <w:tc>
          <w:tcPr>
            <w:tcW w:w="558" w:type="pct"/>
            <w:noWrap w:val="0"/>
            <w:vAlign w:val="center"/>
          </w:tcPr>
          <w:p w14:paraId="4284034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单位</w:t>
            </w:r>
          </w:p>
        </w:tc>
        <w:tc>
          <w:tcPr>
            <w:tcW w:w="1600" w:type="pct"/>
            <w:noWrap w:val="0"/>
            <w:vAlign w:val="center"/>
          </w:tcPr>
          <w:p w14:paraId="35AD5CD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标准来源</w:t>
            </w:r>
          </w:p>
        </w:tc>
      </w:tr>
      <w:tr w14:paraId="0E6D0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restart"/>
            <w:noWrap w:val="0"/>
            <w:vAlign w:val="center"/>
          </w:tcPr>
          <w:p w14:paraId="1E2D255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环境空气</w:t>
            </w:r>
          </w:p>
        </w:tc>
        <w:tc>
          <w:tcPr>
            <w:tcW w:w="494" w:type="pct"/>
            <w:vMerge w:val="restart"/>
            <w:noWrap w:val="0"/>
            <w:vAlign w:val="center"/>
          </w:tcPr>
          <w:p w14:paraId="22BC4EB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TSP</w:t>
            </w:r>
          </w:p>
        </w:tc>
        <w:tc>
          <w:tcPr>
            <w:tcW w:w="1006" w:type="pct"/>
            <w:noWrap w:val="0"/>
            <w:vAlign w:val="center"/>
          </w:tcPr>
          <w:p w14:paraId="2DEA325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541" w:type="pct"/>
            <w:noWrap w:val="0"/>
            <w:vAlign w:val="center"/>
          </w:tcPr>
          <w:p w14:paraId="02E60C3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200</w:t>
            </w:r>
          </w:p>
        </w:tc>
        <w:tc>
          <w:tcPr>
            <w:tcW w:w="558" w:type="pct"/>
            <w:noWrap w:val="0"/>
            <w:vAlign w:val="center"/>
          </w:tcPr>
          <w:p w14:paraId="5E07C89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restart"/>
            <w:noWrap w:val="0"/>
            <w:vAlign w:val="center"/>
          </w:tcPr>
          <w:p w14:paraId="7497806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《环境空气质量标准》(GB3095-2012)</w:t>
            </w:r>
            <w:r>
              <w:rPr>
                <w:rFonts w:hint="eastAsia" w:cs="Times New Roman"/>
                <w:bCs/>
                <w:color w:val="auto"/>
                <w:sz w:val="21"/>
                <w:szCs w:val="21"/>
                <w:highlight w:val="none"/>
                <w:lang w:eastAsia="zh-CN"/>
              </w:rPr>
              <w:t>及其修改单</w:t>
            </w:r>
            <w:r>
              <w:rPr>
                <w:rFonts w:hint="eastAsia" w:cs="Times New Roman"/>
                <w:bCs/>
                <w:color w:val="auto"/>
                <w:sz w:val="21"/>
                <w:szCs w:val="21"/>
                <w:highlight w:val="none"/>
                <w:lang w:val="en-US" w:eastAsia="zh-CN"/>
              </w:rPr>
              <w:t>中二级标准</w:t>
            </w:r>
          </w:p>
        </w:tc>
      </w:tr>
      <w:tr w14:paraId="28EE4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5E191C2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6DD4762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65E74B0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541" w:type="pct"/>
            <w:noWrap w:val="0"/>
            <w:vAlign w:val="center"/>
          </w:tcPr>
          <w:p w14:paraId="05B7EC3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300</w:t>
            </w:r>
          </w:p>
        </w:tc>
        <w:tc>
          <w:tcPr>
            <w:tcW w:w="558" w:type="pct"/>
            <w:noWrap w:val="0"/>
            <w:vAlign w:val="center"/>
          </w:tcPr>
          <w:p w14:paraId="3C726EE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1711693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F373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7ECBB7E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restart"/>
            <w:noWrap w:val="0"/>
            <w:vAlign w:val="center"/>
          </w:tcPr>
          <w:p w14:paraId="5F92776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PM</w:t>
            </w:r>
            <w:r>
              <w:rPr>
                <w:rFonts w:hint="default" w:ascii="Times New Roman" w:hAnsi="Times New Roman" w:cs="Times New Roman"/>
                <w:bCs/>
                <w:color w:val="auto"/>
                <w:sz w:val="21"/>
                <w:szCs w:val="21"/>
                <w:highlight w:val="none"/>
                <w:vertAlign w:val="subscript"/>
              </w:rPr>
              <w:t>10</w:t>
            </w:r>
          </w:p>
        </w:tc>
        <w:tc>
          <w:tcPr>
            <w:tcW w:w="1006" w:type="pct"/>
            <w:noWrap w:val="0"/>
            <w:vAlign w:val="center"/>
          </w:tcPr>
          <w:p w14:paraId="2A8DF63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541" w:type="pct"/>
            <w:noWrap w:val="0"/>
            <w:vAlign w:val="center"/>
          </w:tcPr>
          <w:p w14:paraId="4F1D908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70</w:t>
            </w:r>
          </w:p>
        </w:tc>
        <w:tc>
          <w:tcPr>
            <w:tcW w:w="558" w:type="pct"/>
            <w:noWrap w:val="0"/>
            <w:vAlign w:val="center"/>
          </w:tcPr>
          <w:p w14:paraId="447AC7A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07DD123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5771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67442F6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11E2D56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2155F3F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541" w:type="pct"/>
            <w:noWrap w:val="0"/>
            <w:vAlign w:val="center"/>
          </w:tcPr>
          <w:p w14:paraId="53C23E9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150</w:t>
            </w:r>
          </w:p>
        </w:tc>
        <w:tc>
          <w:tcPr>
            <w:tcW w:w="558" w:type="pct"/>
            <w:noWrap w:val="0"/>
            <w:vAlign w:val="center"/>
          </w:tcPr>
          <w:p w14:paraId="14AC460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1F396BB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482A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4300D88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restart"/>
            <w:noWrap w:val="0"/>
            <w:vAlign w:val="center"/>
          </w:tcPr>
          <w:p w14:paraId="016F52B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PM</w:t>
            </w:r>
            <w:r>
              <w:rPr>
                <w:rFonts w:hint="default" w:ascii="Times New Roman" w:hAnsi="Times New Roman" w:cs="Times New Roman"/>
                <w:bCs/>
                <w:color w:val="auto"/>
                <w:sz w:val="21"/>
                <w:szCs w:val="21"/>
                <w:highlight w:val="none"/>
                <w:vertAlign w:val="subscript"/>
              </w:rPr>
              <w:t>2.5</w:t>
            </w:r>
          </w:p>
        </w:tc>
        <w:tc>
          <w:tcPr>
            <w:tcW w:w="1006" w:type="pct"/>
            <w:noWrap w:val="0"/>
            <w:vAlign w:val="center"/>
          </w:tcPr>
          <w:p w14:paraId="36A0DE0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541" w:type="pct"/>
            <w:noWrap w:val="0"/>
            <w:vAlign w:val="center"/>
          </w:tcPr>
          <w:p w14:paraId="3F35A1B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35</w:t>
            </w:r>
          </w:p>
        </w:tc>
        <w:tc>
          <w:tcPr>
            <w:tcW w:w="558" w:type="pct"/>
            <w:noWrap w:val="0"/>
            <w:vAlign w:val="center"/>
          </w:tcPr>
          <w:p w14:paraId="4E79F7C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3CF877D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FD0F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0DC5BED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2D32D7A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0D472DD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541" w:type="pct"/>
            <w:noWrap w:val="0"/>
            <w:vAlign w:val="center"/>
          </w:tcPr>
          <w:p w14:paraId="78C5D95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75</w:t>
            </w:r>
          </w:p>
        </w:tc>
        <w:tc>
          <w:tcPr>
            <w:tcW w:w="558" w:type="pct"/>
            <w:noWrap w:val="0"/>
            <w:vAlign w:val="center"/>
          </w:tcPr>
          <w:p w14:paraId="565CBC5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4BA8A57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2F123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161E0C4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restart"/>
            <w:noWrap w:val="0"/>
            <w:vAlign w:val="center"/>
          </w:tcPr>
          <w:p w14:paraId="226EA5C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SO</w:t>
            </w:r>
            <w:r>
              <w:rPr>
                <w:rFonts w:hint="default" w:ascii="Times New Roman" w:hAnsi="Times New Roman" w:cs="Times New Roman"/>
                <w:bCs/>
                <w:color w:val="auto"/>
                <w:sz w:val="21"/>
                <w:szCs w:val="21"/>
                <w:highlight w:val="none"/>
                <w:vertAlign w:val="subscript"/>
              </w:rPr>
              <w:t>2</w:t>
            </w:r>
          </w:p>
        </w:tc>
        <w:tc>
          <w:tcPr>
            <w:tcW w:w="1006" w:type="pct"/>
            <w:noWrap w:val="0"/>
            <w:vAlign w:val="center"/>
          </w:tcPr>
          <w:p w14:paraId="282BA43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541" w:type="pct"/>
            <w:noWrap w:val="0"/>
            <w:vAlign w:val="center"/>
          </w:tcPr>
          <w:p w14:paraId="794280B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60</w:t>
            </w:r>
          </w:p>
        </w:tc>
        <w:tc>
          <w:tcPr>
            <w:tcW w:w="558" w:type="pct"/>
            <w:noWrap w:val="0"/>
            <w:vAlign w:val="center"/>
          </w:tcPr>
          <w:p w14:paraId="3DC951C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18A6226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5F19C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488A701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5674B1B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675A097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541" w:type="pct"/>
            <w:noWrap w:val="0"/>
            <w:vAlign w:val="center"/>
          </w:tcPr>
          <w:p w14:paraId="003B6C8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150</w:t>
            </w:r>
          </w:p>
        </w:tc>
        <w:tc>
          <w:tcPr>
            <w:tcW w:w="558" w:type="pct"/>
            <w:noWrap w:val="0"/>
            <w:vAlign w:val="center"/>
          </w:tcPr>
          <w:p w14:paraId="69C62B2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782CBFB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184A3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700B677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387F3A0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3753464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541" w:type="pct"/>
            <w:noWrap w:val="0"/>
            <w:vAlign w:val="center"/>
          </w:tcPr>
          <w:p w14:paraId="67024E5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500</w:t>
            </w:r>
          </w:p>
        </w:tc>
        <w:tc>
          <w:tcPr>
            <w:tcW w:w="558" w:type="pct"/>
            <w:noWrap w:val="0"/>
            <w:vAlign w:val="center"/>
          </w:tcPr>
          <w:p w14:paraId="47F36A5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2DE60C1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21B2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4AB9E9D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restart"/>
            <w:noWrap w:val="0"/>
            <w:vAlign w:val="center"/>
          </w:tcPr>
          <w:p w14:paraId="52B1F03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NO</w:t>
            </w:r>
            <w:r>
              <w:rPr>
                <w:rFonts w:hint="default" w:ascii="Times New Roman" w:hAnsi="Times New Roman" w:cs="Times New Roman"/>
                <w:bCs/>
                <w:color w:val="auto"/>
                <w:sz w:val="21"/>
                <w:szCs w:val="21"/>
                <w:highlight w:val="none"/>
                <w:vertAlign w:val="subscript"/>
              </w:rPr>
              <w:t>2</w:t>
            </w:r>
          </w:p>
        </w:tc>
        <w:tc>
          <w:tcPr>
            <w:tcW w:w="1006" w:type="pct"/>
            <w:noWrap w:val="0"/>
            <w:vAlign w:val="center"/>
          </w:tcPr>
          <w:p w14:paraId="621DE41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541" w:type="pct"/>
            <w:noWrap w:val="0"/>
            <w:vAlign w:val="center"/>
          </w:tcPr>
          <w:p w14:paraId="7530E36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40</w:t>
            </w:r>
          </w:p>
        </w:tc>
        <w:tc>
          <w:tcPr>
            <w:tcW w:w="558" w:type="pct"/>
            <w:noWrap w:val="0"/>
            <w:vAlign w:val="center"/>
          </w:tcPr>
          <w:p w14:paraId="629E52F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37951F8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2BFBE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59F9040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12E3E61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7DAF489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541" w:type="pct"/>
            <w:noWrap w:val="0"/>
            <w:vAlign w:val="center"/>
          </w:tcPr>
          <w:p w14:paraId="0BCFCC4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w:t>
            </w:r>
          </w:p>
        </w:tc>
        <w:tc>
          <w:tcPr>
            <w:tcW w:w="558" w:type="pct"/>
            <w:noWrap w:val="0"/>
            <w:vAlign w:val="center"/>
          </w:tcPr>
          <w:p w14:paraId="3290E1F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7BB1121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8439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15FDA91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774BCE8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763F6B6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541" w:type="pct"/>
            <w:noWrap w:val="0"/>
            <w:vAlign w:val="center"/>
          </w:tcPr>
          <w:p w14:paraId="676C7B1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200</w:t>
            </w:r>
          </w:p>
        </w:tc>
        <w:tc>
          <w:tcPr>
            <w:tcW w:w="558" w:type="pct"/>
            <w:noWrap w:val="0"/>
            <w:vAlign w:val="center"/>
          </w:tcPr>
          <w:p w14:paraId="753F95D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28F2DB6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5E1F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6D41CF7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restart"/>
            <w:noWrap w:val="0"/>
            <w:vAlign w:val="center"/>
          </w:tcPr>
          <w:p w14:paraId="0FCE0F8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CO</w:t>
            </w:r>
          </w:p>
        </w:tc>
        <w:tc>
          <w:tcPr>
            <w:tcW w:w="1006" w:type="pct"/>
            <w:noWrap w:val="0"/>
            <w:vAlign w:val="center"/>
          </w:tcPr>
          <w:p w14:paraId="73609D0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541" w:type="pct"/>
            <w:noWrap w:val="0"/>
            <w:vAlign w:val="center"/>
          </w:tcPr>
          <w:p w14:paraId="704A452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p>
        </w:tc>
        <w:tc>
          <w:tcPr>
            <w:tcW w:w="558" w:type="pct"/>
            <w:noWrap w:val="0"/>
            <w:vAlign w:val="center"/>
          </w:tcPr>
          <w:p w14:paraId="42A3F3B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mg/m</w:t>
            </w:r>
            <w:r>
              <w:rPr>
                <w:rFonts w:hint="default" w:ascii="Times New Roman" w:hAnsi="Times New Roman" w:cs="Times New Roman"/>
                <w:bCs/>
                <w:color w:val="auto"/>
                <w:sz w:val="21"/>
                <w:szCs w:val="21"/>
                <w:highlight w:val="none"/>
                <w:vertAlign w:val="superscript"/>
              </w:rPr>
              <w:t>3</w:t>
            </w:r>
          </w:p>
        </w:tc>
        <w:tc>
          <w:tcPr>
            <w:tcW w:w="1600" w:type="pct"/>
            <w:vMerge w:val="continue"/>
            <w:noWrap w:val="0"/>
            <w:vAlign w:val="center"/>
          </w:tcPr>
          <w:p w14:paraId="599E666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DF26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3CD37D6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01155C3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77FC9B7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541" w:type="pct"/>
            <w:noWrap w:val="0"/>
            <w:vAlign w:val="center"/>
          </w:tcPr>
          <w:p w14:paraId="11FD3B2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10</w:t>
            </w:r>
          </w:p>
        </w:tc>
        <w:tc>
          <w:tcPr>
            <w:tcW w:w="558" w:type="pct"/>
            <w:noWrap w:val="0"/>
            <w:vAlign w:val="center"/>
          </w:tcPr>
          <w:p w14:paraId="299ACA9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mg/m</w:t>
            </w:r>
            <w:r>
              <w:rPr>
                <w:rFonts w:hint="default" w:ascii="Times New Roman" w:hAnsi="Times New Roman" w:cs="Times New Roman"/>
                <w:bCs/>
                <w:color w:val="auto"/>
                <w:sz w:val="21"/>
                <w:szCs w:val="21"/>
                <w:highlight w:val="none"/>
                <w:vertAlign w:val="superscript"/>
              </w:rPr>
              <w:t>3</w:t>
            </w:r>
          </w:p>
        </w:tc>
        <w:tc>
          <w:tcPr>
            <w:tcW w:w="1600" w:type="pct"/>
            <w:vMerge w:val="continue"/>
            <w:noWrap w:val="0"/>
            <w:vAlign w:val="center"/>
          </w:tcPr>
          <w:p w14:paraId="4528EF6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13B1D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12FF0A8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restart"/>
            <w:noWrap w:val="0"/>
            <w:vAlign w:val="center"/>
          </w:tcPr>
          <w:p w14:paraId="5CA5B45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O</w:t>
            </w:r>
            <w:r>
              <w:rPr>
                <w:rFonts w:hint="default" w:ascii="Times New Roman" w:hAnsi="Times New Roman" w:cs="Times New Roman"/>
                <w:bCs/>
                <w:color w:val="auto"/>
                <w:sz w:val="21"/>
                <w:szCs w:val="21"/>
                <w:highlight w:val="none"/>
                <w:vertAlign w:val="subscript"/>
              </w:rPr>
              <w:t>3</w:t>
            </w:r>
          </w:p>
        </w:tc>
        <w:tc>
          <w:tcPr>
            <w:tcW w:w="1006" w:type="pct"/>
            <w:noWrap w:val="0"/>
            <w:vAlign w:val="center"/>
          </w:tcPr>
          <w:p w14:paraId="187088E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日最大8小时均值</w:t>
            </w:r>
          </w:p>
        </w:tc>
        <w:tc>
          <w:tcPr>
            <w:tcW w:w="541" w:type="pct"/>
            <w:noWrap w:val="0"/>
            <w:vAlign w:val="center"/>
          </w:tcPr>
          <w:p w14:paraId="233A362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160</w:t>
            </w:r>
          </w:p>
        </w:tc>
        <w:tc>
          <w:tcPr>
            <w:tcW w:w="558" w:type="pct"/>
            <w:noWrap w:val="0"/>
            <w:vAlign w:val="center"/>
          </w:tcPr>
          <w:p w14:paraId="1E71348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66B183A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FFA2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98" w:type="pct"/>
            <w:vMerge w:val="continue"/>
            <w:noWrap w:val="0"/>
            <w:vAlign w:val="center"/>
          </w:tcPr>
          <w:p w14:paraId="04AF073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494" w:type="pct"/>
            <w:vMerge w:val="continue"/>
            <w:noWrap w:val="0"/>
            <w:vAlign w:val="center"/>
          </w:tcPr>
          <w:p w14:paraId="25BAAC7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006" w:type="pct"/>
            <w:noWrap w:val="0"/>
            <w:vAlign w:val="center"/>
          </w:tcPr>
          <w:p w14:paraId="0F7C486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541" w:type="pct"/>
            <w:noWrap w:val="0"/>
            <w:vAlign w:val="center"/>
          </w:tcPr>
          <w:p w14:paraId="048CE33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200</w:t>
            </w:r>
          </w:p>
        </w:tc>
        <w:tc>
          <w:tcPr>
            <w:tcW w:w="558" w:type="pct"/>
            <w:noWrap w:val="0"/>
            <w:vAlign w:val="center"/>
          </w:tcPr>
          <w:p w14:paraId="5EE98E9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sz w:val="21"/>
                <w:szCs w:val="21"/>
                <w:highlight w:val="none"/>
                <w:lang w:val="en-US" w:eastAsia="zh-CN"/>
              </w:rPr>
              <w:t>μ</w:t>
            </w:r>
            <w:r>
              <w:rPr>
                <w:rFonts w:hint="default" w:ascii="Times New Roman" w:hAnsi="Times New Roman" w:cs="Times New Roman"/>
                <w:b w:val="0"/>
                <w:bCs w:val="0"/>
                <w:color w:val="auto"/>
                <w:sz w:val="21"/>
                <w:szCs w:val="21"/>
                <w:highlight w:val="none"/>
              </w:rPr>
              <w:t>g/m</w:t>
            </w:r>
            <w:r>
              <w:rPr>
                <w:rFonts w:hint="default" w:ascii="Times New Roman" w:hAnsi="Times New Roman" w:cs="Times New Roman"/>
                <w:b w:val="0"/>
                <w:bCs w:val="0"/>
                <w:color w:val="auto"/>
                <w:sz w:val="21"/>
                <w:szCs w:val="21"/>
                <w:highlight w:val="none"/>
                <w:vertAlign w:val="superscript"/>
              </w:rPr>
              <w:t>3</w:t>
            </w:r>
          </w:p>
        </w:tc>
        <w:tc>
          <w:tcPr>
            <w:tcW w:w="1600" w:type="pct"/>
            <w:vMerge w:val="continue"/>
            <w:noWrap w:val="0"/>
            <w:vAlign w:val="center"/>
          </w:tcPr>
          <w:p w14:paraId="36711E2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bl>
    <w:p w14:paraId="37AFA858">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szCs w:val="21"/>
          <w:highlight w:val="none"/>
          <w:lang w:val="en-US" w:eastAsia="zh-CN"/>
        </w:rPr>
      </w:pPr>
      <w:r>
        <w:rPr>
          <w:rFonts w:hint="eastAsia" w:ascii="Times New Roman" w:hAnsi="Times New Roman" w:cs="Times New Roman"/>
          <w:color w:val="000000"/>
          <w:kern w:val="0"/>
          <w:sz w:val="24"/>
          <w:szCs w:val="21"/>
          <w:highlight w:val="none"/>
          <w:lang w:eastAsia="zh-CN"/>
        </w:rPr>
        <w:t>（</w:t>
      </w:r>
      <w:r>
        <w:rPr>
          <w:rFonts w:hint="eastAsia" w:ascii="Times New Roman" w:hAnsi="Times New Roman" w:cs="Times New Roman"/>
          <w:color w:val="000000"/>
          <w:kern w:val="0"/>
          <w:sz w:val="24"/>
          <w:szCs w:val="21"/>
          <w:highlight w:val="none"/>
          <w:lang w:val="en-US" w:eastAsia="zh-CN"/>
        </w:rPr>
        <w:t>2</w:t>
      </w:r>
      <w:r>
        <w:rPr>
          <w:rFonts w:hint="eastAsia" w:ascii="Times New Roman" w:hAnsi="Times New Roman" w:cs="Times New Roman"/>
          <w:color w:val="000000"/>
          <w:kern w:val="0"/>
          <w:sz w:val="24"/>
          <w:szCs w:val="21"/>
          <w:highlight w:val="none"/>
          <w:lang w:eastAsia="zh-CN"/>
        </w:rPr>
        <w:t>）</w:t>
      </w:r>
      <w:r>
        <w:rPr>
          <w:rFonts w:hint="eastAsia" w:ascii="Times New Roman" w:hAnsi="Times New Roman" w:cs="Times New Roman"/>
          <w:color w:val="000000"/>
          <w:kern w:val="0"/>
          <w:sz w:val="24"/>
          <w:szCs w:val="21"/>
          <w:highlight w:val="none"/>
          <w:lang w:val="en-US" w:eastAsia="zh-CN"/>
        </w:rPr>
        <w:t>地表水环境</w:t>
      </w:r>
    </w:p>
    <w:p w14:paraId="5BA4479B">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kern w:val="0"/>
          <w:sz w:val="24"/>
          <w:szCs w:val="21"/>
          <w:highlight w:val="none"/>
          <w:lang w:eastAsia="zh-CN"/>
        </w:rPr>
      </w:pPr>
      <w:r>
        <w:rPr>
          <w:rFonts w:hint="default" w:ascii="Times New Roman" w:hAnsi="Times New Roman" w:cs="Times New Roman"/>
          <w:color w:val="000000"/>
          <w:kern w:val="0"/>
          <w:sz w:val="24"/>
          <w:szCs w:val="21"/>
          <w:highlight w:val="none"/>
        </w:rPr>
        <w:t>地表水环境质量执行《地表水环境质量标准》（GB3838-2002）中的</w:t>
      </w:r>
      <w:r>
        <w:rPr>
          <w:rFonts w:hint="eastAsia" w:cs="Times New Roman"/>
          <w:color w:val="000000"/>
          <w:kern w:val="0"/>
          <w:sz w:val="24"/>
          <w:szCs w:val="21"/>
          <w:highlight w:val="none"/>
          <w:lang w:val="en-US" w:eastAsia="zh-CN"/>
        </w:rPr>
        <w:t>II</w:t>
      </w:r>
      <w:r>
        <w:rPr>
          <w:rFonts w:hint="default" w:ascii="Times New Roman" w:hAnsi="Times New Roman" w:cs="Times New Roman"/>
          <w:color w:val="000000"/>
          <w:kern w:val="0"/>
          <w:sz w:val="24"/>
          <w:szCs w:val="21"/>
          <w:highlight w:val="none"/>
        </w:rPr>
        <w:t>类标准，详见下表</w:t>
      </w:r>
      <w:r>
        <w:rPr>
          <w:rFonts w:hint="eastAsia" w:cs="Times New Roman"/>
          <w:color w:val="000000"/>
          <w:kern w:val="0"/>
          <w:sz w:val="24"/>
          <w:szCs w:val="21"/>
          <w:highlight w:val="none"/>
          <w:lang w:eastAsia="zh-CN"/>
        </w:rPr>
        <w:t>。</w:t>
      </w:r>
    </w:p>
    <w:p w14:paraId="702B9A3B">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kern w:val="0"/>
          <w:sz w:val="24"/>
          <w:szCs w:val="21"/>
          <w:highlight w:val="none"/>
          <w:lang w:val="en-US" w:eastAsia="zh-CN"/>
        </w:rPr>
      </w:pPr>
    </w:p>
    <w:p w14:paraId="36B4DA12">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lang w:val="en-US" w:eastAsia="zh-CN"/>
        </w:rPr>
      </w:pPr>
      <w:r>
        <w:rPr>
          <w:rStyle w:val="152"/>
          <w:rFonts w:hint="default" w:ascii="Times New Roman" w:hAnsi="Times New Roman" w:eastAsia="宋体" w:cs="Times New Roman"/>
          <w:b/>
          <w:color w:val="auto"/>
          <w:szCs w:val="21"/>
          <w:highlight w:val="none"/>
          <w:lang w:val="en-US" w:eastAsia="zh-CN"/>
        </w:rPr>
        <w:t>地表水质量标准一览表</w:t>
      </w:r>
    </w:p>
    <w:tbl>
      <w:tblPr>
        <w:tblStyle w:val="58"/>
        <w:tblW w:w="850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2837"/>
        <w:gridCol w:w="2611"/>
        <w:gridCol w:w="2066"/>
      </w:tblGrid>
      <w:tr w14:paraId="2959C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tcBorders>
              <w:tl2br w:val="nil"/>
              <w:tr2bl w:val="nil"/>
            </w:tcBorders>
            <w:noWrap w:val="0"/>
            <w:vAlign w:val="center"/>
          </w:tcPr>
          <w:p w14:paraId="2F8354E5">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b/>
                <w:color w:val="auto"/>
                <w:sz w:val="21"/>
                <w:szCs w:val="21"/>
                <w:highlight w:val="none"/>
              </w:rPr>
            </w:pPr>
            <w:r>
              <w:rPr>
                <w:rFonts w:ascii="Times New Roman" w:hAnsi="Times New Roman"/>
                <w:b/>
                <w:color w:val="auto"/>
                <w:sz w:val="21"/>
                <w:szCs w:val="21"/>
                <w:highlight w:val="none"/>
              </w:rPr>
              <w:t>类别</w:t>
            </w:r>
          </w:p>
        </w:tc>
        <w:tc>
          <w:tcPr>
            <w:tcW w:w="2837" w:type="dxa"/>
            <w:tcBorders>
              <w:tl2br w:val="nil"/>
              <w:tr2bl w:val="nil"/>
            </w:tcBorders>
            <w:noWrap w:val="0"/>
            <w:vAlign w:val="center"/>
          </w:tcPr>
          <w:p w14:paraId="69CB5EEB">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b/>
                <w:color w:val="auto"/>
                <w:sz w:val="21"/>
                <w:szCs w:val="21"/>
                <w:highlight w:val="none"/>
              </w:rPr>
            </w:pPr>
            <w:r>
              <w:rPr>
                <w:rFonts w:ascii="Times New Roman" w:hAnsi="Times New Roman"/>
                <w:b/>
                <w:color w:val="auto"/>
                <w:sz w:val="21"/>
                <w:szCs w:val="21"/>
                <w:highlight w:val="none"/>
              </w:rPr>
              <w:t>污染物名称</w:t>
            </w:r>
          </w:p>
        </w:tc>
        <w:tc>
          <w:tcPr>
            <w:tcW w:w="2611" w:type="dxa"/>
            <w:tcBorders>
              <w:tl2br w:val="nil"/>
              <w:tr2bl w:val="nil"/>
            </w:tcBorders>
            <w:noWrap w:val="0"/>
            <w:vAlign w:val="center"/>
          </w:tcPr>
          <w:p w14:paraId="0CD02748">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b/>
                <w:color w:val="auto"/>
                <w:sz w:val="21"/>
                <w:szCs w:val="21"/>
                <w:highlight w:val="none"/>
              </w:rPr>
            </w:pPr>
            <w:r>
              <w:rPr>
                <w:rFonts w:ascii="Times New Roman" w:hAnsi="Times New Roman"/>
                <w:b/>
                <w:color w:val="auto"/>
                <w:sz w:val="21"/>
                <w:szCs w:val="21"/>
                <w:highlight w:val="none"/>
              </w:rPr>
              <w:t>标准值</w:t>
            </w:r>
          </w:p>
        </w:tc>
        <w:tc>
          <w:tcPr>
            <w:tcW w:w="2066" w:type="dxa"/>
            <w:tcBorders>
              <w:tl2br w:val="nil"/>
              <w:tr2bl w:val="nil"/>
            </w:tcBorders>
            <w:noWrap w:val="0"/>
            <w:vAlign w:val="center"/>
          </w:tcPr>
          <w:p w14:paraId="40CFF0E9">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b/>
                <w:color w:val="auto"/>
                <w:sz w:val="21"/>
                <w:szCs w:val="21"/>
                <w:highlight w:val="none"/>
              </w:rPr>
            </w:pPr>
            <w:r>
              <w:rPr>
                <w:rFonts w:ascii="Times New Roman" w:hAnsi="Times New Roman"/>
                <w:b/>
                <w:color w:val="auto"/>
                <w:sz w:val="21"/>
                <w:szCs w:val="21"/>
                <w:highlight w:val="none"/>
              </w:rPr>
              <w:t>标准来源</w:t>
            </w:r>
          </w:p>
        </w:tc>
      </w:tr>
      <w:tr w14:paraId="16492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restart"/>
            <w:tcBorders>
              <w:tl2br w:val="nil"/>
              <w:tr2bl w:val="nil"/>
            </w:tcBorders>
            <w:noWrap w:val="0"/>
            <w:vAlign w:val="center"/>
          </w:tcPr>
          <w:p w14:paraId="765CA3BE">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地表水</w:t>
            </w:r>
          </w:p>
        </w:tc>
        <w:tc>
          <w:tcPr>
            <w:tcW w:w="2837" w:type="dxa"/>
            <w:tcBorders>
              <w:tl2br w:val="nil"/>
              <w:tr2bl w:val="nil"/>
            </w:tcBorders>
            <w:shd w:val="clear" w:color="auto" w:fill="auto"/>
            <w:noWrap w:val="0"/>
            <w:vAlign w:val="center"/>
          </w:tcPr>
          <w:p w14:paraId="1737FD84">
            <w:pPr>
              <w:pStyle w:val="161"/>
              <w:spacing w:line="240" w:lineRule="auto"/>
              <w:rPr>
                <w:rFonts w:ascii="Times New Roman" w:hAnsi="Times New Roman" w:eastAsia="宋体" w:cs="Times New Roman"/>
                <w:bCs/>
                <w:kern w:val="2"/>
                <w:sz w:val="21"/>
                <w:szCs w:val="21"/>
                <w:highlight w:val="none"/>
                <w:lang w:val="en-US" w:eastAsia="zh-CN" w:bidi="ar-SA"/>
              </w:rPr>
            </w:pPr>
            <w:r>
              <w:rPr>
                <w:rFonts w:ascii="Times New Roman"/>
                <w:highlight w:val="none"/>
              </w:rPr>
              <w:t>pH值（无量纲）</w:t>
            </w:r>
          </w:p>
        </w:tc>
        <w:tc>
          <w:tcPr>
            <w:tcW w:w="2611" w:type="dxa"/>
            <w:tcBorders>
              <w:tl2br w:val="nil"/>
              <w:tr2bl w:val="nil"/>
            </w:tcBorders>
            <w:shd w:val="clear" w:color="auto" w:fill="auto"/>
            <w:noWrap w:val="0"/>
            <w:vAlign w:val="center"/>
          </w:tcPr>
          <w:p w14:paraId="4AA4A4F1">
            <w:pPr>
              <w:pStyle w:val="161"/>
              <w:ind w:firstLine="0" w:firstLineChars="0"/>
              <w:rPr>
                <w:rFonts w:ascii="Times New Roman" w:hAnsi="Times New Roman" w:eastAsia="宋体" w:cs="Times New Roman"/>
                <w:kern w:val="2"/>
                <w:sz w:val="21"/>
                <w:szCs w:val="21"/>
                <w:highlight w:val="none"/>
                <w:lang w:val="en-US" w:eastAsia="zh-CN" w:bidi="ar-SA"/>
              </w:rPr>
            </w:pPr>
            <w:r>
              <w:rPr>
                <w:rFonts w:ascii="Times New Roman"/>
                <w:highlight w:val="none"/>
              </w:rPr>
              <w:t>6-9</w:t>
            </w:r>
          </w:p>
        </w:tc>
        <w:tc>
          <w:tcPr>
            <w:tcW w:w="2066" w:type="dxa"/>
            <w:vMerge w:val="restart"/>
            <w:tcBorders>
              <w:tl2br w:val="nil"/>
              <w:tr2bl w:val="nil"/>
            </w:tcBorders>
            <w:noWrap w:val="0"/>
            <w:vAlign w:val="center"/>
          </w:tcPr>
          <w:p w14:paraId="774F7637">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《地表水环境质量标准》（GB3838-2002）</w:t>
            </w:r>
            <w:r>
              <w:rPr>
                <w:rFonts w:hint="eastAsia"/>
                <w:color w:val="auto"/>
                <w:sz w:val="21"/>
                <w:szCs w:val="21"/>
                <w:highlight w:val="none"/>
                <w:lang w:val="en-US" w:eastAsia="zh-CN"/>
              </w:rPr>
              <w:t>II</w:t>
            </w:r>
            <w:r>
              <w:rPr>
                <w:rFonts w:ascii="Times New Roman" w:hAnsi="Times New Roman"/>
                <w:color w:val="auto"/>
                <w:sz w:val="21"/>
                <w:szCs w:val="21"/>
                <w:highlight w:val="none"/>
              </w:rPr>
              <w:t>类标准</w:t>
            </w:r>
          </w:p>
        </w:tc>
      </w:tr>
      <w:tr w14:paraId="64676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0C376C4B">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6919D6A3">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溶解氧</w:t>
            </w:r>
          </w:p>
        </w:tc>
        <w:tc>
          <w:tcPr>
            <w:tcW w:w="2611" w:type="dxa"/>
            <w:tcBorders>
              <w:tl2br w:val="nil"/>
              <w:tr2bl w:val="nil"/>
            </w:tcBorders>
            <w:shd w:val="clear" w:color="auto" w:fill="auto"/>
            <w:noWrap w:val="0"/>
            <w:vAlign w:val="center"/>
          </w:tcPr>
          <w:p w14:paraId="6B47D6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w:t>
            </w:r>
            <w:r>
              <w:rPr>
                <w:rFonts w:hint="eastAsia"/>
                <w:color w:val="auto"/>
                <w:sz w:val="21"/>
                <w:szCs w:val="21"/>
                <w:highlight w:val="none"/>
                <w:lang w:val="en-US" w:eastAsia="zh-CN"/>
              </w:rPr>
              <w:t xml:space="preserve">6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3FCC1D2D">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79D57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18A107BE">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01FF5E5B">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高锰酸盐指数</w:t>
            </w:r>
          </w:p>
        </w:tc>
        <w:tc>
          <w:tcPr>
            <w:tcW w:w="2611" w:type="dxa"/>
            <w:tcBorders>
              <w:tl2br w:val="nil"/>
              <w:tr2bl w:val="nil"/>
            </w:tcBorders>
            <w:shd w:val="clear" w:color="auto" w:fill="auto"/>
            <w:noWrap w:val="0"/>
            <w:vAlign w:val="center"/>
          </w:tcPr>
          <w:p w14:paraId="74B3A5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w:t>
            </w:r>
            <w:r>
              <w:rPr>
                <w:rFonts w:hint="eastAsia"/>
                <w:color w:val="auto"/>
                <w:sz w:val="21"/>
                <w:szCs w:val="21"/>
                <w:highlight w:val="none"/>
                <w:lang w:val="en-US" w:eastAsia="zh-CN"/>
              </w:rPr>
              <w:t xml:space="preserve">4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19FFE2A6">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5F1CC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56DF1347">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0243E85B">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化学需氧量（COD）</w:t>
            </w:r>
          </w:p>
        </w:tc>
        <w:tc>
          <w:tcPr>
            <w:tcW w:w="2611" w:type="dxa"/>
            <w:tcBorders>
              <w:tl2br w:val="nil"/>
              <w:tr2bl w:val="nil"/>
            </w:tcBorders>
            <w:shd w:val="clear" w:color="auto" w:fill="auto"/>
            <w:noWrap w:val="0"/>
            <w:vAlign w:val="center"/>
          </w:tcPr>
          <w:p w14:paraId="6AE6EB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w:t>
            </w:r>
            <w:r>
              <w:rPr>
                <w:rFonts w:hint="eastAsia"/>
                <w:color w:val="auto"/>
                <w:sz w:val="21"/>
                <w:szCs w:val="21"/>
                <w:highlight w:val="none"/>
                <w:lang w:val="en-US" w:eastAsia="zh-CN"/>
              </w:rPr>
              <w:t xml:space="preserve">15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0706F02F">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3F4DF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7D4445FC">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502B5FE4">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五日生化需氧量（BOD</w:t>
            </w:r>
            <w:r>
              <w:rPr>
                <w:rFonts w:ascii="Times New Roman"/>
                <w:highlight w:val="none"/>
                <w:vertAlign w:val="subscript"/>
              </w:rPr>
              <w:t>5</w:t>
            </w:r>
            <w:r>
              <w:rPr>
                <w:rFonts w:ascii="Times New Roman"/>
                <w:highlight w:val="none"/>
              </w:rPr>
              <w:t>）</w:t>
            </w:r>
          </w:p>
        </w:tc>
        <w:tc>
          <w:tcPr>
            <w:tcW w:w="2611" w:type="dxa"/>
            <w:tcBorders>
              <w:tl2br w:val="nil"/>
              <w:tr2bl w:val="nil"/>
            </w:tcBorders>
            <w:shd w:val="clear" w:color="auto" w:fill="auto"/>
            <w:noWrap w:val="0"/>
            <w:vAlign w:val="center"/>
          </w:tcPr>
          <w:p w14:paraId="6054E0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w:t>
            </w:r>
            <w:r>
              <w:rPr>
                <w:rFonts w:hint="eastAsia"/>
                <w:color w:val="auto"/>
                <w:sz w:val="21"/>
                <w:szCs w:val="21"/>
                <w:highlight w:val="none"/>
                <w:lang w:val="en-US" w:eastAsia="zh-CN"/>
              </w:rPr>
              <w:t xml:space="preserve">3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7E8AA74E">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0329A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1C9060DF">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4C0972D7">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氨氮（NH</w:t>
            </w:r>
            <w:r>
              <w:rPr>
                <w:rFonts w:ascii="Times New Roman"/>
                <w:highlight w:val="none"/>
                <w:vertAlign w:val="subscript"/>
              </w:rPr>
              <w:t>3</w:t>
            </w:r>
            <w:r>
              <w:rPr>
                <w:rFonts w:ascii="Times New Roman"/>
                <w:highlight w:val="none"/>
              </w:rPr>
              <w:t>-N）</w:t>
            </w:r>
          </w:p>
        </w:tc>
        <w:tc>
          <w:tcPr>
            <w:tcW w:w="2611" w:type="dxa"/>
            <w:tcBorders>
              <w:tl2br w:val="nil"/>
              <w:tr2bl w:val="nil"/>
            </w:tcBorders>
            <w:shd w:val="clear" w:color="auto" w:fill="auto"/>
            <w:noWrap w:val="0"/>
            <w:vAlign w:val="center"/>
          </w:tcPr>
          <w:p w14:paraId="0F6E3C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w:t>
            </w:r>
            <w:r>
              <w:rPr>
                <w:rFonts w:hint="eastAsia"/>
                <w:color w:val="auto"/>
                <w:sz w:val="21"/>
                <w:szCs w:val="21"/>
                <w:highlight w:val="none"/>
                <w:lang w:val="en-US" w:eastAsia="zh-CN"/>
              </w:rPr>
              <w:t xml:space="preserve">0.5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5F21AC95">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1039A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25632AB9">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582ADDBA">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总磷（以P计）</w:t>
            </w:r>
          </w:p>
        </w:tc>
        <w:tc>
          <w:tcPr>
            <w:tcW w:w="2611" w:type="dxa"/>
            <w:tcBorders>
              <w:tl2br w:val="nil"/>
              <w:tr2bl w:val="nil"/>
            </w:tcBorders>
            <w:shd w:val="clear" w:color="auto" w:fill="auto"/>
            <w:noWrap w:val="0"/>
            <w:vAlign w:val="center"/>
          </w:tcPr>
          <w:p w14:paraId="5B3874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w:t>
            </w:r>
            <w:r>
              <w:rPr>
                <w:rFonts w:hint="eastAsia"/>
                <w:color w:val="auto"/>
                <w:sz w:val="21"/>
                <w:szCs w:val="21"/>
                <w:highlight w:val="none"/>
                <w:lang w:val="en-US" w:eastAsia="zh-CN"/>
              </w:rPr>
              <w:t xml:space="preserve">1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593F6721">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60FD8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36807451">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54B4A172">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总氮</w:t>
            </w:r>
          </w:p>
        </w:tc>
        <w:tc>
          <w:tcPr>
            <w:tcW w:w="2611" w:type="dxa"/>
            <w:tcBorders>
              <w:tl2br w:val="nil"/>
              <w:tr2bl w:val="nil"/>
            </w:tcBorders>
            <w:shd w:val="clear" w:color="auto" w:fill="auto"/>
            <w:noWrap w:val="0"/>
            <w:vAlign w:val="center"/>
          </w:tcPr>
          <w:p w14:paraId="5766E1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w:t>
            </w:r>
            <w:r>
              <w:rPr>
                <w:rFonts w:hint="eastAsia"/>
                <w:color w:val="auto"/>
                <w:sz w:val="21"/>
                <w:szCs w:val="21"/>
                <w:highlight w:val="none"/>
                <w:lang w:val="en-US" w:eastAsia="zh-CN"/>
              </w:rPr>
              <w:t xml:space="preserve">0.5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2F221685">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017E9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12072550">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0C01E659">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铜</w:t>
            </w:r>
          </w:p>
        </w:tc>
        <w:tc>
          <w:tcPr>
            <w:tcW w:w="2611" w:type="dxa"/>
            <w:tcBorders>
              <w:tl2br w:val="nil"/>
              <w:tr2bl w:val="nil"/>
            </w:tcBorders>
            <w:shd w:val="clear" w:color="auto" w:fill="auto"/>
            <w:noWrap w:val="0"/>
            <w:vAlign w:val="center"/>
          </w:tcPr>
          <w:p w14:paraId="05467E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≤1</w:t>
            </w:r>
            <w:r>
              <w:rPr>
                <w:rFonts w:hint="eastAsia"/>
                <w:color w:val="auto"/>
                <w:sz w:val="21"/>
                <w:szCs w:val="21"/>
                <w:highlight w:val="none"/>
                <w:lang w:val="en-US" w:eastAsia="zh-CN"/>
              </w:rPr>
              <w:t xml:space="preserve">.0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566A5AB7">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21F70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553D228E">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66610B62">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锌</w:t>
            </w:r>
          </w:p>
        </w:tc>
        <w:tc>
          <w:tcPr>
            <w:tcW w:w="2611" w:type="dxa"/>
            <w:tcBorders>
              <w:tl2br w:val="nil"/>
              <w:tr2bl w:val="nil"/>
            </w:tcBorders>
            <w:shd w:val="clear" w:color="auto" w:fill="auto"/>
            <w:noWrap w:val="0"/>
            <w:vAlign w:val="center"/>
          </w:tcPr>
          <w:p w14:paraId="72545E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≤1</w:t>
            </w:r>
            <w:r>
              <w:rPr>
                <w:rFonts w:hint="eastAsia"/>
                <w:color w:val="auto"/>
                <w:sz w:val="21"/>
                <w:szCs w:val="21"/>
                <w:highlight w:val="none"/>
                <w:lang w:val="en-US" w:eastAsia="zh-CN"/>
              </w:rPr>
              <w:t xml:space="preserve">.0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1A38A378">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58FBD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268D5F86">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7D47EB26">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氟化物</w:t>
            </w:r>
          </w:p>
        </w:tc>
        <w:tc>
          <w:tcPr>
            <w:tcW w:w="2611" w:type="dxa"/>
            <w:tcBorders>
              <w:tl2br w:val="nil"/>
              <w:tr2bl w:val="nil"/>
            </w:tcBorders>
            <w:shd w:val="clear" w:color="auto" w:fill="auto"/>
            <w:noWrap w:val="0"/>
            <w:vAlign w:val="center"/>
          </w:tcPr>
          <w:p w14:paraId="58FB2E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≤1</w:t>
            </w:r>
            <w:r>
              <w:rPr>
                <w:rFonts w:hint="eastAsia"/>
                <w:color w:val="auto"/>
                <w:sz w:val="21"/>
                <w:szCs w:val="21"/>
                <w:highlight w:val="none"/>
                <w:lang w:val="en-US" w:eastAsia="zh-CN"/>
              </w:rPr>
              <w:t xml:space="preserve">.0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32EFF1E0">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0EED3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2D984E2F">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136FD760">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硒</w:t>
            </w:r>
          </w:p>
        </w:tc>
        <w:tc>
          <w:tcPr>
            <w:tcW w:w="2611" w:type="dxa"/>
            <w:tcBorders>
              <w:tl2br w:val="nil"/>
              <w:tr2bl w:val="nil"/>
            </w:tcBorders>
            <w:shd w:val="clear" w:color="auto" w:fill="auto"/>
            <w:noWrap w:val="0"/>
            <w:vAlign w:val="center"/>
          </w:tcPr>
          <w:p w14:paraId="38F9A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≤0.01</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740FE573">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2FE27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5EDB7178">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7134FC0E">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砷</w:t>
            </w:r>
          </w:p>
        </w:tc>
        <w:tc>
          <w:tcPr>
            <w:tcW w:w="2611" w:type="dxa"/>
            <w:tcBorders>
              <w:tl2br w:val="nil"/>
              <w:tr2bl w:val="nil"/>
            </w:tcBorders>
            <w:shd w:val="clear" w:color="auto" w:fill="auto"/>
            <w:noWrap w:val="0"/>
            <w:vAlign w:val="center"/>
          </w:tcPr>
          <w:p w14:paraId="6A2599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≤0.05</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3D1A5925">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6B9EE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05F01E3C">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6AB9D791">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汞</w:t>
            </w:r>
          </w:p>
        </w:tc>
        <w:tc>
          <w:tcPr>
            <w:tcW w:w="2611" w:type="dxa"/>
            <w:tcBorders>
              <w:tl2br w:val="nil"/>
              <w:tr2bl w:val="nil"/>
            </w:tcBorders>
            <w:shd w:val="clear" w:color="auto" w:fill="auto"/>
            <w:noWrap w:val="0"/>
            <w:vAlign w:val="center"/>
          </w:tcPr>
          <w:p w14:paraId="34AAAB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≤0.000</w:t>
            </w:r>
            <w:r>
              <w:rPr>
                <w:rFonts w:hint="eastAsia"/>
                <w:color w:val="auto"/>
                <w:sz w:val="21"/>
                <w:szCs w:val="21"/>
                <w:highlight w:val="none"/>
                <w:lang w:val="en-US" w:eastAsia="zh-CN"/>
              </w:rPr>
              <w:t xml:space="preserve">05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137DAC63">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3C506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222FECBE">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16884165">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镉</w:t>
            </w:r>
          </w:p>
        </w:tc>
        <w:tc>
          <w:tcPr>
            <w:tcW w:w="2611" w:type="dxa"/>
            <w:tcBorders>
              <w:tl2br w:val="nil"/>
              <w:tr2bl w:val="nil"/>
            </w:tcBorders>
            <w:shd w:val="clear" w:color="auto" w:fill="auto"/>
            <w:noWrap w:val="0"/>
            <w:vAlign w:val="center"/>
          </w:tcPr>
          <w:p w14:paraId="206408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≤0.005</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6AF940F3">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4EF0B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7DC55B9E">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2A538DE9">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铬（六价）</w:t>
            </w:r>
          </w:p>
        </w:tc>
        <w:tc>
          <w:tcPr>
            <w:tcW w:w="2611" w:type="dxa"/>
            <w:tcBorders>
              <w:tl2br w:val="nil"/>
              <w:tr2bl w:val="nil"/>
            </w:tcBorders>
            <w:shd w:val="clear" w:color="auto" w:fill="auto"/>
            <w:noWrap w:val="0"/>
            <w:vAlign w:val="center"/>
          </w:tcPr>
          <w:p w14:paraId="045679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≤0.05</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79BC01FB">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23679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01EC9A42">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040888F4">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铅</w:t>
            </w:r>
          </w:p>
        </w:tc>
        <w:tc>
          <w:tcPr>
            <w:tcW w:w="2611" w:type="dxa"/>
            <w:tcBorders>
              <w:tl2br w:val="nil"/>
              <w:tr2bl w:val="nil"/>
            </w:tcBorders>
            <w:shd w:val="clear" w:color="auto" w:fill="auto"/>
            <w:noWrap w:val="0"/>
            <w:vAlign w:val="center"/>
          </w:tcPr>
          <w:p w14:paraId="58ECAC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w:t>
            </w:r>
            <w:r>
              <w:rPr>
                <w:rFonts w:hint="eastAsia"/>
                <w:color w:val="auto"/>
                <w:sz w:val="21"/>
                <w:szCs w:val="21"/>
                <w:highlight w:val="none"/>
                <w:lang w:val="en-US" w:eastAsia="zh-CN"/>
              </w:rPr>
              <w:t xml:space="preserve">1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52990D50">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3FCDC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607AB4A1">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69C449F3">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氰化物</w:t>
            </w:r>
          </w:p>
        </w:tc>
        <w:tc>
          <w:tcPr>
            <w:tcW w:w="2611" w:type="dxa"/>
            <w:tcBorders>
              <w:tl2br w:val="nil"/>
              <w:tr2bl w:val="nil"/>
            </w:tcBorders>
            <w:shd w:val="clear" w:color="auto" w:fill="auto"/>
            <w:noWrap w:val="0"/>
            <w:vAlign w:val="center"/>
          </w:tcPr>
          <w:p w14:paraId="357639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w:t>
            </w:r>
            <w:r>
              <w:rPr>
                <w:rFonts w:hint="eastAsia"/>
                <w:color w:val="auto"/>
                <w:sz w:val="21"/>
                <w:szCs w:val="21"/>
                <w:highlight w:val="none"/>
                <w:lang w:val="en-US" w:eastAsia="zh-CN"/>
              </w:rPr>
              <w:t xml:space="preserve">05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7E54CB38">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093E8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0A277603">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681F7CBF">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挥发酚</w:t>
            </w:r>
          </w:p>
        </w:tc>
        <w:tc>
          <w:tcPr>
            <w:tcW w:w="2611" w:type="dxa"/>
            <w:tcBorders>
              <w:tl2br w:val="nil"/>
              <w:tr2bl w:val="nil"/>
            </w:tcBorders>
            <w:shd w:val="clear" w:color="auto" w:fill="auto"/>
            <w:noWrap w:val="0"/>
            <w:vAlign w:val="center"/>
          </w:tcPr>
          <w:p w14:paraId="266F8D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≤0.00</w:t>
            </w:r>
            <w:r>
              <w:rPr>
                <w:rFonts w:hint="eastAsia"/>
                <w:color w:val="auto"/>
                <w:sz w:val="21"/>
                <w:szCs w:val="21"/>
                <w:highlight w:val="none"/>
                <w:lang w:val="en-US" w:eastAsia="zh-CN"/>
              </w:rPr>
              <w:t xml:space="preserve">2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3238D892">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1DAF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3DE01820">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0C285F6E">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石油类</w:t>
            </w:r>
          </w:p>
        </w:tc>
        <w:tc>
          <w:tcPr>
            <w:tcW w:w="2611" w:type="dxa"/>
            <w:tcBorders>
              <w:tl2br w:val="nil"/>
              <w:tr2bl w:val="nil"/>
            </w:tcBorders>
            <w:shd w:val="clear" w:color="auto" w:fill="auto"/>
            <w:noWrap w:val="0"/>
            <w:vAlign w:val="center"/>
          </w:tcPr>
          <w:p w14:paraId="3B8E6A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≤0.05</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27160C29">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7C807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257FF01F">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5D5EF8DF">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阴离子表面活性剂</w:t>
            </w:r>
          </w:p>
        </w:tc>
        <w:tc>
          <w:tcPr>
            <w:tcW w:w="2611" w:type="dxa"/>
            <w:tcBorders>
              <w:tl2br w:val="nil"/>
              <w:tr2bl w:val="nil"/>
            </w:tcBorders>
            <w:shd w:val="clear" w:color="auto" w:fill="auto"/>
            <w:noWrap w:val="0"/>
            <w:vAlign w:val="center"/>
          </w:tcPr>
          <w:p w14:paraId="0C8361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≤0.2</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2612EA57">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27126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6995056B">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073910A0">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硫化物</w:t>
            </w:r>
          </w:p>
        </w:tc>
        <w:tc>
          <w:tcPr>
            <w:tcW w:w="2611" w:type="dxa"/>
            <w:tcBorders>
              <w:tl2br w:val="nil"/>
              <w:tr2bl w:val="nil"/>
            </w:tcBorders>
            <w:shd w:val="clear" w:color="auto" w:fill="auto"/>
            <w:noWrap w:val="0"/>
            <w:vAlign w:val="center"/>
          </w:tcPr>
          <w:p w14:paraId="151ABB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≤0.</w:t>
            </w:r>
            <w:r>
              <w:rPr>
                <w:rFonts w:hint="eastAsia"/>
                <w:color w:val="auto"/>
                <w:sz w:val="21"/>
                <w:szCs w:val="21"/>
                <w:highlight w:val="none"/>
                <w:lang w:val="en-US" w:eastAsia="zh-CN"/>
              </w:rPr>
              <w:t xml:space="preserve">1 </w:t>
            </w:r>
            <w:r>
              <w:rPr>
                <w:rFonts w:ascii="Times New Roman" w:hAnsi="Times New Roman"/>
                <w:color w:val="auto"/>
                <w:sz w:val="21"/>
                <w:szCs w:val="21"/>
                <w:highlight w:val="none"/>
              </w:rPr>
              <w:t>mg/L</w:t>
            </w:r>
          </w:p>
        </w:tc>
        <w:tc>
          <w:tcPr>
            <w:tcW w:w="2066" w:type="dxa"/>
            <w:vMerge w:val="continue"/>
            <w:tcBorders>
              <w:tl2br w:val="nil"/>
              <w:tr2bl w:val="nil"/>
            </w:tcBorders>
            <w:noWrap w:val="0"/>
            <w:vAlign w:val="center"/>
          </w:tcPr>
          <w:p w14:paraId="67FFB96A">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r w14:paraId="040B2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91" w:type="dxa"/>
            <w:vMerge w:val="continue"/>
            <w:tcBorders>
              <w:tl2br w:val="nil"/>
              <w:tr2bl w:val="nil"/>
            </w:tcBorders>
            <w:noWrap w:val="0"/>
            <w:vAlign w:val="center"/>
          </w:tcPr>
          <w:p w14:paraId="67EA5347">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c>
          <w:tcPr>
            <w:tcW w:w="2837" w:type="dxa"/>
            <w:tcBorders>
              <w:tl2br w:val="nil"/>
              <w:tr2bl w:val="nil"/>
            </w:tcBorders>
            <w:shd w:val="clear" w:color="auto" w:fill="auto"/>
            <w:noWrap w:val="0"/>
            <w:vAlign w:val="center"/>
          </w:tcPr>
          <w:p w14:paraId="3D0A0955">
            <w:pPr>
              <w:pStyle w:val="161"/>
              <w:spacing w:line="240" w:lineRule="auto"/>
              <w:rPr>
                <w:rFonts w:ascii="Times New Roman" w:hAnsi="Times New Roman" w:eastAsia="宋体" w:cs="Times New Roman"/>
                <w:snapToGrid w:val="0"/>
                <w:kern w:val="0"/>
                <w:sz w:val="21"/>
                <w:szCs w:val="21"/>
                <w:highlight w:val="none"/>
                <w:lang w:val="en-US" w:eastAsia="zh-CN" w:bidi="ar-SA"/>
              </w:rPr>
            </w:pPr>
            <w:r>
              <w:rPr>
                <w:rFonts w:ascii="Times New Roman"/>
                <w:highlight w:val="none"/>
              </w:rPr>
              <w:t>粪大肠杆菌数</w:t>
            </w:r>
          </w:p>
        </w:tc>
        <w:tc>
          <w:tcPr>
            <w:tcW w:w="2611" w:type="dxa"/>
            <w:tcBorders>
              <w:tl2br w:val="nil"/>
              <w:tr2bl w:val="nil"/>
            </w:tcBorders>
            <w:shd w:val="clear" w:color="auto" w:fill="auto"/>
            <w:noWrap w:val="0"/>
            <w:vAlign w:val="center"/>
          </w:tcPr>
          <w:p w14:paraId="5C8D39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ascii="Times New Roman" w:hAnsi="Times New Roman"/>
                <w:color w:val="auto"/>
                <w:sz w:val="21"/>
                <w:szCs w:val="21"/>
                <w:highlight w:val="none"/>
              </w:rPr>
              <w:t>≤</w:t>
            </w:r>
            <w:r>
              <w:rPr>
                <w:rFonts w:hint="eastAsia"/>
                <w:color w:val="auto"/>
                <w:sz w:val="21"/>
                <w:szCs w:val="21"/>
                <w:highlight w:val="none"/>
                <w:lang w:val="en-US" w:eastAsia="zh-CN"/>
              </w:rPr>
              <w:t>2</w:t>
            </w:r>
            <w:r>
              <w:rPr>
                <w:rFonts w:ascii="Times New Roman" w:hAnsi="Times New Roman"/>
                <w:color w:val="auto"/>
                <w:sz w:val="21"/>
                <w:szCs w:val="21"/>
                <w:highlight w:val="none"/>
              </w:rPr>
              <w:t>000</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个/L</w:t>
            </w:r>
          </w:p>
        </w:tc>
        <w:tc>
          <w:tcPr>
            <w:tcW w:w="2066" w:type="dxa"/>
            <w:vMerge w:val="continue"/>
            <w:tcBorders>
              <w:tl2br w:val="nil"/>
              <w:tr2bl w:val="nil"/>
            </w:tcBorders>
            <w:noWrap w:val="0"/>
            <w:vAlign w:val="center"/>
          </w:tcPr>
          <w:p w14:paraId="4BF4E1FB">
            <w:pPr>
              <w:keepNext w:val="0"/>
              <w:keepLines w:val="0"/>
              <w:pageBreakBefore w:val="0"/>
              <w:widowControl w:val="0"/>
              <w:kinsoku/>
              <w:wordWrap/>
              <w:overflowPunct/>
              <w:topLinePunct w:val="0"/>
              <w:autoSpaceDE/>
              <w:autoSpaceDN/>
              <w:bidi w:val="0"/>
              <w:adjustRightInd w:val="0"/>
              <w:snapToGrid w:val="0"/>
              <w:spacing w:line="240" w:lineRule="exact"/>
              <w:ind w:firstLine="0" w:firstLineChars="0"/>
              <w:jc w:val="center"/>
              <w:textAlignment w:val="auto"/>
              <w:rPr>
                <w:rFonts w:ascii="Times New Roman" w:hAnsi="Times New Roman"/>
                <w:color w:val="auto"/>
                <w:sz w:val="21"/>
                <w:szCs w:val="21"/>
                <w:highlight w:val="none"/>
              </w:rPr>
            </w:pPr>
          </w:p>
        </w:tc>
      </w:tr>
    </w:tbl>
    <w:p w14:paraId="0F2503F7">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（3）地下水环境</w:t>
      </w:r>
    </w:p>
    <w:p w14:paraId="33948F8B">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4"/>
          <w:highlight w:val="none"/>
        </w:rPr>
        <w:t>地下水环境质量执行《地下水质量标准》（GB/T14848-2017）中的Ⅲ类标准，</w:t>
      </w:r>
      <w:r>
        <w:rPr>
          <w:rFonts w:hint="eastAsia" w:ascii="Times New Roman"/>
          <w:color w:val="auto"/>
          <w:sz w:val="24"/>
          <w:szCs w:val="24"/>
          <w:highlight w:val="none"/>
        </w:rPr>
        <w:t>石油类、总磷参照执行《地表水环境质量标准》（GB3838-2002）表1地表水环境质量标准基本项目标准限值中的</w:t>
      </w:r>
      <w:r>
        <w:rPr>
          <w:rFonts w:hint="default" w:ascii="Times New Roman" w:hAnsi="Times New Roman" w:cs="Times New Roman"/>
          <w:color w:val="auto"/>
          <w:sz w:val="24"/>
          <w:szCs w:val="24"/>
          <w:highlight w:val="none"/>
        </w:rPr>
        <w:t>Ⅲ</w:t>
      </w:r>
      <w:r>
        <w:rPr>
          <w:rFonts w:hint="eastAsia" w:ascii="Times New Roman"/>
          <w:color w:val="auto"/>
          <w:sz w:val="24"/>
          <w:szCs w:val="24"/>
          <w:highlight w:val="none"/>
        </w:rPr>
        <w:t>类标准</w:t>
      </w:r>
      <w:r>
        <w:rPr>
          <w:rFonts w:hint="eastAsia" w:cs="Times New Roman"/>
          <w:color w:val="000000"/>
          <w:kern w:val="0"/>
          <w:sz w:val="24"/>
          <w:szCs w:val="24"/>
          <w:highlight w:val="none"/>
          <w:lang w:val="en-US" w:eastAsia="zh-CN"/>
        </w:rPr>
        <w:t>，</w:t>
      </w:r>
      <w:r>
        <w:rPr>
          <w:rFonts w:hint="default" w:ascii="Times New Roman" w:hAnsi="Times New Roman" w:cs="Times New Roman"/>
          <w:color w:val="000000"/>
          <w:kern w:val="0"/>
          <w:sz w:val="24"/>
          <w:szCs w:val="24"/>
          <w:highlight w:val="none"/>
        </w:rPr>
        <w:t>详见下表</w:t>
      </w:r>
      <w:r>
        <w:rPr>
          <w:rFonts w:hint="default" w:ascii="Times New Roman" w:hAnsi="Times New Roman" w:cs="Times New Roman"/>
          <w:color w:val="000000"/>
          <w:kern w:val="0"/>
          <w:sz w:val="24"/>
          <w:szCs w:val="21"/>
          <w:highlight w:val="none"/>
        </w:rPr>
        <w:t>。</w:t>
      </w:r>
    </w:p>
    <w:p w14:paraId="2160FEC2">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lang w:val="en-US" w:eastAsia="zh-CN"/>
        </w:rPr>
      </w:pPr>
      <w:r>
        <w:rPr>
          <w:rStyle w:val="152"/>
          <w:rFonts w:hint="eastAsia" w:ascii="Times New Roman" w:hAnsi="Times New Roman" w:eastAsia="宋体" w:cs="Times New Roman"/>
          <w:b/>
          <w:color w:val="auto"/>
          <w:szCs w:val="21"/>
          <w:highlight w:val="none"/>
          <w:lang w:val="en-US" w:eastAsia="zh-CN"/>
        </w:rPr>
        <w:t>地下水</w:t>
      </w:r>
      <w:r>
        <w:rPr>
          <w:rStyle w:val="152"/>
          <w:rFonts w:hint="default" w:ascii="Times New Roman" w:hAnsi="Times New Roman" w:eastAsia="宋体" w:cs="Times New Roman"/>
          <w:b/>
          <w:color w:val="auto"/>
          <w:szCs w:val="21"/>
          <w:highlight w:val="none"/>
          <w:lang w:val="en-US" w:eastAsia="zh-CN"/>
        </w:rPr>
        <w:t>环境质量标准</w:t>
      </w:r>
    </w:p>
    <w:tbl>
      <w:tblPr>
        <w:tblStyle w:val="58"/>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7"/>
        <w:gridCol w:w="2568"/>
        <w:gridCol w:w="1851"/>
        <w:gridCol w:w="2732"/>
      </w:tblGrid>
      <w:tr w14:paraId="376FF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noWrap w:val="0"/>
            <w:vAlign w:val="center"/>
          </w:tcPr>
          <w:p w14:paraId="505465F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1507" w:type="pct"/>
            <w:noWrap w:val="0"/>
            <w:vAlign w:val="center"/>
          </w:tcPr>
          <w:p w14:paraId="3D549B8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污染物名称</w:t>
            </w:r>
          </w:p>
        </w:tc>
        <w:tc>
          <w:tcPr>
            <w:tcW w:w="1086" w:type="pct"/>
            <w:noWrap w:val="0"/>
            <w:vAlign w:val="center"/>
          </w:tcPr>
          <w:p w14:paraId="2B008BA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标准值</w:t>
            </w:r>
          </w:p>
        </w:tc>
        <w:tc>
          <w:tcPr>
            <w:tcW w:w="1603" w:type="pct"/>
            <w:noWrap w:val="0"/>
            <w:vAlign w:val="center"/>
          </w:tcPr>
          <w:p w14:paraId="33C47AE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标准来源</w:t>
            </w:r>
          </w:p>
        </w:tc>
      </w:tr>
      <w:tr w14:paraId="0ACA2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restart"/>
            <w:noWrap w:val="0"/>
            <w:vAlign w:val="center"/>
          </w:tcPr>
          <w:p w14:paraId="353A3D4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地下水</w:t>
            </w:r>
          </w:p>
        </w:tc>
        <w:tc>
          <w:tcPr>
            <w:tcW w:w="1507" w:type="pct"/>
            <w:noWrap w:val="0"/>
            <w:vAlign w:val="center"/>
          </w:tcPr>
          <w:p w14:paraId="50822C18">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色度（倍）</w:t>
            </w:r>
          </w:p>
        </w:tc>
        <w:tc>
          <w:tcPr>
            <w:tcW w:w="1086" w:type="pct"/>
            <w:noWrap w:val="0"/>
            <w:vAlign w:val="center"/>
          </w:tcPr>
          <w:p w14:paraId="32CF8903">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≤15</w:t>
            </w:r>
          </w:p>
        </w:tc>
        <w:tc>
          <w:tcPr>
            <w:tcW w:w="1603" w:type="pct"/>
            <w:vMerge w:val="restart"/>
            <w:noWrap w:val="0"/>
            <w:vAlign w:val="center"/>
          </w:tcPr>
          <w:p w14:paraId="508DD82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《地下水质量标准》</w:t>
            </w:r>
          </w:p>
          <w:p w14:paraId="3DDDC5A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(GB/Tl4848-2017)Ⅲ类</w:t>
            </w:r>
          </w:p>
        </w:tc>
      </w:tr>
      <w:tr w14:paraId="5E076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37D4C42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AA4B2F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臭和味</w:t>
            </w:r>
          </w:p>
        </w:tc>
        <w:tc>
          <w:tcPr>
            <w:tcW w:w="1086" w:type="pct"/>
            <w:noWrap w:val="0"/>
            <w:vAlign w:val="center"/>
          </w:tcPr>
          <w:p w14:paraId="439BF4E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无</w:t>
            </w:r>
          </w:p>
        </w:tc>
        <w:tc>
          <w:tcPr>
            <w:tcW w:w="1603" w:type="pct"/>
            <w:vMerge w:val="continue"/>
            <w:noWrap w:val="0"/>
            <w:vAlign w:val="center"/>
          </w:tcPr>
          <w:p w14:paraId="601BAC2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3EB6F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309C5BE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5CAB87C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浑浊度</w:t>
            </w:r>
          </w:p>
        </w:tc>
        <w:tc>
          <w:tcPr>
            <w:tcW w:w="1086" w:type="pct"/>
            <w:noWrap w:val="0"/>
            <w:vAlign w:val="center"/>
          </w:tcPr>
          <w:p w14:paraId="21E9844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≤3</w:t>
            </w:r>
          </w:p>
        </w:tc>
        <w:tc>
          <w:tcPr>
            <w:tcW w:w="1603" w:type="pct"/>
            <w:vMerge w:val="continue"/>
            <w:noWrap w:val="0"/>
            <w:vAlign w:val="center"/>
          </w:tcPr>
          <w:p w14:paraId="15D6FC1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AE22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26FBA16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6E62C62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肉眼可见物</w:t>
            </w:r>
          </w:p>
        </w:tc>
        <w:tc>
          <w:tcPr>
            <w:tcW w:w="1086" w:type="pct"/>
            <w:noWrap w:val="0"/>
            <w:vAlign w:val="center"/>
          </w:tcPr>
          <w:p w14:paraId="4441E325">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无</w:t>
            </w:r>
          </w:p>
        </w:tc>
        <w:tc>
          <w:tcPr>
            <w:tcW w:w="1603" w:type="pct"/>
            <w:vMerge w:val="continue"/>
            <w:noWrap w:val="0"/>
            <w:vAlign w:val="center"/>
          </w:tcPr>
          <w:p w14:paraId="7EE504B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04B1D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0767F17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6F0B9F1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pH值（无量纲）</w:t>
            </w:r>
          </w:p>
        </w:tc>
        <w:tc>
          <w:tcPr>
            <w:tcW w:w="1086" w:type="pct"/>
            <w:noWrap w:val="0"/>
            <w:vAlign w:val="center"/>
          </w:tcPr>
          <w:p w14:paraId="7259AD6D">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6.5-8.5</w:t>
            </w:r>
          </w:p>
        </w:tc>
        <w:tc>
          <w:tcPr>
            <w:tcW w:w="1603" w:type="pct"/>
            <w:vMerge w:val="continue"/>
            <w:noWrap w:val="0"/>
            <w:vAlign w:val="center"/>
          </w:tcPr>
          <w:p w14:paraId="6B8E0FB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2BCC7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039E5E9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303FBD8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总硬度</w:t>
            </w:r>
          </w:p>
        </w:tc>
        <w:tc>
          <w:tcPr>
            <w:tcW w:w="1086" w:type="pct"/>
            <w:noWrap w:val="0"/>
            <w:vAlign w:val="center"/>
          </w:tcPr>
          <w:p w14:paraId="2B941844">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≤450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08EF530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27F8D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01D1373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9FED60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溶解性总固体</w:t>
            </w:r>
          </w:p>
        </w:tc>
        <w:tc>
          <w:tcPr>
            <w:tcW w:w="1086" w:type="pct"/>
            <w:noWrap w:val="0"/>
            <w:vAlign w:val="center"/>
          </w:tcPr>
          <w:p w14:paraId="220AC68D">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≤1000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235186D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39DFC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73A2F63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E2F94C0">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硫酸盐</w:t>
            </w:r>
          </w:p>
        </w:tc>
        <w:tc>
          <w:tcPr>
            <w:tcW w:w="1086" w:type="pct"/>
            <w:noWrap w:val="0"/>
            <w:vAlign w:val="center"/>
          </w:tcPr>
          <w:p w14:paraId="43A02957">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≤250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4D202D5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867F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4790826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A18FD99">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kern w:val="0"/>
                <w:sz w:val="21"/>
                <w:szCs w:val="21"/>
                <w:highlight w:val="none"/>
                <w:lang w:bidi="ar"/>
              </w:rPr>
            </w:pPr>
            <w:r>
              <w:rPr>
                <w:rFonts w:ascii="Times New Roman"/>
                <w:b w:val="0"/>
                <w:bCs/>
                <w:color w:val="auto"/>
                <w:szCs w:val="21"/>
                <w:highlight w:val="none"/>
                <w:lang w:val="en-US" w:eastAsia="zh-CN"/>
              </w:rPr>
              <w:t>氯化物</w:t>
            </w:r>
          </w:p>
        </w:tc>
        <w:tc>
          <w:tcPr>
            <w:tcW w:w="1086" w:type="pct"/>
            <w:noWrap w:val="0"/>
            <w:vAlign w:val="center"/>
          </w:tcPr>
          <w:p w14:paraId="2FDF973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≤250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57F4800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2565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1F7A651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45A703E">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铁</w:t>
            </w:r>
          </w:p>
        </w:tc>
        <w:tc>
          <w:tcPr>
            <w:tcW w:w="1086" w:type="pct"/>
            <w:noWrap w:val="0"/>
            <w:vAlign w:val="center"/>
          </w:tcPr>
          <w:p w14:paraId="14C4B3D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≤0.3</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4D7CFE6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C959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633167E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B54CF4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锰</w:t>
            </w:r>
          </w:p>
        </w:tc>
        <w:tc>
          <w:tcPr>
            <w:tcW w:w="1086" w:type="pct"/>
            <w:noWrap w:val="0"/>
            <w:vAlign w:val="center"/>
          </w:tcPr>
          <w:p w14:paraId="343B84F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≤0.1</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0FC1352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7BEB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3FCCEBC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C51576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铜</w:t>
            </w:r>
          </w:p>
        </w:tc>
        <w:tc>
          <w:tcPr>
            <w:tcW w:w="1086" w:type="pct"/>
            <w:noWrap w:val="0"/>
            <w:vAlign w:val="center"/>
          </w:tcPr>
          <w:p w14:paraId="32C20596">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≤1.0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4176669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0B3C7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3A3F12C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AA55CC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锌</w:t>
            </w:r>
          </w:p>
        </w:tc>
        <w:tc>
          <w:tcPr>
            <w:tcW w:w="1086" w:type="pct"/>
            <w:noWrap w:val="0"/>
            <w:vAlign w:val="center"/>
          </w:tcPr>
          <w:p w14:paraId="3670E4A8">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≤1.0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787E0E2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2A80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1AB293F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287F2CD0">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铝</w:t>
            </w:r>
          </w:p>
        </w:tc>
        <w:tc>
          <w:tcPr>
            <w:tcW w:w="1086" w:type="pct"/>
            <w:noWrap w:val="0"/>
            <w:vAlign w:val="center"/>
          </w:tcPr>
          <w:p w14:paraId="11C7260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≤0.2</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304C074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04FFE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66F8BB9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3D11941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挥发性酚类</w:t>
            </w:r>
          </w:p>
        </w:tc>
        <w:tc>
          <w:tcPr>
            <w:tcW w:w="1086" w:type="pct"/>
            <w:noWrap w:val="0"/>
            <w:vAlign w:val="center"/>
          </w:tcPr>
          <w:p w14:paraId="224126E8">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≤0.002</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32DE565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983A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3CE2769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7E13668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阴离子表面活性剂</w:t>
            </w:r>
          </w:p>
        </w:tc>
        <w:tc>
          <w:tcPr>
            <w:tcW w:w="1086" w:type="pct"/>
            <w:noWrap w:val="0"/>
            <w:vAlign w:val="center"/>
          </w:tcPr>
          <w:p w14:paraId="0D941E60">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≤0.3</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14AD7A5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1927A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661A90C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1988DAB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耗氧量</w:t>
            </w:r>
          </w:p>
        </w:tc>
        <w:tc>
          <w:tcPr>
            <w:tcW w:w="1086" w:type="pct"/>
            <w:noWrap w:val="0"/>
            <w:vAlign w:val="center"/>
          </w:tcPr>
          <w:p w14:paraId="685D6BD3">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≤3</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7C71E2A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B993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04D16A1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F2E478D">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氨氮</w:t>
            </w:r>
          </w:p>
        </w:tc>
        <w:tc>
          <w:tcPr>
            <w:tcW w:w="1086" w:type="pct"/>
            <w:noWrap w:val="0"/>
            <w:vAlign w:val="center"/>
          </w:tcPr>
          <w:p w14:paraId="4E0BC4E4">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≤0.5</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6291A05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0CE9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720468A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34ABDD7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硫化物</w:t>
            </w:r>
          </w:p>
        </w:tc>
        <w:tc>
          <w:tcPr>
            <w:tcW w:w="1086" w:type="pct"/>
            <w:noWrap w:val="0"/>
            <w:vAlign w:val="center"/>
          </w:tcPr>
          <w:p w14:paraId="53C5099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≤0.02</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031DA6BE">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6E13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6895BC8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95B4276">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钠</w:t>
            </w:r>
          </w:p>
        </w:tc>
        <w:tc>
          <w:tcPr>
            <w:tcW w:w="1086" w:type="pct"/>
            <w:noWrap w:val="0"/>
            <w:vAlign w:val="center"/>
          </w:tcPr>
          <w:p w14:paraId="7CEC8939">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≤200mg/L</w:t>
            </w:r>
          </w:p>
        </w:tc>
        <w:tc>
          <w:tcPr>
            <w:tcW w:w="1603" w:type="pct"/>
            <w:vMerge w:val="continue"/>
            <w:noWrap w:val="0"/>
            <w:vAlign w:val="center"/>
          </w:tcPr>
          <w:p w14:paraId="01E07B8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63EE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5E132D2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338080FE">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总大肠菌群</w:t>
            </w:r>
          </w:p>
        </w:tc>
        <w:tc>
          <w:tcPr>
            <w:tcW w:w="1086" w:type="pct"/>
            <w:noWrap w:val="0"/>
            <w:vAlign w:val="center"/>
          </w:tcPr>
          <w:p w14:paraId="00D9E52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≤3.0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CFU/100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mL</w:t>
            </w:r>
          </w:p>
        </w:tc>
        <w:tc>
          <w:tcPr>
            <w:tcW w:w="1603" w:type="pct"/>
            <w:vMerge w:val="continue"/>
            <w:noWrap w:val="0"/>
            <w:vAlign w:val="center"/>
          </w:tcPr>
          <w:p w14:paraId="52EDD62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4D05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16926FE7">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568FF7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菌落总数</w:t>
            </w:r>
          </w:p>
        </w:tc>
        <w:tc>
          <w:tcPr>
            <w:tcW w:w="1086" w:type="pct"/>
            <w:noWrap w:val="0"/>
            <w:vAlign w:val="center"/>
          </w:tcPr>
          <w:p w14:paraId="4224B72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≤100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CFU/mL</w:t>
            </w:r>
          </w:p>
        </w:tc>
        <w:tc>
          <w:tcPr>
            <w:tcW w:w="1603" w:type="pct"/>
            <w:vMerge w:val="continue"/>
            <w:noWrap w:val="0"/>
            <w:vAlign w:val="center"/>
          </w:tcPr>
          <w:p w14:paraId="1DE2098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32336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437074B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BB2680E">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亚硝酸盐（以N计）</w:t>
            </w:r>
          </w:p>
        </w:tc>
        <w:tc>
          <w:tcPr>
            <w:tcW w:w="1086" w:type="pct"/>
            <w:noWrap w:val="0"/>
            <w:vAlign w:val="center"/>
          </w:tcPr>
          <w:p w14:paraId="03DF247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≤1</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1E47C625">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3ED18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7D3BB20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A94AE8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硝酸盐（以N计）</w:t>
            </w:r>
          </w:p>
        </w:tc>
        <w:tc>
          <w:tcPr>
            <w:tcW w:w="1086" w:type="pct"/>
            <w:noWrap w:val="0"/>
            <w:vAlign w:val="center"/>
          </w:tcPr>
          <w:p w14:paraId="09ABEBCB">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ascii="Times New Roman"/>
                <w:b w:val="0"/>
                <w:bCs/>
                <w:color w:val="auto"/>
                <w:szCs w:val="21"/>
                <w:highlight w:val="none"/>
                <w:lang w:val="en-US" w:eastAsia="zh-CN"/>
              </w:rPr>
              <w:t>≤20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468CEC4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387D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26917D1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07F7967">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氰化物</w:t>
            </w:r>
          </w:p>
        </w:tc>
        <w:tc>
          <w:tcPr>
            <w:tcW w:w="1086" w:type="pct"/>
            <w:noWrap w:val="0"/>
            <w:vAlign w:val="center"/>
          </w:tcPr>
          <w:p w14:paraId="19874F45">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≤0.05</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0E692CE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1510C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684240F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5180F180">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氟化物</w:t>
            </w:r>
          </w:p>
        </w:tc>
        <w:tc>
          <w:tcPr>
            <w:tcW w:w="1086" w:type="pct"/>
            <w:noWrap w:val="0"/>
            <w:vAlign w:val="center"/>
          </w:tcPr>
          <w:p w14:paraId="307A719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≤1.0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1B5F1B2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1262C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1219CD5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7FB31C68">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碘化物</w:t>
            </w:r>
          </w:p>
        </w:tc>
        <w:tc>
          <w:tcPr>
            <w:tcW w:w="1086" w:type="pct"/>
            <w:noWrap w:val="0"/>
            <w:vAlign w:val="center"/>
          </w:tcPr>
          <w:p w14:paraId="7B5C20A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≤0.08</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59ECC2E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66250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16747DD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35C232B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汞</w:t>
            </w:r>
          </w:p>
        </w:tc>
        <w:tc>
          <w:tcPr>
            <w:tcW w:w="1086" w:type="pct"/>
            <w:noWrap w:val="0"/>
            <w:vAlign w:val="center"/>
          </w:tcPr>
          <w:p w14:paraId="1896077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≤0.001</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0C207F6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59C80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66E94E58">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6C04224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砷</w:t>
            </w:r>
          </w:p>
        </w:tc>
        <w:tc>
          <w:tcPr>
            <w:tcW w:w="1086" w:type="pct"/>
            <w:noWrap w:val="0"/>
            <w:vAlign w:val="center"/>
          </w:tcPr>
          <w:p w14:paraId="205A67C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≤0.01</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310BEB8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59734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04FB47E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227D7CFD">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
              </w:rPr>
            </w:pPr>
            <w:r>
              <w:rPr>
                <w:rFonts w:ascii="Times New Roman"/>
                <w:b w:val="0"/>
                <w:bCs/>
                <w:color w:val="auto"/>
                <w:szCs w:val="21"/>
                <w:highlight w:val="none"/>
                <w:lang w:val="en-US" w:eastAsia="zh-CN"/>
              </w:rPr>
              <w:t>硒</w:t>
            </w:r>
          </w:p>
        </w:tc>
        <w:tc>
          <w:tcPr>
            <w:tcW w:w="1086" w:type="pct"/>
            <w:noWrap w:val="0"/>
            <w:vAlign w:val="center"/>
          </w:tcPr>
          <w:p w14:paraId="62D0EF8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≤0.01</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14C0BA1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3A66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0FE3B04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690893FD">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
              </w:rPr>
            </w:pPr>
            <w:r>
              <w:rPr>
                <w:rFonts w:ascii="Times New Roman"/>
                <w:b w:val="0"/>
                <w:bCs/>
                <w:color w:val="auto"/>
                <w:szCs w:val="21"/>
                <w:highlight w:val="none"/>
                <w:lang w:val="en-US" w:eastAsia="zh-CN"/>
              </w:rPr>
              <w:t>镉</w:t>
            </w:r>
          </w:p>
        </w:tc>
        <w:tc>
          <w:tcPr>
            <w:tcW w:w="1086" w:type="pct"/>
            <w:noWrap w:val="0"/>
            <w:vAlign w:val="center"/>
          </w:tcPr>
          <w:p w14:paraId="0879608A">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≤0.005</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4A7F937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506ED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2708489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065BB6E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
              </w:rPr>
            </w:pPr>
            <w:r>
              <w:rPr>
                <w:rFonts w:ascii="Times New Roman"/>
                <w:b w:val="0"/>
                <w:bCs/>
                <w:color w:val="auto"/>
                <w:szCs w:val="21"/>
                <w:highlight w:val="none"/>
                <w:lang w:val="en-US" w:eastAsia="zh-CN"/>
              </w:rPr>
              <w:t>六价铬</w:t>
            </w:r>
          </w:p>
        </w:tc>
        <w:tc>
          <w:tcPr>
            <w:tcW w:w="1086" w:type="pct"/>
            <w:noWrap w:val="0"/>
            <w:vAlign w:val="center"/>
          </w:tcPr>
          <w:p w14:paraId="0DEDB00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≤0.05</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46AE5CA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05988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7F46CA2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18D06D69">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铅</w:t>
            </w:r>
          </w:p>
        </w:tc>
        <w:tc>
          <w:tcPr>
            <w:tcW w:w="1086" w:type="pct"/>
            <w:noWrap w:val="0"/>
            <w:vAlign w:val="center"/>
          </w:tcPr>
          <w:p w14:paraId="7BCF1BE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≤0.01</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mg/L</w:t>
            </w:r>
          </w:p>
        </w:tc>
        <w:tc>
          <w:tcPr>
            <w:tcW w:w="1603" w:type="pct"/>
            <w:vMerge w:val="continue"/>
            <w:noWrap w:val="0"/>
            <w:vAlign w:val="center"/>
          </w:tcPr>
          <w:p w14:paraId="090662DB">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115AB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35AB67B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5D3C409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三氯甲烷</w:t>
            </w:r>
          </w:p>
        </w:tc>
        <w:tc>
          <w:tcPr>
            <w:tcW w:w="1086" w:type="pct"/>
            <w:noWrap w:val="0"/>
            <w:vAlign w:val="center"/>
          </w:tcPr>
          <w:p w14:paraId="30B7B46C">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≤60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μg/L</w:t>
            </w:r>
          </w:p>
        </w:tc>
        <w:tc>
          <w:tcPr>
            <w:tcW w:w="1603" w:type="pct"/>
            <w:vMerge w:val="continue"/>
            <w:noWrap w:val="0"/>
            <w:vAlign w:val="center"/>
          </w:tcPr>
          <w:p w14:paraId="6509C7F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F050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6BF4BE1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7C0123A3">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四氯化碳</w:t>
            </w:r>
          </w:p>
        </w:tc>
        <w:tc>
          <w:tcPr>
            <w:tcW w:w="1086" w:type="pct"/>
            <w:noWrap w:val="0"/>
            <w:vAlign w:val="center"/>
          </w:tcPr>
          <w:p w14:paraId="39091EF8">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≤2.0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μg/L</w:t>
            </w:r>
          </w:p>
        </w:tc>
        <w:tc>
          <w:tcPr>
            <w:tcW w:w="1603" w:type="pct"/>
            <w:vMerge w:val="continue"/>
            <w:noWrap w:val="0"/>
            <w:vAlign w:val="center"/>
          </w:tcPr>
          <w:p w14:paraId="593DC00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A1F3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5841D71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4E27035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苯</w:t>
            </w:r>
          </w:p>
        </w:tc>
        <w:tc>
          <w:tcPr>
            <w:tcW w:w="1086" w:type="pct"/>
            <w:noWrap w:val="0"/>
            <w:vAlign w:val="center"/>
          </w:tcPr>
          <w:p w14:paraId="4BD84906">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≤10.0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μg/L</w:t>
            </w:r>
          </w:p>
        </w:tc>
        <w:tc>
          <w:tcPr>
            <w:tcW w:w="1603" w:type="pct"/>
            <w:vMerge w:val="continue"/>
            <w:noWrap w:val="0"/>
            <w:vAlign w:val="center"/>
          </w:tcPr>
          <w:p w14:paraId="3013049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7C408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567129DA">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74A18BCE">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甲苯</w:t>
            </w:r>
          </w:p>
        </w:tc>
        <w:tc>
          <w:tcPr>
            <w:tcW w:w="1086" w:type="pct"/>
            <w:noWrap w:val="0"/>
            <w:vAlign w:val="center"/>
          </w:tcPr>
          <w:p w14:paraId="5C9A3666">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≤700</w:t>
            </w:r>
            <w:r>
              <w:rPr>
                <w:rFonts w:hint="eastAsia"/>
                <w:b w:val="0"/>
                <w:bCs/>
                <w:color w:val="auto"/>
                <w:szCs w:val="21"/>
                <w:highlight w:val="none"/>
                <w:lang w:val="en-US" w:eastAsia="zh-CN"/>
              </w:rPr>
              <w:t xml:space="preserve"> </w:t>
            </w:r>
            <w:r>
              <w:rPr>
                <w:rFonts w:ascii="Times New Roman"/>
                <w:b w:val="0"/>
                <w:bCs/>
                <w:color w:val="auto"/>
                <w:szCs w:val="21"/>
                <w:highlight w:val="none"/>
                <w:lang w:val="en-US" w:eastAsia="zh-CN"/>
              </w:rPr>
              <w:t>μg/L</w:t>
            </w:r>
          </w:p>
        </w:tc>
        <w:tc>
          <w:tcPr>
            <w:tcW w:w="1603" w:type="pct"/>
            <w:vMerge w:val="continue"/>
            <w:tcBorders>
              <w:bottom w:val="single" w:color="000000" w:sz="4" w:space="0"/>
            </w:tcBorders>
            <w:noWrap w:val="0"/>
            <w:vAlign w:val="center"/>
          </w:tcPr>
          <w:p w14:paraId="58CD99D3">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r>
      <w:tr w14:paraId="4DB95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249BAC5F">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noWrap w:val="0"/>
            <w:vAlign w:val="center"/>
          </w:tcPr>
          <w:p w14:paraId="1B86E5E6">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eastAsia" w:cs="Times New Roman"/>
                <w:b w:val="0"/>
                <w:bCs/>
                <w:color w:val="auto"/>
                <w:kern w:val="0"/>
                <w:sz w:val="21"/>
                <w:szCs w:val="21"/>
                <w:highlight w:val="none"/>
                <w:lang w:val="en-US" w:eastAsia="zh-CN" w:bidi="ar-SA"/>
              </w:rPr>
              <w:t>石油类</w:t>
            </w:r>
          </w:p>
        </w:tc>
        <w:tc>
          <w:tcPr>
            <w:tcW w:w="1086" w:type="pct"/>
            <w:noWrap w:val="0"/>
            <w:vAlign w:val="center"/>
          </w:tcPr>
          <w:p w14:paraId="4F361AE1">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 w:val="0"/>
                <w:bCs/>
                <w:color w:val="auto"/>
                <w:kern w:val="0"/>
                <w:sz w:val="21"/>
                <w:szCs w:val="21"/>
                <w:highlight w:val="none"/>
                <w:lang w:val="en-US" w:eastAsia="zh-CN" w:bidi="ar-SA"/>
              </w:rPr>
            </w:pPr>
            <w:r>
              <w:rPr>
                <w:rFonts w:ascii="Times New Roman" w:hAnsi="Times New Roman"/>
                <w:color w:val="auto"/>
                <w:sz w:val="21"/>
                <w:szCs w:val="21"/>
                <w:highlight w:val="none"/>
              </w:rPr>
              <w:t>≤0.05mg/L</w:t>
            </w:r>
          </w:p>
        </w:tc>
        <w:tc>
          <w:tcPr>
            <w:tcW w:w="1603" w:type="pct"/>
            <w:vMerge w:val="restart"/>
            <w:tcBorders>
              <w:top w:val="single" w:color="000000" w:sz="4" w:space="0"/>
            </w:tcBorders>
            <w:noWrap w:val="0"/>
            <w:vAlign w:val="center"/>
          </w:tcPr>
          <w:p w14:paraId="11782A2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ascii="Times New Roman" w:hAnsi="Times New Roman"/>
                <w:color w:val="auto"/>
                <w:sz w:val="21"/>
                <w:szCs w:val="21"/>
                <w:highlight w:val="none"/>
              </w:rPr>
              <w:t>《地表水环境质量标准》（GB3838-2002）Ⅲ类标准</w:t>
            </w:r>
          </w:p>
        </w:tc>
      </w:tr>
      <w:tr w14:paraId="4DCF5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noWrap w:val="0"/>
            <w:vAlign w:val="center"/>
          </w:tcPr>
          <w:p w14:paraId="469ECFCC">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p>
        </w:tc>
        <w:tc>
          <w:tcPr>
            <w:tcW w:w="1507" w:type="pct"/>
            <w:shd w:val="clear" w:color="auto" w:fill="auto"/>
            <w:noWrap w:val="0"/>
            <w:vAlign w:val="center"/>
          </w:tcPr>
          <w:p w14:paraId="7B1AC108">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b w:val="0"/>
                <w:bCs/>
                <w:color w:val="auto"/>
                <w:kern w:val="0"/>
                <w:sz w:val="21"/>
                <w:szCs w:val="21"/>
                <w:highlight w:val="none"/>
                <w:lang w:val="en-US" w:eastAsia="zh-CN" w:bidi="ar-SA"/>
              </w:rPr>
            </w:pPr>
            <w:r>
              <w:rPr>
                <w:rFonts w:hint="eastAsia" w:cs="Times New Roman"/>
                <w:b w:val="0"/>
                <w:bCs/>
                <w:color w:val="auto"/>
                <w:kern w:val="0"/>
                <w:sz w:val="21"/>
                <w:szCs w:val="21"/>
                <w:highlight w:val="none"/>
                <w:lang w:val="en-US" w:eastAsia="zh-CN" w:bidi="ar-SA"/>
              </w:rPr>
              <w:t>总磷</w:t>
            </w:r>
          </w:p>
        </w:tc>
        <w:tc>
          <w:tcPr>
            <w:tcW w:w="1086" w:type="pct"/>
            <w:shd w:val="clear" w:color="auto" w:fill="auto"/>
            <w:noWrap w:val="0"/>
            <w:vAlign w:val="center"/>
          </w:tcPr>
          <w:p w14:paraId="38D68924">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szCs w:val="21"/>
                <w:highlight w:val="none"/>
                <w:lang w:val="en-US" w:eastAsia="zh-CN"/>
              </w:rPr>
              <w:t>≤</w:t>
            </w:r>
            <w:r>
              <w:rPr>
                <w:rFonts w:ascii="Times New Roman"/>
                <w:b w:val="0"/>
                <w:szCs w:val="21"/>
                <w:highlight w:val="none"/>
                <w:lang w:val="en-US" w:eastAsia="zh-CN"/>
              </w:rPr>
              <w:t>0.2mg/L</w:t>
            </w:r>
          </w:p>
        </w:tc>
        <w:tc>
          <w:tcPr>
            <w:tcW w:w="1603" w:type="pct"/>
            <w:vMerge w:val="continue"/>
            <w:noWrap w:val="0"/>
            <w:vAlign w:val="center"/>
          </w:tcPr>
          <w:p w14:paraId="470A4109">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auto"/>
                <w:sz w:val="21"/>
                <w:szCs w:val="21"/>
                <w:highlight w:val="none"/>
              </w:rPr>
            </w:pPr>
          </w:p>
        </w:tc>
      </w:tr>
    </w:tbl>
    <w:p w14:paraId="12A4F32A">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1"/>
          <w:highlight w:val="none"/>
          <w:lang w:eastAsia="zh-CN"/>
        </w:rPr>
      </w:pPr>
      <w:r>
        <w:rPr>
          <w:rFonts w:hint="default" w:ascii="Times New Roman" w:hAnsi="Times New Roman" w:cs="Times New Roman"/>
          <w:color w:val="000000"/>
          <w:kern w:val="0"/>
          <w:sz w:val="24"/>
          <w:szCs w:val="21"/>
          <w:highlight w:val="none"/>
        </w:rPr>
        <w:t>（4）声环境</w:t>
      </w:r>
    </w:p>
    <w:p w14:paraId="73C788D4">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kern w:val="0"/>
          <w:sz w:val="24"/>
          <w:szCs w:val="21"/>
          <w:highlight w:val="none"/>
          <w:lang w:eastAsia="zh-CN"/>
        </w:rPr>
      </w:pPr>
      <w:r>
        <w:rPr>
          <w:rFonts w:hint="default" w:ascii="Times New Roman" w:hAnsi="Times New Roman" w:cs="Times New Roman"/>
          <w:color w:val="000000"/>
          <w:kern w:val="0"/>
          <w:sz w:val="24"/>
          <w:szCs w:val="21"/>
          <w:highlight w:val="none"/>
        </w:rPr>
        <w:t>声环境质量执行《声环境质量标准》(GB3096-2008)2类区标准，详见下表</w:t>
      </w:r>
      <w:r>
        <w:rPr>
          <w:rFonts w:hint="eastAsia" w:cs="Times New Roman"/>
          <w:color w:val="000000"/>
          <w:kern w:val="0"/>
          <w:sz w:val="24"/>
          <w:szCs w:val="21"/>
          <w:highlight w:val="none"/>
          <w:lang w:eastAsia="zh-CN"/>
        </w:rPr>
        <w:t>。</w:t>
      </w:r>
    </w:p>
    <w:p w14:paraId="4341FBCE">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lang w:val="en-US" w:eastAsia="zh-CN"/>
        </w:rPr>
      </w:pPr>
      <w:r>
        <w:rPr>
          <w:rStyle w:val="152"/>
          <w:rFonts w:hint="eastAsia" w:ascii="Times New Roman" w:hAnsi="Times New Roman" w:eastAsia="宋体" w:cs="Times New Roman"/>
          <w:b/>
          <w:color w:val="auto"/>
          <w:szCs w:val="21"/>
          <w:highlight w:val="none"/>
          <w:lang w:val="en-US" w:eastAsia="zh-CN"/>
        </w:rPr>
        <w:t>声</w:t>
      </w:r>
      <w:r>
        <w:rPr>
          <w:rStyle w:val="152"/>
          <w:rFonts w:hint="default" w:ascii="Times New Roman" w:hAnsi="Times New Roman" w:eastAsia="宋体" w:cs="Times New Roman"/>
          <w:b/>
          <w:color w:val="auto"/>
          <w:szCs w:val="21"/>
          <w:highlight w:val="none"/>
          <w:lang w:val="en-US" w:eastAsia="zh-CN"/>
        </w:rPr>
        <w:t>环境质量标准</w:t>
      </w:r>
    </w:p>
    <w:tbl>
      <w:tblPr>
        <w:tblStyle w:val="58"/>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7"/>
        <w:gridCol w:w="2568"/>
        <w:gridCol w:w="1851"/>
        <w:gridCol w:w="2732"/>
      </w:tblGrid>
      <w:tr w14:paraId="1AEBB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noWrap w:val="0"/>
            <w:vAlign w:val="center"/>
          </w:tcPr>
          <w:p w14:paraId="3D94E65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1507" w:type="pct"/>
            <w:noWrap w:val="0"/>
            <w:vAlign w:val="center"/>
          </w:tcPr>
          <w:p w14:paraId="2A8AC476">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污染物名称</w:t>
            </w:r>
          </w:p>
        </w:tc>
        <w:tc>
          <w:tcPr>
            <w:tcW w:w="1086" w:type="pct"/>
            <w:noWrap w:val="0"/>
            <w:vAlign w:val="center"/>
          </w:tcPr>
          <w:p w14:paraId="667FA66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标准值</w:t>
            </w:r>
          </w:p>
        </w:tc>
        <w:tc>
          <w:tcPr>
            <w:tcW w:w="1603" w:type="pct"/>
            <w:noWrap w:val="0"/>
            <w:vAlign w:val="center"/>
          </w:tcPr>
          <w:p w14:paraId="26CD4B71">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标准来源</w:t>
            </w:r>
          </w:p>
        </w:tc>
      </w:tr>
      <w:tr w14:paraId="3106F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noWrap w:val="0"/>
            <w:vAlign w:val="center"/>
          </w:tcPr>
          <w:p w14:paraId="4CA6AC0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声环境</w:t>
            </w:r>
          </w:p>
        </w:tc>
        <w:tc>
          <w:tcPr>
            <w:tcW w:w="1507" w:type="pct"/>
            <w:noWrap w:val="0"/>
            <w:vAlign w:val="center"/>
          </w:tcPr>
          <w:p w14:paraId="7C942254">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等效连续A声级Leq（A）</w:t>
            </w:r>
          </w:p>
        </w:tc>
        <w:tc>
          <w:tcPr>
            <w:tcW w:w="1086" w:type="pct"/>
            <w:noWrap w:val="0"/>
            <w:vAlign w:val="center"/>
          </w:tcPr>
          <w:p w14:paraId="00DA4D52">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昼间≤60dB(A)</w:t>
            </w:r>
          </w:p>
          <w:p w14:paraId="0FF8B3FD">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夜间≤50dB(A)</w:t>
            </w:r>
          </w:p>
        </w:tc>
        <w:tc>
          <w:tcPr>
            <w:tcW w:w="1603" w:type="pct"/>
            <w:noWrap w:val="0"/>
            <w:vAlign w:val="center"/>
          </w:tcPr>
          <w:p w14:paraId="721BA270">
            <w:pPr>
              <w:keepNext w:val="0"/>
              <w:keepLines w:val="0"/>
              <w:pageBreakBefore w:val="0"/>
              <w:widowControl w:val="0"/>
              <w:tabs>
                <w:tab w:val="left" w:pos="0"/>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《声环境质量标准》（GB3096-2008）2类区</w:t>
            </w:r>
          </w:p>
        </w:tc>
      </w:tr>
    </w:tbl>
    <w:p w14:paraId="1497466D">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1"/>
          <w:highlight w:val="none"/>
          <w:lang w:eastAsia="zh-CN"/>
        </w:rPr>
      </w:pPr>
      <w:r>
        <w:rPr>
          <w:rFonts w:hint="eastAsia" w:ascii="Times New Roman" w:hAnsi="Times New Roman" w:eastAsia="宋体" w:cs="Times New Roman"/>
          <w:color w:val="000000"/>
          <w:kern w:val="0"/>
          <w:sz w:val="24"/>
          <w:szCs w:val="21"/>
          <w:highlight w:val="none"/>
          <w:lang w:eastAsia="zh-CN"/>
        </w:rPr>
        <w:t>（</w:t>
      </w:r>
      <w:r>
        <w:rPr>
          <w:rFonts w:hint="eastAsia" w:ascii="Times New Roman" w:hAnsi="Times New Roman" w:eastAsia="宋体" w:cs="Times New Roman"/>
          <w:color w:val="000000"/>
          <w:kern w:val="0"/>
          <w:sz w:val="24"/>
          <w:szCs w:val="21"/>
          <w:highlight w:val="none"/>
          <w:lang w:val="en-US" w:eastAsia="zh-CN"/>
        </w:rPr>
        <w:t>5</w:t>
      </w:r>
      <w:r>
        <w:rPr>
          <w:rFonts w:hint="eastAsia" w:ascii="Times New Roman" w:hAnsi="Times New Roman" w:eastAsia="宋体" w:cs="Times New Roman"/>
          <w:color w:val="000000"/>
          <w:kern w:val="0"/>
          <w:sz w:val="24"/>
          <w:szCs w:val="21"/>
          <w:highlight w:val="none"/>
          <w:lang w:eastAsia="zh-CN"/>
        </w:rPr>
        <w:t>）</w:t>
      </w:r>
      <w:r>
        <w:rPr>
          <w:rFonts w:hint="eastAsia" w:ascii="Times New Roman" w:hAnsi="Times New Roman" w:eastAsia="宋体" w:cs="Times New Roman"/>
          <w:color w:val="000000"/>
          <w:kern w:val="0"/>
          <w:sz w:val="24"/>
          <w:szCs w:val="21"/>
          <w:highlight w:val="none"/>
          <w:lang w:val="en-US" w:eastAsia="zh-CN"/>
        </w:rPr>
        <w:t>土壤环境</w:t>
      </w:r>
    </w:p>
    <w:p w14:paraId="00D7E504">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32"/>
          <w:szCs w:val="24"/>
          <w:highlight w:val="none"/>
          <w:lang w:eastAsia="zh-CN"/>
        </w:rPr>
      </w:pPr>
      <w:r>
        <w:rPr>
          <w:rFonts w:hint="eastAsia" w:cs="Times New Roman"/>
          <w:color w:val="auto"/>
          <w:kern w:val="0"/>
          <w:sz w:val="24"/>
          <w:szCs w:val="24"/>
          <w:highlight w:val="none"/>
          <w:lang w:val="en-US" w:eastAsia="zh-CN"/>
        </w:rPr>
        <w:t>建设用地土壤</w:t>
      </w:r>
      <w:r>
        <w:rPr>
          <w:rFonts w:hint="default" w:ascii="Times New Roman" w:hAnsi="Times New Roman" w:cs="Times New Roman"/>
          <w:color w:val="auto"/>
          <w:kern w:val="0"/>
          <w:sz w:val="24"/>
          <w:szCs w:val="24"/>
          <w:highlight w:val="none"/>
        </w:rPr>
        <w:t>质量执行</w:t>
      </w:r>
      <w:r>
        <w:rPr>
          <w:rFonts w:hint="eastAsia" w:cs="Times New Roman"/>
          <w:color w:val="auto"/>
          <w:kern w:val="0"/>
          <w:sz w:val="24"/>
          <w:szCs w:val="24"/>
          <w:highlight w:val="none"/>
          <w:lang w:val="en-US" w:eastAsia="zh-CN"/>
        </w:rPr>
        <w:t>《土壤环境质量 建设用地土壤污染风险管控标准（试行）》（GB36600-2018）及《建设用地土壤污染风险筛选值》（DB13/T5216-2022）限值要求，本项目工程占地范围执行第二类用地筛选值限值要求</w:t>
      </w:r>
      <w:r>
        <w:rPr>
          <w:rFonts w:hint="eastAsia" w:cs="Times New Roman"/>
          <w:color w:val="auto"/>
          <w:sz w:val="24"/>
          <w:szCs w:val="24"/>
          <w:highlight w:val="none"/>
          <w:lang w:val="en-US" w:eastAsia="zh-CN"/>
        </w:rPr>
        <w:t>；林地参考</w:t>
      </w:r>
      <w:r>
        <w:rPr>
          <w:color w:val="auto"/>
          <w:sz w:val="24"/>
          <w:szCs w:val="24"/>
          <w:highlight w:val="none"/>
        </w:rPr>
        <w:t>农用地土壤环境质量执行《土壤环境质量农用地土壤污染风险管控标准（试行）》（GB15618-2018）表1农用地土壤污染其他用地类型风险筛选值</w:t>
      </w:r>
      <w:r>
        <w:rPr>
          <w:rFonts w:ascii="Times New Roman" w:hAnsi="Times New Roman"/>
          <w:color w:val="auto"/>
          <w:kern w:val="0"/>
          <w:sz w:val="24"/>
          <w:szCs w:val="24"/>
          <w:highlight w:val="none"/>
        </w:rPr>
        <w:t>详</w:t>
      </w:r>
      <w:r>
        <w:rPr>
          <w:rFonts w:ascii="Times New Roman" w:hAnsi="Times New Roman"/>
          <w:color w:val="auto"/>
          <w:sz w:val="24"/>
          <w:szCs w:val="24"/>
          <w:highlight w:val="none"/>
        </w:rPr>
        <w:t>见下表</w:t>
      </w:r>
      <w:r>
        <w:rPr>
          <w:rFonts w:hint="eastAsia" w:cs="Times New Roman"/>
          <w:color w:val="auto"/>
          <w:kern w:val="0"/>
          <w:sz w:val="24"/>
          <w:szCs w:val="24"/>
          <w:highlight w:val="none"/>
          <w:lang w:val="en-US" w:eastAsia="zh-CN"/>
        </w:rPr>
        <w:t>。</w:t>
      </w:r>
    </w:p>
    <w:p w14:paraId="7E9979C8">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eastAsia" w:ascii="Times New Roman" w:hAnsi="Times New Roman" w:eastAsia="宋体" w:cs="Times New Roman"/>
          <w:b/>
          <w:color w:val="auto"/>
          <w:szCs w:val="21"/>
          <w:highlight w:val="none"/>
          <w:lang w:val="en-US" w:eastAsia="zh-CN"/>
        </w:rPr>
      </w:pPr>
      <w:r>
        <w:rPr>
          <w:rStyle w:val="152"/>
          <w:rFonts w:hint="eastAsia" w:ascii="Times New Roman" w:hAnsi="Times New Roman" w:eastAsia="宋体" w:cs="Times New Roman"/>
          <w:b/>
          <w:color w:val="auto"/>
          <w:szCs w:val="21"/>
          <w:highlight w:val="none"/>
          <w:lang w:val="en-US" w:eastAsia="zh-CN"/>
        </w:rPr>
        <w:t>建设用地土壤环境质量标准一览表</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2868"/>
        <w:gridCol w:w="3516"/>
        <w:gridCol w:w="1143"/>
      </w:tblGrid>
      <w:tr w14:paraId="3DAFF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restart"/>
            <w:tcBorders>
              <w:tl2br w:val="nil"/>
              <w:tr2bl w:val="nil"/>
            </w:tcBorders>
            <w:noWrap w:val="0"/>
            <w:vAlign w:val="center"/>
          </w:tcPr>
          <w:p w14:paraId="3DDB8BA0">
            <w:pPr>
              <w:pStyle w:val="161"/>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环境要素</w:t>
            </w:r>
          </w:p>
        </w:tc>
        <w:tc>
          <w:tcPr>
            <w:tcW w:w="1681" w:type="pct"/>
            <w:vMerge w:val="restart"/>
            <w:tcBorders>
              <w:tl2br w:val="nil"/>
              <w:tr2bl w:val="nil"/>
            </w:tcBorders>
            <w:noWrap w:val="0"/>
            <w:vAlign w:val="center"/>
          </w:tcPr>
          <w:p w14:paraId="59987139">
            <w:pPr>
              <w:pStyle w:val="161"/>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污染物名称</w:t>
            </w:r>
          </w:p>
        </w:tc>
        <w:tc>
          <w:tcPr>
            <w:tcW w:w="2061" w:type="pct"/>
            <w:vMerge w:val="restart"/>
            <w:tcBorders>
              <w:tl2br w:val="nil"/>
              <w:tr2bl w:val="nil"/>
            </w:tcBorders>
            <w:noWrap w:val="0"/>
            <w:vAlign w:val="center"/>
          </w:tcPr>
          <w:p w14:paraId="09F547F8">
            <w:pPr>
              <w:pStyle w:val="161"/>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（GB36600-2018）表1第二类用地筛选值标准</w:t>
            </w:r>
          </w:p>
        </w:tc>
        <w:tc>
          <w:tcPr>
            <w:tcW w:w="670" w:type="pct"/>
            <w:vMerge w:val="restart"/>
            <w:tcBorders>
              <w:tl2br w:val="nil"/>
              <w:tr2bl w:val="nil"/>
            </w:tcBorders>
            <w:noWrap w:val="0"/>
            <w:vAlign w:val="center"/>
          </w:tcPr>
          <w:p w14:paraId="22B6C6EA">
            <w:pPr>
              <w:pStyle w:val="161"/>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szCs w:val="21"/>
                <w:highlight w:val="none"/>
                <w:lang w:val="en-US" w:eastAsia="zh-CN"/>
              </w:rPr>
              <w:t>单位</w:t>
            </w:r>
          </w:p>
        </w:tc>
      </w:tr>
      <w:tr w14:paraId="25036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690BB47A">
            <w:pPr>
              <w:pStyle w:val="161"/>
              <w:rPr>
                <w:rFonts w:hint="default" w:ascii="Times New Roman" w:hAnsi="Times New Roman" w:cs="Times New Roman"/>
                <w:b/>
                <w:bCs/>
                <w:color w:val="auto"/>
                <w:szCs w:val="21"/>
                <w:highlight w:val="none"/>
                <w:lang w:val="en-US" w:eastAsia="zh-CN"/>
              </w:rPr>
            </w:pPr>
          </w:p>
        </w:tc>
        <w:tc>
          <w:tcPr>
            <w:tcW w:w="1681" w:type="pct"/>
            <w:vMerge w:val="continue"/>
            <w:tcBorders>
              <w:tl2br w:val="nil"/>
              <w:tr2bl w:val="nil"/>
            </w:tcBorders>
            <w:noWrap w:val="0"/>
            <w:vAlign w:val="center"/>
          </w:tcPr>
          <w:p w14:paraId="09744606">
            <w:pPr>
              <w:pStyle w:val="161"/>
              <w:rPr>
                <w:rFonts w:hint="default" w:ascii="Times New Roman" w:hAnsi="Times New Roman" w:cs="Times New Roman"/>
                <w:b/>
                <w:bCs/>
                <w:color w:val="auto"/>
                <w:szCs w:val="21"/>
                <w:highlight w:val="none"/>
                <w:lang w:val="en-US" w:eastAsia="zh-CN"/>
              </w:rPr>
            </w:pPr>
          </w:p>
        </w:tc>
        <w:tc>
          <w:tcPr>
            <w:tcW w:w="2061" w:type="pct"/>
            <w:vMerge w:val="continue"/>
            <w:tcBorders>
              <w:tl2br w:val="nil"/>
              <w:tr2bl w:val="nil"/>
            </w:tcBorders>
            <w:noWrap w:val="0"/>
            <w:vAlign w:val="center"/>
          </w:tcPr>
          <w:p w14:paraId="4504E5C9">
            <w:pPr>
              <w:pStyle w:val="161"/>
              <w:rPr>
                <w:rFonts w:hint="default" w:ascii="Times New Roman" w:hAnsi="Times New Roman" w:cs="Times New Roman"/>
                <w:b/>
                <w:bCs/>
                <w:color w:val="auto"/>
                <w:szCs w:val="21"/>
                <w:highlight w:val="none"/>
                <w:lang w:val="en-US" w:eastAsia="zh-CN"/>
              </w:rPr>
            </w:pPr>
          </w:p>
        </w:tc>
        <w:tc>
          <w:tcPr>
            <w:tcW w:w="670" w:type="pct"/>
            <w:vMerge w:val="continue"/>
            <w:tcBorders>
              <w:tl2br w:val="nil"/>
              <w:tr2bl w:val="nil"/>
            </w:tcBorders>
            <w:noWrap w:val="0"/>
            <w:vAlign w:val="center"/>
          </w:tcPr>
          <w:p w14:paraId="6B6BA1A2">
            <w:pPr>
              <w:pStyle w:val="161"/>
              <w:rPr>
                <w:rFonts w:hint="default" w:ascii="Times New Roman" w:hAnsi="Times New Roman" w:cs="Times New Roman"/>
                <w:b/>
                <w:bCs/>
                <w:color w:val="auto"/>
                <w:kern w:val="2"/>
                <w:sz w:val="21"/>
                <w:szCs w:val="21"/>
                <w:highlight w:val="none"/>
                <w:lang w:val="en-US" w:eastAsia="zh-CN" w:bidi="ar-SA"/>
              </w:rPr>
            </w:pPr>
          </w:p>
        </w:tc>
      </w:tr>
      <w:tr w14:paraId="55CE5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restart"/>
            <w:tcBorders>
              <w:tl2br w:val="nil"/>
              <w:tr2bl w:val="nil"/>
            </w:tcBorders>
            <w:noWrap w:val="0"/>
            <w:vAlign w:val="center"/>
          </w:tcPr>
          <w:p w14:paraId="3E6DE74A">
            <w:pPr>
              <w:pStyle w:val="161"/>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土壤环境</w:t>
            </w:r>
          </w:p>
        </w:tc>
        <w:tc>
          <w:tcPr>
            <w:tcW w:w="1681" w:type="pct"/>
            <w:tcBorders>
              <w:tl2br w:val="nil"/>
              <w:tr2bl w:val="nil"/>
            </w:tcBorders>
            <w:noWrap w:val="0"/>
            <w:vAlign w:val="center"/>
          </w:tcPr>
          <w:p w14:paraId="068DB73A">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砷</w:t>
            </w:r>
          </w:p>
        </w:tc>
        <w:tc>
          <w:tcPr>
            <w:tcW w:w="2061" w:type="pct"/>
            <w:tcBorders>
              <w:tl2br w:val="nil"/>
              <w:tr2bl w:val="nil"/>
            </w:tcBorders>
            <w:noWrap w:val="0"/>
            <w:vAlign w:val="center"/>
          </w:tcPr>
          <w:p w14:paraId="6EFE4F75">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60</w:t>
            </w:r>
          </w:p>
        </w:tc>
        <w:tc>
          <w:tcPr>
            <w:tcW w:w="670" w:type="pct"/>
            <w:tcBorders>
              <w:tl2br w:val="nil"/>
              <w:tr2bl w:val="nil"/>
            </w:tcBorders>
            <w:noWrap w:val="0"/>
            <w:vAlign w:val="center"/>
          </w:tcPr>
          <w:p w14:paraId="5287F3E0">
            <w:pPr>
              <w:pStyle w:val="161"/>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mg/kg</w:t>
            </w:r>
          </w:p>
        </w:tc>
      </w:tr>
      <w:tr w14:paraId="7BA1E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024377E7">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1B337928">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镉</w:t>
            </w:r>
          </w:p>
        </w:tc>
        <w:tc>
          <w:tcPr>
            <w:tcW w:w="2061" w:type="pct"/>
            <w:tcBorders>
              <w:tl2br w:val="nil"/>
              <w:tr2bl w:val="nil"/>
            </w:tcBorders>
            <w:noWrap w:val="0"/>
            <w:vAlign w:val="center"/>
          </w:tcPr>
          <w:p w14:paraId="73F7B08F">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65</w:t>
            </w:r>
          </w:p>
        </w:tc>
        <w:tc>
          <w:tcPr>
            <w:tcW w:w="670" w:type="pct"/>
            <w:tcBorders>
              <w:tl2br w:val="nil"/>
              <w:tr2bl w:val="nil"/>
            </w:tcBorders>
            <w:noWrap w:val="0"/>
            <w:vAlign w:val="center"/>
          </w:tcPr>
          <w:p w14:paraId="6835C45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4F04B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4AA8295">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CAF83A0">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铬（六价）</w:t>
            </w:r>
          </w:p>
        </w:tc>
        <w:tc>
          <w:tcPr>
            <w:tcW w:w="2061" w:type="pct"/>
            <w:tcBorders>
              <w:tl2br w:val="nil"/>
              <w:tr2bl w:val="nil"/>
            </w:tcBorders>
            <w:noWrap w:val="0"/>
            <w:vAlign w:val="center"/>
          </w:tcPr>
          <w:p w14:paraId="419B9A24">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5.7</w:t>
            </w:r>
          </w:p>
        </w:tc>
        <w:tc>
          <w:tcPr>
            <w:tcW w:w="670" w:type="pct"/>
            <w:tcBorders>
              <w:tl2br w:val="nil"/>
              <w:tr2bl w:val="nil"/>
            </w:tcBorders>
            <w:noWrap w:val="0"/>
            <w:vAlign w:val="center"/>
          </w:tcPr>
          <w:p w14:paraId="142228B8">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7A722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6A3F7FB">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E249D0E">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铜</w:t>
            </w:r>
          </w:p>
        </w:tc>
        <w:tc>
          <w:tcPr>
            <w:tcW w:w="2061" w:type="pct"/>
            <w:tcBorders>
              <w:tl2br w:val="nil"/>
              <w:tr2bl w:val="nil"/>
            </w:tcBorders>
            <w:noWrap w:val="0"/>
            <w:vAlign w:val="center"/>
          </w:tcPr>
          <w:p w14:paraId="4414BA70">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18000</w:t>
            </w:r>
          </w:p>
        </w:tc>
        <w:tc>
          <w:tcPr>
            <w:tcW w:w="670" w:type="pct"/>
            <w:tcBorders>
              <w:tl2br w:val="nil"/>
              <w:tr2bl w:val="nil"/>
            </w:tcBorders>
            <w:noWrap w:val="0"/>
            <w:vAlign w:val="center"/>
          </w:tcPr>
          <w:p w14:paraId="7EBFF684">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3F9AD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86498E0">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17C24FE5">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铅</w:t>
            </w:r>
          </w:p>
        </w:tc>
        <w:tc>
          <w:tcPr>
            <w:tcW w:w="2061" w:type="pct"/>
            <w:tcBorders>
              <w:tl2br w:val="nil"/>
              <w:tr2bl w:val="nil"/>
            </w:tcBorders>
            <w:noWrap w:val="0"/>
            <w:vAlign w:val="center"/>
          </w:tcPr>
          <w:p w14:paraId="769BBAF3">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800</w:t>
            </w:r>
          </w:p>
        </w:tc>
        <w:tc>
          <w:tcPr>
            <w:tcW w:w="670" w:type="pct"/>
            <w:tcBorders>
              <w:tl2br w:val="nil"/>
              <w:tr2bl w:val="nil"/>
            </w:tcBorders>
            <w:noWrap w:val="0"/>
            <w:vAlign w:val="center"/>
          </w:tcPr>
          <w:p w14:paraId="48CBA353">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154F8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7CB672F6">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29F2F08C">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汞</w:t>
            </w:r>
          </w:p>
        </w:tc>
        <w:tc>
          <w:tcPr>
            <w:tcW w:w="2061" w:type="pct"/>
            <w:tcBorders>
              <w:tl2br w:val="nil"/>
              <w:tr2bl w:val="nil"/>
            </w:tcBorders>
            <w:noWrap w:val="0"/>
            <w:vAlign w:val="center"/>
          </w:tcPr>
          <w:p w14:paraId="76DAA50E">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38</w:t>
            </w:r>
          </w:p>
        </w:tc>
        <w:tc>
          <w:tcPr>
            <w:tcW w:w="670" w:type="pct"/>
            <w:tcBorders>
              <w:tl2br w:val="nil"/>
              <w:tr2bl w:val="nil"/>
            </w:tcBorders>
            <w:noWrap w:val="0"/>
            <w:vAlign w:val="center"/>
          </w:tcPr>
          <w:p w14:paraId="4C73A1B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1FA83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38733C4F">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6E6ECFC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镍</w:t>
            </w:r>
          </w:p>
        </w:tc>
        <w:tc>
          <w:tcPr>
            <w:tcW w:w="2061" w:type="pct"/>
            <w:tcBorders>
              <w:tl2br w:val="nil"/>
              <w:tr2bl w:val="nil"/>
            </w:tcBorders>
            <w:noWrap w:val="0"/>
            <w:vAlign w:val="center"/>
          </w:tcPr>
          <w:p w14:paraId="6E320362">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900</w:t>
            </w:r>
          </w:p>
        </w:tc>
        <w:tc>
          <w:tcPr>
            <w:tcW w:w="670" w:type="pct"/>
            <w:tcBorders>
              <w:tl2br w:val="nil"/>
              <w:tr2bl w:val="nil"/>
            </w:tcBorders>
            <w:noWrap w:val="0"/>
            <w:vAlign w:val="center"/>
          </w:tcPr>
          <w:p w14:paraId="3DD734E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69A9B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77A3F4B5">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01E1CDB">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四氯化碳</w:t>
            </w:r>
          </w:p>
        </w:tc>
        <w:tc>
          <w:tcPr>
            <w:tcW w:w="2061" w:type="pct"/>
            <w:tcBorders>
              <w:tl2br w:val="nil"/>
              <w:tr2bl w:val="nil"/>
            </w:tcBorders>
            <w:noWrap w:val="0"/>
            <w:vAlign w:val="center"/>
          </w:tcPr>
          <w:p w14:paraId="02CA63FA">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2.8</w:t>
            </w:r>
          </w:p>
        </w:tc>
        <w:tc>
          <w:tcPr>
            <w:tcW w:w="670" w:type="pct"/>
            <w:tcBorders>
              <w:tl2br w:val="nil"/>
              <w:tr2bl w:val="nil"/>
            </w:tcBorders>
            <w:noWrap w:val="0"/>
            <w:vAlign w:val="center"/>
          </w:tcPr>
          <w:p w14:paraId="61E8A867">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4C29F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7107200">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CFDFD35">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氯仿</w:t>
            </w:r>
          </w:p>
        </w:tc>
        <w:tc>
          <w:tcPr>
            <w:tcW w:w="2061" w:type="pct"/>
            <w:tcBorders>
              <w:tl2br w:val="nil"/>
              <w:tr2bl w:val="nil"/>
            </w:tcBorders>
            <w:noWrap w:val="0"/>
            <w:vAlign w:val="center"/>
          </w:tcPr>
          <w:p w14:paraId="6AD95D3D">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0.9</w:t>
            </w:r>
          </w:p>
        </w:tc>
        <w:tc>
          <w:tcPr>
            <w:tcW w:w="670" w:type="pct"/>
            <w:tcBorders>
              <w:tl2br w:val="nil"/>
              <w:tr2bl w:val="nil"/>
            </w:tcBorders>
            <w:noWrap w:val="0"/>
            <w:vAlign w:val="center"/>
          </w:tcPr>
          <w:p w14:paraId="7EC6C1E9">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71450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DCD6F97">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4BF527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氯甲烷</w:t>
            </w:r>
          </w:p>
        </w:tc>
        <w:tc>
          <w:tcPr>
            <w:tcW w:w="2061" w:type="pct"/>
            <w:tcBorders>
              <w:tl2br w:val="nil"/>
              <w:tr2bl w:val="nil"/>
            </w:tcBorders>
            <w:noWrap w:val="0"/>
            <w:vAlign w:val="center"/>
          </w:tcPr>
          <w:p w14:paraId="76A4768B">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37</w:t>
            </w:r>
          </w:p>
        </w:tc>
        <w:tc>
          <w:tcPr>
            <w:tcW w:w="670" w:type="pct"/>
            <w:tcBorders>
              <w:tl2br w:val="nil"/>
              <w:tr2bl w:val="nil"/>
            </w:tcBorders>
            <w:noWrap w:val="0"/>
            <w:vAlign w:val="center"/>
          </w:tcPr>
          <w:p w14:paraId="19A535D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56250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9DE6C18">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1577FD11">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1,1-二氯乙烷</w:t>
            </w:r>
          </w:p>
        </w:tc>
        <w:tc>
          <w:tcPr>
            <w:tcW w:w="2061" w:type="pct"/>
            <w:tcBorders>
              <w:tl2br w:val="nil"/>
              <w:tr2bl w:val="nil"/>
            </w:tcBorders>
            <w:noWrap w:val="0"/>
            <w:vAlign w:val="center"/>
          </w:tcPr>
          <w:p w14:paraId="58D38C49">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9</w:t>
            </w:r>
          </w:p>
        </w:tc>
        <w:tc>
          <w:tcPr>
            <w:tcW w:w="670" w:type="pct"/>
            <w:tcBorders>
              <w:tl2br w:val="nil"/>
              <w:tr2bl w:val="nil"/>
            </w:tcBorders>
            <w:noWrap w:val="0"/>
            <w:vAlign w:val="center"/>
          </w:tcPr>
          <w:p w14:paraId="2FF14647">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28B46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685DA054">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030E6B8F">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1,2-二氯乙烷</w:t>
            </w:r>
          </w:p>
        </w:tc>
        <w:tc>
          <w:tcPr>
            <w:tcW w:w="2061" w:type="pct"/>
            <w:tcBorders>
              <w:tl2br w:val="nil"/>
              <w:tr2bl w:val="nil"/>
            </w:tcBorders>
            <w:noWrap w:val="0"/>
            <w:vAlign w:val="center"/>
          </w:tcPr>
          <w:p w14:paraId="074CEE55">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w:t>
            </w:r>
          </w:p>
        </w:tc>
        <w:tc>
          <w:tcPr>
            <w:tcW w:w="670" w:type="pct"/>
            <w:tcBorders>
              <w:tl2br w:val="nil"/>
              <w:tr2bl w:val="nil"/>
            </w:tcBorders>
            <w:noWrap w:val="0"/>
            <w:vAlign w:val="center"/>
          </w:tcPr>
          <w:p w14:paraId="67F9047A">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03F27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63628D8D">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0BBA36BE">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1,1-二氯乙烯</w:t>
            </w:r>
          </w:p>
        </w:tc>
        <w:tc>
          <w:tcPr>
            <w:tcW w:w="2061" w:type="pct"/>
            <w:tcBorders>
              <w:tl2br w:val="nil"/>
              <w:tr2bl w:val="nil"/>
            </w:tcBorders>
            <w:noWrap w:val="0"/>
            <w:vAlign w:val="center"/>
          </w:tcPr>
          <w:p w14:paraId="1DA61FB8">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66</w:t>
            </w:r>
          </w:p>
        </w:tc>
        <w:tc>
          <w:tcPr>
            <w:tcW w:w="670" w:type="pct"/>
            <w:tcBorders>
              <w:tl2br w:val="nil"/>
              <w:tr2bl w:val="nil"/>
            </w:tcBorders>
            <w:noWrap w:val="0"/>
            <w:vAlign w:val="center"/>
          </w:tcPr>
          <w:p w14:paraId="71908577">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6A7E9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5AD55B3">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02075941">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顺-1,2-二氯乙烯</w:t>
            </w:r>
          </w:p>
        </w:tc>
        <w:tc>
          <w:tcPr>
            <w:tcW w:w="2061" w:type="pct"/>
            <w:tcBorders>
              <w:tl2br w:val="nil"/>
              <w:tr2bl w:val="nil"/>
            </w:tcBorders>
            <w:noWrap w:val="0"/>
            <w:vAlign w:val="center"/>
          </w:tcPr>
          <w:p w14:paraId="1B7DB30E">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596</w:t>
            </w:r>
          </w:p>
        </w:tc>
        <w:tc>
          <w:tcPr>
            <w:tcW w:w="670" w:type="pct"/>
            <w:tcBorders>
              <w:tl2br w:val="nil"/>
              <w:tr2bl w:val="nil"/>
            </w:tcBorders>
            <w:noWrap w:val="0"/>
            <w:vAlign w:val="center"/>
          </w:tcPr>
          <w:p w14:paraId="0BE757D9">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172EE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3712B7A">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FA13EAE">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反-1,2-二氯乙烯</w:t>
            </w:r>
          </w:p>
        </w:tc>
        <w:tc>
          <w:tcPr>
            <w:tcW w:w="2061" w:type="pct"/>
            <w:tcBorders>
              <w:tl2br w:val="nil"/>
              <w:tr2bl w:val="nil"/>
            </w:tcBorders>
            <w:noWrap w:val="0"/>
            <w:vAlign w:val="center"/>
          </w:tcPr>
          <w:p w14:paraId="04C1D645">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54</w:t>
            </w:r>
          </w:p>
        </w:tc>
        <w:tc>
          <w:tcPr>
            <w:tcW w:w="670" w:type="pct"/>
            <w:tcBorders>
              <w:tl2br w:val="nil"/>
              <w:tr2bl w:val="nil"/>
            </w:tcBorders>
            <w:noWrap w:val="0"/>
            <w:vAlign w:val="center"/>
          </w:tcPr>
          <w:p w14:paraId="16CC922C">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2EF0C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472201A">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BAFD65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二氯甲烷</w:t>
            </w:r>
          </w:p>
        </w:tc>
        <w:tc>
          <w:tcPr>
            <w:tcW w:w="2061" w:type="pct"/>
            <w:tcBorders>
              <w:tl2br w:val="nil"/>
              <w:tr2bl w:val="nil"/>
            </w:tcBorders>
            <w:noWrap w:val="0"/>
            <w:vAlign w:val="center"/>
          </w:tcPr>
          <w:p w14:paraId="0E9B3082">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616</w:t>
            </w:r>
          </w:p>
        </w:tc>
        <w:tc>
          <w:tcPr>
            <w:tcW w:w="670" w:type="pct"/>
            <w:tcBorders>
              <w:tl2br w:val="nil"/>
              <w:tr2bl w:val="nil"/>
            </w:tcBorders>
            <w:noWrap w:val="0"/>
            <w:vAlign w:val="center"/>
          </w:tcPr>
          <w:p w14:paraId="50999C48">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44738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C19A3F2">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E3CB22B">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1,2-二氯丙烷</w:t>
            </w:r>
          </w:p>
        </w:tc>
        <w:tc>
          <w:tcPr>
            <w:tcW w:w="2061" w:type="pct"/>
            <w:tcBorders>
              <w:tl2br w:val="nil"/>
              <w:tr2bl w:val="nil"/>
            </w:tcBorders>
            <w:noWrap w:val="0"/>
            <w:vAlign w:val="center"/>
          </w:tcPr>
          <w:p w14:paraId="693F236F">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w:t>
            </w:r>
          </w:p>
        </w:tc>
        <w:tc>
          <w:tcPr>
            <w:tcW w:w="670" w:type="pct"/>
            <w:tcBorders>
              <w:tl2br w:val="nil"/>
              <w:tr2bl w:val="nil"/>
            </w:tcBorders>
            <w:noWrap w:val="0"/>
            <w:vAlign w:val="center"/>
          </w:tcPr>
          <w:p w14:paraId="00F47D14">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36DEE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62DFE594">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D46F12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1,1,1,2-四氯乙烷</w:t>
            </w:r>
          </w:p>
        </w:tc>
        <w:tc>
          <w:tcPr>
            <w:tcW w:w="2061" w:type="pct"/>
            <w:tcBorders>
              <w:tl2br w:val="nil"/>
              <w:tr2bl w:val="nil"/>
            </w:tcBorders>
            <w:noWrap w:val="0"/>
            <w:vAlign w:val="center"/>
          </w:tcPr>
          <w:p w14:paraId="2DD40BF0">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10</w:t>
            </w:r>
          </w:p>
        </w:tc>
        <w:tc>
          <w:tcPr>
            <w:tcW w:w="670" w:type="pct"/>
            <w:tcBorders>
              <w:tl2br w:val="nil"/>
              <w:tr2bl w:val="nil"/>
            </w:tcBorders>
            <w:noWrap w:val="0"/>
            <w:vAlign w:val="center"/>
          </w:tcPr>
          <w:p w14:paraId="3624AA0C">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33846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ACAD3C6">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2695A7B1">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1,1,2,2-四氯乙烷</w:t>
            </w:r>
          </w:p>
        </w:tc>
        <w:tc>
          <w:tcPr>
            <w:tcW w:w="2061" w:type="pct"/>
            <w:tcBorders>
              <w:tl2br w:val="nil"/>
              <w:tr2bl w:val="nil"/>
            </w:tcBorders>
            <w:noWrap w:val="0"/>
            <w:vAlign w:val="center"/>
          </w:tcPr>
          <w:p w14:paraId="3639A043">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6.8</w:t>
            </w:r>
          </w:p>
        </w:tc>
        <w:tc>
          <w:tcPr>
            <w:tcW w:w="670" w:type="pct"/>
            <w:tcBorders>
              <w:tl2br w:val="nil"/>
              <w:tr2bl w:val="nil"/>
            </w:tcBorders>
            <w:noWrap w:val="0"/>
            <w:vAlign w:val="center"/>
          </w:tcPr>
          <w:p w14:paraId="20EC93A3">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22570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3B49720">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46E542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四氯乙烯</w:t>
            </w:r>
          </w:p>
        </w:tc>
        <w:tc>
          <w:tcPr>
            <w:tcW w:w="2061" w:type="pct"/>
            <w:tcBorders>
              <w:tl2br w:val="nil"/>
              <w:tr2bl w:val="nil"/>
            </w:tcBorders>
            <w:noWrap w:val="0"/>
            <w:vAlign w:val="center"/>
          </w:tcPr>
          <w:p w14:paraId="5AD6FBB2">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53</w:t>
            </w:r>
          </w:p>
        </w:tc>
        <w:tc>
          <w:tcPr>
            <w:tcW w:w="670" w:type="pct"/>
            <w:tcBorders>
              <w:tl2br w:val="nil"/>
              <w:tr2bl w:val="nil"/>
            </w:tcBorders>
            <w:noWrap w:val="0"/>
            <w:vAlign w:val="center"/>
          </w:tcPr>
          <w:p w14:paraId="512BFAC4">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7371D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EC79157">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26D3224A">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1,1,1-三氯乙烷</w:t>
            </w:r>
          </w:p>
        </w:tc>
        <w:tc>
          <w:tcPr>
            <w:tcW w:w="2061" w:type="pct"/>
            <w:tcBorders>
              <w:tl2br w:val="nil"/>
              <w:tr2bl w:val="nil"/>
            </w:tcBorders>
            <w:noWrap w:val="0"/>
            <w:vAlign w:val="center"/>
          </w:tcPr>
          <w:p w14:paraId="636F4D00">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840</w:t>
            </w:r>
          </w:p>
        </w:tc>
        <w:tc>
          <w:tcPr>
            <w:tcW w:w="670" w:type="pct"/>
            <w:tcBorders>
              <w:tl2br w:val="nil"/>
              <w:tr2bl w:val="nil"/>
            </w:tcBorders>
            <w:noWrap w:val="0"/>
            <w:vAlign w:val="center"/>
          </w:tcPr>
          <w:p w14:paraId="71AC1B09">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0551A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3C658AB5">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870F3AC">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1,1,2-三氯乙烷</w:t>
            </w:r>
          </w:p>
        </w:tc>
        <w:tc>
          <w:tcPr>
            <w:tcW w:w="2061" w:type="pct"/>
            <w:tcBorders>
              <w:tl2br w:val="nil"/>
              <w:tr2bl w:val="nil"/>
            </w:tcBorders>
            <w:noWrap w:val="0"/>
            <w:vAlign w:val="center"/>
          </w:tcPr>
          <w:p w14:paraId="436BB993">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2.8</w:t>
            </w:r>
          </w:p>
        </w:tc>
        <w:tc>
          <w:tcPr>
            <w:tcW w:w="670" w:type="pct"/>
            <w:tcBorders>
              <w:tl2br w:val="nil"/>
              <w:tr2bl w:val="nil"/>
            </w:tcBorders>
            <w:noWrap w:val="0"/>
            <w:vAlign w:val="center"/>
          </w:tcPr>
          <w:p w14:paraId="0D20C558">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5A946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733E9B7C">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2EA99EF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三氯乙烯</w:t>
            </w:r>
          </w:p>
        </w:tc>
        <w:tc>
          <w:tcPr>
            <w:tcW w:w="2061" w:type="pct"/>
            <w:tcBorders>
              <w:tl2br w:val="nil"/>
              <w:tr2bl w:val="nil"/>
            </w:tcBorders>
            <w:noWrap w:val="0"/>
            <w:vAlign w:val="center"/>
          </w:tcPr>
          <w:p w14:paraId="4FFD2362">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2.8</w:t>
            </w:r>
          </w:p>
        </w:tc>
        <w:tc>
          <w:tcPr>
            <w:tcW w:w="670" w:type="pct"/>
            <w:tcBorders>
              <w:tl2br w:val="nil"/>
              <w:tr2bl w:val="nil"/>
            </w:tcBorders>
            <w:noWrap w:val="0"/>
            <w:vAlign w:val="center"/>
          </w:tcPr>
          <w:p w14:paraId="53B9393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3AC72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6C3AD4AD">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2E14D590">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1,2,3-三氯丙烷</w:t>
            </w:r>
          </w:p>
        </w:tc>
        <w:tc>
          <w:tcPr>
            <w:tcW w:w="2061" w:type="pct"/>
            <w:tcBorders>
              <w:tl2br w:val="nil"/>
              <w:tr2bl w:val="nil"/>
            </w:tcBorders>
            <w:noWrap w:val="0"/>
            <w:vAlign w:val="center"/>
          </w:tcPr>
          <w:p w14:paraId="596A8BE4">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0.5</w:t>
            </w:r>
          </w:p>
        </w:tc>
        <w:tc>
          <w:tcPr>
            <w:tcW w:w="670" w:type="pct"/>
            <w:tcBorders>
              <w:tl2br w:val="nil"/>
              <w:tr2bl w:val="nil"/>
            </w:tcBorders>
            <w:noWrap w:val="0"/>
            <w:vAlign w:val="center"/>
          </w:tcPr>
          <w:p w14:paraId="4B75CB23">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186DD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7FBEA805">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73277929">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氯乙烯</w:t>
            </w:r>
          </w:p>
        </w:tc>
        <w:tc>
          <w:tcPr>
            <w:tcW w:w="2061" w:type="pct"/>
            <w:tcBorders>
              <w:tl2br w:val="nil"/>
              <w:tr2bl w:val="nil"/>
            </w:tcBorders>
            <w:noWrap w:val="0"/>
            <w:vAlign w:val="center"/>
          </w:tcPr>
          <w:p w14:paraId="2BB99E22">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0.43</w:t>
            </w:r>
          </w:p>
        </w:tc>
        <w:tc>
          <w:tcPr>
            <w:tcW w:w="670" w:type="pct"/>
            <w:tcBorders>
              <w:tl2br w:val="nil"/>
              <w:tr2bl w:val="nil"/>
            </w:tcBorders>
            <w:noWrap w:val="0"/>
            <w:vAlign w:val="center"/>
          </w:tcPr>
          <w:p w14:paraId="6C8735B4">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1B232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05A7A0A1">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73762F8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w:t>
            </w:r>
          </w:p>
        </w:tc>
        <w:tc>
          <w:tcPr>
            <w:tcW w:w="2061" w:type="pct"/>
            <w:tcBorders>
              <w:tl2br w:val="nil"/>
              <w:tr2bl w:val="nil"/>
            </w:tcBorders>
            <w:noWrap w:val="0"/>
            <w:vAlign w:val="center"/>
          </w:tcPr>
          <w:p w14:paraId="55BF439B">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w:t>
            </w:r>
          </w:p>
        </w:tc>
        <w:tc>
          <w:tcPr>
            <w:tcW w:w="670" w:type="pct"/>
            <w:tcBorders>
              <w:tl2br w:val="nil"/>
              <w:tr2bl w:val="nil"/>
            </w:tcBorders>
            <w:noWrap w:val="0"/>
            <w:vAlign w:val="center"/>
          </w:tcPr>
          <w:p w14:paraId="3D2EA217">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3B087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AAE08AA">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67D8F2F">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氯苯</w:t>
            </w:r>
          </w:p>
        </w:tc>
        <w:tc>
          <w:tcPr>
            <w:tcW w:w="2061" w:type="pct"/>
            <w:tcBorders>
              <w:tl2br w:val="nil"/>
              <w:tr2bl w:val="nil"/>
            </w:tcBorders>
            <w:noWrap w:val="0"/>
            <w:vAlign w:val="center"/>
          </w:tcPr>
          <w:p w14:paraId="21043342">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270</w:t>
            </w:r>
          </w:p>
        </w:tc>
        <w:tc>
          <w:tcPr>
            <w:tcW w:w="670" w:type="pct"/>
            <w:tcBorders>
              <w:tl2br w:val="nil"/>
              <w:tr2bl w:val="nil"/>
            </w:tcBorders>
            <w:noWrap w:val="0"/>
            <w:vAlign w:val="center"/>
          </w:tcPr>
          <w:p w14:paraId="74E86F0F">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0364C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6571A7BE">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0FC2DB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1,2-二氯苯</w:t>
            </w:r>
          </w:p>
        </w:tc>
        <w:tc>
          <w:tcPr>
            <w:tcW w:w="2061" w:type="pct"/>
            <w:tcBorders>
              <w:tl2br w:val="nil"/>
              <w:tr2bl w:val="nil"/>
            </w:tcBorders>
            <w:noWrap w:val="0"/>
            <w:vAlign w:val="center"/>
          </w:tcPr>
          <w:p w14:paraId="253679F3">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560</w:t>
            </w:r>
          </w:p>
        </w:tc>
        <w:tc>
          <w:tcPr>
            <w:tcW w:w="670" w:type="pct"/>
            <w:tcBorders>
              <w:tl2br w:val="nil"/>
              <w:tr2bl w:val="nil"/>
            </w:tcBorders>
            <w:noWrap w:val="0"/>
            <w:vAlign w:val="center"/>
          </w:tcPr>
          <w:p w14:paraId="675DADDB">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55608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B6D6D8B">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1272D4A">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1,4-二氯苯</w:t>
            </w:r>
          </w:p>
        </w:tc>
        <w:tc>
          <w:tcPr>
            <w:tcW w:w="2061" w:type="pct"/>
            <w:tcBorders>
              <w:tl2br w:val="nil"/>
              <w:tr2bl w:val="nil"/>
            </w:tcBorders>
            <w:noWrap w:val="0"/>
            <w:vAlign w:val="center"/>
          </w:tcPr>
          <w:p w14:paraId="6E88ECDE">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20</w:t>
            </w:r>
          </w:p>
        </w:tc>
        <w:tc>
          <w:tcPr>
            <w:tcW w:w="670" w:type="pct"/>
            <w:tcBorders>
              <w:tl2br w:val="nil"/>
              <w:tr2bl w:val="nil"/>
            </w:tcBorders>
            <w:noWrap w:val="0"/>
            <w:vAlign w:val="center"/>
          </w:tcPr>
          <w:p w14:paraId="2DFF3C15">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2241B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2CC70587">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7A33A591">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乙苯</w:t>
            </w:r>
          </w:p>
        </w:tc>
        <w:tc>
          <w:tcPr>
            <w:tcW w:w="2061" w:type="pct"/>
            <w:tcBorders>
              <w:tl2br w:val="nil"/>
              <w:tr2bl w:val="nil"/>
            </w:tcBorders>
            <w:noWrap w:val="0"/>
            <w:vAlign w:val="center"/>
          </w:tcPr>
          <w:p w14:paraId="0BCE3F98">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28</w:t>
            </w:r>
          </w:p>
        </w:tc>
        <w:tc>
          <w:tcPr>
            <w:tcW w:w="670" w:type="pct"/>
            <w:tcBorders>
              <w:tl2br w:val="nil"/>
              <w:tr2bl w:val="nil"/>
            </w:tcBorders>
            <w:noWrap w:val="0"/>
            <w:vAlign w:val="center"/>
          </w:tcPr>
          <w:p w14:paraId="1DBFD95C">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2857A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3FFBC8D">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0EE5C659">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苯乙烯</w:t>
            </w:r>
          </w:p>
        </w:tc>
        <w:tc>
          <w:tcPr>
            <w:tcW w:w="2061" w:type="pct"/>
            <w:tcBorders>
              <w:tl2br w:val="nil"/>
              <w:tr2bl w:val="nil"/>
            </w:tcBorders>
            <w:noWrap w:val="0"/>
            <w:vAlign w:val="center"/>
          </w:tcPr>
          <w:p w14:paraId="798C4F05">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1290</w:t>
            </w:r>
          </w:p>
        </w:tc>
        <w:tc>
          <w:tcPr>
            <w:tcW w:w="670" w:type="pct"/>
            <w:tcBorders>
              <w:tl2br w:val="nil"/>
              <w:tr2bl w:val="nil"/>
            </w:tcBorders>
            <w:noWrap w:val="0"/>
            <w:vAlign w:val="center"/>
          </w:tcPr>
          <w:p w14:paraId="2EF2405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0F04F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433AC52">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68D64AA">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甲苯</w:t>
            </w:r>
          </w:p>
        </w:tc>
        <w:tc>
          <w:tcPr>
            <w:tcW w:w="2061" w:type="pct"/>
            <w:tcBorders>
              <w:tl2br w:val="nil"/>
              <w:tr2bl w:val="nil"/>
            </w:tcBorders>
            <w:noWrap w:val="0"/>
            <w:vAlign w:val="center"/>
          </w:tcPr>
          <w:p w14:paraId="35DA771E">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1200</w:t>
            </w:r>
          </w:p>
        </w:tc>
        <w:tc>
          <w:tcPr>
            <w:tcW w:w="670" w:type="pct"/>
            <w:tcBorders>
              <w:tl2br w:val="nil"/>
              <w:tr2bl w:val="nil"/>
            </w:tcBorders>
            <w:noWrap w:val="0"/>
            <w:vAlign w:val="center"/>
          </w:tcPr>
          <w:p w14:paraId="1DE8746F">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3FEF0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7E0B8BC">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18152F23">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间二甲苯+对二甲苯</w:t>
            </w:r>
          </w:p>
        </w:tc>
        <w:tc>
          <w:tcPr>
            <w:tcW w:w="2061" w:type="pct"/>
            <w:tcBorders>
              <w:tl2br w:val="nil"/>
              <w:tr2bl w:val="nil"/>
            </w:tcBorders>
            <w:noWrap w:val="0"/>
            <w:vAlign w:val="center"/>
          </w:tcPr>
          <w:p w14:paraId="0A6D8C93">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570</w:t>
            </w:r>
          </w:p>
        </w:tc>
        <w:tc>
          <w:tcPr>
            <w:tcW w:w="670" w:type="pct"/>
            <w:tcBorders>
              <w:tl2br w:val="nil"/>
              <w:tr2bl w:val="nil"/>
            </w:tcBorders>
            <w:noWrap w:val="0"/>
            <w:vAlign w:val="center"/>
          </w:tcPr>
          <w:p w14:paraId="6A67B1C8">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6F067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71867EE1">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34A41AA">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邻二甲苯</w:t>
            </w:r>
          </w:p>
        </w:tc>
        <w:tc>
          <w:tcPr>
            <w:tcW w:w="2061" w:type="pct"/>
            <w:tcBorders>
              <w:tl2br w:val="nil"/>
              <w:tr2bl w:val="nil"/>
            </w:tcBorders>
            <w:noWrap w:val="0"/>
            <w:vAlign w:val="center"/>
          </w:tcPr>
          <w:p w14:paraId="2C25BB6F">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640</w:t>
            </w:r>
          </w:p>
        </w:tc>
        <w:tc>
          <w:tcPr>
            <w:tcW w:w="670" w:type="pct"/>
            <w:tcBorders>
              <w:tl2br w:val="nil"/>
              <w:tr2bl w:val="nil"/>
            </w:tcBorders>
            <w:noWrap w:val="0"/>
            <w:vAlign w:val="center"/>
          </w:tcPr>
          <w:p w14:paraId="772FA917">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1146C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0DF3588">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28509D4">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硝基苯</w:t>
            </w:r>
          </w:p>
        </w:tc>
        <w:tc>
          <w:tcPr>
            <w:tcW w:w="2061" w:type="pct"/>
            <w:tcBorders>
              <w:tl2br w:val="nil"/>
              <w:tr2bl w:val="nil"/>
            </w:tcBorders>
            <w:noWrap w:val="0"/>
            <w:vAlign w:val="center"/>
          </w:tcPr>
          <w:p w14:paraId="6A8D4041">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76</w:t>
            </w:r>
          </w:p>
        </w:tc>
        <w:tc>
          <w:tcPr>
            <w:tcW w:w="670" w:type="pct"/>
            <w:tcBorders>
              <w:tl2br w:val="nil"/>
              <w:tr2bl w:val="nil"/>
            </w:tcBorders>
            <w:noWrap w:val="0"/>
            <w:vAlign w:val="center"/>
          </w:tcPr>
          <w:p w14:paraId="4228C0A4">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08BE8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2B2273D2">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673CB9F">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苯胺</w:t>
            </w:r>
          </w:p>
        </w:tc>
        <w:tc>
          <w:tcPr>
            <w:tcW w:w="2061" w:type="pct"/>
            <w:tcBorders>
              <w:tl2br w:val="nil"/>
              <w:tr2bl w:val="nil"/>
            </w:tcBorders>
            <w:noWrap w:val="0"/>
            <w:vAlign w:val="center"/>
          </w:tcPr>
          <w:p w14:paraId="01270DCE">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260</w:t>
            </w:r>
          </w:p>
        </w:tc>
        <w:tc>
          <w:tcPr>
            <w:tcW w:w="670" w:type="pct"/>
            <w:tcBorders>
              <w:tl2br w:val="nil"/>
              <w:tr2bl w:val="nil"/>
            </w:tcBorders>
            <w:noWrap w:val="0"/>
            <w:vAlign w:val="center"/>
          </w:tcPr>
          <w:p w14:paraId="63611B06">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5ACF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A40EF84">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82F2699">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2-氯酚</w:t>
            </w:r>
          </w:p>
        </w:tc>
        <w:tc>
          <w:tcPr>
            <w:tcW w:w="2061" w:type="pct"/>
            <w:tcBorders>
              <w:tl2br w:val="nil"/>
              <w:tr2bl w:val="nil"/>
            </w:tcBorders>
            <w:noWrap w:val="0"/>
            <w:vAlign w:val="center"/>
          </w:tcPr>
          <w:p w14:paraId="795B34F2">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2256</w:t>
            </w:r>
          </w:p>
        </w:tc>
        <w:tc>
          <w:tcPr>
            <w:tcW w:w="670" w:type="pct"/>
            <w:tcBorders>
              <w:tl2br w:val="nil"/>
              <w:tr2bl w:val="nil"/>
            </w:tcBorders>
            <w:noWrap w:val="0"/>
            <w:vAlign w:val="center"/>
          </w:tcPr>
          <w:p w14:paraId="4461F027">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79D1F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76F85B83">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FF99D13">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苯并[a]蒽</w:t>
            </w:r>
          </w:p>
        </w:tc>
        <w:tc>
          <w:tcPr>
            <w:tcW w:w="2061" w:type="pct"/>
            <w:tcBorders>
              <w:tl2br w:val="nil"/>
              <w:tr2bl w:val="nil"/>
            </w:tcBorders>
            <w:noWrap w:val="0"/>
            <w:vAlign w:val="center"/>
          </w:tcPr>
          <w:p w14:paraId="616A9439">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15</w:t>
            </w:r>
          </w:p>
        </w:tc>
        <w:tc>
          <w:tcPr>
            <w:tcW w:w="670" w:type="pct"/>
            <w:tcBorders>
              <w:tl2br w:val="nil"/>
              <w:tr2bl w:val="nil"/>
            </w:tcBorders>
            <w:noWrap w:val="0"/>
            <w:vAlign w:val="center"/>
          </w:tcPr>
          <w:p w14:paraId="09419C9E">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588BC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353FDD1C">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12DF6268">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苯并[a]芘</w:t>
            </w:r>
          </w:p>
        </w:tc>
        <w:tc>
          <w:tcPr>
            <w:tcW w:w="2061" w:type="pct"/>
            <w:tcBorders>
              <w:tl2br w:val="nil"/>
              <w:tr2bl w:val="nil"/>
            </w:tcBorders>
            <w:noWrap w:val="0"/>
            <w:vAlign w:val="center"/>
          </w:tcPr>
          <w:p w14:paraId="29E5A8E1">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1.5</w:t>
            </w:r>
          </w:p>
        </w:tc>
        <w:tc>
          <w:tcPr>
            <w:tcW w:w="670" w:type="pct"/>
            <w:tcBorders>
              <w:tl2br w:val="nil"/>
              <w:tr2bl w:val="nil"/>
            </w:tcBorders>
            <w:noWrap w:val="0"/>
            <w:vAlign w:val="center"/>
          </w:tcPr>
          <w:p w14:paraId="7CC982E5">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4FEB5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0518B886">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414EA66">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苯并[b]荧蒽</w:t>
            </w:r>
          </w:p>
        </w:tc>
        <w:tc>
          <w:tcPr>
            <w:tcW w:w="2061" w:type="pct"/>
            <w:tcBorders>
              <w:tl2br w:val="nil"/>
              <w:tr2bl w:val="nil"/>
            </w:tcBorders>
            <w:noWrap w:val="0"/>
            <w:vAlign w:val="center"/>
          </w:tcPr>
          <w:p w14:paraId="13EAC9E9">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15</w:t>
            </w:r>
          </w:p>
        </w:tc>
        <w:tc>
          <w:tcPr>
            <w:tcW w:w="670" w:type="pct"/>
            <w:tcBorders>
              <w:tl2br w:val="nil"/>
              <w:tr2bl w:val="nil"/>
            </w:tcBorders>
            <w:noWrap w:val="0"/>
            <w:vAlign w:val="center"/>
          </w:tcPr>
          <w:p w14:paraId="16B87400">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09FEA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6C6FFF01">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1B980BEB">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苯并荧[k]蒽</w:t>
            </w:r>
          </w:p>
        </w:tc>
        <w:tc>
          <w:tcPr>
            <w:tcW w:w="2061" w:type="pct"/>
            <w:tcBorders>
              <w:tl2br w:val="nil"/>
              <w:tr2bl w:val="nil"/>
            </w:tcBorders>
            <w:noWrap w:val="0"/>
            <w:vAlign w:val="center"/>
          </w:tcPr>
          <w:p w14:paraId="2F985BC7">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151</w:t>
            </w:r>
          </w:p>
        </w:tc>
        <w:tc>
          <w:tcPr>
            <w:tcW w:w="670" w:type="pct"/>
            <w:tcBorders>
              <w:tl2br w:val="nil"/>
              <w:tr2bl w:val="nil"/>
            </w:tcBorders>
            <w:noWrap w:val="0"/>
            <w:vAlign w:val="center"/>
          </w:tcPr>
          <w:p w14:paraId="465901EC">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4B050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FA2762D">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324796BE">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䓛</w:t>
            </w:r>
          </w:p>
        </w:tc>
        <w:tc>
          <w:tcPr>
            <w:tcW w:w="2061" w:type="pct"/>
            <w:tcBorders>
              <w:tl2br w:val="nil"/>
              <w:tr2bl w:val="nil"/>
            </w:tcBorders>
            <w:noWrap w:val="0"/>
            <w:vAlign w:val="center"/>
          </w:tcPr>
          <w:p w14:paraId="020E1996">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1293</w:t>
            </w:r>
          </w:p>
        </w:tc>
        <w:tc>
          <w:tcPr>
            <w:tcW w:w="670" w:type="pct"/>
            <w:tcBorders>
              <w:tl2br w:val="nil"/>
              <w:tr2bl w:val="nil"/>
            </w:tcBorders>
            <w:noWrap w:val="0"/>
            <w:vAlign w:val="center"/>
          </w:tcPr>
          <w:p w14:paraId="0F3AA406">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6A86E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7F31A509">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7B9AA6BB">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二苯并[a,h]蒽</w:t>
            </w:r>
          </w:p>
        </w:tc>
        <w:tc>
          <w:tcPr>
            <w:tcW w:w="2061" w:type="pct"/>
            <w:tcBorders>
              <w:tl2br w:val="nil"/>
              <w:tr2bl w:val="nil"/>
            </w:tcBorders>
            <w:noWrap w:val="0"/>
            <w:vAlign w:val="center"/>
          </w:tcPr>
          <w:p w14:paraId="15E568E5">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1.5</w:t>
            </w:r>
          </w:p>
        </w:tc>
        <w:tc>
          <w:tcPr>
            <w:tcW w:w="670" w:type="pct"/>
            <w:tcBorders>
              <w:tl2br w:val="nil"/>
              <w:tr2bl w:val="nil"/>
            </w:tcBorders>
            <w:noWrap w:val="0"/>
            <w:vAlign w:val="center"/>
          </w:tcPr>
          <w:p w14:paraId="64D1223F">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27359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06A6A2E5">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815222F">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茚并[1,2,3-cd]芘</w:t>
            </w:r>
          </w:p>
        </w:tc>
        <w:tc>
          <w:tcPr>
            <w:tcW w:w="2061" w:type="pct"/>
            <w:tcBorders>
              <w:tl2br w:val="nil"/>
              <w:tr2bl w:val="nil"/>
            </w:tcBorders>
            <w:noWrap w:val="0"/>
            <w:vAlign w:val="center"/>
          </w:tcPr>
          <w:p w14:paraId="1444DB53">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15</w:t>
            </w:r>
          </w:p>
        </w:tc>
        <w:tc>
          <w:tcPr>
            <w:tcW w:w="670" w:type="pct"/>
            <w:tcBorders>
              <w:tl2br w:val="nil"/>
              <w:tr2bl w:val="nil"/>
            </w:tcBorders>
            <w:noWrap w:val="0"/>
            <w:vAlign w:val="center"/>
          </w:tcPr>
          <w:p w14:paraId="267499E3">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677F5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3E0A1C51">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CC2B6CC">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萘</w:t>
            </w:r>
          </w:p>
        </w:tc>
        <w:tc>
          <w:tcPr>
            <w:tcW w:w="2061" w:type="pct"/>
            <w:tcBorders>
              <w:tl2br w:val="nil"/>
              <w:tr2bl w:val="nil"/>
            </w:tcBorders>
            <w:noWrap w:val="0"/>
            <w:vAlign w:val="center"/>
          </w:tcPr>
          <w:p w14:paraId="459CF43F">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70</w:t>
            </w:r>
          </w:p>
        </w:tc>
        <w:tc>
          <w:tcPr>
            <w:tcW w:w="670" w:type="pct"/>
            <w:tcBorders>
              <w:tl2br w:val="nil"/>
              <w:tr2bl w:val="nil"/>
            </w:tcBorders>
            <w:noWrap w:val="0"/>
            <w:vAlign w:val="center"/>
          </w:tcPr>
          <w:p w14:paraId="26DAB5C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71559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4883F69">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68147299">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钒</w:t>
            </w:r>
          </w:p>
        </w:tc>
        <w:tc>
          <w:tcPr>
            <w:tcW w:w="2061" w:type="pct"/>
            <w:tcBorders>
              <w:tl2br w:val="nil"/>
              <w:tr2bl w:val="nil"/>
            </w:tcBorders>
            <w:noWrap w:val="0"/>
            <w:vAlign w:val="center"/>
          </w:tcPr>
          <w:p w14:paraId="37394E53">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752</w:t>
            </w:r>
          </w:p>
        </w:tc>
        <w:tc>
          <w:tcPr>
            <w:tcW w:w="670" w:type="pct"/>
            <w:tcBorders>
              <w:tl2br w:val="nil"/>
              <w:tr2bl w:val="nil"/>
            </w:tcBorders>
            <w:noWrap w:val="0"/>
            <w:vAlign w:val="center"/>
          </w:tcPr>
          <w:p w14:paraId="4AF8AA29">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mg/kg</w:t>
            </w:r>
          </w:p>
        </w:tc>
      </w:tr>
      <w:tr w14:paraId="16A98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172FC1A">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9CBFA6D">
            <w:pPr>
              <w:tabs>
                <w:tab w:val="left" w:pos="1255"/>
              </w:tabs>
              <w:adjustRightInd w:val="0"/>
              <w:snapToGrid w:val="0"/>
              <w:spacing w:line="260" w:lineRule="exact"/>
              <w:ind w:firstLine="0" w:firstLineChars="0"/>
              <w:jc w:val="center"/>
              <w:rPr>
                <w:rFonts w:hint="eastAsia"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石油烃（C</w:t>
            </w:r>
            <w:r>
              <w:rPr>
                <w:rFonts w:hint="default" w:ascii="Times New Roman" w:hAnsi="Times New Roman" w:cs="Times New Roman"/>
                <w:color w:val="auto"/>
                <w:sz w:val="21"/>
                <w:szCs w:val="21"/>
                <w:highlight w:val="none"/>
                <w:vertAlign w:val="subscript"/>
              </w:rPr>
              <w:t>10</w:t>
            </w:r>
            <w:r>
              <w:rPr>
                <w:rFonts w:hint="default" w:ascii="Times New Roman" w:hAnsi="Times New Roman" w:cs="Times New Roman"/>
                <w:color w:val="auto"/>
                <w:sz w:val="21"/>
                <w:szCs w:val="21"/>
                <w:highlight w:val="none"/>
              </w:rPr>
              <w:t>-C</w:t>
            </w:r>
            <w:r>
              <w:rPr>
                <w:rFonts w:hint="default" w:ascii="Times New Roman" w:hAnsi="Times New Roman" w:cs="Times New Roman"/>
                <w:color w:val="auto"/>
                <w:sz w:val="21"/>
                <w:szCs w:val="21"/>
                <w:highlight w:val="none"/>
                <w:vertAlign w:val="subscript"/>
              </w:rPr>
              <w:t>40</w:t>
            </w:r>
            <w:r>
              <w:rPr>
                <w:rFonts w:hint="default" w:ascii="Times New Roman" w:hAnsi="Times New Roman" w:cs="Times New Roman"/>
                <w:color w:val="auto"/>
                <w:sz w:val="21"/>
                <w:szCs w:val="21"/>
                <w:highlight w:val="none"/>
              </w:rPr>
              <w:t>）</w:t>
            </w:r>
          </w:p>
        </w:tc>
        <w:tc>
          <w:tcPr>
            <w:tcW w:w="2061" w:type="pct"/>
            <w:tcBorders>
              <w:tl2br w:val="nil"/>
              <w:tr2bl w:val="nil"/>
            </w:tcBorders>
            <w:noWrap w:val="0"/>
            <w:vAlign w:val="center"/>
          </w:tcPr>
          <w:p w14:paraId="03097C17">
            <w:pPr>
              <w:tabs>
                <w:tab w:val="left" w:pos="1255"/>
              </w:tabs>
              <w:adjustRightInd w:val="0"/>
              <w:snapToGrid w:val="0"/>
              <w:spacing w:line="260" w:lineRule="exact"/>
              <w:ind w:firstLine="0" w:firstLineChars="0"/>
              <w:jc w:val="center"/>
              <w:rPr>
                <w:rFonts w:hint="eastAsia"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4500</w:t>
            </w:r>
          </w:p>
        </w:tc>
        <w:tc>
          <w:tcPr>
            <w:tcW w:w="670" w:type="pct"/>
            <w:tcBorders>
              <w:tl2br w:val="nil"/>
              <w:tr2bl w:val="nil"/>
            </w:tcBorders>
            <w:noWrap w:val="0"/>
            <w:vAlign w:val="center"/>
          </w:tcPr>
          <w:p w14:paraId="0B86081F">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mg/kg</w:t>
            </w:r>
          </w:p>
        </w:tc>
      </w:tr>
      <w:tr w14:paraId="324A4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17354DAD">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233B0CC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Cs w:val="21"/>
                <w:highlight w:val="none"/>
                <w:lang w:val="en-US" w:eastAsia="zh-CN"/>
              </w:rPr>
              <w:t>污染物名称</w:t>
            </w:r>
          </w:p>
        </w:tc>
        <w:tc>
          <w:tcPr>
            <w:tcW w:w="2061" w:type="pct"/>
            <w:tcBorders>
              <w:tl2br w:val="nil"/>
              <w:tr2bl w:val="nil"/>
            </w:tcBorders>
            <w:noWrap w:val="0"/>
            <w:vAlign w:val="center"/>
          </w:tcPr>
          <w:p w14:paraId="1CC5B21A">
            <w:pPr>
              <w:tabs>
                <w:tab w:val="left" w:pos="1255"/>
              </w:tabs>
              <w:adjustRightInd w:val="0"/>
              <w:snapToGrid w:val="0"/>
              <w:spacing w:line="260" w:lineRule="exact"/>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Cs w:val="21"/>
                <w:highlight w:val="none"/>
                <w:lang w:val="en-US" w:eastAsia="zh-CN"/>
              </w:rPr>
              <w:t>（</w:t>
            </w:r>
            <w:r>
              <w:rPr>
                <w:rFonts w:hint="eastAsia" w:cs="Times New Roman"/>
                <w:b/>
                <w:bCs/>
                <w:color w:val="auto"/>
                <w:szCs w:val="21"/>
                <w:highlight w:val="none"/>
                <w:lang w:val="en-US" w:eastAsia="zh-CN"/>
              </w:rPr>
              <w:t>DB13/T5216-2022</w:t>
            </w:r>
            <w:r>
              <w:rPr>
                <w:rFonts w:hint="default" w:ascii="Times New Roman" w:hAnsi="Times New Roman" w:cs="Times New Roman"/>
                <w:b/>
                <w:bCs/>
                <w:color w:val="auto"/>
                <w:szCs w:val="21"/>
                <w:highlight w:val="none"/>
                <w:lang w:val="en-US" w:eastAsia="zh-CN"/>
              </w:rPr>
              <w:t>）第二类用地的筛选值标准</w:t>
            </w:r>
          </w:p>
        </w:tc>
        <w:tc>
          <w:tcPr>
            <w:tcW w:w="670" w:type="pct"/>
            <w:tcBorders>
              <w:tl2br w:val="nil"/>
              <w:tr2bl w:val="nil"/>
            </w:tcBorders>
            <w:noWrap w:val="0"/>
            <w:vAlign w:val="center"/>
          </w:tcPr>
          <w:p w14:paraId="3CB064E3">
            <w:pPr>
              <w:tabs>
                <w:tab w:val="left" w:pos="1255"/>
              </w:tabs>
              <w:adjustRightInd w:val="0"/>
              <w:snapToGrid w:val="0"/>
              <w:spacing w:line="260" w:lineRule="exact"/>
              <w:ind w:firstLine="0"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单位</w:t>
            </w:r>
          </w:p>
        </w:tc>
      </w:tr>
      <w:tr w14:paraId="1F78B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138B919">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6809D1E2">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锌</w:t>
            </w:r>
          </w:p>
        </w:tc>
        <w:tc>
          <w:tcPr>
            <w:tcW w:w="2061" w:type="pct"/>
            <w:tcBorders>
              <w:tl2br w:val="nil"/>
              <w:tr2bl w:val="nil"/>
            </w:tcBorders>
            <w:noWrap w:val="0"/>
            <w:vAlign w:val="center"/>
          </w:tcPr>
          <w:p w14:paraId="3496EBF0">
            <w:pPr>
              <w:tabs>
                <w:tab w:val="left" w:pos="1255"/>
              </w:tabs>
              <w:adjustRightInd w:val="0"/>
              <w:snapToGrid w:val="0"/>
              <w:spacing w:line="260" w:lineRule="exact"/>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10000</w:t>
            </w:r>
          </w:p>
        </w:tc>
        <w:tc>
          <w:tcPr>
            <w:tcW w:w="670" w:type="pct"/>
            <w:tcBorders>
              <w:tl2br w:val="nil"/>
              <w:tr2bl w:val="nil"/>
            </w:tcBorders>
            <w:noWrap w:val="0"/>
            <w:vAlign w:val="center"/>
          </w:tcPr>
          <w:p w14:paraId="7DB760E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73A1E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8A36C5D">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7D1D83C0">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钼</w:t>
            </w:r>
          </w:p>
        </w:tc>
        <w:tc>
          <w:tcPr>
            <w:tcW w:w="2061" w:type="pct"/>
            <w:tcBorders>
              <w:tl2br w:val="nil"/>
              <w:tr2bl w:val="nil"/>
            </w:tcBorders>
            <w:noWrap w:val="0"/>
            <w:vAlign w:val="center"/>
          </w:tcPr>
          <w:p w14:paraId="4AD9D98B">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2418</w:t>
            </w:r>
          </w:p>
        </w:tc>
        <w:tc>
          <w:tcPr>
            <w:tcW w:w="670" w:type="pct"/>
            <w:tcBorders>
              <w:tl2br w:val="nil"/>
              <w:tr2bl w:val="nil"/>
            </w:tcBorders>
            <w:noWrap w:val="0"/>
            <w:vAlign w:val="center"/>
          </w:tcPr>
          <w:p w14:paraId="6EAC49C1">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05761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2AACDE44">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0CAFDFB3">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硒</w:t>
            </w:r>
          </w:p>
        </w:tc>
        <w:tc>
          <w:tcPr>
            <w:tcW w:w="2061" w:type="pct"/>
            <w:tcBorders>
              <w:tl2br w:val="nil"/>
              <w:tr2bl w:val="nil"/>
            </w:tcBorders>
            <w:noWrap w:val="0"/>
            <w:vAlign w:val="center"/>
          </w:tcPr>
          <w:p w14:paraId="5076DDFB">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2393</w:t>
            </w:r>
          </w:p>
        </w:tc>
        <w:tc>
          <w:tcPr>
            <w:tcW w:w="670" w:type="pct"/>
            <w:tcBorders>
              <w:tl2br w:val="nil"/>
              <w:tr2bl w:val="nil"/>
            </w:tcBorders>
            <w:noWrap w:val="0"/>
            <w:vAlign w:val="center"/>
          </w:tcPr>
          <w:p w14:paraId="6BE371F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4C105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A84A8E2">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63F6597">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铊</w:t>
            </w:r>
          </w:p>
        </w:tc>
        <w:tc>
          <w:tcPr>
            <w:tcW w:w="2061" w:type="pct"/>
            <w:tcBorders>
              <w:tl2br w:val="nil"/>
              <w:tr2bl w:val="nil"/>
            </w:tcBorders>
            <w:noWrap w:val="0"/>
            <w:vAlign w:val="center"/>
          </w:tcPr>
          <w:p w14:paraId="528B6C09">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4.8</w:t>
            </w:r>
          </w:p>
        </w:tc>
        <w:tc>
          <w:tcPr>
            <w:tcW w:w="670" w:type="pct"/>
            <w:tcBorders>
              <w:tl2br w:val="nil"/>
              <w:tr2bl w:val="nil"/>
            </w:tcBorders>
            <w:noWrap w:val="0"/>
            <w:vAlign w:val="center"/>
          </w:tcPr>
          <w:p w14:paraId="7D628795">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61EC1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27C95301">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1E0801D7">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钡</w:t>
            </w:r>
          </w:p>
        </w:tc>
        <w:tc>
          <w:tcPr>
            <w:tcW w:w="2061" w:type="pct"/>
            <w:tcBorders>
              <w:tl2br w:val="nil"/>
              <w:tr2bl w:val="nil"/>
            </w:tcBorders>
            <w:noWrap w:val="0"/>
            <w:vAlign w:val="center"/>
          </w:tcPr>
          <w:p w14:paraId="77DD17EF">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5460</w:t>
            </w:r>
          </w:p>
        </w:tc>
        <w:tc>
          <w:tcPr>
            <w:tcW w:w="670" w:type="pct"/>
            <w:tcBorders>
              <w:tl2br w:val="nil"/>
              <w:tr2bl w:val="nil"/>
            </w:tcBorders>
            <w:noWrap w:val="0"/>
            <w:vAlign w:val="center"/>
          </w:tcPr>
          <w:p w14:paraId="3AA835F6">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39089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FC6F61A">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527FB361">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银</w:t>
            </w:r>
          </w:p>
        </w:tc>
        <w:tc>
          <w:tcPr>
            <w:tcW w:w="2061" w:type="pct"/>
            <w:tcBorders>
              <w:tl2br w:val="nil"/>
              <w:tr2bl w:val="nil"/>
            </w:tcBorders>
            <w:noWrap w:val="0"/>
            <w:vAlign w:val="center"/>
          </w:tcPr>
          <w:p w14:paraId="10D33681">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2418</w:t>
            </w:r>
          </w:p>
        </w:tc>
        <w:tc>
          <w:tcPr>
            <w:tcW w:w="670" w:type="pct"/>
            <w:tcBorders>
              <w:tl2br w:val="nil"/>
              <w:tr2bl w:val="nil"/>
            </w:tcBorders>
            <w:noWrap w:val="0"/>
            <w:vAlign w:val="center"/>
          </w:tcPr>
          <w:p w14:paraId="003CF42D">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65982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07575DA">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7D74BEC0">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锡</w:t>
            </w:r>
          </w:p>
        </w:tc>
        <w:tc>
          <w:tcPr>
            <w:tcW w:w="2061" w:type="pct"/>
            <w:tcBorders>
              <w:tl2br w:val="nil"/>
              <w:tr2bl w:val="nil"/>
            </w:tcBorders>
            <w:noWrap w:val="0"/>
            <w:vAlign w:val="center"/>
          </w:tcPr>
          <w:p w14:paraId="7DC31C2D">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10000</w:t>
            </w:r>
          </w:p>
        </w:tc>
        <w:tc>
          <w:tcPr>
            <w:tcW w:w="670" w:type="pct"/>
            <w:tcBorders>
              <w:tl2br w:val="nil"/>
              <w:tr2bl w:val="nil"/>
            </w:tcBorders>
            <w:noWrap w:val="0"/>
            <w:vAlign w:val="center"/>
          </w:tcPr>
          <w:p w14:paraId="5B24F322">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753E4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51D0F3C9">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7A8BECDE">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氟化物（可溶性）</w:t>
            </w:r>
          </w:p>
        </w:tc>
        <w:tc>
          <w:tcPr>
            <w:tcW w:w="2061" w:type="pct"/>
            <w:tcBorders>
              <w:tl2br w:val="nil"/>
              <w:tr2bl w:val="nil"/>
            </w:tcBorders>
            <w:noWrap w:val="0"/>
            <w:vAlign w:val="center"/>
          </w:tcPr>
          <w:p w14:paraId="6F71A98D">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10000</w:t>
            </w:r>
          </w:p>
        </w:tc>
        <w:tc>
          <w:tcPr>
            <w:tcW w:w="670" w:type="pct"/>
            <w:tcBorders>
              <w:tl2br w:val="nil"/>
              <w:tr2bl w:val="nil"/>
            </w:tcBorders>
            <w:noWrap w:val="0"/>
            <w:vAlign w:val="center"/>
          </w:tcPr>
          <w:p w14:paraId="6E7C3108">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r w14:paraId="5CB7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vMerge w:val="continue"/>
            <w:tcBorders>
              <w:tl2br w:val="nil"/>
              <w:tr2bl w:val="nil"/>
            </w:tcBorders>
            <w:noWrap w:val="0"/>
            <w:vAlign w:val="center"/>
          </w:tcPr>
          <w:p w14:paraId="4CC5B95F">
            <w:pPr>
              <w:pStyle w:val="161"/>
              <w:rPr>
                <w:rFonts w:hint="default" w:ascii="Times New Roman" w:hAnsi="Times New Roman" w:cs="Times New Roman"/>
                <w:color w:val="auto"/>
                <w:szCs w:val="21"/>
                <w:highlight w:val="none"/>
                <w:lang w:val="en-US" w:eastAsia="zh-CN"/>
              </w:rPr>
            </w:pPr>
          </w:p>
        </w:tc>
        <w:tc>
          <w:tcPr>
            <w:tcW w:w="1681" w:type="pct"/>
            <w:tcBorders>
              <w:tl2br w:val="nil"/>
              <w:tr2bl w:val="nil"/>
            </w:tcBorders>
            <w:noWrap w:val="0"/>
            <w:vAlign w:val="center"/>
          </w:tcPr>
          <w:p w14:paraId="47BDC6EE">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氨氮</w:t>
            </w:r>
          </w:p>
        </w:tc>
        <w:tc>
          <w:tcPr>
            <w:tcW w:w="2061" w:type="pct"/>
            <w:tcBorders>
              <w:tl2br w:val="nil"/>
              <w:tr2bl w:val="nil"/>
            </w:tcBorders>
            <w:noWrap w:val="0"/>
            <w:vAlign w:val="center"/>
          </w:tcPr>
          <w:p w14:paraId="1F658CC9">
            <w:pPr>
              <w:tabs>
                <w:tab w:val="left" w:pos="1255"/>
              </w:tabs>
              <w:adjustRightInd w:val="0"/>
              <w:snapToGrid w:val="0"/>
              <w:spacing w:line="2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1200</w:t>
            </w:r>
          </w:p>
        </w:tc>
        <w:tc>
          <w:tcPr>
            <w:tcW w:w="670" w:type="pct"/>
            <w:tcBorders>
              <w:tl2br w:val="nil"/>
              <w:tr2bl w:val="nil"/>
            </w:tcBorders>
            <w:noWrap w:val="0"/>
            <w:vAlign w:val="center"/>
          </w:tcPr>
          <w:p w14:paraId="502D3F41">
            <w:pPr>
              <w:tabs>
                <w:tab w:val="left" w:pos="1255"/>
              </w:tabs>
              <w:adjustRightInd w:val="0"/>
              <w:snapToGrid w:val="0"/>
              <w:spacing w:line="2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mg/kg</w:t>
            </w:r>
          </w:p>
        </w:tc>
      </w:tr>
    </w:tbl>
    <w:p w14:paraId="12C467F2">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lang w:val="en-US" w:eastAsia="zh-CN"/>
        </w:rPr>
      </w:pPr>
      <w:r>
        <w:rPr>
          <w:rStyle w:val="152"/>
          <w:rFonts w:hint="default" w:ascii="Times New Roman" w:hAnsi="Times New Roman" w:eastAsia="宋体" w:cs="Times New Roman"/>
          <w:b/>
          <w:color w:val="auto"/>
          <w:szCs w:val="21"/>
          <w:highlight w:val="none"/>
          <w:lang w:val="en-US" w:eastAsia="zh-CN"/>
        </w:rPr>
        <w:t>农作地土壤环境质量标准    单位：mg/kg</w:t>
      </w:r>
    </w:p>
    <w:tbl>
      <w:tblPr>
        <w:tblStyle w:val="5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0"/>
        <w:gridCol w:w="1334"/>
        <w:gridCol w:w="1992"/>
        <w:gridCol w:w="3530"/>
      </w:tblGrid>
      <w:tr w14:paraId="0F5EF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vMerge w:val="restart"/>
            <w:noWrap w:val="0"/>
            <w:vAlign w:val="center"/>
          </w:tcPr>
          <w:p w14:paraId="6AE500D6">
            <w:pPr>
              <w:pStyle w:val="17"/>
              <w:adjustRightInd w:val="0"/>
              <w:snapToGrid w:val="0"/>
              <w:spacing w:line="240" w:lineRule="auto"/>
              <w:ind w:firstLine="0" w:firstLineChars="0"/>
              <w:jc w:val="center"/>
              <w:rPr>
                <w:rFonts w:hint="default" w:ascii="Times New Roman" w:hAnsi="Times New Roman" w:cs="Times New Roman"/>
                <w:b/>
                <w:snapToGrid w:val="0"/>
                <w:color w:val="auto"/>
                <w:kern w:val="0"/>
                <w:sz w:val="21"/>
                <w:szCs w:val="21"/>
                <w:highlight w:val="none"/>
              </w:rPr>
            </w:pPr>
            <w:r>
              <w:rPr>
                <w:rFonts w:hint="default" w:ascii="Times New Roman" w:hAnsi="Times New Roman" w:cs="Times New Roman"/>
                <w:b/>
                <w:snapToGrid w:val="0"/>
                <w:color w:val="auto"/>
                <w:kern w:val="0"/>
                <w:sz w:val="21"/>
                <w:szCs w:val="21"/>
                <w:highlight w:val="none"/>
              </w:rPr>
              <w:t>序号</w:t>
            </w:r>
          </w:p>
        </w:tc>
        <w:tc>
          <w:tcPr>
            <w:tcW w:w="1950" w:type="pct"/>
            <w:gridSpan w:val="2"/>
            <w:vMerge w:val="restart"/>
            <w:noWrap w:val="0"/>
            <w:vAlign w:val="center"/>
          </w:tcPr>
          <w:p w14:paraId="0C60064A">
            <w:pPr>
              <w:pStyle w:val="17"/>
              <w:adjustRightInd w:val="0"/>
              <w:snapToGrid w:val="0"/>
              <w:spacing w:line="240" w:lineRule="auto"/>
              <w:ind w:firstLine="0" w:firstLineChars="0"/>
              <w:jc w:val="center"/>
              <w:rPr>
                <w:rFonts w:hint="default" w:ascii="Times New Roman" w:hAnsi="Times New Roman" w:cs="Times New Roman"/>
                <w:b/>
                <w:snapToGrid w:val="0"/>
                <w:color w:val="auto"/>
                <w:kern w:val="0"/>
                <w:sz w:val="21"/>
                <w:szCs w:val="21"/>
                <w:highlight w:val="none"/>
              </w:rPr>
            </w:pPr>
            <w:r>
              <w:rPr>
                <w:rFonts w:hint="default" w:ascii="Times New Roman" w:hAnsi="Times New Roman" w:cs="Times New Roman"/>
                <w:b/>
                <w:snapToGrid w:val="0"/>
                <w:color w:val="auto"/>
                <w:kern w:val="0"/>
                <w:sz w:val="21"/>
                <w:szCs w:val="21"/>
                <w:highlight w:val="none"/>
              </w:rPr>
              <w:t>污染物项目</w:t>
            </w:r>
          </w:p>
        </w:tc>
        <w:tc>
          <w:tcPr>
            <w:tcW w:w="2069" w:type="pct"/>
            <w:noWrap w:val="0"/>
            <w:vAlign w:val="center"/>
          </w:tcPr>
          <w:p w14:paraId="1CC68181">
            <w:pPr>
              <w:pStyle w:val="17"/>
              <w:adjustRightInd w:val="0"/>
              <w:snapToGrid w:val="0"/>
              <w:spacing w:line="240" w:lineRule="auto"/>
              <w:ind w:firstLine="0" w:firstLineChars="0"/>
              <w:jc w:val="center"/>
              <w:rPr>
                <w:rFonts w:hint="default" w:ascii="Times New Roman" w:hAnsi="Times New Roman" w:cs="Times New Roman"/>
                <w:b/>
                <w:snapToGrid w:val="0"/>
                <w:color w:val="auto"/>
                <w:kern w:val="0"/>
                <w:sz w:val="21"/>
                <w:szCs w:val="21"/>
                <w:highlight w:val="none"/>
              </w:rPr>
            </w:pPr>
            <w:r>
              <w:rPr>
                <w:rFonts w:hint="default" w:ascii="Times New Roman" w:hAnsi="Times New Roman" w:cs="Times New Roman"/>
                <w:b/>
                <w:snapToGrid w:val="0"/>
                <w:color w:val="auto"/>
                <w:kern w:val="0"/>
                <w:sz w:val="21"/>
                <w:szCs w:val="21"/>
                <w:highlight w:val="none"/>
              </w:rPr>
              <w:t>风险筛选值</w:t>
            </w:r>
          </w:p>
        </w:tc>
      </w:tr>
      <w:tr w14:paraId="321C1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vMerge w:val="continue"/>
            <w:noWrap w:val="0"/>
            <w:vAlign w:val="center"/>
          </w:tcPr>
          <w:p w14:paraId="1D097B1B">
            <w:pPr>
              <w:pStyle w:val="17"/>
              <w:adjustRightInd w:val="0"/>
              <w:snapToGrid w:val="0"/>
              <w:spacing w:line="240" w:lineRule="auto"/>
              <w:ind w:firstLine="0" w:firstLineChars="0"/>
              <w:jc w:val="center"/>
              <w:rPr>
                <w:rFonts w:hint="default" w:ascii="Times New Roman" w:hAnsi="Times New Roman" w:cs="Times New Roman"/>
                <w:b/>
                <w:snapToGrid w:val="0"/>
                <w:color w:val="auto"/>
                <w:kern w:val="0"/>
                <w:sz w:val="21"/>
                <w:szCs w:val="21"/>
                <w:highlight w:val="none"/>
              </w:rPr>
            </w:pPr>
          </w:p>
        </w:tc>
        <w:tc>
          <w:tcPr>
            <w:tcW w:w="1950" w:type="pct"/>
            <w:gridSpan w:val="2"/>
            <w:vMerge w:val="continue"/>
            <w:noWrap w:val="0"/>
            <w:vAlign w:val="center"/>
          </w:tcPr>
          <w:p w14:paraId="79715426">
            <w:pPr>
              <w:pStyle w:val="17"/>
              <w:adjustRightInd w:val="0"/>
              <w:snapToGrid w:val="0"/>
              <w:spacing w:line="240" w:lineRule="auto"/>
              <w:ind w:firstLine="0" w:firstLineChars="0"/>
              <w:jc w:val="center"/>
              <w:rPr>
                <w:rFonts w:hint="default" w:ascii="Times New Roman" w:hAnsi="Times New Roman" w:cs="Times New Roman"/>
                <w:b/>
                <w:snapToGrid w:val="0"/>
                <w:color w:val="auto"/>
                <w:kern w:val="0"/>
                <w:sz w:val="21"/>
                <w:szCs w:val="21"/>
                <w:highlight w:val="none"/>
              </w:rPr>
            </w:pPr>
          </w:p>
        </w:tc>
        <w:tc>
          <w:tcPr>
            <w:tcW w:w="2069" w:type="pct"/>
            <w:noWrap w:val="0"/>
            <w:vAlign w:val="center"/>
          </w:tcPr>
          <w:p w14:paraId="1CCD231C">
            <w:pPr>
              <w:pStyle w:val="17"/>
              <w:adjustRightInd w:val="0"/>
              <w:snapToGrid w:val="0"/>
              <w:spacing w:line="240" w:lineRule="auto"/>
              <w:ind w:firstLine="0" w:firstLineChars="0"/>
              <w:jc w:val="center"/>
              <w:rPr>
                <w:rFonts w:hint="default" w:ascii="Times New Roman" w:hAnsi="Times New Roman" w:eastAsia="宋体" w:cs="Times New Roman"/>
                <w:b/>
                <w:snapToGrid w:val="0"/>
                <w:color w:val="auto"/>
                <w:kern w:val="0"/>
                <w:sz w:val="21"/>
                <w:szCs w:val="21"/>
                <w:highlight w:val="none"/>
                <w:lang w:val="en-US" w:eastAsia="zh-CN"/>
              </w:rPr>
            </w:pPr>
            <w:r>
              <w:rPr>
                <w:rFonts w:hint="default" w:ascii="Times New Roman" w:hAnsi="Times New Roman" w:cs="Times New Roman"/>
                <w:b/>
                <w:snapToGrid w:val="0"/>
                <w:color w:val="auto"/>
                <w:kern w:val="0"/>
                <w:sz w:val="21"/>
                <w:szCs w:val="21"/>
                <w:highlight w:val="none"/>
              </w:rPr>
              <w:t>pH</w:t>
            </w:r>
            <w:r>
              <w:rPr>
                <w:rFonts w:hint="eastAsia" w:cs="Times New Roman"/>
                <w:b/>
                <w:snapToGrid w:val="0"/>
                <w:color w:val="auto"/>
                <w:kern w:val="0"/>
                <w:sz w:val="21"/>
                <w:szCs w:val="21"/>
                <w:highlight w:val="none"/>
                <w:lang w:val="en-US" w:eastAsia="zh-CN"/>
              </w:rPr>
              <w:t>＞7.5</w:t>
            </w:r>
          </w:p>
        </w:tc>
      </w:tr>
      <w:tr w14:paraId="32512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0D7ACF09">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1</w:t>
            </w:r>
          </w:p>
        </w:tc>
        <w:tc>
          <w:tcPr>
            <w:tcW w:w="782" w:type="pct"/>
            <w:noWrap w:val="0"/>
            <w:vAlign w:val="center"/>
          </w:tcPr>
          <w:p w14:paraId="33EDAC82">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镉</w:t>
            </w:r>
          </w:p>
        </w:tc>
        <w:tc>
          <w:tcPr>
            <w:tcW w:w="1168" w:type="pct"/>
            <w:noWrap w:val="0"/>
            <w:vAlign w:val="center"/>
          </w:tcPr>
          <w:p w14:paraId="5A6B065D">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其他</w:t>
            </w:r>
          </w:p>
        </w:tc>
        <w:tc>
          <w:tcPr>
            <w:tcW w:w="2069" w:type="pct"/>
            <w:noWrap w:val="0"/>
            <w:vAlign w:val="center"/>
          </w:tcPr>
          <w:p w14:paraId="34F41B00">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0.6</w:t>
            </w:r>
          </w:p>
        </w:tc>
      </w:tr>
      <w:tr w14:paraId="59675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697B1C9B">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2</w:t>
            </w:r>
          </w:p>
        </w:tc>
        <w:tc>
          <w:tcPr>
            <w:tcW w:w="782" w:type="pct"/>
            <w:noWrap w:val="0"/>
            <w:vAlign w:val="center"/>
          </w:tcPr>
          <w:p w14:paraId="0C83F165">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汞</w:t>
            </w:r>
          </w:p>
        </w:tc>
        <w:tc>
          <w:tcPr>
            <w:tcW w:w="1168" w:type="pct"/>
            <w:noWrap w:val="0"/>
            <w:vAlign w:val="center"/>
          </w:tcPr>
          <w:p w14:paraId="0965D547">
            <w:pPr>
              <w:adjustRightInd w:val="0"/>
              <w:snapToGrid w:val="0"/>
              <w:spacing w:line="240" w:lineRule="auto"/>
              <w:ind w:left="0" w:leftChars="0" w:firstLine="0" w:firstLineChars="0"/>
              <w:jc w:val="center"/>
              <w:rPr>
                <w:rFonts w:hint="default" w:ascii="Times New Roman" w:hAnsi="Times New Roman" w:cs="Times New Roman"/>
                <w:bCs/>
                <w:snapToGrid w:val="0"/>
                <w:color w:val="auto"/>
                <w:sz w:val="21"/>
                <w:szCs w:val="21"/>
                <w:highlight w:val="none"/>
              </w:rPr>
            </w:pPr>
            <w:r>
              <w:rPr>
                <w:rFonts w:hint="default" w:ascii="Times New Roman" w:hAnsi="Times New Roman" w:cs="Times New Roman"/>
                <w:bCs/>
                <w:snapToGrid w:val="0"/>
                <w:color w:val="auto"/>
                <w:sz w:val="21"/>
                <w:szCs w:val="21"/>
                <w:highlight w:val="none"/>
              </w:rPr>
              <w:t>其他</w:t>
            </w:r>
          </w:p>
        </w:tc>
        <w:tc>
          <w:tcPr>
            <w:tcW w:w="2069" w:type="pct"/>
            <w:noWrap w:val="0"/>
            <w:vAlign w:val="center"/>
          </w:tcPr>
          <w:p w14:paraId="057B4CAD">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3.4</w:t>
            </w:r>
          </w:p>
        </w:tc>
      </w:tr>
      <w:tr w14:paraId="76BAC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49AD0C06">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3</w:t>
            </w:r>
          </w:p>
        </w:tc>
        <w:tc>
          <w:tcPr>
            <w:tcW w:w="782" w:type="pct"/>
            <w:noWrap w:val="0"/>
            <w:vAlign w:val="center"/>
          </w:tcPr>
          <w:p w14:paraId="303909AA">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砷</w:t>
            </w:r>
          </w:p>
        </w:tc>
        <w:tc>
          <w:tcPr>
            <w:tcW w:w="1168" w:type="pct"/>
            <w:noWrap w:val="0"/>
            <w:vAlign w:val="center"/>
          </w:tcPr>
          <w:p w14:paraId="67197551">
            <w:pPr>
              <w:adjustRightInd w:val="0"/>
              <w:snapToGrid w:val="0"/>
              <w:spacing w:line="240" w:lineRule="auto"/>
              <w:ind w:left="0" w:leftChars="0" w:firstLine="0" w:firstLineChars="0"/>
              <w:jc w:val="center"/>
              <w:rPr>
                <w:rFonts w:hint="default" w:ascii="Times New Roman" w:hAnsi="Times New Roman" w:cs="Times New Roman"/>
                <w:bCs/>
                <w:snapToGrid w:val="0"/>
                <w:color w:val="auto"/>
                <w:sz w:val="21"/>
                <w:szCs w:val="21"/>
                <w:highlight w:val="none"/>
              </w:rPr>
            </w:pPr>
            <w:r>
              <w:rPr>
                <w:rFonts w:hint="default" w:ascii="Times New Roman" w:hAnsi="Times New Roman" w:cs="Times New Roman"/>
                <w:bCs/>
                <w:snapToGrid w:val="0"/>
                <w:color w:val="auto"/>
                <w:sz w:val="21"/>
                <w:szCs w:val="21"/>
                <w:highlight w:val="none"/>
              </w:rPr>
              <w:t>其他</w:t>
            </w:r>
          </w:p>
        </w:tc>
        <w:tc>
          <w:tcPr>
            <w:tcW w:w="2069" w:type="pct"/>
            <w:noWrap w:val="0"/>
            <w:vAlign w:val="center"/>
          </w:tcPr>
          <w:p w14:paraId="32CECC31">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25</w:t>
            </w:r>
          </w:p>
        </w:tc>
      </w:tr>
      <w:tr w14:paraId="04623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4FAAC6D3">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4</w:t>
            </w:r>
          </w:p>
        </w:tc>
        <w:tc>
          <w:tcPr>
            <w:tcW w:w="782" w:type="pct"/>
            <w:noWrap w:val="0"/>
            <w:vAlign w:val="center"/>
          </w:tcPr>
          <w:p w14:paraId="1B839449">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铅</w:t>
            </w:r>
          </w:p>
        </w:tc>
        <w:tc>
          <w:tcPr>
            <w:tcW w:w="1168" w:type="pct"/>
            <w:noWrap w:val="0"/>
            <w:vAlign w:val="center"/>
          </w:tcPr>
          <w:p w14:paraId="2E5980AD">
            <w:pPr>
              <w:adjustRightInd w:val="0"/>
              <w:snapToGrid w:val="0"/>
              <w:spacing w:line="240" w:lineRule="auto"/>
              <w:ind w:left="0" w:leftChars="0" w:firstLine="0" w:firstLineChars="0"/>
              <w:jc w:val="center"/>
              <w:rPr>
                <w:rFonts w:hint="default" w:ascii="Times New Roman" w:hAnsi="Times New Roman" w:cs="Times New Roman"/>
                <w:bCs/>
                <w:snapToGrid w:val="0"/>
                <w:color w:val="auto"/>
                <w:sz w:val="21"/>
                <w:szCs w:val="21"/>
                <w:highlight w:val="none"/>
              </w:rPr>
            </w:pPr>
            <w:r>
              <w:rPr>
                <w:rFonts w:hint="default" w:ascii="Times New Roman" w:hAnsi="Times New Roman" w:cs="Times New Roman"/>
                <w:bCs/>
                <w:snapToGrid w:val="0"/>
                <w:color w:val="auto"/>
                <w:sz w:val="21"/>
                <w:szCs w:val="21"/>
                <w:highlight w:val="none"/>
              </w:rPr>
              <w:t>其他</w:t>
            </w:r>
          </w:p>
        </w:tc>
        <w:tc>
          <w:tcPr>
            <w:tcW w:w="2069" w:type="pct"/>
            <w:noWrap w:val="0"/>
            <w:vAlign w:val="center"/>
          </w:tcPr>
          <w:p w14:paraId="12E520DA">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170</w:t>
            </w:r>
          </w:p>
        </w:tc>
      </w:tr>
      <w:tr w14:paraId="2470F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390BFB49">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5</w:t>
            </w:r>
          </w:p>
        </w:tc>
        <w:tc>
          <w:tcPr>
            <w:tcW w:w="782" w:type="pct"/>
            <w:noWrap w:val="0"/>
            <w:vAlign w:val="center"/>
          </w:tcPr>
          <w:p w14:paraId="39300AAA">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铬</w:t>
            </w:r>
          </w:p>
        </w:tc>
        <w:tc>
          <w:tcPr>
            <w:tcW w:w="1168" w:type="pct"/>
            <w:noWrap w:val="0"/>
            <w:vAlign w:val="center"/>
          </w:tcPr>
          <w:p w14:paraId="12B3FD80">
            <w:pPr>
              <w:adjustRightInd w:val="0"/>
              <w:snapToGrid w:val="0"/>
              <w:spacing w:line="240" w:lineRule="auto"/>
              <w:ind w:left="0" w:leftChars="0" w:firstLine="0" w:firstLineChars="0"/>
              <w:jc w:val="center"/>
              <w:rPr>
                <w:rFonts w:hint="default" w:ascii="Times New Roman" w:hAnsi="Times New Roman" w:cs="Times New Roman"/>
                <w:bCs/>
                <w:snapToGrid w:val="0"/>
                <w:color w:val="auto"/>
                <w:sz w:val="21"/>
                <w:szCs w:val="21"/>
                <w:highlight w:val="none"/>
              </w:rPr>
            </w:pPr>
            <w:r>
              <w:rPr>
                <w:rFonts w:hint="default" w:ascii="Times New Roman" w:hAnsi="Times New Roman" w:cs="Times New Roman"/>
                <w:bCs/>
                <w:snapToGrid w:val="0"/>
                <w:color w:val="auto"/>
                <w:sz w:val="21"/>
                <w:szCs w:val="21"/>
                <w:highlight w:val="none"/>
              </w:rPr>
              <w:t>其他</w:t>
            </w:r>
          </w:p>
        </w:tc>
        <w:tc>
          <w:tcPr>
            <w:tcW w:w="2069" w:type="pct"/>
            <w:noWrap w:val="0"/>
            <w:vAlign w:val="center"/>
          </w:tcPr>
          <w:p w14:paraId="0C87E97D">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250</w:t>
            </w:r>
          </w:p>
        </w:tc>
      </w:tr>
      <w:tr w14:paraId="0E721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599D0703">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6</w:t>
            </w:r>
          </w:p>
        </w:tc>
        <w:tc>
          <w:tcPr>
            <w:tcW w:w="782" w:type="pct"/>
            <w:noWrap w:val="0"/>
            <w:vAlign w:val="center"/>
          </w:tcPr>
          <w:p w14:paraId="4F32725E">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铜</w:t>
            </w:r>
          </w:p>
        </w:tc>
        <w:tc>
          <w:tcPr>
            <w:tcW w:w="1168" w:type="pct"/>
            <w:noWrap w:val="0"/>
            <w:vAlign w:val="center"/>
          </w:tcPr>
          <w:p w14:paraId="64FE088D">
            <w:pPr>
              <w:adjustRightInd w:val="0"/>
              <w:snapToGrid w:val="0"/>
              <w:spacing w:line="240" w:lineRule="auto"/>
              <w:ind w:left="0" w:leftChars="0" w:firstLine="0" w:firstLineChars="0"/>
              <w:jc w:val="center"/>
              <w:rPr>
                <w:rFonts w:hint="default" w:ascii="Times New Roman" w:hAnsi="Times New Roman" w:cs="Times New Roman"/>
                <w:bCs/>
                <w:snapToGrid w:val="0"/>
                <w:color w:val="auto"/>
                <w:sz w:val="21"/>
                <w:szCs w:val="21"/>
                <w:highlight w:val="none"/>
              </w:rPr>
            </w:pPr>
            <w:r>
              <w:rPr>
                <w:rFonts w:hint="default" w:ascii="Times New Roman" w:hAnsi="Times New Roman" w:cs="Times New Roman"/>
                <w:bCs/>
                <w:snapToGrid w:val="0"/>
                <w:color w:val="auto"/>
                <w:sz w:val="21"/>
                <w:szCs w:val="21"/>
                <w:highlight w:val="none"/>
              </w:rPr>
              <w:t>其他</w:t>
            </w:r>
          </w:p>
        </w:tc>
        <w:tc>
          <w:tcPr>
            <w:tcW w:w="2069" w:type="pct"/>
            <w:noWrap w:val="0"/>
            <w:vAlign w:val="center"/>
          </w:tcPr>
          <w:p w14:paraId="714CD69C">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100</w:t>
            </w:r>
          </w:p>
        </w:tc>
      </w:tr>
      <w:tr w14:paraId="3F346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3A09459C">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7</w:t>
            </w:r>
          </w:p>
        </w:tc>
        <w:tc>
          <w:tcPr>
            <w:tcW w:w="782" w:type="pct"/>
            <w:noWrap w:val="0"/>
            <w:vAlign w:val="center"/>
          </w:tcPr>
          <w:p w14:paraId="0EE2D637">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镍</w:t>
            </w:r>
          </w:p>
        </w:tc>
        <w:tc>
          <w:tcPr>
            <w:tcW w:w="1168" w:type="pct"/>
            <w:noWrap w:val="0"/>
            <w:vAlign w:val="center"/>
          </w:tcPr>
          <w:p w14:paraId="672EA160">
            <w:pPr>
              <w:adjustRightInd w:val="0"/>
              <w:snapToGrid w:val="0"/>
              <w:spacing w:line="240" w:lineRule="auto"/>
              <w:ind w:left="0" w:leftChars="0" w:firstLine="0" w:firstLineChars="0"/>
              <w:jc w:val="center"/>
              <w:rPr>
                <w:rFonts w:hint="default" w:ascii="Times New Roman" w:hAnsi="Times New Roman" w:cs="Times New Roman"/>
                <w:bCs/>
                <w:snapToGrid w:val="0"/>
                <w:color w:val="auto"/>
                <w:sz w:val="21"/>
                <w:szCs w:val="21"/>
                <w:highlight w:val="none"/>
              </w:rPr>
            </w:pPr>
            <w:r>
              <w:rPr>
                <w:rFonts w:hint="default" w:ascii="Times New Roman" w:hAnsi="Times New Roman" w:cs="Times New Roman"/>
                <w:bCs/>
                <w:snapToGrid w:val="0"/>
                <w:color w:val="auto"/>
                <w:sz w:val="21"/>
                <w:szCs w:val="21"/>
                <w:highlight w:val="none"/>
              </w:rPr>
              <w:t>其他</w:t>
            </w:r>
          </w:p>
        </w:tc>
        <w:tc>
          <w:tcPr>
            <w:tcW w:w="2069" w:type="pct"/>
            <w:noWrap w:val="0"/>
            <w:vAlign w:val="center"/>
          </w:tcPr>
          <w:p w14:paraId="3CEE579B">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190</w:t>
            </w:r>
          </w:p>
        </w:tc>
      </w:tr>
      <w:tr w14:paraId="56AB3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9" w:type="pct"/>
            <w:noWrap w:val="0"/>
            <w:vAlign w:val="center"/>
          </w:tcPr>
          <w:p w14:paraId="264F3C00">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8</w:t>
            </w:r>
          </w:p>
        </w:tc>
        <w:tc>
          <w:tcPr>
            <w:tcW w:w="782" w:type="pct"/>
            <w:noWrap w:val="0"/>
            <w:vAlign w:val="center"/>
          </w:tcPr>
          <w:p w14:paraId="23CC73EC">
            <w:pPr>
              <w:pStyle w:val="17"/>
              <w:adjustRightInd w:val="0"/>
              <w:snapToGrid w:val="0"/>
              <w:spacing w:line="240" w:lineRule="auto"/>
              <w:ind w:firstLine="0" w:firstLineChars="0"/>
              <w:jc w:val="center"/>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锌</w:t>
            </w:r>
          </w:p>
        </w:tc>
        <w:tc>
          <w:tcPr>
            <w:tcW w:w="1168" w:type="pct"/>
            <w:noWrap w:val="0"/>
            <w:vAlign w:val="center"/>
          </w:tcPr>
          <w:p w14:paraId="40A29106">
            <w:pPr>
              <w:adjustRightInd w:val="0"/>
              <w:snapToGrid w:val="0"/>
              <w:spacing w:line="240" w:lineRule="auto"/>
              <w:ind w:left="0" w:leftChars="0" w:firstLine="0" w:firstLineChars="0"/>
              <w:jc w:val="center"/>
              <w:rPr>
                <w:rFonts w:hint="default" w:ascii="Times New Roman" w:hAnsi="Times New Roman" w:cs="Times New Roman"/>
                <w:bCs/>
                <w:snapToGrid w:val="0"/>
                <w:color w:val="auto"/>
                <w:sz w:val="21"/>
                <w:szCs w:val="21"/>
                <w:highlight w:val="none"/>
              </w:rPr>
            </w:pPr>
            <w:r>
              <w:rPr>
                <w:rFonts w:hint="default" w:ascii="Times New Roman" w:hAnsi="Times New Roman" w:cs="Times New Roman"/>
                <w:bCs/>
                <w:snapToGrid w:val="0"/>
                <w:color w:val="auto"/>
                <w:sz w:val="21"/>
                <w:szCs w:val="21"/>
                <w:highlight w:val="none"/>
              </w:rPr>
              <w:t>其他</w:t>
            </w:r>
          </w:p>
        </w:tc>
        <w:tc>
          <w:tcPr>
            <w:tcW w:w="2069" w:type="pct"/>
            <w:noWrap w:val="0"/>
            <w:vAlign w:val="center"/>
          </w:tcPr>
          <w:p w14:paraId="0C94A823">
            <w:pPr>
              <w:pStyle w:val="17"/>
              <w:adjustRightInd w:val="0"/>
              <w:snapToGrid w:val="0"/>
              <w:spacing w:line="240" w:lineRule="auto"/>
              <w:ind w:firstLine="0" w:firstLineChars="0"/>
              <w:jc w:val="center"/>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300</w:t>
            </w:r>
          </w:p>
        </w:tc>
      </w:t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tbl>
    <w:p w14:paraId="010034E8">
      <w:pPr>
        <w:pStyle w:val="6"/>
        <w:pageBreakBefore w:val="0"/>
        <w:widowControl w:val="0"/>
        <w:kinsoku/>
        <w:wordWrap/>
        <w:overflowPunct/>
        <w:topLinePunct w:val="0"/>
        <w:autoSpaceDE/>
        <w:autoSpaceDN/>
        <w:bidi w:val="0"/>
        <w:spacing w:before="0" w:beforeLines="0" w:line="360" w:lineRule="auto"/>
        <w:textAlignment w:val="auto"/>
        <w:rPr>
          <w:rFonts w:hint="default"/>
          <w:highlight w:val="none"/>
        </w:rPr>
      </w:pPr>
      <w:bookmarkStart w:id="166" w:name="_Toc31744"/>
      <w:r>
        <w:rPr>
          <w:rFonts w:hint="default"/>
          <w:highlight w:val="none"/>
        </w:rPr>
        <w:t>污染物排放标准</w:t>
      </w:r>
      <w:bookmarkEnd w:id="166"/>
    </w:p>
    <w:p w14:paraId="1F2AFC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（1）建设阶段</w:t>
      </w:r>
    </w:p>
    <w:p w14:paraId="5DBE20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建筑施工场地扬尘的排放执行《施工场地扬尘排放标准》（DB13/2934-2019）中表1施工场地扬尘排放浓度限值的要求；</w:t>
      </w:r>
    </w:p>
    <w:p w14:paraId="38A17A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建筑施工场界噪声执行《建筑施工场界环境噪声排放标准》（GB12523-2011）表1中噪声限值。</w:t>
      </w:r>
    </w:p>
    <w:p w14:paraId="1ACCB337">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sz w:val="24"/>
          <w:szCs w:val="24"/>
          <w:highlight w:val="none"/>
          <w:lang w:eastAsia="zh-CN"/>
        </w:rPr>
      </w:pPr>
      <w:r>
        <w:rPr>
          <w:rFonts w:ascii="Times New Roman" w:hAnsi="Times New Roman"/>
          <w:color w:val="auto"/>
          <w:sz w:val="24"/>
          <w:szCs w:val="24"/>
          <w:highlight w:val="none"/>
        </w:rPr>
        <w:t>建设阶段污染物排放标准</w:t>
      </w:r>
      <w:r>
        <w:rPr>
          <w:rFonts w:ascii="Times New Roman" w:hAnsi="Times New Roman"/>
          <w:color w:val="auto"/>
          <w:kern w:val="0"/>
          <w:sz w:val="24"/>
          <w:szCs w:val="24"/>
          <w:highlight w:val="none"/>
        </w:rPr>
        <w:t>详</w:t>
      </w:r>
      <w:r>
        <w:rPr>
          <w:rFonts w:ascii="Times New Roman" w:hAnsi="Times New Roman"/>
          <w:color w:val="auto"/>
          <w:sz w:val="24"/>
          <w:szCs w:val="24"/>
          <w:highlight w:val="none"/>
        </w:rPr>
        <w:t>见下表</w:t>
      </w:r>
      <w:r>
        <w:rPr>
          <w:rFonts w:hint="eastAsia"/>
          <w:color w:val="auto"/>
          <w:sz w:val="24"/>
          <w:szCs w:val="24"/>
          <w:highlight w:val="none"/>
          <w:lang w:eastAsia="zh-CN"/>
        </w:rPr>
        <w:t>。</w:t>
      </w:r>
    </w:p>
    <w:p w14:paraId="64EBB25D">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lang w:val="en-US" w:eastAsia="zh-CN"/>
        </w:rPr>
      </w:pPr>
      <w:r>
        <w:rPr>
          <w:rStyle w:val="152"/>
          <w:rFonts w:hint="default" w:ascii="Times New Roman" w:hAnsi="Times New Roman" w:eastAsia="宋体" w:cs="Times New Roman"/>
          <w:b/>
          <w:color w:val="auto"/>
          <w:szCs w:val="21"/>
          <w:highlight w:val="none"/>
          <w:lang w:val="en-US" w:eastAsia="zh-CN"/>
        </w:rPr>
        <w:t>建设阶段污染物排放标准</w:t>
      </w:r>
    </w:p>
    <w:tbl>
      <w:tblPr>
        <w:tblStyle w:val="58"/>
        <w:tblpPr w:leftFromText="180" w:rightFromText="180" w:vertAnchor="text" w:tblpXSpec="center" w:tblpY="1"/>
        <w:tblOverlap w:val="never"/>
        <w:tblW w:w="50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22"/>
        <w:gridCol w:w="592"/>
        <w:gridCol w:w="935"/>
        <w:gridCol w:w="1227"/>
        <w:gridCol w:w="1205"/>
        <w:gridCol w:w="1433"/>
        <w:gridCol w:w="2510"/>
      </w:tblGrid>
      <w:tr w14:paraId="54F52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10" w:type="pct"/>
            <w:tcBorders>
              <w:tl2br w:val="nil"/>
              <w:tr2bl w:val="nil"/>
            </w:tcBorders>
            <w:noWrap w:val="0"/>
            <w:vAlign w:val="center"/>
          </w:tcPr>
          <w:p w14:paraId="1DAF07EA">
            <w:pPr>
              <w:topLinePunct/>
              <w:adjustRightInd w:val="0"/>
              <w:spacing w:line="300" w:lineRule="exac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阶段</w:t>
            </w:r>
          </w:p>
        </w:tc>
        <w:tc>
          <w:tcPr>
            <w:tcW w:w="351" w:type="pct"/>
            <w:tcBorders>
              <w:tl2br w:val="nil"/>
              <w:tr2bl w:val="nil"/>
            </w:tcBorders>
            <w:noWrap w:val="0"/>
            <w:vAlign w:val="center"/>
          </w:tcPr>
          <w:p w14:paraId="607EA9C4">
            <w:pPr>
              <w:topLinePunct/>
              <w:adjustRightInd w:val="0"/>
              <w:spacing w:line="300" w:lineRule="exac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类别</w:t>
            </w:r>
          </w:p>
        </w:tc>
        <w:tc>
          <w:tcPr>
            <w:tcW w:w="555" w:type="pct"/>
            <w:tcBorders>
              <w:tl2br w:val="nil"/>
              <w:tr2bl w:val="nil"/>
            </w:tcBorders>
            <w:noWrap w:val="0"/>
            <w:vAlign w:val="center"/>
          </w:tcPr>
          <w:p w14:paraId="31A3AAF4">
            <w:pPr>
              <w:topLinePunct/>
              <w:adjustRightInd w:val="0"/>
              <w:spacing w:line="300" w:lineRule="exac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适用范围</w:t>
            </w:r>
          </w:p>
        </w:tc>
        <w:tc>
          <w:tcPr>
            <w:tcW w:w="728" w:type="pct"/>
            <w:tcBorders>
              <w:tl2br w:val="nil"/>
              <w:tr2bl w:val="nil"/>
            </w:tcBorders>
            <w:noWrap w:val="0"/>
            <w:vAlign w:val="center"/>
          </w:tcPr>
          <w:p w14:paraId="0058D719">
            <w:pPr>
              <w:topLinePunct/>
              <w:adjustRightInd w:val="0"/>
              <w:spacing w:line="300" w:lineRule="exac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污染物名称</w:t>
            </w:r>
          </w:p>
        </w:tc>
        <w:tc>
          <w:tcPr>
            <w:tcW w:w="715" w:type="pct"/>
            <w:tcBorders>
              <w:tl2br w:val="nil"/>
              <w:tr2bl w:val="nil"/>
            </w:tcBorders>
            <w:noWrap w:val="0"/>
            <w:vAlign w:val="center"/>
          </w:tcPr>
          <w:p w14:paraId="4BD9A830">
            <w:pPr>
              <w:topLinePunct/>
              <w:adjustRightInd w:val="0"/>
              <w:spacing w:line="300" w:lineRule="exac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标准值</w:t>
            </w:r>
          </w:p>
        </w:tc>
        <w:tc>
          <w:tcPr>
            <w:tcW w:w="849" w:type="pct"/>
            <w:tcBorders>
              <w:tl2br w:val="nil"/>
              <w:tr2bl w:val="nil"/>
            </w:tcBorders>
            <w:noWrap w:val="0"/>
            <w:vAlign w:val="center"/>
          </w:tcPr>
          <w:p w14:paraId="197DDF9F">
            <w:pPr>
              <w:topLinePunct/>
              <w:adjustRightInd w:val="0"/>
              <w:spacing w:line="300" w:lineRule="exact"/>
              <w:ind w:firstLine="0" w:firstLineChars="0"/>
              <w:jc w:val="center"/>
              <w:textAlignment w:val="center"/>
              <w:rPr>
                <w:rFonts w:hint="default" w:ascii="Times New Roman" w:hAnsi="Times New Roman" w:eastAsia="宋体"/>
                <w:b/>
                <w:color w:val="auto"/>
                <w:sz w:val="21"/>
                <w:szCs w:val="21"/>
                <w:highlight w:val="none"/>
                <w:lang w:val="en-US" w:eastAsia="zh-CN"/>
              </w:rPr>
            </w:pPr>
            <w:r>
              <w:rPr>
                <w:rFonts w:hint="eastAsia" w:ascii="Times New Roman" w:hAnsi="Times New Roman"/>
                <w:b/>
                <w:color w:val="auto"/>
                <w:sz w:val="21"/>
                <w:szCs w:val="21"/>
                <w:highlight w:val="none"/>
                <w:lang w:val="en-US" w:eastAsia="zh-CN"/>
              </w:rPr>
              <w:t>达标判定依据</w:t>
            </w:r>
          </w:p>
        </w:tc>
        <w:tc>
          <w:tcPr>
            <w:tcW w:w="1489" w:type="pct"/>
            <w:tcBorders>
              <w:tl2br w:val="nil"/>
              <w:tr2bl w:val="nil"/>
            </w:tcBorders>
            <w:noWrap w:val="0"/>
            <w:vAlign w:val="center"/>
          </w:tcPr>
          <w:p w14:paraId="3B7394D0">
            <w:pPr>
              <w:topLinePunct/>
              <w:adjustRightInd w:val="0"/>
              <w:spacing w:line="300" w:lineRule="exac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标准来源</w:t>
            </w:r>
          </w:p>
        </w:tc>
      </w:tr>
      <w:tr w14:paraId="0403A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10" w:type="pct"/>
            <w:vMerge w:val="restart"/>
            <w:tcBorders>
              <w:tl2br w:val="nil"/>
              <w:tr2bl w:val="nil"/>
            </w:tcBorders>
            <w:noWrap w:val="0"/>
            <w:vAlign w:val="center"/>
          </w:tcPr>
          <w:p w14:paraId="2819B1BC">
            <w:pPr>
              <w:topLinePunct/>
              <w:adjustRightInd w:val="0"/>
              <w:spacing w:line="300" w:lineRule="exact"/>
              <w:ind w:firstLine="0" w:firstLineChars="0"/>
              <w:jc w:val="center"/>
              <w:textAlignment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建设阶段</w:t>
            </w:r>
          </w:p>
        </w:tc>
        <w:tc>
          <w:tcPr>
            <w:tcW w:w="351" w:type="pct"/>
            <w:tcBorders>
              <w:tl2br w:val="nil"/>
              <w:tr2bl w:val="nil"/>
            </w:tcBorders>
            <w:noWrap w:val="0"/>
            <w:vAlign w:val="center"/>
          </w:tcPr>
          <w:p w14:paraId="7970C381">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废气</w:t>
            </w:r>
          </w:p>
        </w:tc>
        <w:tc>
          <w:tcPr>
            <w:tcW w:w="555" w:type="pct"/>
            <w:tcBorders>
              <w:tl2br w:val="nil"/>
              <w:tr2bl w:val="nil"/>
            </w:tcBorders>
            <w:noWrap w:val="0"/>
            <w:vAlign w:val="center"/>
          </w:tcPr>
          <w:p w14:paraId="44CA8663">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施工扬尘</w:t>
            </w:r>
          </w:p>
        </w:tc>
        <w:tc>
          <w:tcPr>
            <w:tcW w:w="728" w:type="pct"/>
            <w:tcBorders>
              <w:tl2br w:val="nil"/>
              <w:tr2bl w:val="nil"/>
            </w:tcBorders>
            <w:noWrap w:val="0"/>
            <w:vAlign w:val="center"/>
          </w:tcPr>
          <w:p w14:paraId="58828B6C">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PM</w:t>
            </w:r>
            <w:r>
              <w:rPr>
                <w:rFonts w:ascii="Times New Roman" w:hAnsi="Times New Roman"/>
                <w:color w:val="auto"/>
                <w:sz w:val="21"/>
                <w:szCs w:val="21"/>
                <w:highlight w:val="none"/>
                <w:vertAlign w:val="subscript"/>
              </w:rPr>
              <w:t>10</w:t>
            </w:r>
            <w:r>
              <w:rPr>
                <w:rFonts w:ascii="Times New Roman" w:hAnsi="Times New Roman"/>
                <w:color w:val="auto"/>
                <w:sz w:val="21"/>
                <w:szCs w:val="21"/>
                <w:highlight w:val="none"/>
                <w:vertAlign w:val="superscript"/>
              </w:rPr>
              <w:t>*</w:t>
            </w:r>
          </w:p>
        </w:tc>
        <w:tc>
          <w:tcPr>
            <w:tcW w:w="715" w:type="pct"/>
            <w:tcBorders>
              <w:tl2br w:val="nil"/>
              <w:tr2bl w:val="nil"/>
            </w:tcBorders>
            <w:noWrap w:val="0"/>
            <w:vAlign w:val="center"/>
          </w:tcPr>
          <w:p w14:paraId="1B2FDA60">
            <w:pPr>
              <w:topLinePunct/>
              <w:adjustRightInd w:val="0"/>
              <w:spacing w:line="300" w:lineRule="exact"/>
              <w:ind w:firstLine="0" w:firstLineChars="0"/>
              <w:jc w:val="center"/>
              <w:textAlignment w:val="center"/>
              <w:rPr>
                <w:rFonts w:ascii="Times New Roman" w:hAnsi="Times New Roman"/>
                <w:color w:val="auto"/>
                <w:sz w:val="18"/>
                <w:szCs w:val="18"/>
                <w:highlight w:val="none"/>
              </w:rPr>
            </w:pPr>
            <w:r>
              <w:rPr>
                <w:rFonts w:ascii="Times New Roman" w:hAnsi="Times New Roman"/>
                <w:color w:val="auto"/>
                <w:sz w:val="21"/>
                <w:szCs w:val="21"/>
                <w:highlight w:val="none"/>
              </w:rPr>
              <w:t>≤80μg/m³</w:t>
            </w:r>
          </w:p>
        </w:tc>
        <w:tc>
          <w:tcPr>
            <w:tcW w:w="849" w:type="pct"/>
            <w:tcBorders>
              <w:tl2br w:val="nil"/>
              <w:tr2bl w:val="nil"/>
            </w:tcBorders>
            <w:noWrap w:val="0"/>
            <w:vAlign w:val="center"/>
          </w:tcPr>
          <w:p w14:paraId="2F8EFFD3">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≤2次/天</w:t>
            </w:r>
          </w:p>
        </w:tc>
        <w:tc>
          <w:tcPr>
            <w:tcW w:w="1489" w:type="pct"/>
            <w:tcBorders>
              <w:tl2br w:val="nil"/>
              <w:tr2bl w:val="nil"/>
            </w:tcBorders>
            <w:noWrap w:val="0"/>
            <w:vAlign w:val="center"/>
          </w:tcPr>
          <w:p w14:paraId="743B19CC">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《施工场地扬尘排放标准》(DB13/2934-</w:t>
            </w:r>
            <w:r>
              <w:rPr>
                <w:rFonts w:hint="eastAsia"/>
                <w:color w:val="auto"/>
                <w:sz w:val="21"/>
                <w:szCs w:val="21"/>
                <w:highlight w:val="none"/>
                <w:lang w:val="en-US" w:eastAsia="zh-CN"/>
              </w:rPr>
              <w:t xml:space="preserve"> </w:t>
            </w:r>
            <w:r>
              <w:rPr>
                <w:rFonts w:ascii="Times New Roman" w:hAnsi="Times New Roman"/>
                <w:color w:val="auto"/>
                <w:sz w:val="21"/>
                <w:szCs w:val="21"/>
                <w:highlight w:val="none"/>
              </w:rPr>
              <w:t>2019)表1中的扬尘排放浓度限值</w:t>
            </w:r>
          </w:p>
        </w:tc>
      </w:tr>
      <w:tr w14:paraId="5B8CB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10" w:type="pct"/>
            <w:vMerge w:val="continue"/>
            <w:tcBorders>
              <w:tl2br w:val="nil"/>
              <w:tr2bl w:val="nil"/>
            </w:tcBorders>
            <w:noWrap w:val="0"/>
            <w:vAlign w:val="center"/>
          </w:tcPr>
          <w:p w14:paraId="0791488F">
            <w:pPr>
              <w:topLinePunct/>
              <w:adjustRightInd w:val="0"/>
              <w:spacing w:line="300" w:lineRule="exact"/>
              <w:ind w:firstLine="0" w:firstLineChars="0"/>
              <w:jc w:val="center"/>
              <w:textAlignment w:val="center"/>
              <w:rPr>
                <w:rFonts w:ascii="Times New Roman" w:hAnsi="Times New Roman"/>
                <w:b/>
                <w:bCs/>
                <w:color w:val="auto"/>
                <w:sz w:val="21"/>
                <w:szCs w:val="21"/>
                <w:highlight w:val="none"/>
              </w:rPr>
            </w:pPr>
          </w:p>
        </w:tc>
        <w:tc>
          <w:tcPr>
            <w:tcW w:w="351" w:type="pct"/>
            <w:tcBorders>
              <w:tl2br w:val="nil"/>
              <w:tr2bl w:val="nil"/>
            </w:tcBorders>
            <w:noWrap w:val="0"/>
            <w:vAlign w:val="center"/>
          </w:tcPr>
          <w:p w14:paraId="6E7991E7">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噪声</w:t>
            </w:r>
          </w:p>
        </w:tc>
        <w:tc>
          <w:tcPr>
            <w:tcW w:w="555" w:type="pct"/>
            <w:tcBorders>
              <w:tl2br w:val="nil"/>
              <w:tr2bl w:val="nil"/>
            </w:tcBorders>
            <w:noWrap w:val="0"/>
            <w:vAlign w:val="center"/>
          </w:tcPr>
          <w:p w14:paraId="7369748E">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施工噪声</w:t>
            </w:r>
          </w:p>
        </w:tc>
        <w:tc>
          <w:tcPr>
            <w:tcW w:w="728" w:type="pct"/>
            <w:tcBorders>
              <w:tl2br w:val="nil"/>
              <w:tr2bl w:val="nil"/>
            </w:tcBorders>
            <w:noWrap w:val="0"/>
            <w:vAlign w:val="center"/>
          </w:tcPr>
          <w:p w14:paraId="41D56CBF">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等效连续A声级</w:t>
            </w:r>
          </w:p>
        </w:tc>
        <w:tc>
          <w:tcPr>
            <w:tcW w:w="1565" w:type="pct"/>
            <w:gridSpan w:val="2"/>
            <w:tcBorders>
              <w:tl2br w:val="nil"/>
              <w:tr2bl w:val="nil"/>
            </w:tcBorders>
            <w:noWrap w:val="0"/>
            <w:vAlign w:val="center"/>
          </w:tcPr>
          <w:p w14:paraId="787BE8A8">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昼间≤70dB(A)</w:t>
            </w:r>
          </w:p>
          <w:p w14:paraId="4AD9B025">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夜间≤55dB(A)</w:t>
            </w:r>
          </w:p>
        </w:tc>
        <w:tc>
          <w:tcPr>
            <w:tcW w:w="1489" w:type="pct"/>
            <w:tcBorders>
              <w:tl2br w:val="nil"/>
              <w:tr2bl w:val="nil"/>
            </w:tcBorders>
            <w:noWrap w:val="0"/>
            <w:vAlign w:val="center"/>
          </w:tcPr>
          <w:p w14:paraId="38A3E8AE">
            <w:pPr>
              <w:topLinePunct/>
              <w:adjustRightInd w:val="0"/>
              <w:spacing w:line="300" w:lineRule="exac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w:t>
            </w:r>
            <w:r>
              <w:rPr>
                <w:color w:val="auto"/>
                <w:highlight w:val="none"/>
              </w:rPr>
              <w:fldChar w:fldCharType="begin"/>
            </w:r>
            <w:r>
              <w:rPr>
                <w:color w:val="auto"/>
                <w:highlight w:val="none"/>
              </w:rPr>
              <w:instrText xml:space="preserve"> HYPERLINK "http://kjs.mep.gov.cn/hjbhbz/bzwb/wlhj/hjzspfbz/201112/t20111222_221680.htm" \t "_blank" </w:instrText>
            </w:r>
            <w:r>
              <w:rPr>
                <w:color w:val="auto"/>
                <w:highlight w:val="none"/>
              </w:rPr>
              <w:fldChar w:fldCharType="separate"/>
            </w:r>
            <w:r>
              <w:rPr>
                <w:rFonts w:ascii="Times New Roman" w:hAnsi="Times New Roman"/>
                <w:color w:val="auto"/>
                <w:sz w:val="21"/>
                <w:szCs w:val="21"/>
                <w:highlight w:val="none"/>
              </w:rPr>
              <w:t>建筑施工场界环境噪声排放标准</w:t>
            </w:r>
            <w:r>
              <w:rPr>
                <w:rFonts w:ascii="Times New Roman" w:hAnsi="Times New Roman"/>
                <w:color w:val="auto"/>
                <w:sz w:val="21"/>
                <w:szCs w:val="21"/>
                <w:highlight w:val="none"/>
              </w:rPr>
              <w:fldChar w:fldCharType="end"/>
            </w:r>
            <w:r>
              <w:rPr>
                <w:rFonts w:ascii="Times New Roman" w:hAnsi="Times New Roman"/>
                <w:color w:val="auto"/>
                <w:sz w:val="21"/>
                <w:szCs w:val="21"/>
                <w:highlight w:val="none"/>
              </w:rPr>
              <w:t>》</w:t>
            </w:r>
            <w:r>
              <w:rPr>
                <w:rFonts w:ascii="Times New Roman" w:hAnsi="Times New Roman"/>
                <w:bCs/>
                <w:color w:val="auto"/>
                <w:sz w:val="21"/>
                <w:szCs w:val="21"/>
                <w:highlight w:val="none"/>
              </w:rPr>
              <w:t>(GB12523-2011)</w:t>
            </w:r>
          </w:p>
        </w:tc>
      </w:tr>
    </w:tbl>
    <w:p w14:paraId="515E04E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kern w:val="0"/>
          <w:sz w:val="24"/>
          <w:szCs w:val="21"/>
          <w:highlight w:val="none"/>
        </w:rPr>
      </w:pPr>
      <w:r>
        <w:rPr>
          <w:rFonts w:ascii="Times New Roman" w:hAnsi="Times New Roman"/>
          <w:b/>
          <w:bCs/>
          <w:color w:val="auto"/>
          <w:kern w:val="44"/>
          <w:sz w:val="21"/>
          <w:szCs w:val="21"/>
          <w:highlight w:val="none"/>
        </w:rPr>
        <w:t>备注：</w:t>
      </w:r>
      <w:r>
        <w:rPr>
          <w:rFonts w:ascii="Times New Roman" w:hAnsi="Times New Roman"/>
          <w:color w:val="auto"/>
          <w:kern w:val="44"/>
          <w:sz w:val="21"/>
          <w:szCs w:val="21"/>
          <w:highlight w:val="none"/>
        </w:rPr>
        <w:t>PM</w:t>
      </w:r>
      <w:r>
        <w:rPr>
          <w:rFonts w:ascii="Times New Roman" w:hAnsi="Times New Roman"/>
          <w:color w:val="auto"/>
          <w:kern w:val="44"/>
          <w:sz w:val="21"/>
          <w:szCs w:val="21"/>
          <w:highlight w:val="none"/>
          <w:vertAlign w:val="subscript"/>
        </w:rPr>
        <w:t>10</w:t>
      </w:r>
      <w:r>
        <w:rPr>
          <w:rFonts w:ascii="Times New Roman" w:hAnsi="Times New Roman"/>
          <w:color w:val="auto"/>
          <w:kern w:val="44"/>
          <w:sz w:val="21"/>
          <w:szCs w:val="21"/>
          <w:highlight w:val="none"/>
        </w:rPr>
        <w:t>排放</w:t>
      </w:r>
      <w:r>
        <w:rPr>
          <w:rFonts w:ascii="Times New Roman" w:hAnsi="Times New Roman"/>
          <w:color w:val="auto"/>
          <w:sz w:val="21"/>
          <w:szCs w:val="21"/>
          <w:highlight w:val="none"/>
        </w:rPr>
        <w:t>标准为</w:t>
      </w:r>
      <w:r>
        <w:rPr>
          <w:rFonts w:ascii="Times New Roman" w:hAnsi="Times New Roman"/>
          <w:color w:val="auto"/>
          <w:kern w:val="44"/>
          <w:sz w:val="21"/>
          <w:szCs w:val="21"/>
          <w:highlight w:val="none"/>
        </w:rPr>
        <w:t>监测点浓度限值，指监测点PM</w:t>
      </w:r>
      <w:r>
        <w:rPr>
          <w:rFonts w:ascii="Times New Roman" w:hAnsi="Times New Roman"/>
          <w:color w:val="auto"/>
          <w:kern w:val="44"/>
          <w:sz w:val="21"/>
          <w:szCs w:val="21"/>
          <w:highlight w:val="none"/>
          <w:vertAlign w:val="subscript"/>
        </w:rPr>
        <w:t>10</w:t>
      </w:r>
      <w:r>
        <w:rPr>
          <w:rFonts w:ascii="Times New Roman" w:hAnsi="Times New Roman"/>
          <w:color w:val="auto"/>
          <w:kern w:val="44"/>
          <w:sz w:val="21"/>
          <w:szCs w:val="21"/>
          <w:highlight w:val="none"/>
        </w:rPr>
        <w:t>小时平均浓度实测值与同时段所属县（市、区）PM</w:t>
      </w:r>
      <w:r>
        <w:rPr>
          <w:rFonts w:ascii="Times New Roman" w:hAnsi="Times New Roman"/>
          <w:color w:val="auto"/>
          <w:kern w:val="44"/>
          <w:sz w:val="21"/>
          <w:szCs w:val="21"/>
          <w:highlight w:val="none"/>
          <w:vertAlign w:val="subscript"/>
        </w:rPr>
        <w:t>10</w:t>
      </w:r>
      <w:r>
        <w:rPr>
          <w:rFonts w:ascii="Times New Roman" w:hAnsi="Times New Roman"/>
          <w:color w:val="auto"/>
          <w:kern w:val="44"/>
          <w:sz w:val="21"/>
          <w:szCs w:val="21"/>
          <w:highlight w:val="none"/>
        </w:rPr>
        <w:t>小时平均浓度的差值。当县（市、区）PM</w:t>
      </w:r>
      <w:r>
        <w:rPr>
          <w:rFonts w:ascii="Times New Roman" w:hAnsi="Times New Roman"/>
          <w:color w:val="auto"/>
          <w:kern w:val="44"/>
          <w:sz w:val="21"/>
          <w:szCs w:val="21"/>
          <w:highlight w:val="none"/>
          <w:vertAlign w:val="subscript"/>
        </w:rPr>
        <w:t>10</w:t>
      </w:r>
      <w:r>
        <w:rPr>
          <w:rFonts w:ascii="Times New Roman" w:hAnsi="Times New Roman"/>
          <w:color w:val="auto"/>
          <w:kern w:val="44"/>
          <w:sz w:val="21"/>
          <w:szCs w:val="21"/>
          <w:highlight w:val="none"/>
        </w:rPr>
        <w:t>小时平均浓度值大于150μg/m</w:t>
      </w:r>
      <w:r>
        <w:rPr>
          <w:rFonts w:ascii="Times New Roman" w:hAnsi="Times New Roman"/>
          <w:color w:val="auto"/>
          <w:kern w:val="44"/>
          <w:sz w:val="21"/>
          <w:szCs w:val="21"/>
          <w:highlight w:val="none"/>
          <w:vertAlign w:val="superscript"/>
        </w:rPr>
        <w:t>3</w:t>
      </w:r>
      <w:r>
        <w:rPr>
          <w:rFonts w:ascii="Times New Roman" w:hAnsi="Times New Roman"/>
          <w:color w:val="auto"/>
          <w:kern w:val="44"/>
          <w:sz w:val="21"/>
          <w:szCs w:val="21"/>
          <w:highlight w:val="none"/>
        </w:rPr>
        <w:t>时，以150μg/m</w:t>
      </w:r>
      <w:r>
        <w:rPr>
          <w:rFonts w:ascii="Times New Roman" w:hAnsi="Times New Roman"/>
          <w:color w:val="auto"/>
          <w:kern w:val="44"/>
          <w:sz w:val="21"/>
          <w:szCs w:val="21"/>
          <w:highlight w:val="none"/>
          <w:vertAlign w:val="superscript"/>
        </w:rPr>
        <w:t>3</w:t>
      </w:r>
      <w:r>
        <w:rPr>
          <w:rFonts w:ascii="Times New Roman" w:hAnsi="Times New Roman"/>
          <w:color w:val="auto"/>
          <w:kern w:val="44"/>
          <w:sz w:val="21"/>
          <w:szCs w:val="21"/>
          <w:highlight w:val="none"/>
        </w:rPr>
        <w:t>计。</w:t>
      </w:r>
    </w:p>
    <w:p w14:paraId="08BCCD49">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（2）生产运行阶段</w:t>
      </w:r>
    </w:p>
    <w:p w14:paraId="231DE437">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eastAsia" w:ascii="Times New Roman" w:hAnsi="Times New Roman" w:cs="Times New Roman"/>
          <w:color w:val="000000"/>
          <w:kern w:val="0"/>
          <w:sz w:val="24"/>
          <w:szCs w:val="21"/>
          <w:highlight w:val="none"/>
          <w:lang w:val="en-US" w:eastAsia="zh-CN"/>
        </w:rPr>
        <w:t>①废气：</w:t>
      </w:r>
      <w:r>
        <w:rPr>
          <w:rFonts w:hint="default" w:ascii="Times New Roman" w:hAnsi="Times New Roman" w:cs="Times New Roman"/>
          <w:color w:val="000000"/>
          <w:kern w:val="0"/>
          <w:sz w:val="24"/>
          <w:szCs w:val="21"/>
          <w:highlight w:val="none"/>
        </w:rPr>
        <w:t>颗粒物</w:t>
      </w:r>
      <w:r>
        <w:rPr>
          <w:rFonts w:hint="eastAsia" w:cs="Times New Roman"/>
          <w:color w:val="000000"/>
          <w:kern w:val="0"/>
          <w:sz w:val="24"/>
          <w:szCs w:val="21"/>
          <w:highlight w:val="none"/>
          <w:lang w:val="en-US" w:eastAsia="zh-CN"/>
        </w:rPr>
        <w:t>无组织</w:t>
      </w:r>
      <w:r>
        <w:rPr>
          <w:rFonts w:hint="default" w:ascii="Times New Roman" w:hAnsi="Times New Roman" w:cs="Times New Roman"/>
          <w:color w:val="000000"/>
          <w:kern w:val="0"/>
          <w:sz w:val="24"/>
          <w:szCs w:val="21"/>
          <w:highlight w:val="none"/>
        </w:rPr>
        <w:t>排放执行《铁矿采选工业污染物排放标准》（GB28661-2012）中表7无组织排放浓度限值</w:t>
      </w:r>
      <w:r>
        <w:rPr>
          <w:rFonts w:hint="eastAsia" w:cs="Times New Roman"/>
          <w:color w:val="auto"/>
          <w:highlight w:val="none"/>
          <w:lang w:eastAsia="zh-CN"/>
        </w:rPr>
        <w:t>，</w:t>
      </w:r>
      <w:r>
        <w:rPr>
          <w:rFonts w:ascii="Times New Roman" w:hAnsi="Times New Roman"/>
          <w:color w:val="auto"/>
          <w:sz w:val="24"/>
          <w:szCs w:val="24"/>
          <w:highlight w:val="none"/>
        </w:rPr>
        <w:t>详见下表</w:t>
      </w:r>
      <w:r>
        <w:rPr>
          <w:rFonts w:hint="default" w:ascii="Times New Roman" w:hAnsi="Times New Roman" w:cs="Times New Roman"/>
          <w:color w:val="000000"/>
          <w:kern w:val="0"/>
          <w:sz w:val="24"/>
          <w:szCs w:val="24"/>
          <w:highlight w:val="none"/>
        </w:rPr>
        <w:t>。</w:t>
      </w:r>
    </w:p>
    <w:p w14:paraId="7869F0DB">
      <w:pPr>
        <w:pStyle w:val="208"/>
        <w:keepNext w:val="0"/>
        <w:keepLines w:val="0"/>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auto"/>
          <w:szCs w:val="21"/>
          <w:highlight w:val="none"/>
          <w:lang w:val="en-US" w:eastAsia="zh-CN"/>
        </w:rPr>
      </w:pPr>
      <w:r>
        <w:rPr>
          <w:rStyle w:val="152"/>
          <w:rFonts w:hint="default" w:ascii="Times New Roman" w:hAnsi="Times New Roman" w:eastAsia="宋体" w:cs="Times New Roman"/>
          <w:b/>
          <w:color w:val="auto"/>
          <w:szCs w:val="21"/>
          <w:highlight w:val="none"/>
          <w:lang w:val="en-US" w:eastAsia="zh-CN"/>
        </w:rPr>
        <w:t>大气污染物排放标准</w:t>
      </w:r>
    </w:p>
    <w:tbl>
      <w:tblPr>
        <w:tblStyle w:val="58"/>
        <w:tblpPr w:leftFromText="180" w:rightFromText="180" w:vertAnchor="text" w:tblpXSpec="center" w:tblpY="1"/>
        <w:tblOverlap w:val="never"/>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8"/>
        <w:gridCol w:w="1194"/>
        <w:gridCol w:w="1749"/>
        <w:gridCol w:w="1366"/>
        <w:gridCol w:w="3405"/>
      </w:tblGrid>
      <w:tr w14:paraId="69711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71" w:type="pct"/>
            <w:tcBorders>
              <w:tl2br w:val="nil"/>
              <w:tr2bl w:val="nil"/>
            </w:tcBorders>
            <w:noWrap w:val="0"/>
            <w:vAlign w:val="center"/>
          </w:tcPr>
          <w:p w14:paraId="082FA9E5">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类别</w:t>
            </w:r>
          </w:p>
        </w:tc>
        <w:tc>
          <w:tcPr>
            <w:tcW w:w="716" w:type="pct"/>
            <w:tcBorders>
              <w:tl2br w:val="nil"/>
              <w:tr2bl w:val="nil"/>
            </w:tcBorders>
            <w:noWrap w:val="0"/>
            <w:vAlign w:val="center"/>
          </w:tcPr>
          <w:p w14:paraId="507177A5">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适用范围</w:t>
            </w:r>
          </w:p>
        </w:tc>
        <w:tc>
          <w:tcPr>
            <w:tcW w:w="1049" w:type="pct"/>
            <w:tcBorders>
              <w:tl2br w:val="nil"/>
              <w:tr2bl w:val="nil"/>
            </w:tcBorders>
            <w:noWrap w:val="0"/>
            <w:vAlign w:val="center"/>
          </w:tcPr>
          <w:p w14:paraId="392C5C96">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污染物名称</w:t>
            </w:r>
          </w:p>
        </w:tc>
        <w:tc>
          <w:tcPr>
            <w:tcW w:w="819" w:type="pct"/>
            <w:tcBorders>
              <w:tl2br w:val="nil"/>
              <w:tr2bl w:val="nil"/>
            </w:tcBorders>
            <w:noWrap w:val="0"/>
            <w:vAlign w:val="center"/>
          </w:tcPr>
          <w:p w14:paraId="0D578ADE">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标准值</w:t>
            </w:r>
          </w:p>
        </w:tc>
        <w:tc>
          <w:tcPr>
            <w:tcW w:w="2042" w:type="pct"/>
            <w:tcBorders>
              <w:tl2br w:val="nil"/>
              <w:tr2bl w:val="nil"/>
            </w:tcBorders>
            <w:noWrap w:val="0"/>
            <w:vAlign w:val="center"/>
          </w:tcPr>
          <w:p w14:paraId="1EFAE0F4">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标准来源</w:t>
            </w:r>
          </w:p>
        </w:tc>
      </w:tr>
      <w:tr w14:paraId="0D1B4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71" w:type="pct"/>
            <w:tcBorders>
              <w:tl2br w:val="nil"/>
              <w:tr2bl w:val="nil"/>
            </w:tcBorders>
            <w:noWrap w:val="0"/>
            <w:vAlign w:val="center"/>
          </w:tcPr>
          <w:p w14:paraId="611E093B">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废气</w:t>
            </w:r>
          </w:p>
        </w:tc>
        <w:tc>
          <w:tcPr>
            <w:tcW w:w="716" w:type="pct"/>
            <w:tcBorders>
              <w:tl2br w:val="nil"/>
              <w:tr2bl w:val="nil"/>
            </w:tcBorders>
            <w:noWrap w:val="0"/>
            <w:vAlign w:val="center"/>
          </w:tcPr>
          <w:p w14:paraId="12356D80">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hint="default" w:ascii="Times New Roman" w:hAnsi="Times New Roman"/>
                <w:color w:val="auto"/>
                <w:sz w:val="21"/>
                <w:szCs w:val="21"/>
                <w:highlight w:val="none"/>
                <w:lang w:val="en-US"/>
              </w:rPr>
            </w:pPr>
            <w:r>
              <w:rPr>
                <w:rFonts w:hint="eastAsia" w:cs="Times New Roman"/>
                <w:color w:val="auto"/>
                <w:sz w:val="21"/>
                <w:szCs w:val="21"/>
                <w:highlight w:val="none"/>
                <w:lang w:val="en-US" w:eastAsia="zh-CN"/>
              </w:rPr>
              <w:t>排土场粉尘</w:t>
            </w:r>
          </w:p>
        </w:tc>
        <w:tc>
          <w:tcPr>
            <w:tcW w:w="1049" w:type="pct"/>
            <w:tcBorders>
              <w:tl2br w:val="nil"/>
              <w:tr2bl w:val="nil"/>
            </w:tcBorders>
            <w:noWrap w:val="0"/>
            <w:vAlign w:val="center"/>
          </w:tcPr>
          <w:p w14:paraId="2E11045E">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无组织</w:t>
            </w:r>
            <w:r>
              <w:rPr>
                <w:rFonts w:hint="default" w:ascii="Times New Roman" w:hAnsi="Times New Roman" w:cs="Times New Roman"/>
                <w:color w:val="auto"/>
                <w:sz w:val="21"/>
                <w:szCs w:val="21"/>
                <w:highlight w:val="none"/>
                <w:lang w:val="en-US" w:eastAsia="zh-CN"/>
              </w:rPr>
              <w:t>颗粒物</w:t>
            </w:r>
          </w:p>
        </w:tc>
        <w:tc>
          <w:tcPr>
            <w:tcW w:w="819" w:type="pct"/>
            <w:tcBorders>
              <w:tl2br w:val="nil"/>
              <w:tr2bl w:val="nil"/>
            </w:tcBorders>
            <w:noWrap w:val="0"/>
            <w:vAlign w:val="center"/>
          </w:tcPr>
          <w:p w14:paraId="42D65CED">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2042" w:type="pct"/>
            <w:tcBorders>
              <w:tl2br w:val="nil"/>
              <w:tr2bl w:val="nil"/>
            </w:tcBorders>
            <w:noWrap w:val="0"/>
            <w:vAlign w:val="center"/>
          </w:tcPr>
          <w:p w14:paraId="7CEC87A6">
            <w:pPr>
              <w:keepNext w:val="0"/>
              <w:keepLines w:val="0"/>
              <w:pageBreakBefore w:val="0"/>
              <w:widowControl w:val="0"/>
              <w:kinsoku/>
              <w:wordWrap/>
              <w:overflowPunct/>
              <w:topLinePunct/>
              <w:autoSpaceDE/>
              <w:autoSpaceDN/>
              <w:bidi w:val="0"/>
              <w:adjustRightInd w:val="0"/>
              <w:snapToGrid/>
              <w:spacing w:line="240" w:lineRule="atLeast"/>
              <w:ind w:left="0" w:leftChars="0" w:firstLine="0" w:firstLineChars="0"/>
              <w:jc w:val="center"/>
              <w:textAlignment w:val="center"/>
              <w:rPr>
                <w:rFonts w:ascii="Times New Roman" w:hAnsi="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《铁矿采选工业污染物排放标准》（GB28661-2012）表7无组织排放监控浓度限值</w:t>
            </w:r>
          </w:p>
        </w:tc>
      </w:tr>
    </w:tbl>
    <w:p w14:paraId="347A22F4">
      <w:pPr>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eastAsia" w:ascii="Times New Roman" w:hAnsi="Times New Roman" w:cs="Times New Roman"/>
          <w:color w:val="000000"/>
          <w:kern w:val="0"/>
          <w:sz w:val="24"/>
          <w:szCs w:val="21"/>
          <w:highlight w:val="none"/>
          <w:lang w:val="en-US" w:eastAsia="zh-CN"/>
        </w:rPr>
        <w:t>②噪声：</w:t>
      </w:r>
      <w:r>
        <w:rPr>
          <w:rFonts w:hint="default" w:ascii="Times New Roman" w:hAnsi="Times New Roman" w:cs="Times New Roman"/>
          <w:color w:val="000000"/>
          <w:kern w:val="0"/>
          <w:sz w:val="24"/>
          <w:szCs w:val="21"/>
          <w:highlight w:val="none"/>
        </w:rPr>
        <w:t>厂界噪声排放执行《工业企业厂界环境噪声排放标准》(GB12348-2008)中2类区标准</w:t>
      </w:r>
      <w:r>
        <w:rPr>
          <w:rFonts w:hint="eastAsia" w:cs="Times New Roman"/>
          <w:color w:val="auto"/>
          <w:highlight w:val="none"/>
          <w:lang w:eastAsia="zh-CN"/>
        </w:rPr>
        <w:t>，</w:t>
      </w:r>
      <w:r>
        <w:rPr>
          <w:rFonts w:ascii="Times New Roman" w:hAnsi="Times New Roman"/>
          <w:color w:val="auto"/>
          <w:sz w:val="24"/>
          <w:szCs w:val="24"/>
          <w:highlight w:val="none"/>
        </w:rPr>
        <w:t>详见下表</w:t>
      </w:r>
      <w:r>
        <w:rPr>
          <w:rFonts w:hint="default" w:ascii="Times New Roman" w:hAnsi="Times New Roman" w:cs="Times New Roman"/>
          <w:color w:val="000000"/>
          <w:kern w:val="0"/>
          <w:sz w:val="24"/>
          <w:szCs w:val="21"/>
          <w:highlight w:val="none"/>
        </w:rPr>
        <w:t>。</w:t>
      </w:r>
    </w:p>
    <w:p w14:paraId="2D10D1AF">
      <w:pPr>
        <w:pStyle w:val="208"/>
        <w:pageBreakBefore w:val="0"/>
        <w:widowControl w:val="0"/>
        <w:numPr>
          <w:ilvl w:val="5"/>
          <w:numId w:val="17"/>
        </w:numPr>
        <w:tabs>
          <w:tab w:val="left" w:pos="420"/>
          <w:tab w:val="clear" w:pos="0"/>
        </w:tabs>
        <w:kinsoku/>
        <w:wordWrap/>
        <w:overflowPunct/>
        <w:topLinePunct w:val="0"/>
        <w:autoSpaceDE/>
        <w:autoSpaceDN/>
        <w:bidi w:val="0"/>
        <w:adjustRightInd w:val="0"/>
        <w:snapToGrid w:val="0"/>
        <w:spacing w:line="360" w:lineRule="auto"/>
        <w:ind w:left="1050" w:leftChars="0" w:hanging="1050" w:firstLineChars="0"/>
        <w:textAlignment w:val="auto"/>
        <w:rPr>
          <w:rStyle w:val="152"/>
          <w:rFonts w:hint="default" w:ascii="Times New Roman" w:hAnsi="Times New Roman" w:eastAsia="宋体" w:cs="Times New Roman"/>
          <w:b/>
          <w:color w:val="000000"/>
          <w:szCs w:val="21"/>
          <w:highlight w:val="none"/>
        </w:rPr>
      </w:pPr>
      <w:r>
        <w:rPr>
          <w:rStyle w:val="152"/>
          <w:rFonts w:hint="default" w:ascii="Times New Roman" w:hAnsi="Times New Roman" w:eastAsia="宋体" w:cs="Times New Roman"/>
          <w:b/>
          <w:color w:val="000000"/>
          <w:szCs w:val="21"/>
          <w:highlight w:val="none"/>
        </w:rPr>
        <w:t>噪声污染</w:t>
      </w:r>
      <w:r>
        <w:rPr>
          <w:rStyle w:val="152"/>
          <w:rFonts w:hint="eastAsia" w:ascii="Times New Roman" w:hAnsi="Times New Roman" w:eastAsia="宋体" w:cs="Times New Roman"/>
          <w:b/>
          <w:color w:val="000000"/>
          <w:szCs w:val="21"/>
          <w:highlight w:val="none"/>
          <w:lang w:val="en-US" w:eastAsia="zh-CN"/>
        </w:rPr>
        <w:t>排放</w:t>
      </w:r>
      <w:r>
        <w:rPr>
          <w:rStyle w:val="152"/>
          <w:rFonts w:hint="default" w:ascii="Times New Roman" w:hAnsi="Times New Roman" w:eastAsia="宋体" w:cs="Times New Roman"/>
          <w:b/>
          <w:color w:val="000000"/>
          <w:szCs w:val="21"/>
          <w:highlight w:val="none"/>
        </w:rPr>
        <w:t>标准</w:t>
      </w:r>
    </w:p>
    <w:tbl>
      <w:tblPr>
        <w:tblStyle w:val="58"/>
        <w:tblpPr w:leftFromText="180" w:rightFromText="180" w:vertAnchor="text" w:tblpXSpec="center" w:tblpY="1"/>
        <w:tblOverlap w:val="never"/>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23"/>
        <w:gridCol w:w="1195"/>
        <w:gridCol w:w="1558"/>
        <w:gridCol w:w="1898"/>
        <w:gridCol w:w="3045"/>
      </w:tblGrid>
      <w:tr w14:paraId="42F3E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74" w:type="pct"/>
            <w:tcBorders>
              <w:tl2br w:val="nil"/>
              <w:tr2bl w:val="nil"/>
            </w:tcBorders>
            <w:noWrap w:val="0"/>
            <w:vAlign w:val="center"/>
          </w:tcPr>
          <w:p w14:paraId="4E3B1608">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类别</w:t>
            </w:r>
          </w:p>
        </w:tc>
        <w:tc>
          <w:tcPr>
            <w:tcW w:w="718" w:type="pct"/>
            <w:tcBorders>
              <w:tl2br w:val="nil"/>
              <w:tr2bl w:val="nil"/>
            </w:tcBorders>
            <w:noWrap w:val="0"/>
            <w:vAlign w:val="center"/>
          </w:tcPr>
          <w:p w14:paraId="2A64235C">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适用范围</w:t>
            </w:r>
          </w:p>
        </w:tc>
        <w:tc>
          <w:tcPr>
            <w:tcW w:w="936" w:type="pct"/>
            <w:tcBorders>
              <w:tl2br w:val="nil"/>
              <w:tr2bl w:val="nil"/>
            </w:tcBorders>
            <w:noWrap w:val="0"/>
            <w:vAlign w:val="center"/>
          </w:tcPr>
          <w:p w14:paraId="689FFA95">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污染物名称</w:t>
            </w:r>
          </w:p>
        </w:tc>
        <w:tc>
          <w:tcPr>
            <w:tcW w:w="1140" w:type="pct"/>
            <w:tcBorders>
              <w:tl2br w:val="nil"/>
              <w:tr2bl w:val="nil"/>
            </w:tcBorders>
            <w:noWrap w:val="0"/>
            <w:vAlign w:val="center"/>
          </w:tcPr>
          <w:p w14:paraId="6310FD57">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标准值</w:t>
            </w:r>
          </w:p>
        </w:tc>
        <w:tc>
          <w:tcPr>
            <w:tcW w:w="1829" w:type="pct"/>
            <w:tcBorders>
              <w:tl2br w:val="nil"/>
              <w:tr2bl w:val="nil"/>
            </w:tcBorders>
            <w:noWrap w:val="0"/>
            <w:vAlign w:val="center"/>
          </w:tcPr>
          <w:p w14:paraId="0C1911BB">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b/>
                <w:color w:val="auto"/>
                <w:sz w:val="21"/>
                <w:szCs w:val="21"/>
                <w:highlight w:val="none"/>
              </w:rPr>
            </w:pPr>
            <w:r>
              <w:rPr>
                <w:rFonts w:ascii="Times New Roman" w:hAnsi="Times New Roman"/>
                <w:b/>
                <w:color w:val="auto"/>
                <w:sz w:val="21"/>
                <w:szCs w:val="21"/>
                <w:highlight w:val="none"/>
              </w:rPr>
              <w:t>标准来源</w:t>
            </w:r>
          </w:p>
        </w:tc>
      </w:tr>
      <w:tr w14:paraId="07346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74" w:type="pct"/>
            <w:tcBorders>
              <w:tl2br w:val="nil"/>
              <w:tr2bl w:val="nil"/>
            </w:tcBorders>
            <w:noWrap w:val="0"/>
            <w:vAlign w:val="center"/>
          </w:tcPr>
          <w:p w14:paraId="4060A8C5">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噪声</w:t>
            </w:r>
          </w:p>
        </w:tc>
        <w:tc>
          <w:tcPr>
            <w:tcW w:w="718" w:type="pct"/>
            <w:tcBorders>
              <w:tl2br w:val="nil"/>
              <w:tr2bl w:val="nil"/>
            </w:tcBorders>
            <w:noWrap w:val="0"/>
            <w:vAlign w:val="center"/>
          </w:tcPr>
          <w:p w14:paraId="622E505A">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hint="eastAsia"/>
                <w:color w:val="auto"/>
                <w:sz w:val="21"/>
                <w:szCs w:val="21"/>
                <w:highlight w:val="none"/>
                <w:lang w:eastAsia="zh-CN"/>
              </w:rPr>
              <w:t>厂界</w:t>
            </w:r>
            <w:r>
              <w:rPr>
                <w:rFonts w:ascii="Times New Roman" w:hAnsi="Times New Roman"/>
                <w:color w:val="auto"/>
                <w:sz w:val="21"/>
                <w:szCs w:val="21"/>
                <w:highlight w:val="none"/>
              </w:rPr>
              <w:t>噪声</w:t>
            </w:r>
          </w:p>
        </w:tc>
        <w:tc>
          <w:tcPr>
            <w:tcW w:w="936" w:type="pct"/>
            <w:tcBorders>
              <w:tl2br w:val="nil"/>
              <w:tr2bl w:val="nil"/>
            </w:tcBorders>
            <w:noWrap w:val="0"/>
            <w:vAlign w:val="center"/>
          </w:tcPr>
          <w:p w14:paraId="3F71477E">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等效连续</w:t>
            </w:r>
          </w:p>
          <w:p w14:paraId="761F3B6C">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A声级</w:t>
            </w:r>
          </w:p>
        </w:tc>
        <w:tc>
          <w:tcPr>
            <w:tcW w:w="1140" w:type="pct"/>
            <w:tcBorders>
              <w:tl2br w:val="nil"/>
              <w:tr2bl w:val="nil"/>
            </w:tcBorders>
            <w:noWrap w:val="0"/>
            <w:vAlign w:val="center"/>
          </w:tcPr>
          <w:p w14:paraId="04CEAAED">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昼间≤</w:t>
            </w:r>
            <w:r>
              <w:rPr>
                <w:rFonts w:hint="eastAsia"/>
                <w:color w:val="auto"/>
                <w:sz w:val="21"/>
                <w:szCs w:val="21"/>
                <w:highlight w:val="none"/>
                <w:lang w:val="en-US" w:eastAsia="zh-CN"/>
              </w:rPr>
              <w:t>6</w:t>
            </w:r>
            <w:r>
              <w:rPr>
                <w:rFonts w:ascii="Times New Roman" w:hAnsi="Times New Roman"/>
                <w:color w:val="auto"/>
                <w:sz w:val="21"/>
                <w:szCs w:val="21"/>
                <w:highlight w:val="none"/>
              </w:rPr>
              <w:t>0dB(A)</w:t>
            </w:r>
          </w:p>
          <w:p w14:paraId="49E6C383">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夜间≤5</w:t>
            </w:r>
            <w:r>
              <w:rPr>
                <w:rFonts w:hint="eastAsia"/>
                <w:color w:val="auto"/>
                <w:sz w:val="21"/>
                <w:szCs w:val="21"/>
                <w:highlight w:val="none"/>
                <w:lang w:val="en-US" w:eastAsia="zh-CN"/>
              </w:rPr>
              <w:t>0</w:t>
            </w:r>
            <w:r>
              <w:rPr>
                <w:rFonts w:ascii="Times New Roman" w:hAnsi="Times New Roman"/>
                <w:color w:val="auto"/>
                <w:sz w:val="21"/>
                <w:szCs w:val="21"/>
                <w:highlight w:val="none"/>
              </w:rPr>
              <w:t>dB(A)</w:t>
            </w:r>
          </w:p>
        </w:tc>
        <w:tc>
          <w:tcPr>
            <w:tcW w:w="1829" w:type="pct"/>
            <w:tcBorders>
              <w:tl2br w:val="nil"/>
              <w:tr2bl w:val="nil"/>
            </w:tcBorders>
            <w:noWrap w:val="0"/>
            <w:vAlign w:val="center"/>
          </w:tcPr>
          <w:p w14:paraId="3DD6B3A4">
            <w:pPr>
              <w:keepNext w:val="0"/>
              <w:keepLines w:val="0"/>
              <w:pageBreakBefore w:val="0"/>
              <w:widowControl w:val="0"/>
              <w:kinsoku/>
              <w:wordWrap/>
              <w:overflowPunct/>
              <w:topLinePunct/>
              <w:autoSpaceDE/>
              <w:autoSpaceDN/>
              <w:bidi w:val="0"/>
              <w:adjustRightInd w:val="0"/>
              <w:snapToGrid/>
              <w:spacing w:line="240" w:lineRule="atLeast"/>
              <w:ind w:firstLine="0" w:firstLineChars="0"/>
              <w:jc w:val="center"/>
              <w:textAlignment w:val="center"/>
              <w:rPr>
                <w:rFonts w:ascii="Times New Roman" w:hAnsi="Times New Roman"/>
                <w:color w:val="auto"/>
                <w:sz w:val="21"/>
                <w:szCs w:val="21"/>
                <w:highlight w:val="none"/>
              </w:rPr>
            </w:pPr>
            <w:r>
              <w:rPr>
                <w:rFonts w:ascii="Times New Roman" w:hAnsi="Times New Roman"/>
                <w:color w:val="auto"/>
                <w:sz w:val="21"/>
                <w:szCs w:val="21"/>
                <w:highlight w:val="none"/>
              </w:rPr>
              <w:t>《工业企业厂界环境噪声排放标准》(GB12348-2008)</w:t>
            </w:r>
            <w:r>
              <w:rPr>
                <w:rFonts w:hint="eastAsia"/>
                <w:color w:val="auto"/>
                <w:sz w:val="21"/>
                <w:szCs w:val="21"/>
                <w:highlight w:val="none"/>
                <w:lang w:val="en-US" w:eastAsia="zh-CN"/>
              </w:rPr>
              <w:t>2</w:t>
            </w:r>
            <w:r>
              <w:rPr>
                <w:rFonts w:ascii="Times New Roman" w:hAnsi="Times New Roman"/>
                <w:color w:val="auto"/>
                <w:sz w:val="21"/>
                <w:szCs w:val="21"/>
                <w:highlight w:val="none"/>
              </w:rPr>
              <w:t>类</w:t>
            </w:r>
            <w:r>
              <w:rPr>
                <w:rFonts w:hint="eastAsia"/>
                <w:color w:val="auto"/>
                <w:sz w:val="21"/>
                <w:szCs w:val="21"/>
                <w:highlight w:val="none"/>
                <w:lang w:eastAsia="zh-CN"/>
              </w:rPr>
              <w:t>区</w:t>
            </w:r>
            <w:r>
              <w:rPr>
                <w:rFonts w:ascii="Times New Roman" w:hAnsi="Times New Roman"/>
                <w:color w:val="auto"/>
                <w:sz w:val="21"/>
                <w:szCs w:val="21"/>
                <w:highlight w:val="none"/>
              </w:rPr>
              <w:t>标准值</w:t>
            </w:r>
          </w:p>
        </w:tc>
      </w:tr>
    </w:tbl>
    <w:p w14:paraId="4E632E6F">
      <w:pPr>
        <w:pStyle w:val="6"/>
        <w:bidi w:val="0"/>
        <w:rPr>
          <w:rFonts w:hint="default"/>
          <w:highlight w:val="none"/>
        </w:rPr>
      </w:pPr>
      <w:bookmarkStart w:id="167" w:name="_Toc17905"/>
      <w:r>
        <w:rPr>
          <w:rFonts w:hint="default"/>
          <w:highlight w:val="none"/>
        </w:rPr>
        <w:t>污染物控制标准</w:t>
      </w:r>
      <w:bookmarkEnd w:id="167"/>
    </w:p>
    <w:p w14:paraId="07D8EF8B">
      <w:pPr>
        <w:spacing w:line="500" w:lineRule="exact"/>
        <w:ind w:firstLine="480" w:firstLineChars="200"/>
        <w:rPr>
          <w:rFonts w:hint="default" w:ascii="Times New Roman" w:hAnsi="Times New Roman" w:cs="Times New Roman"/>
          <w:color w:val="000000"/>
          <w:highlight w:val="none"/>
        </w:rPr>
      </w:pPr>
      <w:r>
        <w:rPr>
          <w:rFonts w:hint="default" w:ascii="Times New Roman" w:hAnsi="Times New Roman" w:cs="Times New Roman"/>
          <w:sz w:val="24"/>
          <w:szCs w:val="24"/>
          <w:highlight w:val="none"/>
        </w:rPr>
        <w:t>一般工业固体废物执行《一般工业固体废物贮存和填埋污染控制标准》(GB18599-2020)中的相关规定</w:t>
      </w:r>
      <w:r>
        <w:rPr>
          <w:rFonts w:hint="eastAsia" w:cs="Times New Roman"/>
          <w:sz w:val="24"/>
          <w:szCs w:val="24"/>
          <w:highlight w:val="none"/>
          <w:lang w:eastAsia="zh-CN"/>
        </w:rPr>
        <w:t>。</w:t>
      </w:r>
    </w:p>
    <w:p w14:paraId="585F8FD4">
      <w:pPr>
        <w:pStyle w:val="147"/>
        <w:ind w:firstLine="480"/>
        <w:jc w:val="both"/>
        <w:rPr>
          <w:rFonts w:hint="default" w:ascii="Times New Roman" w:hAnsi="Times New Roman" w:cs="Times New Roman"/>
          <w:color w:val="000000"/>
          <w:highlight w:val="none"/>
        </w:rPr>
        <w:sectPr>
          <w:footerReference r:id="rId8" w:type="default"/>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68EB12BD">
      <w:pPr>
        <w:pStyle w:val="187"/>
        <w:rPr>
          <w:rFonts w:hint="default" w:ascii="Times New Roman" w:hAnsi="Times New Roman" w:cs="Times New Roman"/>
          <w:color w:val="000000"/>
          <w:highlight w:val="none"/>
        </w:rPr>
      </w:pPr>
      <w:bookmarkStart w:id="168" w:name="_Toc16526"/>
      <w:bookmarkStart w:id="169" w:name="_Toc16306"/>
      <w:bookmarkStart w:id="170" w:name="_Toc20144"/>
      <w:bookmarkStart w:id="171" w:name="_Toc29575"/>
      <w:bookmarkStart w:id="172" w:name="_Toc17850"/>
      <w:r>
        <w:rPr>
          <w:rFonts w:hint="default" w:ascii="Times New Roman" w:hAnsi="Times New Roman" w:cs="Times New Roman"/>
          <w:bCs w:val="0"/>
          <w:snapToGrid w:val="0"/>
          <w:color w:val="000000"/>
          <w:highlight w:val="none"/>
        </w:rPr>
        <w:t>建设项目工程分析</w:t>
      </w:r>
      <w:bookmarkEnd w:id="168"/>
      <w:bookmarkEnd w:id="169"/>
      <w:bookmarkEnd w:id="170"/>
      <w:bookmarkEnd w:id="171"/>
      <w:bookmarkEnd w:id="172"/>
    </w:p>
    <w:p w14:paraId="068EEE1C">
      <w:pPr>
        <w:pStyle w:val="5"/>
        <w:pageBreakBefore w:val="0"/>
        <w:widowControl w:val="0"/>
        <w:kinsoku/>
        <w:wordWrap/>
        <w:overflowPunct/>
        <w:autoSpaceDE/>
        <w:autoSpaceDN/>
        <w:bidi w:val="0"/>
        <w:spacing w:before="0" w:after="0" w:line="360" w:lineRule="auto"/>
        <w:ind w:left="578" w:hanging="578"/>
        <w:rPr>
          <w:rFonts w:hint="default" w:ascii="Times New Roman" w:hAnsi="Times New Roman" w:eastAsia="宋体" w:cs="Times New Roman"/>
          <w:b/>
          <w:color w:val="000000"/>
          <w:sz w:val="28"/>
          <w:szCs w:val="28"/>
          <w:highlight w:val="none"/>
          <w:lang w:val="en-US" w:eastAsia="zh-CN"/>
        </w:rPr>
      </w:pPr>
      <w:bookmarkStart w:id="173" w:name="_Toc9168"/>
      <w:bookmarkStart w:id="174" w:name="_Toc18513"/>
      <w:bookmarkStart w:id="175" w:name="_Toc272324794"/>
      <w:bookmarkStart w:id="176" w:name="_Toc211252897"/>
      <w:bookmarkStart w:id="177" w:name="_Toc272325193"/>
      <w:r>
        <w:rPr>
          <w:rFonts w:hint="eastAsia" w:ascii="Times New Roman" w:hAnsi="Times New Roman" w:cs="Times New Roman"/>
          <w:b/>
          <w:color w:val="000000"/>
          <w:sz w:val="28"/>
          <w:szCs w:val="28"/>
          <w:highlight w:val="none"/>
          <w:lang w:val="en-US" w:eastAsia="zh-CN"/>
        </w:rPr>
        <w:t>本</w:t>
      </w:r>
      <w:r>
        <w:rPr>
          <w:rFonts w:hint="eastAsia" w:ascii="Times New Roman" w:hAnsi="Times New Roman" w:eastAsia="宋体" w:cs="Times New Roman"/>
          <w:b/>
          <w:color w:val="000000"/>
          <w:sz w:val="28"/>
          <w:szCs w:val="28"/>
          <w:highlight w:val="none"/>
          <w:lang w:val="en-US" w:eastAsia="zh-CN"/>
        </w:rPr>
        <w:t>项目</w:t>
      </w:r>
      <w:bookmarkEnd w:id="173"/>
      <w:r>
        <w:rPr>
          <w:rFonts w:hint="eastAsia" w:ascii="Times New Roman" w:hAnsi="Times New Roman" w:eastAsia="宋体" w:cs="Times New Roman"/>
          <w:b/>
          <w:color w:val="000000"/>
          <w:sz w:val="28"/>
          <w:szCs w:val="28"/>
          <w:highlight w:val="none"/>
          <w:lang w:val="en-US" w:eastAsia="zh-CN"/>
        </w:rPr>
        <w:t>情况</w:t>
      </w:r>
      <w:bookmarkEnd w:id="174"/>
    </w:p>
    <w:p w14:paraId="6E7A13A5">
      <w:pPr>
        <w:pStyle w:val="6"/>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基本情况</w:t>
      </w:r>
    </w:p>
    <w:p w14:paraId="17009295">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eastAsia" w:cs="Times New Roman"/>
          <w:color w:val="auto"/>
          <w:sz w:val="24"/>
          <w:szCs w:val="24"/>
          <w:highlight w:val="none"/>
          <w:lang w:eastAsia="zh-CN"/>
        </w:rPr>
      </w:pPr>
      <w:r>
        <w:rPr>
          <w:rFonts w:hint="default" w:ascii="Times New Roman" w:hAnsi="Times New Roman" w:cs="Times New Roman"/>
          <w:b/>
          <w:bCs/>
          <w:color w:val="auto"/>
          <w:sz w:val="24"/>
          <w:szCs w:val="24"/>
          <w:highlight w:val="none"/>
        </w:rPr>
        <w:t>项目名称：</w:t>
      </w:r>
      <w:r>
        <w:rPr>
          <w:rFonts w:hint="eastAsia" w:cs="Times New Roman"/>
          <w:color w:val="000000"/>
          <w:sz w:val="24"/>
          <w:highlight w:val="none"/>
          <w:lang w:eastAsia="zh-CN"/>
        </w:rPr>
        <w:t>承德天宝矿业集团大昌矿业有限公司东北沟排土场建设项目</w:t>
      </w:r>
    </w:p>
    <w:p w14:paraId="021736E4">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default" w:ascii="Times New Roman" w:hAnsi="Times New Roman" w:cs="Times New Roman"/>
          <w:color w:val="auto"/>
          <w:sz w:val="24"/>
          <w:szCs w:val="24"/>
          <w:highlight w:val="none"/>
          <w:shd w:val="clear" w:color="auto" w:fill="auto"/>
        </w:rPr>
      </w:pPr>
      <w:r>
        <w:rPr>
          <w:rFonts w:hint="default" w:ascii="Times New Roman" w:hAnsi="Times New Roman" w:cs="Times New Roman"/>
          <w:b/>
          <w:bCs/>
          <w:color w:val="auto"/>
          <w:sz w:val="24"/>
          <w:szCs w:val="24"/>
          <w:highlight w:val="none"/>
        </w:rPr>
        <w:t>建设单位：</w:t>
      </w:r>
      <w:r>
        <w:rPr>
          <w:rFonts w:hint="eastAsia" w:cs="Times New Roman"/>
          <w:color w:val="000000"/>
          <w:sz w:val="24"/>
          <w:highlight w:val="none"/>
          <w:lang w:eastAsia="zh-CN"/>
        </w:rPr>
        <w:t>承德天宝矿业集团大昌矿业有限公司</w:t>
      </w:r>
    </w:p>
    <w:p w14:paraId="611BA40B">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建设性质：</w:t>
      </w:r>
      <w:r>
        <w:rPr>
          <w:rFonts w:hint="eastAsia" w:cs="Times New Roman"/>
          <w:b w:val="0"/>
          <w:bCs w:val="0"/>
          <w:color w:val="auto"/>
          <w:sz w:val="24"/>
          <w:szCs w:val="24"/>
          <w:highlight w:val="none"/>
          <w:lang w:val="en-US" w:eastAsia="zh-CN"/>
        </w:rPr>
        <w:t>新建</w:t>
      </w:r>
    </w:p>
    <w:p w14:paraId="7AEE438B">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项目投资：</w:t>
      </w:r>
      <w:r>
        <w:rPr>
          <w:rFonts w:hint="default" w:ascii="Times New Roman" w:hAnsi="Times New Roman" w:cs="Times New Roman"/>
          <w:color w:val="auto"/>
          <w:sz w:val="24"/>
          <w:szCs w:val="24"/>
          <w:highlight w:val="none"/>
        </w:rPr>
        <w:t>项目总投资</w:t>
      </w:r>
      <w:r>
        <w:rPr>
          <w:rFonts w:hint="eastAsia" w:cs="Times New Roman"/>
          <w:color w:val="auto"/>
          <w:sz w:val="24"/>
          <w:szCs w:val="24"/>
          <w:highlight w:val="none"/>
          <w:lang w:val="en-US" w:eastAsia="zh-CN"/>
        </w:rPr>
        <w:t>2495.5万元</w:t>
      </w:r>
      <w:r>
        <w:rPr>
          <w:rFonts w:hint="default" w:ascii="Times New Roman" w:hAnsi="Times New Roman" w:cs="Times New Roman"/>
          <w:color w:val="auto"/>
          <w:sz w:val="24"/>
          <w:szCs w:val="24"/>
          <w:highlight w:val="none"/>
        </w:rPr>
        <w:t>，环保投资</w:t>
      </w:r>
      <w:r>
        <w:rPr>
          <w:rFonts w:hint="eastAsia" w:cs="Times New Roman"/>
          <w:color w:val="auto"/>
          <w:sz w:val="24"/>
          <w:szCs w:val="24"/>
          <w:highlight w:val="none"/>
          <w:lang w:val="en-US" w:eastAsia="zh-CN"/>
        </w:rPr>
        <w:t>200万元</w:t>
      </w:r>
      <w:r>
        <w:rPr>
          <w:rFonts w:hint="default" w:ascii="Times New Roman" w:hAnsi="Times New Roman" w:cs="Times New Roman"/>
          <w:color w:val="auto"/>
          <w:sz w:val="24"/>
          <w:szCs w:val="24"/>
          <w:highlight w:val="none"/>
          <w:shd w:val="clear" w:color="auto" w:fill="auto"/>
        </w:rPr>
        <w:t>，占</w:t>
      </w:r>
      <w:r>
        <w:rPr>
          <w:rFonts w:hint="eastAsia" w:cs="Times New Roman"/>
          <w:color w:val="auto"/>
          <w:sz w:val="24"/>
          <w:szCs w:val="24"/>
          <w:highlight w:val="none"/>
          <w:shd w:val="clear" w:color="auto" w:fill="auto"/>
          <w:lang w:val="en-US" w:eastAsia="zh-CN"/>
        </w:rPr>
        <w:t>比8%</w:t>
      </w:r>
      <w:r>
        <w:rPr>
          <w:rFonts w:hint="default" w:ascii="Times New Roman" w:hAnsi="Times New Roman" w:cs="Times New Roman"/>
          <w:color w:val="auto"/>
          <w:sz w:val="24"/>
          <w:szCs w:val="24"/>
          <w:highlight w:val="none"/>
          <w:shd w:val="clear" w:color="auto" w:fill="auto"/>
          <w:lang w:val="en-US" w:eastAsia="zh-CN"/>
        </w:rPr>
        <w:t>。</w:t>
      </w:r>
    </w:p>
    <w:p w14:paraId="1E2978A9">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eastAsia" w:cs="Times New Roman"/>
          <w:b/>
          <w:bCs/>
          <w:color w:val="auto"/>
          <w:sz w:val="24"/>
          <w:szCs w:val="24"/>
          <w:highlight w:val="none"/>
          <w:lang w:eastAsia="zh-CN"/>
        </w:rPr>
      </w:pPr>
      <w:r>
        <w:rPr>
          <w:rFonts w:hint="default" w:ascii="Times New Roman" w:hAnsi="Times New Roman" w:cs="Times New Roman"/>
          <w:b/>
          <w:bCs/>
          <w:color w:val="auto"/>
          <w:sz w:val="24"/>
          <w:szCs w:val="24"/>
          <w:highlight w:val="none"/>
        </w:rPr>
        <w:t>建设地点</w:t>
      </w:r>
      <w:r>
        <w:rPr>
          <w:rFonts w:hint="eastAsia" w:cs="Times New Roman"/>
          <w:b/>
          <w:bCs/>
          <w:color w:val="auto"/>
          <w:sz w:val="24"/>
          <w:szCs w:val="24"/>
          <w:highlight w:val="none"/>
          <w:lang w:eastAsia="zh-CN"/>
        </w:rPr>
        <w:t>：</w:t>
      </w:r>
      <w:r>
        <w:rPr>
          <w:rFonts w:hint="eastAsia" w:cs="Times New Roman"/>
          <w:color w:val="000000"/>
          <w:kern w:val="0"/>
          <w:sz w:val="24"/>
          <w:szCs w:val="21"/>
          <w:highlight w:val="none"/>
          <w:lang w:val="en-US" w:eastAsia="zh-CN"/>
        </w:rPr>
        <w:t>承德市隆化县韩麻营镇东兴村东北沟，排土场中心地理位置坐标为</w:t>
      </w:r>
      <w:r>
        <w:rPr>
          <w:rFonts w:hint="default" w:ascii="Times New Roman" w:hAnsi="Times New Roman" w:cs="Times New Roman"/>
          <w:color w:val="000000"/>
          <w:kern w:val="0"/>
          <w:sz w:val="24"/>
          <w:szCs w:val="21"/>
          <w:highlight w:val="none"/>
          <w:lang w:val="en-US" w:eastAsia="zh-CN"/>
        </w:rPr>
        <w:t>E117°47′38.06737″</w:t>
      </w:r>
      <w:r>
        <w:rPr>
          <w:rFonts w:hint="eastAsia" w:cs="Times New Roman"/>
          <w:color w:val="000000"/>
          <w:kern w:val="0"/>
          <w:sz w:val="24"/>
          <w:szCs w:val="21"/>
          <w:highlight w:val="none"/>
          <w:lang w:val="en-US" w:eastAsia="zh-CN"/>
        </w:rPr>
        <w:t>、N</w:t>
      </w:r>
      <w:r>
        <w:rPr>
          <w:rFonts w:hint="default" w:ascii="Times New Roman" w:hAnsi="Times New Roman" w:cs="Times New Roman"/>
          <w:color w:val="000000"/>
          <w:kern w:val="0"/>
          <w:sz w:val="24"/>
          <w:szCs w:val="21"/>
          <w:highlight w:val="none"/>
          <w:lang w:val="en-US" w:eastAsia="zh-CN"/>
        </w:rPr>
        <w:t>41°14′34.20675″</w:t>
      </w:r>
      <w:r>
        <w:rPr>
          <w:rFonts w:hint="eastAsia" w:ascii="Times New Roman" w:hAnsi="Times New Roman" w:cs="Times New Roman"/>
          <w:color w:val="000000"/>
          <w:kern w:val="0"/>
          <w:sz w:val="24"/>
          <w:szCs w:val="21"/>
          <w:highlight w:val="none"/>
          <w:lang w:val="en-US" w:eastAsia="zh-CN"/>
        </w:rPr>
        <w:t>，</w:t>
      </w:r>
      <w:r>
        <w:rPr>
          <w:rFonts w:hint="eastAsia"/>
          <w:color w:val="000000"/>
          <w:sz w:val="24"/>
          <w:szCs w:val="24"/>
          <w:highlight w:val="none"/>
          <w:lang w:val="en-US" w:eastAsia="zh-CN"/>
        </w:rPr>
        <w:t>项目地理位置</w:t>
      </w:r>
      <w:r>
        <w:rPr>
          <w:sz w:val="24"/>
          <w:szCs w:val="24"/>
          <w:highlight w:val="none"/>
        </w:rPr>
        <w:t>详见附图1</w:t>
      </w:r>
      <w:r>
        <w:rPr>
          <w:rFonts w:hint="eastAsia" w:cs="Times New Roman"/>
          <w:color w:val="auto"/>
          <w:sz w:val="24"/>
          <w:szCs w:val="24"/>
          <w:highlight w:val="none"/>
          <w:lang w:val="en-US" w:eastAsia="zh-CN"/>
        </w:rPr>
        <w:t>。</w:t>
      </w:r>
    </w:p>
    <w:p w14:paraId="7458D86C">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四邻关系：</w:t>
      </w:r>
      <w:r>
        <w:rPr>
          <w:rFonts w:hint="eastAsia" w:ascii="Times New Roman"/>
          <w:color w:val="auto"/>
          <w:sz w:val="24"/>
          <w:szCs w:val="24"/>
          <w:highlight w:val="none"/>
        </w:rPr>
        <w:t>项目</w:t>
      </w:r>
      <w:r>
        <w:rPr>
          <w:rFonts w:hint="eastAsia"/>
          <w:color w:val="auto"/>
          <w:sz w:val="24"/>
          <w:szCs w:val="24"/>
          <w:highlight w:val="none"/>
          <w:lang w:val="en-US" w:eastAsia="zh-CN"/>
        </w:rPr>
        <w:t>四面环山，</w:t>
      </w:r>
      <w:r>
        <w:rPr>
          <w:rFonts w:hint="eastAsia"/>
          <w:color w:val="auto"/>
          <w:sz w:val="24"/>
          <w:szCs w:val="24"/>
          <w:highlight w:val="none"/>
          <w:lang w:val="en-US" w:eastAsia="zh-CN"/>
        </w:rPr>
        <w:t>北侧136m处山脊线的另一侧为隆化县双盈矿业有限公司大东沟尾矿库，东北侧100m处山脊线的另一侧为拟建的隆化县鸿源矿业有限责任公司佰布沟与兰家沟尾矿库联合扩容项目</w:t>
      </w:r>
      <w:r>
        <w:rPr>
          <w:rFonts w:hint="eastAsia"/>
          <w:color w:val="auto"/>
          <w:sz w:val="24"/>
          <w:szCs w:val="24"/>
          <w:highlight w:val="none"/>
          <w:lang w:val="en-US" w:eastAsia="zh-CN"/>
        </w:rPr>
        <w:t>，东侧紧邻澄沙沟后沟排土场，东侧523m处为大昌矿业现有选厂、908m处为东兴村，南侧755m处为大昌矿业龙王庙超贫磁铁矿采区。</w:t>
      </w:r>
      <w:r>
        <w:rPr>
          <w:rFonts w:hint="eastAsia" w:ascii="Times New Roman"/>
          <w:color w:val="auto"/>
          <w:sz w:val="24"/>
          <w:szCs w:val="24"/>
          <w:highlight w:val="none"/>
          <w:lang w:val="en-US" w:eastAsia="zh-CN"/>
        </w:rPr>
        <w:t>项目四邻关系详见附图</w:t>
      </w:r>
      <w:r>
        <w:rPr>
          <w:rFonts w:hint="eastAsia"/>
          <w:color w:val="auto"/>
          <w:sz w:val="24"/>
          <w:szCs w:val="24"/>
          <w:highlight w:val="none"/>
          <w:lang w:val="en-US" w:eastAsia="zh-CN"/>
        </w:rPr>
        <w:t>3</w:t>
      </w:r>
      <w:r>
        <w:rPr>
          <w:rFonts w:hint="eastAsia" w:ascii="Times New Roman"/>
          <w:color w:val="auto"/>
          <w:sz w:val="24"/>
          <w:szCs w:val="24"/>
          <w:highlight w:val="none"/>
          <w:lang w:val="en-US" w:eastAsia="zh-CN"/>
        </w:rPr>
        <w:t>。</w:t>
      </w:r>
    </w:p>
    <w:p w14:paraId="7AE9427A">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占地面积：</w:t>
      </w:r>
      <w:r>
        <w:rPr>
          <w:rFonts w:hint="eastAsia" w:cs="Times New Roman"/>
          <w:b w:val="0"/>
          <w:bCs w:val="0"/>
          <w:color w:val="auto"/>
          <w:sz w:val="24"/>
          <w:szCs w:val="24"/>
          <w:highlight w:val="none"/>
          <w:lang w:val="en-US" w:eastAsia="zh-CN"/>
        </w:rPr>
        <w:t>排土场总占地面积为39h</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ascii="Times New Roman" w:hAnsi="Times New Roman" w:eastAsia="宋体"/>
          <w:color w:val="auto"/>
          <w:sz w:val="24"/>
          <w:szCs w:val="24"/>
          <w:highlight w:val="none"/>
        </w:rPr>
        <w:t>，</w:t>
      </w:r>
      <w:r>
        <w:rPr>
          <w:rFonts w:hint="eastAsia" w:ascii="Times New Roman" w:hAnsi="Times New Roman"/>
          <w:color w:val="auto"/>
          <w:sz w:val="24"/>
          <w:szCs w:val="24"/>
          <w:highlight w:val="none"/>
          <w:lang w:val="en-US" w:eastAsia="zh-CN"/>
        </w:rPr>
        <w:t>挡石坝占地面积为8050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ascii="Times New Roman" w:hAnsi="Times New Roman"/>
          <w:color w:val="auto"/>
          <w:sz w:val="24"/>
          <w:szCs w:val="24"/>
          <w:highlight w:val="none"/>
          <w:lang w:val="en-US" w:eastAsia="zh-CN"/>
        </w:rPr>
        <w:t>，拦碴坝占地面积为540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ascii="Times New Roman" w:hAnsi="Times New Roman"/>
          <w:color w:val="auto"/>
          <w:sz w:val="24"/>
          <w:szCs w:val="24"/>
          <w:highlight w:val="none"/>
          <w:lang w:val="en-US" w:eastAsia="zh-CN"/>
        </w:rPr>
        <w:t>，挡石墙占地面积为136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ascii="Times New Roman" w:hAnsi="Times New Roman"/>
          <w:color w:val="auto"/>
          <w:sz w:val="24"/>
          <w:szCs w:val="24"/>
          <w:highlight w:val="none"/>
          <w:lang w:val="en-US" w:eastAsia="zh-CN"/>
        </w:rPr>
        <w:t>，运输道路占地面积为10600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cs="Times New Roman"/>
          <w:b w:val="0"/>
          <w:bCs w:val="0"/>
          <w:color w:val="auto"/>
          <w:sz w:val="24"/>
          <w:szCs w:val="24"/>
          <w:highlight w:val="none"/>
          <w:lang w:val="en-US" w:eastAsia="zh-CN"/>
        </w:rPr>
        <w:t>。</w:t>
      </w:r>
    </w:p>
    <w:p w14:paraId="7BBD1248">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bCs/>
          <w:color w:val="auto"/>
          <w:sz w:val="24"/>
          <w:szCs w:val="24"/>
          <w:highlight w:val="none"/>
          <w:lang w:eastAsia="zh-CN"/>
        </w:rPr>
        <w:t>建设规模及服务年限：</w:t>
      </w:r>
      <w:r>
        <w:rPr>
          <w:rFonts w:hint="eastAsia" w:ascii="Times New Roman" w:hAnsi="Times New Roman" w:eastAsia="宋体"/>
          <w:color w:val="auto"/>
          <w:sz w:val="24"/>
          <w:szCs w:val="24"/>
          <w:highlight w:val="none"/>
        </w:rPr>
        <w:t>排土场场底标高670.0m，最终标高808.0m，总堆置高度138.0m，总排土容积约652.8万m</w:t>
      </w:r>
      <w:r>
        <w:rPr>
          <w:rFonts w:hint="eastAsia" w:ascii="Times New Roman" w:hAnsi="Times New Roman" w:eastAsia="宋体"/>
          <w:color w:val="auto"/>
          <w:sz w:val="24"/>
          <w:szCs w:val="24"/>
          <w:highlight w:val="none"/>
          <w:vertAlign w:val="superscript"/>
          <w:lang w:val="en-US" w:eastAsia="zh-CN"/>
        </w:rPr>
        <w:t>3</w:t>
      </w:r>
      <w:r>
        <w:rPr>
          <w:rFonts w:hint="eastAsia" w:ascii="Times New Roman" w:hAnsi="Times New Roman" w:eastAsia="宋体"/>
          <w:color w:val="auto"/>
          <w:sz w:val="24"/>
          <w:szCs w:val="24"/>
          <w:highlight w:val="none"/>
          <w:lang w:eastAsia="zh-CN"/>
        </w:rPr>
        <w:t>，</w:t>
      </w:r>
      <w:r>
        <w:rPr>
          <w:rFonts w:hint="eastAsia"/>
          <w:color w:val="auto"/>
          <w:sz w:val="24"/>
          <w:szCs w:val="24"/>
          <w:highlight w:val="none"/>
          <w:lang w:val="en-US" w:eastAsia="zh-CN"/>
        </w:rPr>
        <w:t>服务年限为5a</w:t>
      </w:r>
      <w:r>
        <w:rPr>
          <w:rFonts w:hint="eastAsia"/>
          <w:color w:val="auto"/>
          <w:sz w:val="24"/>
          <w:szCs w:val="24"/>
          <w:highlight w:val="none"/>
          <w:lang w:val="en-US" w:eastAsia="zh-CN"/>
        </w:rPr>
        <w:t>，</w:t>
      </w:r>
      <w:r>
        <w:rPr>
          <w:rFonts w:hint="eastAsia" w:ascii="Times New Roman" w:hAnsi="Times New Roman" w:eastAsia="宋体"/>
          <w:color w:val="auto"/>
          <w:sz w:val="24"/>
          <w:szCs w:val="24"/>
          <w:highlight w:val="none"/>
        </w:rPr>
        <w:t>排土场等级为一级。建设</w:t>
      </w:r>
      <w:r>
        <w:rPr>
          <w:rFonts w:hint="eastAsia" w:ascii="Times New Roman" w:hAnsi="Times New Roman" w:eastAsia="宋体"/>
          <w:color w:val="auto"/>
          <w:sz w:val="24"/>
          <w:szCs w:val="24"/>
          <w:highlight w:val="none"/>
          <w:lang w:val="en-US" w:eastAsia="zh-CN"/>
        </w:rPr>
        <w:t>挡石坝、拦碴坝、</w:t>
      </w:r>
      <w:r>
        <w:rPr>
          <w:rFonts w:hint="eastAsia" w:ascii="Times New Roman" w:hAnsi="Times New Roman" w:eastAsia="宋体"/>
          <w:color w:val="auto"/>
          <w:sz w:val="24"/>
          <w:szCs w:val="24"/>
          <w:highlight w:val="none"/>
        </w:rPr>
        <w:t>观测设施、排洪设施、安全警示标志及其他辅助设施</w:t>
      </w:r>
      <w:r>
        <w:rPr>
          <w:rFonts w:hint="eastAsia" w:ascii="Times New Roman" w:hAnsi="Times New Roman" w:cs="Times New Roman"/>
          <w:b w:val="0"/>
          <w:bCs w:val="0"/>
          <w:color w:val="auto"/>
          <w:sz w:val="24"/>
          <w:szCs w:val="24"/>
          <w:highlight w:val="none"/>
          <w:lang w:val="en-US" w:eastAsia="zh-CN"/>
        </w:rPr>
        <w:t>。</w:t>
      </w:r>
    </w:p>
    <w:p w14:paraId="12EEF9CB">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default" w:cs="Times New Roman"/>
          <w:color w:val="auto"/>
          <w:sz w:val="24"/>
          <w:szCs w:val="24"/>
          <w:highlight w:val="none"/>
          <w:lang w:eastAsia="zh-CN"/>
        </w:rPr>
      </w:pPr>
      <w:r>
        <w:rPr>
          <w:rFonts w:hint="default" w:cs="Times New Roman"/>
          <w:b/>
          <w:bCs/>
          <w:color w:val="auto"/>
          <w:sz w:val="24"/>
          <w:szCs w:val="24"/>
          <w:highlight w:val="none"/>
          <w:lang w:eastAsia="zh-CN"/>
        </w:rPr>
        <w:t>职工人数：</w:t>
      </w:r>
      <w:r>
        <w:rPr>
          <w:rFonts w:hint="eastAsia" w:cs="Times New Roman"/>
          <w:b w:val="0"/>
          <w:bCs w:val="0"/>
          <w:color w:val="auto"/>
          <w:sz w:val="24"/>
          <w:szCs w:val="24"/>
          <w:highlight w:val="none"/>
          <w:lang w:val="en-US" w:eastAsia="zh-CN"/>
        </w:rPr>
        <w:t>员工由现有厂区调配，</w:t>
      </w:r>
      <w:r>
        <w:rPr>
          <w:rFonts w:hint="eastAsia" w:cs="Times New Roman"/>
          <w:color w:val="auto"/>
          <w:sz w:val="24"/>
          <w:szCs w:val="24"/>
          <w:highlight w:val="none"/>
          <w:lang w:val="en-US" w:eastAsia="zh-CN"/>
        </w:rPr>
        <w:t>本</w:t>
      </w:r>
      <w:r>
        <w:rPr>
          <w:rFonts w:hint="default" w:ascii="Times New Roman" w:hAnsi="Times New Roman" w:cs="Times New Roman"/>
          <w:color w:val="auto"/>
          <w:sz w:val="24"/>
          <w:szCs w:val="24"/>
          <w:highlight w:val="none"/>
        </w:rPr>
        <w:t>项目</w:t>
      </w:r>
      <w:r>
        <w:rPr>
          <w:rFonts w:hint="eastAsia" w:ascii="Times New Roman" w:hAnsi="Times New Roman" w:cs="Times New Roman"/>
          <w:color w:val="auto"/>
          <w:sz w:val="24"/>
          <w:szCs w:val="24"/>
          <w:highlight w:val="none"/>
          <w:lang w:val="en-US" w:eastAsia="zh-CN"/>
        </w:rPr>
        <w:t>不</w:t>
      </w:r>
      <w:r>
        <w:rPr>
          <w:rFonts w:hint="eastAsia" w:cs="Times New Roman"/>
          <w:color w:val="auto"/>
          <w:sz w:val="24"/>
          <w:szCs w:val="24"/>
          <w:highlight w:val="none"/>
          <w:lang w:eastAsia="zh-CN"/>
        </w:rPr>
        <w:t>新增</w:t>
      </w:r>
      <w:r>
        <w:rPr>
          <w:rFonts w:hint="default" w:ascii="Times New Roman" w:hAnsi="Times New Roman" w:cs="Times New Roman"/>
          <w:color w:val="auto"/>
          <w:sz w:val="24"/>
          <w:szCs w:val="24"/>
          <w:highlight w:val="none"/>
        </w:rPr>
        <w:t>劳动定员</w:t>
      </w:r>
      <w:r>
        <w:rPr>
          <w:rFonts w:hint="eastAsia" w:cs="Times New Roman"/>
          <w:color w:val="auto"/>
          <w:sz w:val="24"/>
          <w:szCs w:val="24"/>
          <w:highlight w:val="none"/>
          <w:lang w:eastAsia="zh-CN"/>
        </w:rPr>
        <w:t>。</w:t>
      </w:r>
    </w:p>
    <w:p w14:paraId="07689A85">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2" w:firstLineChars="200"/>
        <w:textAlignment w:val="center"/>
        <w:rPr>
          <w:rFonts w:hint="eastAsia" w:cs="Times New Roman"/>
          <w:color w:val="auto"/>
          <w:sz w:val="24"/>
          <w:szCs w:val="24"/>
          <w:highlight w:val="none"/>
          <w:lang w:eastAsia="zh-CN"/>
        </w:rPr>
      </w:pPr>
      <w:r>
        <w:rPr>
          <w:rFonts w:hint="default" w:cs="Times New Roman"/>
          <w:b/>
          <w:bCs/>
          <w:color w:val="auto"/>
          <w:sz w:val="24"/>
          <w:szCs w:val="24"/>
          <w:highlight w:val="none"/>
          <w:lang w:eastAsia="zh-CN"/>
        </w:rPr>
        <w:t>工作制度：</w:t>
      </w:r>
      <w:r>
        <w:rPr>
          <w:rFonts w:hint="default" w:cs="Times New Roman"/>
          <w:color w:val="auto"/>
          <w:sz w:val="24"/>
          <w:szCs w:val="24"/>
          <w:highlight w:val="none"/>
          <w:lang w:eastAsia="zh-CN"/>
        </w:rPr>
        <w:t>年工作330天，每天3班，每班8小时</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年运行7920h</w:t>
      </w:r>
      <w:r>
        <w:rPr>
          <w:rFonts w:hint="eastAsia" w:cs="Times New Roman"/>
          <w:color w:val="auto"/>
          <w:sz w:val="24"/>
          <w:szCs w:val="24"/>
          <w:highlight w:val="none"/>
          <w:lang w:eastAsia="zh-CN"/>
        </w:rPr>
        <w:t>。</w:t>
      </w:r>
    </w:p>
    <w:p w14:paraId="5CD5803F">
      <w:pPr>
        <w:keepNext w:val="0"/>
        <w:keepLines w:val="0"/>
        <w:pageBreakBefore w:val="0"/>
        <w:widowControl w:val="0"/>
        <w:kinsoku/>
        <w:wordWrap/>
        <w:overflowPunct/>
        <w:topLinePunct/>
        <w:autoSpaceDE/>
        <w:autoSpaceDN/>
        <w:bidi w:val="0"/>
        <w:adjustRightInd w:val="0"/>
        <w:snapToGrid/>
        <w:spacing w:line="360" w:lineRule="auto"/>
        <w:ind w:left="0" w:firstLine="482" w:firstLineChars="200"/>
        <w:textAlignment w:val="center"/>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工程实施计划：</w:t>
      </w:r>
      <w:r>
        <w:rPr>
          <w:rFonts w:hint="default" w:ascii="Times New Roman" w:hAnsi="Times New Roman" w:cs="Times New Roman"/>
          <w:b w:val="0"/>
          <w:bCs w:val="0"/>
          <w:color w:val="auto"/>
          <w:sz w:val="24"/>
          <w:szCs w:val="24"/>
          <w:highlight w:val="none"/>
        </w:rPr>
        <w:t>项目预计202</w:t>
      </w:r>
      <w:r>
        <w:rPr>
          <w:rFonts w:hint="eastAsia"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rPr>
        <w:t>年</w:t>
      </w:r>
      <w:r>
        <w:rPr>
          <w:rFonts w:hint="eastAsia" w:cs="Times New Roman"/>
          <w:b w:val="0"/>
          <w:bCs w:val="0"/>
          <w:color w:val="auto"/>
          <w:sz w:val="24"/>
          <w:szCs w:val="24"/>
          <w:highlight w:val="none"/>
          <w:lang w:val="en-US" w:eastAsia="zh-CN"/>
        </w:rPr>
        <w:t>7</w:t>
      </w:r>
      <w:r>
        <w:rPr>
          <w:rFonts w:hint="default" w:ascii="Times New Roman" w:hAnsi="Times New Roman" w:cs="Times New Roman"/>
          <w:b w:val="0"/>
          <w:bCs w:val="0"/>
          <w:color w:val="auto"/>
          <w:sz w:val="24"/>
          <w:szCs w:val="24"/>
          <w:highlight w:val="none"/>
        </w:rPr>
        <w:t>月开工建设，</w:t>
      </w:r>
      <w:r>
        <w:rPr>
          <w:rFonts w:hint="eastAsia" w:cs="Times New Roman"/>
          <w:b w:val="0"/>
          <w:bCs w:val="0"/>
          <w:color w:val="auto"/>
          <w:sz w:val="24"/>
          <w:szCs w:val="24"/>
          <w:highlight w:val="none"/>
          <w:lang w:val="en-US" w:eastAsia="zh-CN"/>
        </w:rPr>
        <w:t>于2026年5月运行</w:t>
      </w:r>
      <w:r>
        <w:rPr>
          <w:rFonts w:hint="eastAsia" w:cs="Times New Roman"/>
          <w:color w:val="auto"/>
          <w:sz w:val="24"/>
          <w:szCs w:val="24"/>
          <w:highlight w:val="none"/>
          <w:lang w:val="en-US" w:eastAsia="zh-CN"/>
        </w:rPr>
        <w:t>。</w:t>
      </w:r>
    </w:p>
    <w:p w14:paraId="60A1839B">
      <w:pPr>
        <w:pStyle w:val="6"/>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建设内容</w:t>
      </w:r>
    </w:p>
    <w:p w14:paraId="5461E7CC">
      <w:pPr>
        <w:pageBreakBefore w:val="0"/>
        <w:widowControl w:val="0"/>
        <w:kinsoku/>
        <w:wordWrap/>
        <w:overflowPunct/>
        <w:autoSpaceDE/>
        <w:autoSpaceDN/>
        <w:bidi w:val="0"/>
        <w:spacing w:line="360" w:lineRule="auto"/>
        <w:ind w:firstLine="480" w:firstLineChars="200"/>
        <w:rPr>
          <w:rFonts w:hint="eastAsia" w:cs="Times New Roman"/>
          <w:color w:val="000000"/>
          <w:kern w:val="0"/>
          <w:sz w:val="24"/>
          <w:highlight w:val="none"/>
          <w:lang w:eastAsia="zh-CN"/>
        </w:rPr>
      </w:pPr>
      <w:r>
        <w:rPr>
          <w:rFonts w:hint="default" w:ascii="Times New Roman" w:hAnsi="Times New Roman" w:cs="Times New Roman"/>
          <w:color w:val="000000"/>
          <w:kern w:val="0"/>
          <w:sz w:val="24"/>
          <w:highlight w:val="none"/>
        </w:rPr>
        <w:t>项目主要工程组成内容见下表</w:t>
      </w:r>
      <w:r>
        <w:rPr>
          <w:rFonts w:hint="eastAsia" w:cs="Times New Roman"/>
          <w:color w:val="000000"/>
          <w:kern w:val="0"/>
          <w:sz w:val="24"/>
          <w:highlight w:val="none"/>
          <w:lang w:eastAsia="zh-CN"/>
        </w:rPr>
        <w:t>。</w:t>
      </w:r>
    </w:p>
    <w:p w14:paraId="45BB94D2">
      <w:pPr>
        <w:numPr>
          <w:ilvl w:val="0"/>
          <w:numId w:val="20"/>
        </w:numPr>
        <w:adjustRightInd w:val="0"/>
        <w:snapToGrid w:val="0"/>
        <w:jc w:val="center"/>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主要建设内容一览表</w:t>
      </w:r>
    </w:p>
    <w:tbl>
      <w:tblPr>
        <w:tblStyle w:val="58"/>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18"/>
        <w:gridCol w:w="1214"/>
        <w:gridCol w:w="6593"/>
      </w:tblGrid>
      <w:tr w14:paraId="652FC3E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tcBorders>
              <w:tl2br w:val="nil"/>
              <w:tr2bl w:val="nil"/>
            </w:tcBorders>
            <w:noWrap w:val="0"/>
            <w:vAlign w:val="center"/>
          </w:tcPr>
          <w:p w14:paraId="484A7005">
            <w:pPr>
              <w:adjustRightInd w:val="0"/>
              <w:snapToGrid w:val="0"/>
              <w:spacing w:line="240" w:lineRule="auto"/>
              <w:jc w:val="center"/>
              <w:rPr>
                <w:rFonts w:ascii="Times New Roman"/>
                <w:b/>
                <w:color w:val="auto"/>
                <w:sz w:val="21"/>
                <w:szCs w:val="21"/>
                <w:highlight w:val="none"/>
              </w:rPr>
            </w:pPr>
            <w:r>
              <w:rPr>
                <w:rFonts w:ascii="Times New Roman"/>
                <w:b/>
                <w:color w:val="auto"/>
                <w:sz w:val="21"/>
                <w:szCs w:val="21"/>
                <w:highlight w:val="none"/>
              </w:rPr>
              <w:t>类别</w:t>
            </w:r>
          </w:p>
        </w:tc>
        <w:tc>
          <w:tcPr>
            <w:tcW w:w="712" w:type="pct"/>
            <w:tcBorders>
              <w:tl2br w:val="nil"/>
              <w:tr2bl w:val="nil"/>
            </w:tcBorders>
            <w:noWrap w:val="0"/>
            <w:vAlign w:val="center"/>
          </w:tcPr>
          <w:p w14:paraId="5CE76137">
            <w:pPr>
              <w:adjustRightInd w:val="0"/>
              <w:snapToGrid w:val="0"/>
              <w:spacing w:line="240" w:lineRule="auto"/>
              <w:jc w:val="center"/>
              <w:rPr>
                <w:rFonts w:ascii="Times New Roman"/>
                <w:b/>
                <w:color w:val="auto"/>
                <w:sz w:val="21"/>
                <w:szCs w:val="21"/>
                <w:highlight w:val="none"/>
              </w:rPr>
            </w:pPr>
            <w:r>
              <w:rPr>
                <w:rFonts w:ascii="Times New Roman"/>
                <w:b/>
                <w:color w:val="auto"/>
                <w:sz w:val="21"/>
                <w:szCs w:val="21"/>
                <w:highlight w:val="none"/>
              </w:rPr>
              <w:t>工程内容</w:t>
            </w:r>
          </w:p>
        </w:tc>
        <w:tc>
          <w:tcPr>
            <w:tcW w:w="3866" w:type="pct"/>
            <w:tcBorders>
              <w:tl2br w:val="nil"/>
              <w:tr2bl w:val="nil"/>
            </w:tcBorders>
            <w:noWrap w:val="0"/>
            <w:vAlign w:val="center"/>
          </w:tcPr>
          <w:p w14:paraId="07A957B5">
            <w:pPr>
              <w:adjustRightInd w:val="0"/>
              <w:snapToGrid w:val="0"/>
              <w:spacing w:line="240" w:lineRule="auto"/>
              <w:jc w:val="center"/>
              <w:rPr>
                <w:rFonts w:ascii="Times New Roman"/>
                <w:b/>
                <w:color w:val="auto"/>
                <w:sz w:val="21"/>
                <w:szCs w:val="21"/>
                <w:highlight w:val="none"/>
              </w:rPr>
            </w:pPr>
            <w:r>
              <w:rPr>
                <w:rFonts w:ascii="Times New Roman"/>
                <w:b/>
                <w:color w:val="auto"/>
                <w:sz w:val="21"/>
                <w:szCs w:val="21"/>
                <w:highlight w:val="none"/>
              </w:rPr>
              <w:t>主要建设内容</w:t>
            </w:r>
          </w:p>
        </w:tc>
      </w:tr>
      <w:tr w14:paraId="605F47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restart"/>
            <w:tcBorders>
              <w:tl2br w:val="nil"/>
              <w:tr2bl w:val="nil"/>
            </w:tcBorders>
            <w:noWrap w:val="0"/>
            <w:vAlign w:val="center"/>
          </w:tcPr>
          <w:p w14:paraId="09EC01B1">
            <w:pPr>
              <w:adjustRightInd w:val="0"/>
              <w:snapToGrid w:val="0"/>
              <w:spacing w:line="240" w:lineRule="auto"/>
              <w:jc w:val="center"/>
              <w:rPr>
                <w:rFonts w:ascii="Times New Roman"/>
                <w:b/>
                <w:color w:val="auto"/>
                <w:sz w:val="21"/>
                <w:szCs w:val="21"/>
                <w:highlight w:val="none"/>
              </w:rPr>
            </w:pPr>
            <w:r>
              <w:rPr>
                <w:rFonts w:ascii="Times New Roman"/>
                <w:b/>
                <w:color w:val="auto"/>
                <w:sz w:val="21"/>
                <w:szCs w:val="21"/>
                <w:highlight w:val="none"/>
              </w:rPr>
              <w:t>主体工程</w:t>
            </w:r>
          </w:p>
        </w:tc>
        <w:tc>
          <w:tcPr>
            <w:tcW w:w="712" w:type="pct"/>
            <w:tcBorders>
              <w:tl2br w:val="nil"/>
              <w:tr2bl w:val="nil"/>
            </w:tcBorders>
            <w:noWrap w:val="0"/>
            <w:vAlign w:val="center"/>
          </w:tcPr>
          <w:p w14:paraId="5ECD2DC2">
            <w:pPr>
              <w:adjustRightInd w:val="0"/>
              <w:snapToGrid w:val="0"/>
              <w:spacing w:line="240" w:lineRule="auto"/>
              <w:jc w:val="center"/>
              <w:rPr>
                <w:rFonts w:ascii="Times New Roman"/>
                <w:b/>
                <w:color w:val="auto"/>
                <w:sz w:val="21"/>
                <w:szCs w:val="21"/>
                <w:highlight w:val="none"/>
              </w:rPr>
            </w:pPr>
            <w:r>
              <w:rPr>
                <w:rFonts w:ascii="Times New Roman"/>
                <w:color w:val="auto"/>
                <w:kern w:val="44"/>
                <w:sz w:val="21"/>
                <w:szCs w:val="21"/>
                <w:highlight w:val="none"/>
              </w:rPr>
              <w:t>排土场</w:t>
            </w:r>
          </w:p>
        </w:tc>
        <w:tc>
          <w:tcPr>
            <w:tcW w:w="3866" w:type="pct"/>
            <w:tcBorders>
              <w:tl2br w:val="nil"/>
              <w:tr2bl w:val="nil"/>
            </w:tcBorders>
            <w:noWrap w:val="0"/>
            <w:vAlign w:val="center"/>
          </w:tcPr>
          <w:p w14:paraId="73EA7F41">
            <w:pPr>
              <w:adjustRightInd w:val="0"/>
              <w:snapToGrid w:val="0"/>
              <w:spacing w:line="240" w:lineRule="auto"/>
              <w:jc w:val="center"/>
              <w:rPr>
                <w:rFonts w:hint="eastAsia" w:ascii="Times New Roman"/>
                <w:bCs/>
                <w:color w:val="auto"/>
                <w:sz w:val="21"/>
                <w:szCs w:val="21"/>
                <w:highlight w:val="none"/>
              </w:rPr>
            </w:pPr>
            <w:r>
              <w:rPr>
                <w:rFonts w:hint="eastAsia" w:ascii="Times New Roman" w:hAnsi="Times New Roman" w:cs="Times New Roman"/>
                <w:color w:val="auto"/>
                <w:sz w:val="21"/>
                <w:szCs w:val="21"/>
                <w:highlight w:val="none"/>
                <w:lang w:val="en-US" w:eastAsia="zh-CN"/>
              </w:rPr>
              <w:t>排土场场底标高670.0m，最终标高808.0m，总堆置高度138.0m，总排土容积约652.8万m</w:t>
            </w:r>
            <w:r>
              <w:rPr>
                <w:rFonts w:hint="eastAsia" w:ascii="Times New Roman" w:hAnsi="Times New Roman"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w:t>
            </w:r>
          </w:p>
        </w:tc>
      </w:tr>
      <w:tr w14:paraId="5189BC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3C8A6657">
            <w:pPr>
              <w:adjustRightInd w:val="0"/>
              <w:snapToGrid w:val="0"/>
              <w:spacing w:line="240" w:lineRule="auto"/>
              <w:jc w:val="center"/>
              <w:rPr>
                <w:rFonts w:ascii="Times New Roman"/>
                <w:color w:val="auto"/>
                <w:sz w:val="21"/>
                <w:szCs w:val="21"/>
                <w:highlight w:val="none"/>
              </w:rPr>
            </w:pPr>
          </w:p>
        </w:tc>
        <w:tc>
          <w:tcPr>
            <w:tcW w:w="712" w:type="pct"/>
            <w:tcBorders>
              <w:tl2br w:val="nil"/>
              <w:tr2bl w:val="nil"/>
            </w:tcBorders>
            <w:noWrap w:val="0"/>
            <w:vAlign w:val="center"/>
          </w:tcPr>
          <w:p w14:paraId="73B07834">
            <w:pPr>
              <w:adjustRightInd w:val="0"/>
              <w:snapToGrid w:val="0"/>
              <w:spacing w:line="240" w:lineRule="auto"/>
              <w:jc w:val="center"/>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挡石坝</w:t>
            </w:r>
          </w:p>
        </w:tc>
        <w:tc>
          <w:tcPr>
            <w:tcW w:w="3866" w:type="pct"/>
            <w:tcBorders>
              <w:tl2br w:val="nil"/>
              <w:tr2bl w:val="nil"/>
            </w:tcBorders>
            <w:noWrap w:val="0"/>
            <w:vAlign w:val="center"/>
          </w:tcPr>
          <w:p w14:paraId="49C42043">
            <w:pPr>
              <w:pStyle w:val="333"/>
              <w:bidi w:val="0"/>
              <w:jc w:val="center"/>
              <w:rPr>
                <w:rFonts w:hint="eastAsia"/>
                <w:color w:val="auto"/>
                <w:sz w:val="21"/>
                <w:szCs w:val="21"/>
                <w:highlight w:val="none"/>
                <w:lang w:eastAsia="zh-CN"/>
              </w:rPr>
            </w:pPr>
            <w:r>
              <w:rPr>
                <w:rFonts w:hint="eastAsia" w:ascii="Times New Roman"/>
                <w:color w:val="auto"/>
                <w:sz w:val="21"/>
                <w:szCs w:val="21"/>
                <w:highlight w:val="none"/>
              </w:rPr>
              <w:t>新建</w:t>
            </w:r>
            <w:r>
              <w:rPr>
                <w:rFonts w:hint="eastAsia"/>
                <w:color w:val="auto"/>
                <w:sz w:val="21"/>
                <w:szCs w:val="21"/>
                <w:highlight w:val="none"/>
                <w:lang w:val="en-US" w:eastAsia="zh-CN"/>
              </w:rPr>
              <w:t>1</w:t>
            </w:r>
            <w:r>
              <w:rPr>
                <w:rFonts w:hint="eastAsia" w:ascii="Times New Roman"/>
                <w:color w:val="auto"/>
                <w:sz w:val="21"/>
                <w:szCs w:val="21"/>
                <w:highlight w:val="none"/>
              </w:rPr>
              <w:t>座挡石坝，均采用透水堆石结构</w:t>
            </w:r>
            <w:r>
              <w:rPr>
                <w:rFonts w:hint="eastAsia"/>
                <w:color w:val="auto"/>
                <w:sz w:val="21"/>
                <w:szCs w:val="21"/>
                <w:highlight w:val="none"/>
                <w:lang w:eastAsia="zh-CN"/>
              </w:rPr>
              <w:t>。</w:t>
            </w:r>
          </w:p>
          <w:p w14:paraId="525E31E0">
            <w:pPr>
              <w:pStyle w:val="333"/>
              <w:bidi w:val="0"/>
              <w:jc w:val="center"/>
              <w:rPr>
                <w:rFonts w:hint="eastAsia" w:ascii="Times New Roman" w:eastAsia="宋体"/>
                <w:color w:val="auto"/>
                <w:sz w:val="21"/>
                <w:szCs w:val="21"/>
                <w:highlight w:val="none"/>
                <w:lang w:eastAsia="zh-CN"/>
              </w:rPr>
            </w:pPr>
            <w:r>
              <w:rPr>
                <w:rFonts w:hint="eastAsia"/>
                <w:color w:val="auto"/>
                <w:sz w:val="21"/>
                <w:szCs w:val="21"/>
                <w:highlight w:val="none"/>
                <w:lang w:val="en-US" w:eastAsia="zh-CN"/>
              </w:rPr>
              <w:t>挡石坝坝底标高670.0m，坝顶标高690.0m，坝高20.0m，顶宽5.0m，内边坡比均为1：1.6，外边坡比均为1：1.8，基础开挖深度约3~14m。</w:t>
            </w:r>
          </w:p>
        </w:tc>
      </w:tr>
      <w:tr w14:paraId="1F3BE3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52DA3A39">
            <w:pPr>
              <w:adjustRightInd w:val="0"/>
              <w:snapToGrid w:val="0"/>
              <w:spacing w:line="240" w:lineRule="auto"/>
              <w:jc w:val="center"/>
              <w:rPr>
                <w:rFonts w:ascii="Times New Roman"/>
                <w:color w:val="auto"/>
                <w:sz w:val="21"/>
                <w:szCs w:val="21"/>
                <w:highlight w:val="none"/>
              </w:rPr>
            </w:pPr>
          </w:p>
        </w:tc>
        <w:tc>
          <w:tcPr>
            <w:tcW w:w="712" w:type="pct"/>
            <w:tcBorders>
              <w:tl2br w:val="nil"/>
              <w:tr2bl w:val="nil"/>
            </w:tcBorders>
            <w:noWrap w:val="0"/>
            <w:vAlign w:val="center"/>
          </w:tcPr>
          <w:p w14:paraId="1E41F0F6">
            <w:pPr>
              <w:adjustRightInd w:val="0"/>
              <w:snapToGrid w:val="0"/>
              <w:spacing w:line="240" w:lineRule="auto"/>
              <w:jc w:val="center"/>
              <w:rPr>
                <w:rFonts w:hint="default" w:ascii="Times New Roman"/>
                <w:color w:val="auto"/>
                <w:sz w:val="21"/>
                <w:szCs w:val="21"/>
                <w:highlight w:val="none"/>
                <w:lang w:val="en-US" w:eastAsia="zh-CN"/>
              </w:rPr>
            </w:pPr>
            <w:r>
              <w:rPr>
                <w:rFonts w:hint="eastAsia"/>
                <w:color w:val="auto"/>
                <w:sz w:val="21"/>
                <w:szCs w:val="21"/>
                <w:highlight w:val="none"/>
                <w:lang w:val="en-US" w:eastAsia="zh-CN"/>
              </w:rPr>
              <w:t>拦碴坝</w:t>
            </w:r>
          </w:p>
        </w:tc>
        <w:tc>
          <w:tcPr>
            <w:tcW w:w="3866" w:type="pct"/>
            <w:tcBorders>
              <w:tl2br w:val="nil"/>
              <w:tr2bl w:val="nil"/>
            </w:tcBorders>
            <w:noWrap w:val="0"/>
            <w:vAlign w:val="center"/>
          </w:tcPr>
          <w:p w14:paraId="5E97915E">
            <w:pPr>
              <w:adjustRightInd w:val="0"/>
              <w:snapToGrid w:val="0"/>
              <w:spacing w:line="240" w:lineRule="auto"/>
              <w:jc w:val="center"/>
              <w:rPr>
                <w:rFonts w:hint="eastAsia"/>
                <w:sz w:val="21"/>
                <w:szCs w:val="21"/>
                <w:highlight w:val="none"/>
                <w:lang w:val="en-US" w:eastAsia="zh-CN"/>
              </w:rPr>
            </w:pPr>
            <w:r>
              <w:rPr>
                <w:rFonts w:hint="eastAsia"/>
                <w:sz w:val="21"/>
                <w:szCs w:val="21"/>
                <w:highlight w:val="none"/>
                <w:lang w:val="en-US" w:eastAsia="zh-CN"/>
              </w:rPr>
              <w:t>新建1座拦碴坝，采用浆砌石结构，主体采用M7.5浆砌石。坝底标高664.0m，坝顶标高668.0m，最大坝高4.0m，坝顶宽2.0m，外边坡坡比1：0.8，内边坡坡比1：0.2，坝长约110.0m，拦碴坝底部埋设700mm预制管。</w:t>
            </w:r>
          </w:p>
        </w:tc>
      </w:tr>
      <w:tr w14:paraId="088A80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4E5AA7BB">
            <w:pPr>
              <w:adjustRightInd w:val="0"/>
              <w:snapToGrid w:val="0"/>
              <w:spacing w:line="240" w:lineRule="auto"/>
              <w:jc w:val="center"/>
              <w:rPr>
                <w:rFonts w:ascii="Times New Roman"/>
                <w:color w:val="auto"/>
                <w:sz w:val="21"/>
                <w:szCs w:val="21"/>
                <w:highlight w:val="none"/>
              </w:rPr>
            </w:pPr>
          </w:p>
        </w:tc>
        <w:tc>
          <w:tcPr>
            <w:tcW w:w="712" w:type="pct"/>
            <w:tcBorders>
              <w:tl2br w:val="nil"/>
              <w:tr2bl w:val="nil"/>
            </w:tcBorders>
            <w:noWrap w:val="0"/>
            <w:vAlign w:val="center"/>
          </w:tcPr>
          <w:p w14:paraId="15533C35">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挡石墙</w:t>
            </w:r>
          </w:p>
        </w:tc>
        <w:tc>
          <w:tcPr>
            <w:tcW w:w="3866" w:type="pct"/>
            <w:tcBorders>
              <w:tl2br w:val="nil"/>
              <w:tr2bl w:val="nil"/>
            </w:tcBorders>
            <w:noWrap w:val="0"/>
            <w:vAlign w:val="center"/>
          </w:tcPr>
          <w:p w14:paraId="03CF682F">
            <w:pPr>
              <w:adjustRightInd w:val="0"/>
              <w:snapToGrid w:val="0"/>
              <w:spacing w:line="240" w:lineRule="auto"/>
              <w:jc w:val="center"/>
              <w:rPr>
                <w:rFonts w:hint="eastAsia"/>
                <w:sz w:val="21"/>
                <w:szCs w:val="21"/>
                <w:highlight w:val="none"/>
                <w:lang w:val="en-US" w:eastAsia="zh-CN"/>
              </w:rPr>
            </w:pPr>
            <w:r>
              <w:rPr>
                <w:rFonts w:hint="eastAsia"/>
                <w:sz w:val="21"/>
                <w:szCs w:val="21"/>
                <w:highlight w:val="none"/>
                <w:lang w:val="en-US" w:eastAsia="zh-CN"/>
              </w:rPr>
              <w:t>新建1座挡石墙，采用浆砌石结构，主体采用M10浆砌石。坝底标高804.0m，坝顶标高810.0m，最大坝高6.0m，坝顶宽2.0m，外边坡坡比1：0.8，内边坡坡比1：0.2，坝长约20.0m。</w:t>
            </w:r>
          </w:p>
        </w:tc>
      </w:tr>
      <w:tr w14:paraId="08D888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340" w:hRule="atLeast"/>
          <w:jc w:val="center"/>
        </w:trPr>
        <w:tc>
          <w:tcPr>
            <w:tcW w:w="421" w:type="pct"/>
            <w:vMerge w:val="continue"/>
            <w:tcBorders>
              <w:tl2br w:val="nil"/>
              <w:tr2bl w:val="nil"/>
            </w:tcBorders>
            <w:noWrap w:val="0"/>
            <w:vAlign w:val="center"/>
          </w:tcPr>
          <w:p w14:paraId="676AA7F4">
            <w:pPr>
              <w:adjustRightInd w:val="0"/>
              <w:snapToGrid w:val="0"/>
              <w:spacing w:line="240" w:lineRule="auto"/>
              <w:jc w:val="center"/>
              <w:rPr>
                <w:rFonts w:ascii="Times New Roman"/>
                <w:color w:val="auto"/>
                <w:sz w:val="21"/>
                <w:szCs w:val="21"/>
                <w:highlight w:val="none"/>
              </w:rPr>
            </w:pPr>
          </w:p>
        </w:tc>
        <w:tc>
          <w:tcPr>
            <w:tcW w:w="712" w:type="pct"/>
            <w:tcBorders>
              <w:tl2br w:val="nil"/>
              <w:tr2bl w:val="nil"/>
            </w:tcBorders>
            <w:shd w:val="clear" w:color="auto" w:fill="auto"/>
            <w:noWrap w:val="0"/>
            <w:vAlign w:val="center"/>
          </w:tcPr>
          <w:p w14:paraId="05ED4E43">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排渗设施</w:t>
            </w:r>
          </w:p>
        </w:tc>
        <w:tc>
          <w:tcPr>
            <w:tcW w:w="3866" w:type="pct"/>
            <w:tcBorders>
              <w:tl2br w:val="nil"/>
              <w:tr2bl w:val="nil"/>
            </w:tcBorders>
            <w:shd w:val="clear" w:color="auto" w:fill="auto"/>
            <w:noWrap w:val="0"/>
            <w:vAlign w:val="center"/>
          </w:tcPr>
          <w:p w14:paraId="70E3445D">
            <w:pPr>
              <w:adjustRightInd w:val="0"/>
              <w:snapToGrid w:val="0"/>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在排渗层下部沿沟底走向布置排渗盲沟，排渗盲沟长度约18.0m，盲沟采用倒梯形断面，底宽6m，高度0.5m，两侧坡比1：1，盲沟可采用筛选的D=20~100mm采区剥离级配废石料填充，外包一层500g/m</w:t>
            </w:r>
            <w:r>
              <w:rPr>
                <w:rFonts w:hint="eastAsia"/>
                <w:sz w:val="21"/>
                <w:szCs w:val="21"/>
                <w:highlight w:val="none"/>
                <w:vertAlign w:val="superscript"/>
                <w:lang w:val="en-US" w:eastAsia="zh-CN"/>
              </w:rPr>
              <w:t>2</w:t>
            </w:r>
            <w:r>
              <w:rPr>
                <w:rFonts w:hint="eastAsia"/>
                <w:sz w:val="21"/>
                <w:szCs w:val="21"/>
                <w:highlight w:val="none"/>
                <w:lang w:val="en-US" w:eastAsia="zh-CN"/>
              </w:rPr>
              <w:t>土工布作为反滤层，盲沟内埋设2道</w:t>
            </w:r>
            <w:r>
              <w:rPr>
                <w:rFonts w:hint="default" w:ascii="Times New Roman" w:hAnsi="Times New Roman" w:cs="Times New Roman"/>
                <w:sz w:val="21"/>
                <w:szCs w:val="21"/>
                <w:highlight w:val="none"/>
                <w:lang w:val="en-US" w:eastAsia="zh-CN"/>
              </w:rPr>
              <w:t>φ</w:t>
            </w:r>
            <w:r>
              <w:rPr>
                <w:rFonts w:hint="eastAsia"/>
                <w:sz w:val="21"/>
                <w:szCs w:val="21"/>
                <w:highlight w:val="none"/>
                <w:lang w:val="en-US" w:eastAsia="zh-CN"/>
              </w:rPr>
              <w:t>300的透水盲管。在排土场地表排弃5~10m的大块废石，形成排渗层。在续接预制管两侧铺设筛选的D=20~100mm采区剥离级配废石料进行排渗。淋滤废水经排渗盲沟排至收集池，容积为50m</w:t>
            </w:r>
            <w:r>
              <w:rPr>
                <w:rFonts w:hint="eastAsia"/>
                <w:sz w:val="21"/>
                <w:szCs w:val="21"/>
                <w:highlight w:val="none"/>
                <w:vertAlign w:val="superscript"/>
                <w:lang w:val="en-US" w:eastAsia="zh-CN"/>
              </w:rPr>
              <w:t>3</w:t>
            </w:r>
            <w:r>
              <w:rPr>
                <w:rFonts w:hint="eastAsia"/>
                <w:sz w:val="21"/>
                <w:szCs w:val="21"/>
                <w:highlight w:val="none"/>
                <w:lang w:val="en-US" w:eastAsia="zh-CN"/>
              </w:rPr>
              <w:t>，淋滤废水经洒水车回用降尘，剩余部分废水泵回选厂回用生产，不外排。</w:t>
            </w:r>
          </w:p>
        </w:tc>
      </w:tr>
      <w:tr w14:paraId="655C2E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4BCB5534">
            <w:pPr>
              <w:adjustRightInd w:val="0"/>
              <w:snapToGrid w:val="0"/>
              <w:spacing w:line="240" w:lineRule="auto"/>
              <w:jc w:val="center"/>
              <w:rPr>
                <w:rFonts w:ascii="Times New Roman"/>
                <w:b/>
                <w:color w:val="auto"/>
                <w:sz w:val="21"/>
                <w:szCs w:val="21"/>
                <w:highlight w:val="none"/>
              </w:rPr>
            </w:pPr>
          </w:p>
        </w:tc>
        <w:tc>
          <w:tcPr>
            <w:tcW w:w="712" w:type="pct"/>
            <w:tcBorders>
              <w:tl2br w:val="nil"/>
              <w:tr2bl w:val="nil"/>
            </w:tcBorders>
            <w:noWrap w:val="0"/>
            <w:vAlign w:val="center"/>
          </w:tcPr>
          <w:p w14:paraId="77EAD3B9">
            <w:pPr>
              <w:adjustRightInd w:val="0"/>
              <w:snapToGrid w:val="0"/>
              <w:spacing w:line="240" w:lineRule="auto"/>
              <w:jc w:val="center"/>
              <w:rPr>
                <w:rFonts w:ascii="Times New Roman"/>
                <w:color w:val="auto"/>
                <w:kern w:val="44"/>
                <w:sz w:val="21"/>
                <w:szCs w:val="21"/>
                <w:highlight w:val="none"/>
              </w:rPr>
            </w:pPr>
            <w:r>
              <w:rPr>
                <w:rFonts w:ascii="Times New Roman"/>
                <w:color w:val="auto"/>
                <w:kern w:val="44"/>
                <w:sz w:val="21"/>
                <w:szCs w:val="21"/>
                <w:highlight w:val="none"/>
              </w:rPr>
              <w:t>排洪设施</w:t>
            </w:r>
          </w:p>
        </w:tc>
        <w:tc>
          <w:tcPr>
            <w:tcW w:w="3866" w:type="pct"/>
            <w:tcBorders>
              <w:tl2br w:val="nil"/>
              <w:tr2bl w:val="nil"/>
            </w:tcBorders>
            <w:noWrap w:val="0"/>
            <w:vAlign w:val="center"/>
          </w:tcPr>
          <w:p w14:paraId="715C0A7B">
            <w:pPr>
              <w:adjustRightInd w:val="0"/>
              <w:snapToGrid w:val="0"/>
              <w:spacing w:line="240" w:lineRule="auto"/>
              <w:jc w:val="center"/>
              <w:rPr>
                <w:rFonts w:hint="eastAsia" w:ascii="Times New Roman" w:eastAsia="宋体"/>
                <w:color w:val="auto"/>
                <w:kern w:val="44"/>
                <w:sz w:val="21"/>
                <w:szCs w:val="21"/>
                <w:highlight w:val="none"/>
                <w:lang w:eastAsia="zh-CN"/>
              </w:rPr>
            </w:pPr>
            <w:r>
              <w:rPr>
                <w:rFonts w:hint="eastAsia" w:ascii="Times New Roman"/>
                <w:color w:val="auto"/>
                <w:kern w:val="44"/>
                <w:sz w:val="21"/>
                <w:szCs w:val="21"/>
                <w:highlight w:val="none"/>
              </w:rPr>
              <w:t>现状尾矿库排洪系统采用排水斜槽~消力池型式。在排土场使用前，新建排洪沟-截水沟排洪，建成后对尾矿库排洪系统进行全线封堵。排土场使用时，在排土标高未超过尾矿库坝顶标高788.0m前，东北沟尾矿库采用排洪沟-截水沟排洪，排土场采用坡面排水沟、截水沟排洪；当排土标高达到788.0m、尾矿库被覆盖后，排土场整体采用排水沟、截水沟排洪。在挡石坝下游建设1个消力池</w:t>
            </w:r>
            <w:r>
              <w:rPr>
                <w:rFonts w:hint="eastAsia"/>
                <w:color w:val="auto"/>
                <w:kern w:val="44"/>
                <w:sz w:val="21"/>
                <w:szCs w:val="21"/>
                <w:highlight w:val="none"/>
                <w:lang w:eastAsia="zh-CN"/>
              </w:rPr>
              <w:t>，</w:t>
            </w:r>
            <w:r>
              <w:rPr>
                <w:rFonts w:hint="eastAsia" w:ascii="Times New Roman"/>
                <w:color w:val="auto"/>
                <w:kern w:val="44"/>
                <w:sz w:val="21"/>
                <w:szCs w:val="21"/>
                <w:highlight w:val="none"/>
              </w:rPr>
              <w:t>消力池大小为8.0m（长）×5.0m（宽）×3.0m（高）</w:t>
            </w:r>
            <w:r>
              <w:rPr>
                <w:rFonts w:hint="eastAsia"/>
                <w:color w:val="auto"/>
                <w:kern w:val="44"/>
                <w:sz w:val="21"/>
                <w:szCs w:val="21"/>
                <w:highlight w:val="none"/>
                <w:lang w:eastAsia="zh-CN"/>
              </w:rPr>
              <w:t>，</w:t>
            </w:r>
            <w:r>
              <w:rPr>
                <w:rFonts w:hint="eastAsia"/>
                <w:color w:val="auto"/>
                <w:kern w:val="44"/>
                <w:sz w:val="21"/>
                <w:szCs w:val="21"/>
                <w:highlight w:val="none"/>
                <w:lang w:val="en-US" w:eastAsia="zh-CN"/>
              </w:rPr>
              <w:t>容积为120m</w:t>
            </w:r>
            <w:r>
              <w:rPr>
                <w:rFonts w:hint="eastAsia"/>
                <w:color w:val="auto"/>
                <w:kern w:val="44"/>
                <w:sz w:val="21"/>
                <w:szCs w:val="21"/>
                <w:highlight w:val="none"/>
                <w:vertAlign w:val="superscript"/>
                <w:lang w:val="en-US" w:eastAsia="zh-CN"/>
              </w:rPr>
              <w:t>3</w:t>
            </w:r>
            <w:r>
              <w:rPr>
                <w:rFonts w:hint="eastAsia"/>
                <w:color w:val="auto"/>
                <w:kern w:val="44"/>
                <w:sz w:val="21"/>
                <w:szCs w:val="21"/>
                <w:highlight w:val="none"/>
                <w:lang w:eastAsia="zh-CN"/>
              </w:rPr>
              <w:t>，</w:t>
            </w:r>
            <w:r>
              <w:rPr>
                <w:rFonts w:hint="eastAsia"/>
                <w:color w:val="auto"/>
                <w:kern w:val="44"/>
                <w:sz w:val="21"/>
                <w:szCs w:val="21"/>
                <w:highlight w:val="none"/>
                <w:lang w:val="en-US" w:eastAsia="zh-CN"/>
              </w:rPr>
              <w:t>消力池位于东北沟尾矿库初期坝下游</w:t>
            </w:r>
            <w:r>
              <w:rPr>
                <w:rFonts w:hint="eastAsia"/>
                <w:color w:val="auto"/>
                <w:kern w:val="44"/>
                <w:sz w:val="21"/>
                <w:szCs w:val="21"/>
                <w:highlight w:val="none"/>
                <w:lang w:eastAsia="zh-CN"/>
              </w:rPr>
              <w:t>。</w:t>
            </w:r>
          </w:p>
        </w:tc>
      </w:tr>
      <w:tr w14:paraId="7A3092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2C202A43">
            <w:pPr>
              <w:adjustRightInd w:val="0"/>
              <w:snapToGrid w:val="0"/>
              <w:spacing w:line="240" w:lineRule="auto"/>
              <w:jc w:val="center"/>
              <w:rPr>
                <w:rFonts w:ascii="Times New Roman"/>
                <w:b/>
                <w:color w:val="auto"/>
                <w:sz w:val="21"/>
                <w:szCs w:val="21"/>
                <w:highlight w:val="none"/>
              </w:rPr>
            </w:pPr>
          </w:p>
        </w:tc>
        <w:tc>
          <w:tcPr>
            <w:tcW w:w="712" w:type="pct"/>
            <w:tcBorders>
              <w:tl2br w:val="nil"/>
              <w:tr2bl w:val="nil"/>
            </w:tcBorders>
            <w:noWrap w:val="0"/>
            <w:vAlign w:val="center"/>
          </w:tcPr>
          <w:p w14:paraId="7731D51F">
            <w:pPr>
              <w:adjustRightInd w:val="0"/>
              <w:snapToGrid w:val="0"/>
              <w:spacing w:line="240" w:lineRule="auto"/>
              <w:jc w:val="center"/>
              <w:rPr>
                <w:rFonts w:hint="eastAsia" w:ascii="Times New Roman" w:eastAsia="宋体"/>
                <w:color w:val="auto"/>
                <w:sz w:val="21"/>
                <w:szCs w:val="21"/>
                <w:highlight w:val="none"/>
                <w:lang w:eastAsia="zh-CN"/>
              </w:rPr>
            </w:pPr>
            <w:r>
              <w:rPr>
                <w:rFonts w:hint="eastAsia"/>
                <w:color w:val="auto"/>
                <w:sz w:val="21"/>
                <w:szCs w:val="21"/>
                <w:highlight w:val="none"/>
                <w:lang w:eastAsia="zh-CN"/>
              </w:rPr>
              <w:t>监测设施</w:t>
            </w:r>
          </w:p>
        </w:tc>
        <w:tc>
          <w:tcPr>
            <w:tcW w:w="3866" w:type="pct"/>
            <w:tcBorders>
              <w:tl2br w:val="nil"/>
              <w:tr2bl w:val="nil"/>
            </w:tcBorders>
            <w:noWrap w:val="0"/>
            <w:vAlign w:val="center"/>
          </w:tcPr>
          <w:p w14:paraId="5F25C1C1">
            <w:pPr>
              <w:adjustRightInd w:val="0"/>
              <w:snapToGrid w:val="0"/>
              <w:spacing w:line="240" w:lineRule="auto"/>
              <w:jc w:val="center"/>
              <w:rPr>
                <w:rFonts w:ascii="Times New Roman"/>
                <w:color w:val="auto"/>
                <w:sz w:val="21"/>
                <w:szCs w:val="21"/>
                <w:highlight w:val="none"/>
              </w:rPr>
            </w:pPr>
            <w:r>
              <w:rPr>
                <w:rFonts w:hint="eastAsia" w:ascii="Times New Roman"/>
                <w:color w:val="auto"/>
                <w:sz w:val="21"/>
                <w:szCs w:val="21"/>
                <w:highlight w:val="none"/>
              </w:rPr>
              <w:t>排土场</w:t>
            </w:r>
            <w:r>
              <w:rPr>
                <w:rFonts w:hint="eastAsia"/>
                <w:color w:val="auto"/>
                <w:sz w:val="21"/>
                <w:szCs w:val="21"/>
                <w:highlight w:val="none"/>
                <w:lang w:val="en-US" w:eastAsia="zh-CN"/>
              </w:rPr>
              <w:t>设置</w:t>
            </w:r>
            <w:r>
              <w:rPr>
                <w:rFonts w:hint="eastAsia" w:ascii="Times New Roman"/>
                <w:color w:val="auto"/>
                <w:sz w:val="21"/>
                <w:szCs w:val="21"/>
                <w:highlight w:val="none"/>
              </w:rPr>
              <w:t>表面位移监测、降雨量监测和视频监控。在排土场设置16个位移监测点位、3个位移监测基准点，每个点位设置1个在线位移监测点和1个人工位移监测点</w:t>
            </w:r>
            <w:r>
              <w:rPr>
                <w:rFonts w:hint="eastAsia"/>
                <w:color w:val="auto"/>
                <w:sz w:val="21"/>
                <w:szCs w:val="21"/>
                <w:highlight w:val="none"/>
                <w:lang w:eastAsia="zh-CN"/>
              </w:rPr>
              <w:t>；布设1降雨量监测点；设置10个视频监控</w:t>
            </w:r>
            <w:r>
              <w:rPr>
                <w:rFonts w:hint="eastAsia" w:ascii="Times New Roman"/>
                <w:color w:val="auto"/>
                <w:sz w:val="21"/>
                <w:szCs w:val="21"/>
                <w:highlight w:val="none"/>
              </w:rPr>
              <w:t>。</w:t>
            </w:r>
          </w:p>
        </w:tc>
      </w:tr>
      <w:tr w14:paraId="55CCED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restart"/>
            <w:tcBorders>
              <w:tl2br w:val="nil"/>
              <w:tr2bl w:val="nil"/>
            </w:tcBorders>
            <w:noWrap w:val="0"/>
            <w:vAlign w:val="center"/>
          </w:tcPr>
          <w:p w14:paraId="238656C2">
            <w:pPr>
              <w:adjustRightInd w:val="0"/>
              <w:snapToGrid w:val="0"/>
              <w:spacing w:line="240" w:lineRule="auto"/>
              <w:jc w:val="center"/>
              <w:rPr>
                <w:rFonts w:hint="default" w:ascii="Times New Roman" w:eastAsia="宋体"/>
                <w:b/>
                <w:color w:val="auto"/>
                <w:sz w:val="21"/>
                <w:szCs w:val="21"/>
                <w:highlight w:val="none"/>
                <w:lang w:val="en-US" w:eastAsia="zh-CN"/>
              </w:rPr>
            </w:pPr>
            <w:r>
              <w:rPr>
                <w:rFonts w:hint="eastAsia"/>
                <w:b/>
                <w:color w:val="auto"/>
                <w:sz w:val="21"/>
                <w:szCs w:val="21"/>
                <w:highlight w:val="none"/>
                <w:lang w:val="en-US" w:eastAsia="zh-CN"/>
              </w:rPr>
              <w:t>储运工程</w:t>
            </w:r>
          </w:p>
        </w:tc>
        <w:tc>
          <w:tcPr>
            <w:tcW w:w="712" w:type="pct"/>
            <w:tcBorders>
              <w:tl2br w:val="nil"/>
              <w:tr2bl w:val="nil"/>
            </w:tcBorders>
            <w:noWrap w:val="0"/>
            <w:vAlign w:val="center"/>
          </w:tcPr>
          <w:p w14:paraId="4970876F">
            <w:pPr>
              <w:adjustRightInd w:val="0"/>
              <w:snapToGrid w:val="0"/>
              <w:spacing w:line="240" w:lineRule="auto"/>
              <w:jc w:val="center"/>
              <w:rPr>
                <w:rFonts w:hint="default" w:ascii="Times New Roman" w:eastAsia="宋体"/>
                <w:color w:val="auto"/>
                <w:kern w:val="44"/>
                <w:sz w:val="21"/>
                <w:szCs w:val="21"/>
                <w:highlight w:val="none"/>
                <w:lang w:val="en-US" w:eastAsia="zh-CN"/>
              </w:rPr>
            </w:pPr>
            <w:r>
              <w:rPr>
                <w:rFonts w:hint="eastAsia"/>
                <w:color w:val="auto"/>
                <w:kern w:val="44"/>
                <w:sz w:val="21"/>
                <w:szCs w:val="21"/>
                <w:highlight w:val="none"/>
                <w:lang w:val="en-US" w:eastAsia="zh-CN"/>
              </w:rPr>
              <w:t>运输道路</w:t>
            </w:r>
          </w:p>
        </w:tc>
        <w:tc>
          <w:tcPr>
            <w:tcW w:w="3866" w:type="pct"/>
            <w:tcBorders>
              <w:tl2br w:val="nil"/>
              <w:tr2bl w:val="nil"/>
            </w:tcBorders>
            <w:noWrap w:val="0"/>
            <w:vAlign w:val="center"/>
          </w:tcPr>
          <w:p w14:paraId="7E90DE3D">
            <w:pPr>
              <w:adjustRightInd w:val="0"/>
              <w:snapToGrid w:val="0"/>
              <w:spacing w:line="240" w:lineRule="auto"/>
              <w:jc w:val="center"/>
              <w:rPr>
                <w:rFonts w:hint="default" w:ascii="Times New Roman"/>
                <w:color w:val="auto"/>
                <w:kern w:val="44"/>
                <w:sz w:val="21"/>
                <w:szCs w:val="21"/>
                <w:highlight w:val="none"/>
                <w:lang w:val="en-US"/>
              </w:rPr>
            </w:pPr>
            <w:r>
              <w:rPr>
                <w:rFonts w:hint="eastAsia"/>
                <w:color w:val="auto"/>
                <w:sz w:val="21"/>
                <w:szCs w:val="21"/>
                <w:highlight w:val="none"/>
                <w:lang w:val="en-US" w:eastAsia="zh-CN"/>
              </w:rPr>
              <w:t>采区至排土场</w:t>
            </w:r>
            <w:r>
              <w:rPr>
                <w:rFonts w:hint="eastAsia"/>
                <w:color w:val="auto"/>
                <w:kern w:val="44"/>
                <w:sz w:val="21"/>
                <w:szCs w:val="21"/>
                <w:highlight w:val="none"/>
                <w:lang w:val="en-US" w:eastAsia="zh-CN"/>
              </w:rPr>
              <w:t>依托利用承围支线至选厂，选厂至排土场依托利用</w:t>
            </w:r>
            <w:r>
              <w:rPr>
                <w:rFonts w:hint="eastAsia" w:ascii="Times New Roman"/>
                <w:color w:val="auto"/>
                <w:kern w:val="44"/>
                <w:sz w:val="21"/>
                <w:szCs w:val="21"/>
                <w:highlight w:val="none"/>
                <w:lang w:val="en-US" w:eastAsia="zh-CN"/>
              </w:rPr>
              <w:t>现有</w:t>
            </w:r>
            <w:r>
              <w:rPr>
                <w:rFonts w:ascii="Times New Roman"/>
                <w:color w:val="auto"/>
                <w:kern w:val="44"/>
                <w:sz w:val="21"/>
                <w:szCs w:val="21"/>
                <w:highlight w:val="none"/>
              </w:rPr>
              <w:t>进场公路，</w:t>
            </w:r>
            <w:r>
              <w:rPr>
                <w:rFonts w:hint="eastAsia" w:ascii="Times New Roman"/>
                <w:color w:val="auto"/>
                <w:sz w:val="21"/>
                <w:szCs w:val="21"/>
                <w:highlight w:val="none"/>
                <w:lang w:val="en-US" w:eastAsia="zh-CN"/>
              </w:rPr>
              <w:t>道路</w:t>
            </w:r>
            <w:r>
              <w:rPr>
                <w:rFonts w:hint="eastAsia"/>
                <w:color w:val="auto"/>
                <w:sz w:val="21"/>
                <w:szCs w:val="21"/>
                <w:highlight w:val="none"/>
                <w:lang w:val="en-US" w:eastAsia="zh-CN"/>
              </w:rPr>
              <w:t>长600</w:t>
            </w:r>
            <w:r>
              <w:rPr>
                <w:rFonts w:hint="eastAsia" w:ascii="Times New Roman"/>
                <w:color w:val="auto"/>
                <w:sz w:val="21"/>
                <w:szCs w:val="21"/>
                <w:highlight w:val="none"/>
                <w:lang w:val="en-US" w:eastAsia="zh-CN"/>
              </w:rPr>
              <w:t>m</w:t>
            </w:r>
            <w:r>
              <w:rPr>
                <w:rFonts w:hint="eastAsia"/>
                <w:color w:val="auto"/>
                <w:sz w:val="21"/>
                <w:szCs w:val="21"/>
                <w:highlight w:val="none"/>
                <w:lang w:val="en-US" w:eastAsia="zh-CN"/>
              </w:rPr>
              <w:t>；本次</w:t>
            </w:r>
            <w:r>
              <w:rPr>
                <w:rFonts w:hint="eastAsia"/>
                <w:color w:val="auto"/>
                <w:kern w:val="44"/>
                <w:sz w:val="21"/>
                <w:szCs w:val="21"/>
                <w:highlight w:val="none"/>
                <w:lang w:val="en-US" w:eastAsia="zh-CN"/>
              </w:rPr>
              <w:t>新建运输道路总长1646m，采用露天矿三级道路标准，双车道路面宽度采用6.5米，单车道路面宽度采用4.0米，道路最大纵坡9%，曲线转弯半径最小15米，</w:t>
            </w:r>
            <w:r>
              <w:rPr>
                <w:rFonts w:hint="eastAsia"/>
                <w:color w:val="auto"/>
                <w:kern w:val="44"/>
                <w:sz w:val="21"/>
                <w:szCs w:val="21"/>
                <w:highlight w:val="none"/>
                <w:lang w:val="en-US" w:eastAsia="zh-CN"/>
              </w:rPr>
              <w:t>运输道路路面雨水利用平台排水沟导流至截洪沟排出。运输路线详见图3-1。</w:t>
            </w:r>
          </w:p>
        </w:tc>
      </w:tr>
      <w:tr w14:paraId="7C1023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15503C7E">
            <w:pPr>
              <w:adjustRightInd w:val="0"/>
              <w:snapToGrid w:val="0"/>
              <w:spacing w:line="240" w:lineRule="auto"/>
              <w:jc w:val="center"/>
              <w:rPr>
                <w:rFonts w:hint="default" w:ascii="Times New Roman" w:eastAsia="宋体"/>
                <w:b/>
                <w:color w:val="auto"/>
                <w:sz w:val="21"/>
                <w:szCs w:val="21"/>
                <w:highlight w:val="none"/>
                <w:lang w:val="en-US" w:eastAsia="zh-CN"/>
              </w:rPr>
            </w:pPr>
          </w:p>
        </w:tc>
        <w:tc>
          <w:tcPr>
            <w:tcW w:w="712" w:type="pct"/>
            <w:tcBorders>
              <w:tl2br w:val="nil"/>
              <w:tr2bl w:val="nil"/>
            </w:tcBorders>
            <w:noWrap w:val="0"/>
            <w:vAlign w:val="center"/>
          </w:tcPr>
          <w:p w14:paraId="78B4C887">
            <w:pPr>
              <w:adjustRightInd w:val="0"/>
              <w:snapToGrid w:val="0"/>
              <w:spacing w:line="240" w:lineRule="auto"/>
              <w:jc w:val="center"/>
              <w:rPr>
                <w:rFonts w:hint="default" w:ascii="Times New Roman" w:eastAsia="宋体"/>
                <w:color w:val="auto"/>
                <w:kern w:val="44"/>
                <w:sz w:val="21"/>
                <w:szCs w:val="21"/>
                <w:highlight w:val="none"/>
                <w:lang w:val="en-US" w:eastAsia="zh-CN"/>
              </w:rPr>
            </w:pPr>
            <w:r>
              <w:rPr>
                <w:rFonts w:hint="eastAsia"/>
                <w:color w:val="auto"/>
                <w:kern w:val="44"/>
                <w:sz w:val="21"/>
                <w:szCs w:val="21"/>
                <w:highlight w:val="none"/>
                <w:lang w:val="en-US" w:eastAsia="zh-CN"/>
              </w:rPr>
              <w:t>采区废石运输</w:t>
            </w:r>
          </w:p>
        </w:tc>
        <w:tc>
          <w:tcPr>
            <w:tcW w:w="3866" w:type="pct"/>
            <w:tcBorders>
              <w:tl2br w:val="nil"/>
              <w:tr2bl w:val="nil"/>
            </w:tcBorders>
            <w:noWrap w:val="0"/>
            <w:vAlign w:val="center"/>
          </w:tcPr>
          <w:p w14:paraId="3910A33F">
            <w:pPr>
              <w:adjustRightInd w:val="0"/>
              <w:snapToGrid w:val="0"/>
              <w:spacing w:line="240" w:lineRule="auto"/>
              <w:jc w:val="center"/>
              <w:rPr>
                <w:rFonts w:hint="default" w:ascii="Times New Roman"/>
                <w:color w:val="auto"/>
                <w:kern w:val="44"/>
                <w:sz w:val="21"/>
                <w:szCs w:val="21"/>
                <w:highlight w:val="none"/>
                <w:lang w:val="en-US" w:eastAsia="zh-CN"/>
              </w:rPr>
            </w:pPr>
            <w:r>
              <w:rPr>
                <w:rFonts w:hint="eastAsia"/>
                <w:color w:val="auto"/>
                <w:kern w:val="44"/>
                <w:sz w:val="21"/>
                <w:szCs w:val="21"/>
                <w:highlight w:val="none"/>
                <w:lang w:val="en-US" w:eastAsia="zh-CN"/>
              </w:rPr>
              <w:t>采区产生的废石由运输车辆直接运至排土场堆存区。</w:t>
            </w:r>
          </w:p>
        </w:tc>
      </w:tr>
      <w:tr w14:paraId="450D82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24449753">
            <w:pPr>
              <w:adjustRightInd w:val="0"/>
              <w:snapToGrid w:val="0"/>
              <w:spacing w:line="240" w:lineRule="auto"/>
              <w:jc w:val="center"/>
              <w:rPr>
                <w:rFonts w:hint="eastAsia"/>
                <w:b/>
                <w:color w:val="auto"/>
                <w:sz w:val="21"/>
                <w:szCs w:val="21"/>
                <w:highlight w:val="none"/>
                <w:lang w:val="en-US" w:eastAsia="zh-CN"/>
              </w:rPr>
            </w:pPr>
          </w:p>
        </w:tc>
        <w:tc>
          <w:tcPr>
            <w:tcW w:w="712" w:type="pct"/>
            <w:tcBorders>
              <w:tl2br w:val="nil"/>
              <w:tr2bl w:val="nil"/>
            </w:tcBorders>
            <w:noWrap w:val="0"/>
            <w:vAlign w:val="center"/>
          </w:tcPr>
          <w:p w14:paraId="6348C436">
            <w:pPr>
              <w:adjustRightInd w:val="0"/>
              <w:snapToGrid w:val="0"/>
              <w:spacing w:line="240" w:lineRule="auto"/>
              <w:jc w:val="center"/>
              <w:rPr>
                <w:rFonts w:hint="default" w:ascii="Times New Roman" w:eastAsia="宋体"/>
                <w:color w:val="auto"/>
                <w:kern w:val="44"/>
                <w:sz w:val="21"/>
                <w:szCs w:val="21"/>
                <w:highlight w:val="none"/>
                <w:lang w:val="en-US" w:eastAsia="zh-CN"/>
              </w:rPr>
            </w:pPr>
            <w:r>
              <w:rPr>
                <w:rFonts w:hint="eastAsia"/>
                <w:color w:val="auto"/>
                <w:kern w:val="44"/>
                <w:sz w:val="21"/>
                <w:szCs w:val="21"/>
                <w:highlight w:val="none"/>
                <w:lang w:val="en-US" w:eastAsia="zh-CN"/>
              </w:rPr>
              <w:t>选厂废石运输</w:t>
            </w:r>
          </w:p>
        </w:tc>
        <w:tc>
          <w:tcPr>
            <w:tcW w:w="3866" w:type="pct"/>
            <w:tcBorders>
              <w:tl2br w:val="nil"/>
              <w:tr2bl w:val="nil"/>
            </w:tcBorders>
            <w:noWrap w:val="0"/>
            <w:vAlign w:val="center"/>
          </w:tcPr>
          <w:p w14:paraId="6A1CF91C">
            <w:pPr>
              <w:adjustRightInd w:val="0"/>
              <w:snapToGrid w:val="0"/>
              <w:spacing w:line="240" w:lineRule="auto"/>
              <w:jc w:val="center"/>
              <w:rPr>
                <w:rFonts w:hint="default" w:ascii="Times New Roman"/>
                <w:color w:val="auto"/>
                <w:kern w:val="44"/>
                <w:sz w:val="21"/>
                <w:szCs w:val="21"/>
                <w:highlight w:val="none"/>
                <w:lang w:val="en-US" w:eastAsia="zh-CN"/>
              </w:rPr>
            </w:pPr>
            <w:r>
              <w:rPr>
                <w:rFonts w:hint="eastAsia"/>
                <w:color w:val="auto"/>
                <w:kern w:val="44"/>
                <w:sz w:val="21"/>
                <w:szCs w:val="21"/>
                <w:highlight w:val="none"/>
                <w:lang w:val="en-US" w:eastAsia="zh-CN"/>
              </w:rPr>
              <w:t>选厂废石由运输车辆直接运至排土场堆存区。</w:t>
            </w:r>
          </w:p>
        </w:tc>
      </w:tr>
      <w:tr w14:paraId="1F6E41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restart"/>
            <w:tcBorders>
              <w:tl2br w:val="nil"/>
              <w:tr2bl w:val="nil"/>
            </w:tcBorders>
            <w:noWrap w:val="0"/>
            <w:vAlign w:val="center"/>
          </w:tcPr>
          <w:p w14:paraId="598BB15F">
            <w:pPr>
              <w:adjustRightInd w:val="0"/>
              <w:snapToGrid w:val="0"/>
              <w:spacing w:line="240" w:lineRule="auto"/>
              <w:jc w:val="center"/>
              <w:rPr>
                <w:rFonts w:ascii="Times New Roman"/>
                <w:b/>
                <w:color w:val="auto"/>
                <w:sz w:val="21"/>
                <w:szCs w:val="21"/>
                <w:highlight w:val="none"/>
              </w:rPr>
            </w:pPr>
            <w:r>
              <w:rPr>
                <w:rFonts w:ascii="Times New Roman"/>
                <w:b/>
                <w:color w:val="auto"/>
                <w:sz w:val="21"/>
                <w:szCs w:val="21"/>
                <w:highlight w:val="none"/>
              </w:rPr>
              <w:t>公用工程</w:t>
            </w:r>
          </w:p>
        </w:tc>
        <w:tc>
          <w:tcPr>
            <w:tcW w:w="712" w:type="pct"/>
            <w:tcBorders>
              <w:tl2br w:val="nil"/>
              <w:tr2bl w:val="nil"/>
            </w:tcBorders>
            <w:noWrap w:val="0"/>
            <w:vAlign w:val="center"/>
          </w:tcPr>
          <w:p w14:paraId="777C82AB">
            <w:pPr>
              <w:adjustRightInd w:val="0"/>
              <w:snapToGrid w:val="0"/>
              <w:spacing w:line="240" w:lineRule="auto"/>
              <w:jc w:val="center"/>
              <w:rPr>
                <w:rFonts w:ascii="Times New Roman"/>
                <w:b/>
                <w:color w:val="auto"/>
                <w:sz w:val="21"/>
                <w:szCs w:val="21"/>
                <w:highlight w:val="none"/>
              </w:rPr>
            </w:pPr>
            <w:r>
              <w:rPr>
                <w:rFonts w:ascii="Times New Roman"/>
                <w:snapToGrid w:val="0"/>
                <w:color w:val="auto"/>
                <w:sz w:val="21"/>
                <w:szCs w:val="21"/>
                <w:highlight w:val="none"/>
              </w:rPr>
              <w:t>供水</w:t>
            </w:r>
          </w:p>
        </w:tc>
        <w:tc>
          <w:tcPr>
            <w:tcW w:w="3866" w:type="pct"/>
            <w:tcBorders>
              <w:tl2br w:val="nil"/>
              <w:tr2bl w:val="nil"/>
            </w:tcBorders>
            <w:noWrap w:val="0"/>
            <w:vAlign w:val="center"/>
          </w:tcPr>
          <w:p w14:paraId="3B4BD688">
            <w:pPr>
              <w:adjustRightInd w:val="0"/>
              <w:snapToGrid w:val="0"/>
              <w:spacing w:line="240" w:lineRule="auto"/>
              <w:jc w:val="center"/>
              <w:rPr>
                <w:rFonts w:hint="eastAsia" w:ascii="Times New Roman" w:eastAsia="宋体"/>
                <w:b/>
                <w:color w:val="auto"/>
                <w:sz w:val="21"/>
                <w:szCs w:val="21"/>
                <w:highlight w:val="none"/>
                <w:lang w:eastAsia="zh-CN"/>
              </w:rPr>
            </w:pPr>
            <w:r>
              <w:rPr>
                <w:rFonts w:ascii="Times New Roman"/>
                <w:color w:val="auto"/>
                <w:sz w:val="21"/>
                <w:szCs w:val="21"/>
                <w:highlight w:val="none"/>
              </w:rPr>
              <w:t>项目用水依托</w:t>
            </w:r>
            <w:r>
              <w:rPr>
                <w:rFonts w:hint="eastAsia"/>
                <w:color w:val="auto"/>
                <w:sz w:val="21"/>
                <w:szCs w:val="21"/>
                <w:highlight w:val="none"/>
                <w:lang w:val="en-US" w:eastAsia="zh-CN"/>
              </w:rPr>
              <w:t>厂区现有自备井</w:t>
            </w:r>
            <w:r>
              <w:rPr>
                <w:rFonts w:hint="eastAsia" w:ascii="Times New Roman"/>
                <w:color w:val="auto"/>
                <w:sz w:val="21"/>
                <w:szCs w:val="21"/>
                <w:highlight w:val="none"/>
                <w:lang w:eastAsia="zh-CN"/>
              </w:rPr>
              <w:t>。</w:t>
            </w:r>
          </w:p>
        </w:tc>
      </w:tr>
      <w:tr w14:paraId="2F96AE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0FD4A142">
            <w:pPr>
              <w:adjustRightInd w:val="0"/>
              <w:snapToGrid w:val="0"/>
              <w:spacing w:line="240" w:lineRule="auto"/>
              <w:jc w:val="center"/>
              <w:rPr>
                <w:rFonts w:ascii="Times New Roman"/>
                <w:b/>
                <w:color w:val="auto"/>
                <w:sz w:val="21"/>
                <w:szCs w:val="21"/>
                <w:highlight w:val="none"/>
              </w:rPr>
            </w:pPr>
          </w:p>
        </w:tc>
        <w:tc>
          <w:tcPr>
            <w:tcW w:w="712" w:type="pct"/>
            <w:tcBorders>
              <w:tl2br w:val="nil"/>
              <w:tr2bl w:val="nil"/>
            </w:tcBorders>
            <w:noWrap w:val="0"/>
            <w:vAlign w:val="center"/>
          </w:tcPr>
          <w:p w14:paraId="2FEBFB87">
            <w:pPr>
              <w:adjustRightInd w:val="0"/>
              <w:snapToGrid w:val="0"/>
              <w:spacing w:line="240" w:lineRule="auto"/>
              <w:jc w:val="center"/>
              <w:rPr>
                <w:rFonts w:ascii="Times New Roman"/>
                <w:b/>
                <w:color w:val="auto"/>
                <w:sz w:val="21"/>
                <w:szCs w:val="21"/>
                <w:highlight w:val="none"/>
              </w:rPr>
            </w:pPr>
            <w:r>
              <w:rPr>
                <w:rFonts w:ascii="Times New Roman"/>
                <w:snapToGrid w:val="0"/>
                <w:color w:val="auto"/>
                <w:sz w:val="21"/>
                <w:szCs w:val="21"/>
                <w:highlight w:val="none"/>
              </w:rPr>
              <w:t>供电</w:t>
            </w:r>
          </w:p>
        </w:tc>
        <w:tc>
          <w:tcPr>
            <w:tcW w:w="3866" w:type="pct"/>
            <w:tcBorders>
              <w:tl2br w:val="nil"/>
              <w:tr2bl w:val="nil"/>
            </w:tcBorders>
            <w:noWrap w:val="0"/>
            <w:vAlign w:val="center"/>
          </w:tcPr>
          <w:p w14:paraId="02B10E7F">
            <w:pPr>
              <w:adjustRightInd w:val="0"/>
              <w:snapToGrid w:val="0"/>
              <w:spacing w:line="240" w:lineRule="auto"/>
              <w:jc w:val="center"/>
              <w:rPr>
                <w:rFonts w:ascii="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用电依托厂区现有供电系统</w:t>
            </w:r>
            <w:r>
              <w:rPr>
                <w:rFonts w:hint="default" w:ascii="Times New Roman" w:hAnsi="Times New Roman" w:eastAsia="宋体" w:cs="Times New Roman"/>
                <w:color w:val="auto"/>
                <w:sz w:val="21"/>
                <w:szCs w:val="21"/>
                <w:highlight w:val="none"/>
                <w:lang w:eastAsia="zh-CN"/>
              </w:rPr>
              <w:t>。</w:t>
            </w:r>
          </w:p>
        </w:tc>
      </w:tr>
      <w:tr w14:paraId="5468C7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restart"/>
            <w:tcBorders>
              <w:tl2br w:val="nil"/>
              <w:tr2bl w:val="nil"/>
            </w:tcBorders>
            <w:noWrap w:val="0"/>
            <w:vAlign w:val="center"/>
          </w:tcPr>
          <w:p w14:paraId="77E29551">
            <w:pPr>
              <w:adjustRightInd w:val="0"/>
              <w:snapToGrid w:val="0"/>
              <w:spacing w:line="240" w:lineRule="auto"/>
              <w:jc w:val="center"/>
              <w:rPr>
                <w:rFonts w:ascii="Times New Roman"/>
                <w:b/>
                <w:color w:val="auto"/>
                <w:sz w:val="21"/>
                <w:szCs w:val="21"/>
                <w:highlight w:val="none"/>
              </w:rPr>
            </w:pPr>
            <w:r>
              <w:rPr>
                <w:rFonts w:ascii="Times New Roman"/>
                <w:b/>
                <w:color w:val="auto"/>
                <w:sz w:val="21"/>
                <w:szCs w:val="21"/>
                <w:highlight w:val="none"/>
              </w:rPr>
              <w:t>环保工程</w:t>
            </w:r>
          </w:p>
        </w:tc>
        <w:tc>
          <w:tcPr>
            <w:tcW w:w="712" w:type="pct"/>
            <w:tcBorders>
              <w:tl2br w:val="nil"/>
              <w:tr2bl w:val="nil"/>
            </w:tcBorders>
            <w:noWrap w:val="0"/>
            <w:vAlign w:val="center"/>
          </w:tcPr>
          <w:p w14:paraId="7B206EAC">
            <w:pPr>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扬尘治理</w:t>
            </w:r>
          </w:p>
        </w:tc>
        <w:tc>
          <w:tcPr>
            <w:tcW w:w="3866" w:type="pct"/>
            <w:tcBorders>
              <w:tl2br w:val="nil"/>
              <w:tr2bl w:val="nil"/>
            </w:tcBorders>
            <w:noWrap w:val="0"/>
            <w:vAlign w:val="center"/>
          </w:tcPr>
          <w:p w14:paraId="77D5FF6C">
            <w:pPr>
              <w:adjustRightInd w:val="0"/>
              <w:snapToGrid w:val="0"/>
              <w:spacing w:line="240" w:lineRule="auto"/>
              <w:jc w:val="center"/>
              <w:rPr>
                <w:rFonts w:hint="eastAsia" w:ascii="Times New Roman" w:eastAsia="宋体"/>
                <w:color w:val="auto"/>
                <w:sz w:val="21"/>
                <w:szCs w:val="21"/>
                <w:highlight w:val="none"/>
                <w:lang w:eastAsia="zh-CN"/>
              </w:rPr>
            </w:pPr>
            <w:r>
              <w:rPr>
                <w:rFonts w:hint="eastAsia"/>
                <w:highlight w:val="none"/>
              </w:rPr>
              <w:t>排土作业，控制台阶高度和作业区范围，及时覆土绿化，减少裸露面积</w:t>
            </w:r>
            <w:r>
              <w:rPr>
                <w:rFonts w:hint="eastAsia"/>
                <w:highlight w:val="none"/>
                <w:lang w:eastAsia="zh-CN"/>
              </w:rPr>
              <w:t>；</w:t>
            </w:r>
            <w:r>
              <w:rPr>
                <w:rFonts w:ascii="Times New Roman"/>
                <w:color w:val="auto"/>
                <w:sz w:val="21"/>
                <w:szCs w:val="21"/>
                <w:highlight w:val="none"/>
              </w:rPr>
              <w:t>运输车辆减速慢行、排土场和进场道路洒水降尘、合理安排生产</w:t>
            </w:r>
            <w:r>
              <w:rPr>
                <w:rFonts w:hint="eastAsia" w:ascii="Times New Roman"/>
                <w:color w:val="auto"/>
                <w:sz w:val="21"/>
                <w:szCs w:val="21"/>
                <w:highlight w:val="none"/>
                <w:lang w:eastAsia="zh-CN"/>
              </w:rPr>
              <w:t>。</w:t>
            </w:r>
          </w:p>
        </w:tc>
      </w:tr>
      <w:tr w14:paraId="748496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783FAA65">
            <w:pPr>
              <w:adjustRightInd w:val="0"/>
              <w:snapToGrid w:val="0"/>
              <w:spacing w:line="240" w:lineRule="auto"/>
              <w:jc w:val="center"/>
              <w:rPr>
                <w:rFonts w:ascii="Times New Roman"/>
                <w:b/>
                <w:color w:val="auto"/>
                <w:sz w:val="21"/>
                <w:szCs w:val="21"/>
                <w:highlight w:val="none"/>
              </w:rPr>
            </w:pPr>
          </w:p>
        </w:tc>
        <w:tc>
          <w:tcPr>
            <w:tcW w:w="712" w:type="pct"/>
            <w:tcBorders>
              <w:tl2br w:val="nil"/>
              <w:tr2bl w:val="nil"/>
            </w:tcBorders>
            <w:noWrap w:val="0"/>
            <w:vAlign w:val="center"/>
          </w:tcPr>
          <w:p w14:paraId="103BC6C0">
            <w:pPr>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噪声治理</w:t>
            </w:r>
          </w:p>
        </w:tc>
        <w:tc>
          <w:tcPr>
            <w:tcW w:w="3866" w:type="pct"/>
            <w:tcBorders>
              <w:tl2br w:val="nil"/>
              <w:tr2bl w:val="nil"/>
            </w:tcBorders>
            <w:noWrap w:val="0"/>
            <w:vAlign w:val="center"/>
          </w:tcPr>
          <w:p w14:paraId="452D8296">
            <w:pPr>
              <w:adjustRightInd w:val="0"/>
              <w:snapToGrid w:val="0"/>
              <w:spacing w:line="240" w:lineRule="auto"/>
              <w:jc w:val="center"/>
              <w:rPr>
                <w:rFonts w:hint="eastAsia" w:ascii="Times New Roman" w:eastAsia="宋体"/>
                <w:color w:val="auto"/>
                <w:sz w:val="21"/>
                <w:szCs w:val="21"/>
                <w:highlight w:val="none"/>
                <w:lang w:eastAsia="zh-CN"/>
              </w:rPr>
            </w:pPr>
            <w:r>
              <w:rPr>
                <w:rFonts w:ascii="Times New Roman"/>
                <w:color w:val="auto"/>
                <w:sz w:val="21"/>
                <w:szCs w:val="21"/>
                <w:highlight w:val="none"/>
              </w:rPr>
              <w:t>采用先进的低噪声机械，并加强管理、及时维护保养</w:t>
            </w:r>
            <w:r>
              <w:rPr>
                <w:rFonts w:hint="eastAsia"/>
                <w:color w:val="auto"/>
                <w:sz w:val="21"/>
                <w:szCs w:val="21"/>
                <w:highlight w:val="none"/>
                <w:lang w:eastAsia="zh-CN"/>
              </w:rPr>
              <w:t>；</w:t>
            </w:r>
            <w:r>
              <w:rPr>
                <w:rFonts w:ascii="Times New Roman"/>
                <w:color w:val="auto"/>
                <w:sz w:val="21"/>
                <w:szCs w:val="21"/>
                <w:highlight w:val="none"/>
              </w:rPr>
              <w:t>绿化降噪</w:t>
            </w:r>
            <w:r>
              <w:rPr>
                <w:rFonts w:hint="eastAsia"/>
                <w:color w:val="auto"/>
                <w:sz w:val="21"/>
                <w:szCs w:val="21"/>
                <w:highlight w:val="none"/>
                <w:lang w:eastAsia="zh-CN"/>
              </w:rPr>
              <w:t>、</w:t>
            </w:r>
            <w:r>
              <w:rPr>
                <w:rFonts w:ascii="Times New Roman"/>
                <w:color w:val="auto"/>
                <w:sz w:val="21"/>
                <w:szCs w:val="21"/>
                <w:highlight w:val="none"/>
              </w:rPr>
              <w:t>加强车辆管理等</w:t>
            </w:r>
            <w:r>
              <w:rPr>
                <w:rFonts w:hint="eastAsia" w:ascii="Times New Roman"/>
                <w:color w:val="auto"/>
                <w:sz w:val="21"/>
                <w:szCs w:val="21"/>
                <w:highlight w:val="none"/>
                <w:lang w:eastAsia="zh-CN"/>
              </w:rPr>
              <w:t>。</w:t>
            </w:r>
          </w:p>
        </w:tc>
      </w:tr>
      <w:tr w14:paraId="1CA2EC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6B54BE7B">
            <w:pPr>
              <w:adjustRightInd w:val="0"/>
              <w:snapToGrid w:val="0"/>
              <w:spacing w:line="240" w:lineRule="auto"/>
              <w:jc w:val="center"/>
              <w:rPr>
                <w:rFonts w:ascii="Times New Roman"/>
                <w:b/>
                <w:color w:val="auto"/>
                <w:sz w:val="21"/>
                <w:szCs w:val="21"/>
                <w:highlight w:val="none"/>
              </w:rPr>
            </w:pPr>
          </w:p>
        </w:tc>
        <w:tc>
          <w:tcPr>
            <w:tcW w:w="712" w:type="pct"/>
            <w:tcBorders>
              <w:tl2br w:val="nil"/>
              <w:tr2bl w:val="nil"/>
            </w:tcBorders>
            <w:noWrap w:val="0"/>
            <w:vAlign w:val="center"/>
          </w:tcPr>
          <w:p w14:paraId="7485F3EC">
            <w:pPr>
              <w:adjustRightInd w:val="0"/>
              <w:snapToGrid w:val="0"/>
              <w:spacing w:line="240" w:lineRule="auto"/>
              <w:jc w:val="center"/>
              <w:rPr>
                <w:rFonts w:hint="eastAsia" w:ascii="Times New Roman"/>
                <w:color w:val="auto"/>
                <w:sz w:val="21"/>
                <w:szCs w:val="21"/>
                <w:highlight w:val="none"/>
              </w:rPr>
            </w:pPr>
            <w:r>
              <w:rPr>
                <w:rFonts w:hint="eastAsia" w:ascii="Times New Roman"/>
                <w:color w:val="auto"/>
                <w:sz w:val="21"/>
                <w:szCs w:val="21"/>
                <w:highlight w:val="none"/>
              </w:rPr>
              <w:t>废水治理</w:t>
            </w:r>
          </w:p>
        </w:tc>
        <w:tc>
          <w:tcPr>
            <w:tcW w:w="3866" w:type="pct"/>
            <w:tcBorders>
              <w:tl2br w:val="nil"/>
              <w:tr2bl w:val="nil"/>
            </w:tcBorders>
            <w:noWrap w:val="0"/>
            <w:vAlign w:val="center"/>
          </w:tcPr>
          <w:p w14:paraId="6C75428F">
            <w:pPr>
              <w:adjustRightInd w:val="0"/>
              <w:snapToGrid w:val="0"/>
              <w:spacing w:line="240" w:lineRule="auto"/>
              <w:jc w:val="center"/>
              <w:rPr>
                <w:rFonts w:hint="eastAsia" w:ascii="Times New Roman" w:eastAsia="宋体"/>
                <w:color w:val="auto"/>
                <w:sz w:val="21"/>
                <w:szCs w:val="21"/>
                <w:highlight w:val="none"/>
                <w:lang w:eastAsia="zh-CN"/>
              </w:rPr>
            </w:pPr>
            <w:r>
              <w:rPr>
                <w:rFonts w:hint="eastAsia"/>
                <w:color w:val="auto"/>
                <w:sz w:val="21"/>
                <w:szCs w:val="21"/>
                <w:highlight w:val="none"/>
                <w:lang w:eastAsia="zh-CN"/>
              </w:rPr>
              <w:t>排土场区域降雨产生的淋滤废水</w:t>
            </w:r>
            <w:r>
              <w:rPr>
                <w:rFonts w:hint="eastAsia"/>
                <w:color w:val="auto"/>
                <w:sz w:val="21"/>
                <w:szCs w:val="21"/>
                <w:highlight w:val="none"/>
                <w:lang w:val="en-US" w:eastAsia="zh-CN"/>
              </w:rPr>
              <w:t>全部</w:t>
            </w:r>
            <w:r>
              <w:rPr>
                <w:rFonts w:hint="eastAsia"/>
                <w:color w:val="auto"/>
                <w:sz w:val="21"/>
                <w:szCs w:val="21"/>
                <w:highlight w:val="none"/>
                <w:lang w:eastAsia="zh-CN"/>
              </w:rPr>
              <w:t>回用</w:t>
            </w:r>
            <w:r>
              <w:rPr>
                <w:rFonts w:hint="eastAsia"/>
                <w:color w:val="auto"/>
                <w:sz w:val="21"/>
                <w:szCs w:val="21"/>
                <w:highlight w:val="none"/>
                <w:lang w:val="en-US" w:eastAsia="zh-CN"/>
              </w:rPr>
              <w:t>排土场</w:t>
            </w:r>
            <w:r>
              <w:rPr>
                <w:rFonts w:hint="eastAsia"/>
                <w:color w:val="auto"/>
                <w:sz w:val="21"/>
                <w:szCs w:val="21"/>
                <w:highlight w:val="none"/>
                <w:lang w:eastAsia="zh-CN"/>
              </w:rPr>
              <w:t>降尘、</w:t>
            </w:r>
            <w:r>
              <w:rPr>
                <w:rFonts w:hint="eastAsia"/>
                <w:color w:val="auto"/>
                <w:sz w:val="21"/>
                <w:szCs w:val="21"/>
                <w:highlight w:val="none"/>
                <w:lang w:val="en-US" w:eastAsia="zh-CN"/>
              </w:rPr>
              <w:t>选厂生产使用</w:t>
            </w:r>
            <w:r>
              <w:rPr>
                <w:rFonts w:hint="eastAsia"/>
                <w:color w:val="auto"/>
                <w:sz w:val="21"/>
                <w:szCs w:val="21"/>
                <w:highlight w:val="none"/>
                <w:lang w:eastAsia="zh-CN"/>
              </w:rPr>
              <w:t>，不外排</w:t>
            </w:r>
            <w:r>
              <w:rPr>
                <w:rFonts w:hint="eastAsia"/>
                <w:sz w:val="21"/>
                <w:szCs w:val="21"/>
                <w:highlight w:val="none"/>
                <w:lang w:val="en-US" w:eastAsia="zh-CN"/>
              </w:rPr>
              <w:t>。</w:t>
            </w:r>
          </w:p>
        </w:tc>
      </w:tr>
      <w:tr w14:paraId="7A30B2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noWrap w:val="0"/>
            <w:vAlign w:val="center"/>
          </w:tcPr>
          <w:p w14:paraId="5F9ADEAB">
            <w:pPr>
              <w:adjustRightInd w:val="0"/>
              <w:snapToGrid w:val="0"/>
              <w:spacing w:line="240" w:lineRule="auto"/>
              <w:jc w:val="center"/>
              <w:rPr>
                <w:rFonts w:ascii="Times New Roman"/>
                <w:b/>
                <w:color w:val="auto"/>
                <w:sz w:val="21"/>
                <w:szCs w:val="21"/>
                <w:highlight w:val="none"/>
              </w:rPr>
            </w:pPr>
          </w:p>
        </w:tc>
        <w:tc>
          <w:tcPr>
            <w:tcW w:w="712" w:type="pct"/>
            <w:tcBorders>
              <w:tl2br w:val="nil"/>
              <w:tr2bl w:val="nil"/>
            </w:tcBorders>
            <w:noWrap w:val="0"/>
            <w:vAlign w:val="center"/>
          </w:tcPr>
          <w:p w14:paraId="6FDC0473">
            <w:pPr>
              <w:adjustRightInd w:val="0"/>
              <w:snapToGrid w:val="0"/>
              <w:spacing w:line="240" w:lineRule="auto"/>
              <w:jc w:val="center"/>
              <w:rPr>
                <w:rFonts w:ascii="Times New Roman"/>
                <w:b/>
                <w:color w:val="auto"/>
                <w:sz w:val="21"/>
                <w:szCs w:val="21"/>
                <w:highlight w:val="none"/>
              </w:rPr>
            </w:pPr>
            <w:r>
              <w:rPr>
                <w:rFonts w:ascii="Times New Roman"/>
                <w:color w:val="auto"/>
                <w:sz w:val="21"/>
                <w:szCs w:val="21"/>
                <w:highlight w:val="none"/>
              </w:rPr>
              <w:t>生态破坏治理</w:t>
            </w:r>
          </w:p>
        </w:tc>
        <w:tc>
          <w:tcPr>
            <w:tcW w:w="3866" w:type="pct"/>
            <w:tcBorders>
              <w:tl2br w:val="nil"/>
              <w:tr2bl w:val="nil"/>
            </w:tcBorders>
            <w:noWrap w:val="0"/>
            <w:vAlign w:val="center"/>
          </w:tcPr>
          <w:p w14:paraId="48B8EF96">
            <w:pPr>
              <w:adjustRightInd w:val="0"/>
              <w:snapToGrid w:val="0"/>
              <w:spacing w:line="240" w:lineRule="auto"/>
              <w:jc w:val="center"/>
              <w:rPr>
                <w:rFonts w:hint="eastAsia" w:ascii="Times New Roman" w:eastAsia="宋体"/>
                <w:color w:val="auto"/>
                <w:sz w:val="21"/>
                <w:szCs w:val="21"/>
                <w:highlight w:val="none"/>
                <w:lang w:eastAsia="zh-CN"/>
              </w:rPr>
            </w:pPr>
            <w:r>
              <w:rPr>
                <w:rFonts w:ascii="Times New Roman"/>
                <w:color w:val="auto"/>
                <w:sz w:val="21"/>
                <w:szCs w:val="21"/>
                <w:highlight w:val="none"/>
              </w:rPr>
              <w:t>在生产运营阶段和服务期满后及时覆土绿化</w:t>
            </w:r>
            <w:r>
              <w:rPr>
                <w:rFonts w:hint="eastAsia" w:ascii="Times New Roman"/>
                <w:color w:val="auto"/>
                <w:sz w:val="21"/>
                <w:szCs w:val="21"/>
                <w:highlight w:val="none"/>
                <w:lang w:eastAsia="zh-CN"/>
              </w:rPr>
              <w:t>。</w:t>
            </w:r>
          </w:p>
        </w:tc>
      </w:tr>
    </w:tbl>
    <w:p w14:paraId="4D29FD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p>
    <w:p w14:paraId="1867E91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highlight w:val="none"/>
        </w:rPr>
      </w:pPr>
      <w:r>
        <w:rPr>
          <w:sz w:val="21"/>
          <w:highlight w:val="none"/>
        </w:rPr>
        <mc:AlternateContent>
          <mc:Choice Requires="wps">
            <w:drawing>
              <wp:anchor distT="0" distB="0" distL="114300" distR="114300" simplePos="0" relativeHeight="251679744" behindDoc="0" locked="0" layoutInCell="1" allowOverlap="1">
                <wp:simplePos x="0" y="0"/>
                <wp:positionH relativeFrom="column">
                  <wp:posOffset>2791460</wp:posOffset>
                </wp:positionH>
                <wp:positionV relativeFrom="paragraph">
                  <wp:posOffset>1600835</wp:posOffset>
                </wp:positionV>
                <wp:extent cx="850900" cy="342900"/>
                <wp:effectExtent l="4445" t="4445" r="13335" b="368935"/>
                <wp:wrapNone/>
                <wp:docPr id="73" name="矩形标注 73"/>
                <wp:cNvGraphicFramePr/>
                <a:graphic xmlns:a="http://schemas.openxmlformats.org/drawingml/2006/main">
                  <a:graphicData uri="http://schemas.microsoft.com/office/word/2010/wordprocessingShape">
                    <wps:wsp>
                      <wps:cNvSpPr/>
                      <wps:spPr>
                        <a:xfrm>
                          <a:off x="5000625" y="2948940"/>
                          <a:ext cx="850900" cy="342900"/>
                        </a:xfrm>
                        <a:prstGeom prst="wedgeRectCallout">
                          <a:avLst>
                            <a:gd name="adj1" fmla="val -21940"/>
                            <a:gd name="adj2" fmla="val 152407"/>
                          </a:avLst>
                        </a:prstGeom>
                        <a:solidFill>
                          <a:schemeClr val="bg1"/>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74335F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采区至选厂</w:t>
                            </w:r>
                          </w:p>
                        </w:txbxContent>
                      </wps:txbx>
                      <wps:bodyPr rot="0" spcFirstLastPara="0" vertOverflow="overflow" horzOverflow="overflow" vert="horz" wrap="square" lIns="0" tIns="36000" rIns="0" bIns="36000" numCol="1" spcCol="0" rtlCol="0" fromWordArt="0" anchor="ctr" anchorCtr="0" forceAA="0" compatLnSpc="1">
                        <a:noAutofit/>
                      </wps:bodyPr>
                    </wps:wsp>
                  </a:graphicData>
                </a:graphic>
              </wp:anchor>
            </w:drawing>
          </mc:Choice>
          <mc:Fallback>
            <w:pict>
              <v:shape id="_x0000_s1026" o:spid="_x0000_s1026" o:spt="61" type="#_x0000_t61" style="position:absolute;left:0pt;margin-left:219.8pt;margin-top:126.05pt;height:27pt;width:67pt;z-index:251679744;v-text-anchor:middle;mso-width-relative:page;mso-height-relative:page;" fillcolor="#FFFFFF [3212]" filled="t" stroked="t" coordsize="21600,21600" o:gfxdata="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P4h+VLbAAAACwEAAA8AAAAAAAAAAQAgAAAAIgAAAGRycy9k&#10;b3ducmV2LnhtbFBLAQIUABQAAAAIAIdO4kDlYDVSqgIAAFEFAAAOAAAAAAAAAAEAIAAAACoBAABk&#10;cnMvZTJvRG9jLnhtbFBLBQYAAAAABgAGAFkBAABGBgAAAAA=&#10;" adj="6061,43720">
                <v:fill on="t" focussize="0,0"/>
                <v:stroke weight="0.5pt" color="#F79646 [3209]" joinstyle="round"/>
                <v:imagedata o:title=""/>
                <o:lock v:ext="edit" aspectratio="f"/>
                <v:textbox inset="0mm,1mm,0mm,1mm">
                  <w:txbxContent>
                    <w:p w14:paraId="374335F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采区至选厂</w:t>
                      </w:r>
                    </w:p>
                  </w:txbxContent>
                </v:textbox>
              </v:shape>
            </w:pict>
          </mc:Fallback>
        </mc:AlternateContent>
      </w:r>
      <w:r>
        <w:rPr>
          <w:sz w:val="21"/>
          <w:highlight w:val="none"/>
        </w:rPr>
        <mc:AlternateContent>
          <mc:Choice Requires="wps">
            <w:drawing>
              <wp:anchor distT="0" distB="0" distL="114300" distR="114300" simplePos="0" relativeHeight="251680768" behindDoc="0" locked="0" layoutInCell="1" allowOverlap="1">
                <wp:simplePos x="0" y="0"/>
                <wp:positionH relativeFrom="column">
                  <wp:posOffset>4293870</wp:posOffset>
                </wp:positionH>
                <wp:positionV relativeFrom="paragraph">
                  <wp:posOffset>252730</wp:posOffset>
                </wp:positionV>
                <wp:extent cx="672465" cy="487680"/>
                <wp:effectExtent l="271780" t="4445" r="15875" b="10795"/>
                <wp:wrapNone/>
                <wp:docPr id="74" name="矩形标注 74"/>
                <wp:cNvGraphicFramePr/>
                <a:graphic xmlns:a="http://schemas.openxmlformats.org/drawingml/2006/main">
                  <a:graphicData uri="http://schemas.microsoft.com/office/word/2010/wordprocessingShape">
                    <wps:wsp>
                      <wps:cNvSpPr/>
                      <wps:spPr>
                        <a:xfrm>
                          <a:off x="0" y="0"/>
                          <a:ext cx="672465" cy="487680"/>
                        </a:xfrm>
                        <a:prstGeom prst="wedgeRectCallout">
                          <a:avLst>
                            <a:gd name="adj1" fmla="val -89754"/>
                            <a:gd name="adj2" fmla="val 41927"/>
                          </a:avLst>
                        </a:prstGeom>
                        <a:solidFill>
                          <a:schemeClr val="bg1"/>
                        </a:solidFill>
                        <a:ln w="63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19E237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选厂现有运输道路</w:t>
                            </w:r>
                          </w:p>
                        </w:txbxContent>
                      </wps:txbx>
                      <wps:bodyPr rot="0" spcFirstLastPara="0" vertOverflow="overflow" horzOverflow="overflow" vert="horz" wrap="square" lIns="0" tIns="36000" rIns="0" bIns="36000" numCol="1" spcCol="0" rtlCol="0" fromWordArt="0" anchor="ctr" anchorCtr="0" forceAA="0" compatLnSpc="1">
                        <a:noAutofit/>
                      </wps:bodyPr>
                    </wps:wsp>
                  </a:graphicData>
                </a:graphic>
              </wp:anchor>
            </w:drawing>
          </mc:Choice>
          <mc:Fallback>
            <w:pict>
              <v:shape id="_x0000_s1026" o:spid="_x0000_s1026" o:spt="61" type="#_x0000_t61" style="position:absolute;left:0pt;margin-left:338.1pt;margin-top:19.9pt;height:38.4pt;width:52.95pt;z-index:251680768;v-text-anchor:middle;mso-width-relative:page;mso-height-relative:page;" fillcolor="#FFFFFF [3212]" filled="t" stroked="t" coordsize="21600,21600" o:gfxdata="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E+ns/faAAAACgEAAA8AAAAAAAAAAQAgAAAAIgAAAGRycy9kb3ducmV2Lnht&#10;bFBLAQIUABQAAAAIAIdO4kDLiyQ6ogIAAEQFAAAOAAAAAAAAAAEAIAAAACkBAABkcnMvZTJvRG9j&#10;LnhtbFBLBQYAAAAABgAGAFkBAAA9BgAAAAA=&#10;" adj="-8587,19856">
                <v:fill on="t" focussize="0,0"/>
                <v:stroke weight="0.5pt" color="#F79646 [3209]" joinstyle="round"/>
                <v:imagedata o:title=""/>
                <o:lock v:ext="edit" aspectratio="f"/>
                <v:textbox inset="0mm,1mm,0mm,1mm">
                  <w:txbxContent>
                    <w:p w14:paraId="619E237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选厂现有运输道路</w:t>
                      </w:r>
                    </w:p>
                  </w:txbxContent>
                </v:textbox>
              </v:shape>
            </w:pict>
          </mc:Fallback>
        </mc:AlternateContent>
      </w:r>
      <w:r>
        <w:rPr>
          <w:sz w:val="21"/>
          <w:highlight w:val="none"/>
        </w:rPr>
        <mc:AlternateContent>
          <mc:Choice Requires="wps">
            <w:drawing>
              <wp:anchor distT="0" distB="0" distL="114300" distR="114300" simplePos="0" relativeHeight="251678720" behindDoc="0" locked="0" layoutInCell="1" allowOverlap="1">
                <wp:simplePos x="0" y="0"/>
                <wp:positionH relativeFrom="column">
                  <wp:posOffset>3860165</wp:posOffset>
                </wp:positionH>
                <wp:positionV relativeFrom="paragraph">
                  <wp:posOffset>756285</wp:posOffset>
                </wp:positionV>
                <wp:extent cx="457835" cy="295275"/>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457835"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A3ACBA">
                            <w:pPr>
                              <w:rPr>
                                <w:rFonts w:hint="default" w:eastAsia="宋体"/>
                                <w:color w:val="FF0000"/>
                                <w:lang w:val="en-US" w:eastAsia="zh-CN"/>
                              </w:rPr>
                            </w:pPr>
                            <w:r>
                              <w:rPr>
                                <w:rFonts w:hint="eastAsia"/>
                                <w:color w:val="FF0000"/>
                                <w:lang w:val="en-US" w:eastAsia="zh-CN"/>
                              </w:rPr>
                              <w:t>选厂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95pt;margin-top:59.55pt;height:23.25pt;width:36.05pt;z-index:251678720;mso-width-relative:page;mso-height-relative:page;" filled="f" stroked="f" coordsize="21600,21600" o:gfxdata="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nuLzc2wAAAAsBAAAPAAAAAAAAAAEAIAAAACIAAABk&#10;cnMvZG93bnJldi54bWxQSwECFAAUAAAACACHTuJAkm+ybjwCAABnBAAADgAAAAAAAAABACAAAAAq&#10;AQAAZHJzL2Uyb0RvYy54bWxQSwUGAAAAAAYABgBZAQAA2AUAAAAA&#10;">
                <v:fill on="f" focussize="0,0"/>
                <v:stroke on="f" weight="0.5pt"/>
                <v:imagedata o:title=""/>
                <o:lock v:ext="edit" aspectratio="f"/>
                <v:textbox>
                  <w:txbxContent>
                    <w:p w14:paraId="27A3ACBA">
                      <w:pPr>
                        <w:rPr>
                          <w:rFonts w:hint="default" w:eastAsia="宋体"/>
                          <w:color w:val="FF0000"/>
                          <w:lang w:val="en-US" w:eastAsia="zh-CN"/>
                        </w:rPr>
                      </w:pPr>
                      <w:r>
                        <w:rPr>
                          <w:rFonts w:hint="eastAsia"/>
                          <w:color w:val="FF0000"/>
                          <w:lang w:val="en-US" w:eastAsia="zh-CN"/>
                        </w:rPr>
                        <w:t>选厂</w:t>
                      </w:r>
                    </w:p>
                  </w:txbxContent>
                </v:textbox>
              </v:shape>
            </w:pict>
          </mc:Fallback>
        </mc:AlternateContent>
      </w:r>
      <w:r>
        <w:rPr>
          <w:sz w:val="21"/>
          <w:highlight w:val="none"/>
        </w:rPr>
        <mc:AlternateContent>
          <mc:Choice Requires="wps">
            <w:drawing>
              <wp:anchor distT="0" distB="0" distL="114300" distR="114300" simplePos="0" relativeHeight="251677696" behindDoc="0" locked="0" layoutInCell="1" allowOverlap="1">
                <wp:simplePos x="0" y="0"/>
                <wp:positionH relativeFrom="column">
                  <wp:posOffset>2212340</wp:posOffset>
                </wp:positionH>
                <wp:positionV relativeFrom="paragraph">
                  <wp:posOffset>268605</wp:posOffset>
                </wp:positionV>
                <wp:extent cx="723900" cy="29527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72390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EC0580">
                            <w:pPr>
                              <w:rPr>
                                <w:rFonts w:hint="default" w:eastAsia="宋体"/>
                                <w:color w:val="FF0000"/>
                                <w:lang w:val="en-US" w:eastAsia="zh-CN"/>
                              </w:rPr>
                            </w:pPr>
                            <w:r>
                              <w:rPr>
                                <w:rFonts w:hint="eastAsia"/>
                                <w:color w:val="FF0000"/>
                                <w:lang w:val="en-US" w:eastAsia="zh-CN"/>
                              </w:rPr>
                              <w:t>建设项目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2pt;margin-top:21.15pt;height:23.25pt;width:57pt;z-index:251677696;mso-width-relative:page;mso-height-relative:page;" filled="f" stroked="f" coordsize="21600,21600" o:gfxdata="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omdYXaAAAACQEAAA8AAAAAAAAAAQAgAAAAIgAAAGRy&#10;cy9kb3ducmV2LnhtbFBLAQIUABQAAAAIAIdO4kAgzHAEPAIAAGcEAAAOAAAAAAAAAAEAIAAAACkB&#10;AABkcnMvZTJvRG9jLnhtbFBLBQYAAAAABgAGAFkBAADXBQAAAAA=&#10;">
                <v:fill on="f" focussize="0,0"/>
                <v:stroke on="f" weight="0.5pt"/>
                <v:imagedata o:title=""/>
                <o:lock v:ext="edit" aspectratio="f"/>
                <v:textbox>
                  <w:txbxContent>
                    <w:p w14:paraId="54EC0580">
                      <w:pPr>
                        <w:rPr>
                          <w:rFonts w:hint="default" w:eastAsia="宋体"/>
                          <w:color w:val="FF0000"/>
                          <w:lang w:val="en-US" w:eastAsia="zh-CN"/>
                        </w:rPr>
                      </w:pPr>
                      <w:r>
                        <w:rPr>
                          <w:rFonts w:hint="eastAsia"/>
                          <w:color w:val="FF0000"/>
                          <w:lang w:val="en-US" w:eastAsia="zh-CN"/>
                        </w:rPr>
                        <w:t>建设项目</w:t>
                      </w:r>
                    </w:p>
                  </w:txbxContent>
                </v:textbox>
              </v:shape>
            </w:pict>
          </mc:Fallback>
        </mc:AlternateContent>
      </w:r>
      <w:r>
        <w:rPr>
          <w:highlight w:val="none"/>
        </w:rPr>
        <w:drawing>
          <wp:inline distT="0" distB="0" distL="114300" distR="114300">
            <wp:extent cx="5271135" cy="3270885"/>
            <wp:effectExtent l="0" t="0" r="1905" b="5715"/>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16"/>
                    <a:stretch>
                      <a:fillRect/>
                    </a:stretch>
                  </pic:blipFill>
                  <pic:spPr>
                    <a:xfrm>
                      <a:off x="0" y="0"/>
                      <a:ext cx="5271135" cy="3270885"/>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676672" behindDoc="0" locked="0" layoutInCell="1" allowOverlap="1">
                <wp:simplePos x="0" y="0"/>
                <wp:positionH relativeFrom="column">
                  <wp:posOffset>1821815</wp:posOffset>
                </wp:positionH>
                <wp:positionV relativeFrom="paragraph">
                  <wp:posOffset>2238375</wp:posOffset>
                </wp:positionV>
                <wp:extent cx="466725" cy="295275"/>
                <wp:effectExtent l="0" t="0" r="0" b="0"/>
                <wp:wrapNone/>
                <wp:docPr id="69" name="文本框 69"/>
                <wp:cNvGraphicFramePr/>
                <a:graphic xmlns:a="http://schemas.openxmlformats.org/drawingml/2006/main">
                  <a:graphicData uri="http://schemas.microsoft.com/office/word/2010/wordprocessingShape">
                    <wps:wsp>
                      <wps:cNvSpPr txBox="1"/>
                      <wps:spPr>
                        <a:xfrm>
                          <a:off x="2962910" y="3152775"/>
                          <a:ext cx="466725"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7E8ED3">
                            <w:pPr>
                              <w:rPr>
                                <w:rFonts w:hint="eastAsia" w:eastAsia="宋体"/>
                                <w:color w:val="FF0000"/>
                                <w:lang w:val="en-US" w:eastAsia="zh-CN"/>
                              </w:rPr>
                            </w:pPr>
                            <w:r>
                              <w:rPr>
                                <w:rFonts w:hint="eastAsia"/>
                                <w:color w:val="FF0000"/>
                                <w:lang w:val="en-US" w:eastAsia="zh-CN"/>
                              </w:rPr>
                              <w:t>采区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45pt;margin-top:176.25pt;height:23.25pt;width:36.75pt;z-index:251676672;mso-width-relative:page;mso-height-relative:page;" filled="f" stroked="f" coordsize="21600,21600" o:gfxdata="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liLjdwAAAALAQAADwAAAAAA&#10;AAABACAAAAAiAAAAZHJzL2Rvd25yZXYueG1sUEsBAhQAFAAAAAgAh07iQCy3u2hIAgAAcwQAAA4A&#10;AAAAAAAAAQAgAAAAKwEAAGRycy9lMm9Eb2MueG1sUEsFBgAAAAAGAAYAWQEAAOUFAAAAAA==&#10;">
                <v:fill on="f" focussize="0,0"/>
                <v:stroke on="f" weight="0.5pt"/>
                <v:imagedata o:title=""/>
                <o:lock v:ext="edit" aspectratio="f"/>
                <v:textbox>
                  <w:txbxContent>
                    <w:p w14:paraId="447E8ED3">
                      <w:pPr>
                        <w:rPr>
                          <w:rFonts w:hint="eastAsia" w:eastAsia="宋体"/>
                          <w:color w:val="FF0000"/>
                          <w:lang w:val="en-US" w:eastAsia="zh-CN"/>
                        </w:rPr>
                      </w:pPr>
                      <w:r>
                        <w:rPr>
                          <w:rFonts w:hint="eastAsia"/>
                          <w:color w:val="FF0000"/>
                          <w:lang w:val="en-US" w:eastAsia="zh-CN"/>
                        </w:rPr>
                        <w:t>采区</w:t>
                      </w:r>
                    </w:p>
                  </w:txbxContent>
                </v:textbox>
              </v:shape>
            </w:pict>
          </mc:Fallback>
        </mc:AlternateContent>
      </w:r>
    </w:p>
    <w:p w14:paraId="0CFA8D92">
      <w:pPr>
        <w:keepNext w:val="0"/>
        <w:keepLines w:val="0"/>
        <w:pageBreakBefore w:val="0"/>
        <w:widowControl/>
        <w:numPr>
          <w:ilvl w:val="0"/>
          <w:numId w:val="21"/>
        </w:numPr>
        <w:kinsoku/>
        <w:wordWrap/>
        <w:overflowPunct/>
        <w:topLinePunct w:val="0"/>
        <w:autoSpaceDE/>
        <w:autoSpaceDN/>
        <w:bidi w:val="0"/>
        <w:adjustRightInd/>
        <w:snapToGrid/>
        <w:spacing w:line="360" w:lineRule="auto"/>
        <w:ind w:left="420" w:leftChars="0" w:hanging="420" w:firstLineChars="0"/>
        <w:jc w:val="center"/>
        <w:textAlignment w:val="auto"/>
        <w:rPr>
          <w:rFonts w:hint="default" w:ascii="Times New Roman" w:hAnsi="Times New Roman" w:cs="Times New Roman"/>
          <w:b/>
          <w:bCs/>
          <w:color w:val="auto"/>
          <w:sz w:val="21"/>
          <w:szCs w:val="21"/>
          <w:highlight w:val="none"/>
          <w:lang w:val="en-US"/>
        </w:rPr>
      </w:pPr>
      <w:r>
        <w:rPr>
          <w:rFonts w:hint="eastAsia"/>
          <w:b/>
          <w:bCs/>
          <w:color w:val="auto"/>
          <w:kern w:val="44"/>
          <w:sz w:val="21"/>
          <w:szCs w:val="21"/>
          <w:highlight w:val="none"/>
          <w:lang w:val="en-US" w:eastAsia="zh-CN"/>
        </w:rPr>
        <w:t>项目运输路线图</w:t>
      </w:r>
    </w:p>
    <w:p w14:paraId="7638B580">
      <w:pPr>
        <w:pStyle w:val="6"/>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关联工程</w:t>
      </w:r>
    </w:p>
    <w:p w14:paraId="66EE1AD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cs="Times New Roman"/>
          <w:b/>
          <w:sz w:val="24"/>
          <w:szCs w:val="24"/>
          <w:highlight w:val="none"/>
          <w:lang w:val="en-US" w:eastAsia="zh-CN"/>
        </w:rPr>
      </w:pPr>
      <w:r>
        <w:rPr>
          <w:rFonts w:hint="eastAsia" w:cs="Times New Roman"/>
          <w:b/>
          <w:sz w:val="24"/>
          <w:szCs w:val="24"/>
          <w:highlight w:val="none"/>
          <w:lang w:val="en-US" w:eastAsia="zh-CN"/>
        </w:rPr>
        <w:t>3.1.3.1采区工程</w:t>
      </w:r>
    </w:p>
    <w:p w14:paraId="245913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sz w:val="24"/>
          <w:szCs w:val="24"/>
          <w:highlight w:val="none"/>
          <w:lang w:val="en-US" w:eastAsia="zh-CN"/>
        </w:rPr>
        <w:t>承德天宝矿业集团大昌矿业有限公司</w:t>
      </w:r>
      <w:r>
        <w:rPr>
          <w:rFonts w:hint="default" w:ascii="Times New Roman" w:hAnsi="Times New Roman" w:cs="Times New Roman"/>
          <w:sz w:val="24"/>
          <w:szCs w:val="24"/>
          <w:highlight w:val="none"/>
          <w:lang w:val="en-US" w:eastAsia="zh-CN"/>
        </w:rPr>
        <w:t>采区位于</w:t>
      </w:r>
      <w:r>
        <w:rPr>
          <w:rFonts w:hint="eastAsia" w:cs="Times New Roman"/>
          <w:sz w:val="24"/>
          <w:szCs w:val="24"/>
          <w:highlight w:val="none"/>
          <w:lang w:val="en-US" w:eastAsia="zh-CN"/>
        </w:rPr>
        <w:t>隆化县韩麻营镇官地村</w:t>
      </w:r>
      <w:r>
        <w:rPr>
          <w:rFonts w:hint="default" w:ascii="Times New Roman" w:hAnsi="Times New Roman" w:cs="Times New Roman"/>
          <w:sz w:val="24"/>
          <w:szCs w:val="24"/>
          <w:highlight w:val="none"/>
          <w:lang w:val="en-US" w:eastAsia="zh-CN"/>
        </w:rPr>
        <w:t>。</w:t>
      </w:r>
      <w:r>
        <w:rPr>
          <w:rFonts w:hint="default" w:ascii="Times New Roman" w:hAnsi="Times New Roman" w:cs="Times New Roman"/>
          <w:color w:val="auto"/>
          <w:sz w:val="24"/>
          <w:szCs w:val="24"/>
          <w:highlight w:val="none"/>
        </w:rPr>
        <w:t>采矿证号为：</w:t>
      </w:r>
      <w:r>
        <w:rPr>
          <w:rFonts w:hint="eastAsia" w:cs="Times New Roman"/>
          <w:color w:val="auto"/>
          <w:sz w:val="24"/>
          <w:szCs w:val="24"/>
          <w:highlight w:val="none"/>
          <w:lang w:eastAsia="zh-CN"/>
        </w:rPr>
        <w:t>C1300002009112120042856</w:t>
      </w:r>
      <w:r>
        <w:rPr>
          <w:rFonts w:hint="default" w:ascii="Times New Roman" w:hAnsi="Times New Roman" w:cs="Times New Roman"/>
          <w:color w:val="auto"/>
          <w:sz w:val="24"/>
          <w:szCs w:val="24"/>
          <w:highlight w:val="none"/>
        </w:rPr>
        <w:t>；</w:t>
      </w:r>
      <w:r>
        <w:rPr>
          <w:rFonts w:hint="eastAsia"/>
          <w:sz w:val="24"/>
          <w:szCs w:val="24"/>
          <w:highlight w:val="none"/>
          <w:lang w:val="en-US" w:eastAsia="zh-CN"/>
        </w:rPr>
        <w:t>采矿权人为承德天宝矿业集团大昌矿业有限公司</w:t>
      </w:r>
      <w:r>
        <w:rPr>
          <w:rFonts w:hint="default"/>
          <w:sz w:val="24"/>
          <w:szCs w:val="24"/>
          <w:highlight w:val="none"/>
          <w:lang w:val="en-US" w:eastAsia="zh-CN"/>
        </w:rPr>
        <w:t>，</w:t>
      </w:r>
      <w:r>
        <w:rPr>
          <w:rFonts w:hint="eastAsia"/>
          <w:sz w:val="24"/>
          <w:szCs w:val="24"/>
          <w:highlight w:val="none"/>
          <w:lang w:val="en-US" w:eastAsia="zh-CN"/>
        </w:rPr>
        <w:t>矿山名称为承德天宝矿业集团大昌矿业有限公司龙王庙超贫磁铁矿，</w:t>
      </w:r>
      <w:r>
        <w:rPr>
          <w:rFonts w:hint="default"/>
          <w:sz w:val="24"/>
          <w:szCs w:val="24"/>
          <w:highlight w:val="none"/>
          <w:lang w:val="en-US" w:eastAsia="zh-CN"/>
        </w:rPr>
        <w:t>开采矿种</w:t>
      </w:r>
      <w:r>
        <w:rPr>
          <w:rFonts w:hint="eastAsia"/>
          <w:sz w:val="24"/>
          <w:szCs w:val="24"/>
          <w:highlight w:val="none"/>
          <w:lang w:val="en-US" w:eastAsia="zh-CN"/>
        </w:rPr>
        <w:t>为</w:t>
      </w:r>
      <w:r>
        <w:rPr>
          <w:rFonts w:hint="default"/>
          <w:sz w:val="24"/>
          <w:szCs w:val="24"/>
          <w:highlight w:val="none"/>
          <w:lang w:val="en-US" w:eastAsia="zh-CN"/>
        </w:rPr>
        <w:t>铁矿，开采方式</w:t>
      </w:r>
      <w:r>
        <w:rPr>
          <w:rFonts w:hint="eastAsia"/>
          <w:sz w:val="24"/>
          <w:szCs w:val="24"/>
          <w:highlight w:val="none"/>
          <w:lang w:val="en-US" w:eastAsia="zh-CN"/>
        </w:rPr>
        <w:t>为</w:t>
      </w:r>
      <w:r>
        <w:rPr>
          <w:rFonts w:hint="default"/>
          <w:sz w:val="24"/>
          <w:szCs w:val="24"/>
          <w:highlight w:val="none"/>
          <w:lang w:val="en-US" w:eastAsia="zh-CN"/>
        </w:rPr>
        <w:t>露天开采</w:t>
      </w:r>
      <w:r>
        <w:rPr>
          <w:rFonts w:hint="eastAsia"/>
          <w:sz w:val="24"/>
          <w:szCs w:val="24"/>
          <w:highlight w:val="none"/>
          <w:lang w:val="en-US" w:eastAsia="zh-CN"/>
        </w:rPr>
        <w:t>，</w:t>
      </w:r>
      <w:r>
        <w:rPr>
          <w:rFonts w:hint="eastAsia" w:cs="Times New Roman"/>
          <w:snapToGrid w:val="0"/>
          <w:kern w:val="0"/>
          <w:sz w:val="24"/>
          <w:szCs w:val="24"/>
          <w:highlight w:val="none"/>
          <w:lang w:val="en-US" w:eastAsia="zh-CN"/>
        </w:rPr>
        <w:t>开采能力为240万</w:t>
      </w:r>
      <w:r>
        <w:rPr>
          <w:rFonts w:ascii="Times New Roman"/>
          <w:sz w:val="24"/>
          <w:szCs w:val="32"/>
          <w:highlight w:val="none"/>
        </w:rPr>
        <w:t>t/a</w:t>
      </w:r>
      <w:r>
        <w:rPr>
          <w:rFonts w:ascii="Times New Roman"/>
          <w:sz w:val="24"/>
          <w:szCs w:val="24"/>
          <w:highlight w:val="none"/>
        </w:rPr>
        <w:t>，</w:t>
      </w:r>
      <w:r>
        <w:rPr>
          <w:rFonts w:hint="default"/>
          <w:sz w:val="24"/>
          <w:szCs w:val="24"/>
          <w:highlight w:val="none"/>
          <w:lang w:val="en-US" w:eastAsia="zh-CN"/>
        </w:rPr>
        <w:t>矿区面积</w:t>
      </w:r>
      <w:r>
        <w:rPr>
          <w:rFonts w:hint="eastAsia"/>
          <w:sz w:val="24"/>
          <w:szCs w:val="24"/>
          <w:highlight w:val="none"/>
          <w:lang w:val="en-US" w:eastAsia="zh-CN"/>
        </w:rPr>
        <w:t>1.2854</w:t>
      </w:r>
      <w:r>
        <w:rPr>
          <w:rFonts w:hint="default"/>
          <w:sz w:val="24"/>
          <w:szCs w:val="24"/>
          <w:highlight w:val="none"/>
          <w:lang w:val="en-US" w:eastAsia="zh-CN"/>
        </w:rPr>
        <w:t>km</w:t>
      </w:r>
      <w:r>
        <w:rPr>
          <w:rFonts w:hint="default"/>
          <w:sz w:val="24"/>
          <w:szCs w:val="24"/>
          <w:highlight w:val="none"/>
          <w:vertAlign w:val="superscript"/>
          <w:lang w:val="en-US" w:eastAsia="zh-CN"/>
        </w:rPr>
        <w:t>2</w:t>
      </w:r>
      <w:r>
        <w:rPr>
          <w:rFonts w:hint="default"/>
          <w:sz w:val="24"/>
          <w:szCs w:val="24"/>
          <w:highlight w:val="none"/>
          <w:lang w:val="en-US" w:eastAsia="zh-CN"/>
        </w:rPr>
        <w:t>，开采深度由</w:t>
      </w:r>
      <w:r>
        <w:rPr>
          <w:rFonts w:hint="eastAsia"/>
          <w:sz w:val="24"/>
          <w:szCs w:val="24"/>
          <w:highlight w:val="none"/>
          <w:lang w:val="en-US" w:eastAsia="zh-CN"/>
        </w:rPr>
        <w:t>830</w:t>
      </w:r>
      <w:r>
        <w:rPr>
          <w:rFonts w:hint="default"/>
          <w:sz w:val="24"/>
          <w:szCs w:val="24"/>
          <w:highlight w:val="none"/>
          <w:lang w:val="en-US" w:eastAsia="zh-CN"/>
        </w:rPr>
        <w:t>m至</w:t>
      </w:r>
      <w:r>
        <w:rPr>
          <w:rFonts w:hint="eastAsia"/>
          <w:sz w:val="24"/>
          <w:szCs w:val="24"/>
          <w:highlight w:val="none"/>
          <w:lang w:val="en-US" w:eastAsia="zh-CN"/>
        </w:rPr>
        <w:t>600</w:t>
      </w:r>
      <w:r>
        <w:rPr>
          <w:rFonts w:hint="default"/>
          <w:sz w:val="24"/>
          <w:szCs w:val="24"/>
          <w:highlight w:val="none"/>
          <w:lang w:val="en-US" w:eastAsia="zh-CN"/>
        </w:rPr>
        <w:t>m</w:t>
      </w:r>
      <w:r>
        <w:rPr>
          <w:rFonts w:hint="default" w:ascii="Times New Roman" w:hAnsi="Times New Roman" w:cs="Times New Roman"/>
          <w:color w:val="auto"/>
          <w:sz w:val="24"/>
          <w:szCs w:val="24"/>
          <w:highlight w:val="none"/>
        </w:rPr>
        <w:t>。矿区范围拐点坐标详见</w:t>
      </w:r>
      <w:r>
        <w:rPr>
          <w:rFonts w:hint="default" w:ascii="Times New Roman" w:hAnsi="Times New Roman" w:cs="Times New Roman"/>
          <w:color w:val="auto"/>
          <w:sz w:val="24"/>
          <w:szCs w:val="24"/>
          <w:highlight w:val="none"/>
          <w:lang w:val="en-US" w:eastAsia="zh-CN"/>
        </w:rPr>
        <w:t>下表</w:t>
      </w:r>
      <w:r>
        <w:rPr>
          <w:rFonts w:hint="default" w:ascii="Times New Roman" w:hAnsi="Times New Roman" w:cs="Times New Roman"/>
          <w:color w:val="auto"/>
          <w:sz w:val="24"/>
          <w:szCs w:val="24"/>
          <w:highlight w:val="none"/>
        </w:rPr>
        <w:t>。</w:t>
      </w:r>
    </w:p>
    <w:p w14:paraId="658EB660">
      <w:pPr>
        <w:numPr>
          <w:ilvl w:val="0"/>
          <w:numId w:val="20"/>
        </w:numPr>
        <w:adjustRightInd w:val="0"/>
        <w:snapToGrid w:val="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矿区范围拐点坐标表</w:t>
      </w:r>
    </w:p>
    <w:tbl>
      <w:tblPr>
        <w:tblStyle w:val="5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2"/>
        <w:gridCol w:w="3120"/>
        <w:gridCol w:w="3420"/>
        <w:gridCol w:w="14"/>
      </w:tblGrid>
      <w:tr w14:paraId="6BD15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vMerge w:val="restart"/>
            <w:noWrap w:val="0"/>
            <w:vAlign w:val="center"/>
          </w:tcPr>
          <w:p w14:paraId="79C0CC8D">
            <w:pPr>
              <w:pStyle w:val="14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kern w:val="2"/>
                <w:sz w:val="21"/>
                <w:szCs w:val="21"/>
                <w:highlight w:val="none"/>
                <w:lang w:val="en-US" w:eastAsia="zh-CN" w:bidi="ar-SA"/>
              </w:rPr>
              <w:t>拐点编号</w:t>
            </w:r>
          </w:p>
        </w:tc>
        <w:tc>
          <w:tcPr>
            <w:tcW w:w="3842" w:type="pct"/>
            <w:gridSpan w:val="3"/>
            <w:noWrap w:val="0"/>
            <w:vAlign w:val="center"/>
          </w:tcPr>
          <w:p w14:paraId="3DA1CAB7">
            <w:pPr>
              <w:pStyle w:val="14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kern w:val="2"/>
                <w:sz w:val="21"/>
                <w:szCs w:val="21"/>
                <w:highlight w:val="none"/>
                <w:lang w:val="en-US" w:eastAsia="zh-CN" w:bidi="ar-SA"/>
              </w:rPr>
              <w:t>2000国家大地坐标系</w:t>
            </w:r>
          </w:p>
        </w:tc>
      </w:tr>
      <w:tr w14:paraId="05515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vMerge w:val="continue"/>
            <w:noWrap w:val="0"/>
            <w:vAlign w:val="center"/>
          </w:tcPr>
          <w:p w14:paraId="01BAE527">
            <w:pPr>
              <w:pStyle w:val="149"/>
              <w:rPr>
                <w:rFonts w:hint="default" w:ascii="Times New Roman" w:hAnsi="Times New Roman" w:eastAsia="宋体" w:cs="Times New Roman"/>
                <w:b/>
                <w:bCs/>
                <w:color w:val="auto"/>
                <w:spacing w:val="0"/>
                <w:kern w:val="2"/>
                <w:sz w:val="21"/>
                <w:szCs w:val="21"/>
                <w:highlight w:val="none"/>
                <w:lang w:val="en-US" w:eastAsia="zh-CN" w:bidi="ar-SA"/>
              </w:rPr>
            </w:pPr>
          </w:p>
        </w:tc>
        <w:tc>
          <w:tcPr>
            <w:tcW w:w="1829" w:type="pct"/>
            <w:noWrap w:val="0"/>
            <w:vAlign w:val="center"/>
          </w:tcPr>
          <w:p w14:paraId="69358136">
            <w:pPr>
              <w:pStyle w:val="14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kern w:val="2"/>
                <w:sz w:val="21"/>
                <w:szCs w:val="21"/>
                <w:highlight w:val="none"/>
                <w:lang w:val="en-US" w:eastAsia="zh-CN" w:bidi="ar-SA"/>
              </w:rPr>
              <w:t>X</w:t>
            </w:r>
          </w:p>
        </w:tc>
        <w:tc>
          <w:tcPr>
            <w:tcW w:w="2012" w:type="pct"/>
            <w:gridSpan w:val="2"/>
            <w:noWrap w:val="0"/>
            <w:vAlign w:val="center"/>
          </w:tcPr>
          <w:p w14:paraId="490CFB03">
            <w:pPr>
              <w:pStyle w:val="14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kern w:val="2"/>
                <w:sz w:val="21"/>
                <w:szCs w:val="21"/>
                <w:highlight w:val="none"/>
                <w:lang w:val="en-US" w:eastAsia="zh-CN" w:bidi="ar-SA"/>
              </w:rPr>
              <w:t>Y</w:t>
            </w:r>
          </w:p>
        </w:tc>
      </w:tr>
      <w:tr w14:paraId="42EF3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noWrap w:val="0"/>
            <w:vAlign w:val="center"/>
          </w:tcPr>
          <w:p w14:paraId="07A279D0">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1</w:t>
            </w:r>
          </w:p>
        </w:tc>
        <w:tc>
          <w:tcPr>
            <w:tcW w:w="3120" w:type="dxa"/>
            <w:noWrap w:val="0"/>
            <w:vAlign w:val="center"/>
          </w:tcPr>
          <w:p w14:paraId="43AEEC88">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4566849.13</w:t>
            </w:r>
          </w:p>
        </w:tc>
        <w:tc>
          <w:tcPr>
            <w:tcW w:w="3434" w:type="dxa"/>
            <w:gridSpan w:val="2"/>
            <w:noWrap w:val="0"/>
            <w:vAlign w:val="center"/>
          </w:tcPr>
          <w:p w14:paraId="00693C4B">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39565547.75</w:t>
            </w:r>
          </w:p>
        </w:tc>
      </w:tr>
      <w:tr w14:paraId="11571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noWrap w:val="0"/>
            <w:vAlign w:val="center"/>
          </w:tcPr>
          <w:p w14:paraId="2708CC9F">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2</w:t>
            </w:r>
          </w:p>
        </w:tc>
        <w:tc>
          <w:tcPr>
            <w:tcW w:w="3120" w:type="dxa"/>
            <w:noWrap w:val="0"/>
            <w:vAlign w:val="center"/>
          </w:tcPr>
          <w:p w14:paraId="111C6B13">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4566719.14</w:t>
            </w:r>
          </w:p>
        </w:tc>
        <w:tc>
          <w:tcPr>
            <w:tcW w:w="3434" w:type="dxa"/>
            <w:gridSpan w:val="2"/>
            <w:noWrap w:val="0"/>
            <w:vAlign w:val="center"/>
          </w:tcPr>
          <w:p w14:paraId="490CC3ED">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39566667.75</w:t>
            </w:r>
          </w:p>
        </w:tc>
      </w:tr>
      <w:tr w14:paraId="5CBCD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noWrap w:val="0"/>
            <w:vAlign w:val="center"/>
          </w:tcPr>
          <w:p w14:paraId="4390CEBB">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3</w:t>
            </w:r>
          </w:p>
        </w:tc>
        <w:tc>
          <w:tcPr>
            <w:tcW w:w="3120" w:type="dxa"/>
            <w:noWrap w:val="0"/>
            <w:vAlign w:val="center"/>
          </w:tcPr>
          <w:p w14:paraId="47316508">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4566389.13</w:t>
            </w:r>
          </w:p>
        </w:tc>
        <w:tc>
          <w:tcPr>
            <w:tcW w:w="3434" w:type="dxa"/>
            <w:gridSpan w:val="2"/>
            <w:noWrap w:val="0"/>
            <w:vAlign w:val="center"/>
          </w:tcPr>
          <w:p w14:paraId="03B08C9F">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39566727.75</w:t>
            </w:r>
          </w:p>
        </w:tc>
      </w:tr>
      <w:tr w14:paraId="1BB5D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noWrap w:val="0"/>
            <w:vAlign w:val="center"/>
          </w:tcPr>
          <w:p w14:paraId="72177720">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4</w:t>
            </w:r>
          </w:p>
        </w:tc>
        <w:tc>
          <w:tcPr>
            <w:tcW w:w="3120" w:type="dxa"/>
            <w:noWrap w:val="0"/>
            <w:vAlign w:val="center"/>
          </w:tcPr>
          <w:p w14:paraId="72CFD67A">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4566249.13</w:t>
            </w:r>
          </w:p>
        </w:tc>
        <w:tc>
          <w:tcPr>
            <w:tcW w:w="3434" w:type="dxa"/>
            <w:gridSpan w:val="2"/>
            <w:noWrap w:val="0"/>
            <w:vAlign w:val="center"/>
          </w:tcPr>
          <w:p w14:paraId="5895C0D9">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39566857.75</w:t>
            </w:r>
          </w:p>
        </w:tc>
      </w:tr>
      <w:tr w14:paraId="60649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noWrap w:val="0"/>
            <w:vAlign w:val="center"/>
          </w:tcPr>
          <w:p w14:paraId="5F5935D2">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5</w:t>
            </w:r>
          </w:p>
        </w:tc>
        <w:tc>
          <w:tcPr>
            <w:tcW w:w="3120" w:type="dxa"/>
            <w:noWrap w:val="0"/>
            <w:vAlign w:val="center"/>
          </w:tcPr>
          <w:p w14:paraId="55AE3973">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4565459.13</w:t>
            </w:r>
          </w:p>
        </w:tc>
        <w:tc>
          <w:tcPr>
            <w:tcW w:w="3434" w:type="dxa"/>
            <w:gridSpan w:val="2"/>
            <w:noWrap w:val="0"/>
            <w:vAlign w:val="center"/>
          </w:tcPr>
          <w:p w14:paraId="6DF414AD">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39566367.75</w:t>
            </w:r>
          </w:p>
        </w:tc>
      </w:tr>
      <w:tr w14:paraId="68980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7" w:type="pct"/>
            <w:noWrap w:val="0"/>
            <w:vAlign w:val="center"/>
          </w:tcPr>
          <w:p w14:paraId="4C9FAD97">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6</w:t>
            </w:r>
          </w:p>
        </w:tc>
        <w:tc>
          <w:tcPr>
            <w:tcW w:w="3120" w:type="dxa"/>
            <w:noWrap w:val="0"/>
            <w:vAlign w:val="center"/>
          </w:tcPr>
          <w:p w14:paraId="046E25A8">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4565489.13</w:t>
            </w:r>
          </w:p>
        </w:tc>
        <w:tc>
          <w:tcPr>
            <w:tcW w:w="3434" w:type="dxa"/>
            <w:gridSpan w:val="2"/>
            <w:noWrap w:val="0"/>
            <w:vAlign w:val="center"/>
          </w:tcPr>
          <w:p w14:paraId="647A32D2">
            <w:pPr>
              <w:keepNext w:val="0"/>
              <w:keepLines w:val="0"/>
              <w:pageBreakBefore w:val="0"/>
              <w:widowControl/>
              <w:kinsoku/>
              <w:wordWrap/>
              <w:overflowPunct/>
              <w:topLinePunct w:val="0"/>
              <w:bidi w:val="0"/>
              <w:adjustRightInd/>
              <w:snapToGrid/>
              <w:spacing w:line="240" w:lineRule="atLeas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39565792.75</w:t>
            </w:r>
          </w:p>
        </w:tc>
      </w:tr>
      <w:tr w14:paraId="2EAB3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69" w:hRule="atLeast"/>
          <w:jc w:val="center"/>
        </w:trPr>
        <w:tc>
          <w:tcPr>
            <w:tcW w:w="4991" w:type="pct"/>
            <w:gridSpan w:val="3"/>
            <w:noWrap w:val="0"/>
            <w:vAlign w:val="center"/>
          </w:tcPr>
          <w:p w14:paraId="372686DD">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矿区面积：1.2854平方公里</w:t>
            </w:r>
          </w:p>
        </w:tc>
      </w:tr>
      <w:tr w14:paraId="00D1C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69" w:hRule="atLeast"/>
          <w:jc w:val="center"/>
        </w:trPr>
        <w:tc>
          <w:tcPr>
            <w:tcW w:w="4991" w:type="pct"/>
            <w:gridSpan w:val="3"/>
            <w:noWrap w:val="0"/>
            <w:vAlign w:val="center"/>
          </w:tcPr>
          <w:p w14:paraId="6E00CEDC">
            <w:pPr>
              <w:pStyle w:val="149"/>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kern w:val="2"/>
                <w:sz w:val="21"/>
                <w:szCs w:val="21"/>
                <w:highlight w:val="none"/>
                <w:lang w:val="en-US" w:eastAsia="zh-CN" w:bidi="ar-SA"/>
              </w:rPr>
              <w:t>开采深度：由830m至600m标高</w:t>
            </w:r>
          </w:p>
        </w:tc>
      </w:tr>
    </w:tbl>
    <w:p w14:paraId="18D45C1E">
      <w:pPr>
        <w:pStyle w:val="2"/>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矿区范围见</w:t>
      </w:r>
      <w:r>
        <w:rPr>
          <w:rFonts w:hint="eastAsia" w:ascii="Times New Roman" w:hAnsi="Times New Roman" w:eastAsia="宋体" w:cs="Times New Roman"/>
          <w:color w:val="auto"/>
          <w:sz w:val="24"/>
          <w:szCs w:val="24"/>
          <w:highlight w:val="none"/>
          <w:lang w:val="en-US" w:eastAsia="zh-CN"/>
        </w:rPr>
        <w:t>下</w:t>
      </w:r>
      <w:r>
        <w:rPr>
          <w:rFonts w:hint="eastAsia" w:ascii="Times New Roman" w:hAnsi="Times New Roman" w:eastAsia="宋体" w:cs="Times New Roman"/>
          <w:color w:val="auto"/>
          <w:sz w:val="24"/>
          <w:szCs w:val="24"/>
          <w:highlight w:val="none"/>
          <w:lang w:eastAsia="zh-CN"/>
        </w:rPr>
        <w:t>图。</w:t>
      </w:r>
    </w:p>
    <w:p w14:paraId="0DD2BCC0">
      <w:pPr>
        <w:pStyle w:val="2"/>
        <w:keepNext w:val="0"/>
        <w:keepLines w:val="0"/>
        <w:pageBreakBefore w:val="0"/>
        <w:widowControl w:val="0"/>
        <w:kinsoku/>
        <w:wordWrap/>
        <w:overflowPunct/>
        <w:topLinePunct w:val="0"/>
        <w:bidi w:val="0"/>
        <w:snapToGrid/>
        <w:spacing w:line="360" w:lineRule="auto"/>
        <w:textAlignment w:val="auto"/>
        <w:rPr>
          <w:rFonts w:hint="default" w:ascii="Times New Roman" w:hAnsi="Times New Roman" w:cs="Times New Roman"/>
          <w:highlight w:val="none"/>
          <w:lang w:val="en-US" w:eastAsia="zh-CN"/>
        </w:rPr>
      </w:pPr>
      <w:r>
        <w:rPr>
          <w:highlight w:val="none"/>
        </w:rPr>
        <w:drawing>
          <wp:inline distT="0" distB="0" distL="114300" distR="114300">
            <wp:extent cx="5111750" cy="3547110"/>
            <wp:effectExtent l="0" t="0" r="8890" b="381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17"/>
                    <a:stretch>
                      <a:fillRect/>
                    </a:stretch>
                  </pic:blipFill>
                  <pic:spPr>
                    <a:xfrm>
                      <a:off x="0" y="0"/>
                      <a:ext cx="5111750" cy="3547110"/>
                    </a:xfrm>
                    <a:prstGeom prst="rect">
                      <a:avLst/>
                    </a:prstGeom>
                    <a:noFill/>
                    <a:ln>
                      <a:noFill/>
                    </a:ln>
                  </pic:spPr>
                </pic:pic>
              </a:graphicData>
            </a:graphic>
          </wp:inline>
        </w:drawing>
      </w:r>
    </w:p>
    <w:p w14:paraId="2AB6215A">
      <w:pPr>
        <w:keepNext w:val="0"/>
        <w:keepLines w:val="0"/>
        <w:pageBreakBefore w:val="0"/>
        <w:widowControl/>
        <w:numPr>
          <w:ilvl w:val="0"/>
          <w:numId w:val="21"/>
        </w:numPr>
        <w:kinsoku/>
        <w:wordWrap/>
        <w:overflowPunct/>
        <w:topLinePunct w:val="0"/>
        <w:autoSpaceDE/>
        <w:autoSpaceDN/>
        <w:bidi w:val="0"/>
        <w:adjustRightInd/>
        <w:snapToGrid/>
        <w:spacing w:line="360" w:lineRule="auto"/>
        <w:ind w:left="420" w:leftChars="0" w:hanging="420" w:firstLineChars="0"/>
        <w:jc w:val="center"/>
        <w:textAlignment w:val="auto"/>
        <w:rPr>
          <w:rFonts w:hint="default" w:ascii="Times New Roman" w:hAnsi="Times New Roman" w:eastAsia="宋体" w:cs="Times New Roman"/>
          <w:b/>
          <w:bCs/>
          <w:color w:val="auto"/>
          <w:szCs w:val="22"/>
          <w:highlight w:val="none"/>
        </w:rPr>
      </w:pPr>
      <w:r>
        <w:rPr>
          <w:rFonts w:hint="default" w:eastAsia="宋体" w:cs="Times New Roman"/>
          <w:b/>
          <w:bCs/>
          <w:color w:val="000000"/>
          <w:kern w:val="0"/>
          <w:sz w:val="21"/>
          <w:szCs w:val="21"/>
          <w:highlight w:val="none"/>
          <w:lang w:val="en-US" w:eastAsia="zh-CN"/>
        </w:rPr>
        <w:t>矿区</w:t>
      </w:r>
      <w:r>
        <w:rPr>
          <w:rFonts w:hint="default" w:ascii="Times New Roman" w:hAnsi="Times New Roman" w:eastAsia="宋体" w:cs="Times New Roman"/>
          <w:b/>
          <w:bCs/>
          <w:color w:val="auto"/>
          <w:szCs w:val="22"/>
          <w:highlight w:val="none"/>
        </w:rPr>
        <w:t>范围图</w:t>
      </w:r>
    </w:p>
    <w:p w14:paraId="0234073A">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cs="Times New Roman"/>
          <w:b/>
          <w:sz w:val="24"/>
          <w:szCs w:val="24"/>
          <w:highlight w:val="none"/>
          <w:lang w:val="en-US" w:eastAsia="zh-CN"/>
        </w:rPr>
      </w:pPr>
      <w:r>
        <w:rPr>
          <w:rFonts w:hint="eastAsia" w:cs="Times New Roman"/>
          <w:b/>
          <w:sz w:val="24"/>
          <w:szCs w:val="24"/>
          <w:highlight w:val="none"/>
          <w:lang w:val="en-US" w:eastAsia="zh-CN"/>
        </w:rPr>
        <w:t>3.1.3.2选厂工程</w:t>
      </w:r>
    </w:p>
    <w:p w14:paraId="3AC1A3B5">
      <w:pPr>
        <w:pStyle w:val="21"/>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sz w:val="24"/>
          <w:szCs w:val="24"/>
          <w:highlight w:val="none"/>
          <w:lang w:val="en-US" w:eastAsia="zh-CN"/>
        </w:rPr>
      </w:pPr>
      <w:r>
        <w:rPr>
          <w:rFonts w:hint="eastAsia" w:cs="Times New Roman"/>
          <w:sz w:val="24"/>
          <w:szCs w:val="24"/>
          <w:highlight w:val="none"/>
          <w:lang w:val="en-US" w:eastAsia="zh-CN"/>
        </w:rPr>
        <w:t>（1）环保手续</w:t>
      </w:r>
    </w:p>
    <w:p w14:paraId="7CFFA89C">
      <w:pPr>
        <w:pStyle w:val="21"/>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highlight w:val="none"/>
          <w:lang w:val="en-US" w:eastAsia="zh-CN"/>
        </w:rPr>
      </w:pPr>
      <w:r>
        <w:rPr>
          <w:rFonts w:hint="eastAsia" w:cs="Times New Roman"/>
          <w:sz w:val="24"/>
          <w:szCs w:val="24"/>
          <w:highlight w:val="none"/>
          <w:lang w:val="en-US" w:eastAsia="zh-CN"/>
        </w:rPr>
        <w:t>2003年，</w:t>
      </w:r>
      <w:r>
        <w:rPr>
          <w:rFonts w:hint="eastAsia" w:cs="Times New Roman"/>
          <w:sz w:val="24"/>
          <w:szCs w:val="24"/>
          <w:highlight w:val="none"/>
          <w:lang w:eastAsia="zh-CN"/>
        </w:rPr>
        <w:t>承德天宝矿业集团大昌矿业有限公司</w:t>
      </w:r>
      <w:r>
        <w:rPr>
          <w:rFonts w:hint="eastAsia" w:cs="Times New Roman"/>
          <w:sz w:val="24"/>
          <w:szCs w:val="24"/>
          <w:highlight w:val="none"/>
          <w:lang w:val="en-US" w:eastAsia="zh-CN"/>
        </w:rPr>
        <w:t>委托</w:t>
      </w:r>
      <w:r>
        <w:rPr>
          <w:rFonts w:hint="default" w:ascii="Times New Roman" w:hAnsi="Times New Roman" w:cs="Times New Roman"/>
          <w:sz w:val="24"/>
          <w:szCs w:val="24"/>
          <w:highlight w:val="none"/>
          <w:lang w:val="en-US" w:eastAsia="zh-CN"/>
        </w:rPr>
        <w:t>承德市环境保护研究所</w:t>
      </w:r>
      <w:r>
        <w:rPr>
          <w:rFonts w:hint="eastAsia" w:cs="Times New Roman"/>
          <w:sz w:val="24"/>
          <w:szCs w:val="24"/>
          <w:highlight w:val="none"/>
          <w:lang w:val="en-US" w:eastAsia="zh-CN"/>
        </w:rPr>
        <w:t>编制了《隆化县大昌矿业有限责任公司年处理低品位铁矿石120万吨选矿厂建设项目环境影响报告书》，年处理铁矿石120万t，年产铁精粉20万t，2003年9月15日取得承德市环境保护局《关于隆化县大昌矿业有限责任公司年处理低品位铁矿石120万吨选矿厂建设项目环境影响报告书的批复》，批复文号为“承市环保[2003]164号”，详见附件2；2005年11月8日，该项目取得承德市环境保护局的竣工环境保护验收意见，文号为“承环验（2005）043号”，详见附件3。</w:t>
      </w:r>
    </w:p>
    <w:p w14:paraId="47155A05">
      <w:pPr>
        <w:pageBreakBefore w:val="0"/>
        <w:widowControl w:val="0"/>
        <w:kinsoku/>
        <w:wordWrap/>
        <w:overflowPunct/>
        <w:autoSpaceDE/>
        <w:autoSpaceDN/>
        <w:bidi w:val="0"/>
        <w:spacing w:line="360" w:lineRule="auto"/>
        <w:ind w:firstLine="480" w:firstLineChars="200"/>
        <w:rPr>
          <w:rFonts w:hint="eastAsia" w:ascii="Times New Roman" w:hAnsi="Times New Roman" w:cs="Times New Roman"/>
          <w:color w:val="000000"/>
          <w:kern w:val="0"/>
          <w:sz w:val="24"/>
          <w:highlight w:val="none"/>
          <w:lang w:eastAsia="zh-CN"/>
        </w:rPr>
      </w:pPr>
      <w:r>
        <w:rPr>
          <w:rFonts w:hint="eastAsia" w:cs="Times New Roman"/>
          <w:sz w:val="24"/>
          <w:szCs w:val="24"/>
          <w:highlight w:val="none"/>
          <w:lang w:val="en-US" w:eastAsia="zh-CN"/>
        </w:rPr>
        <w:t>2020年5月，公司委托河北圣泓环保科技有限责任公司编制完成《承德天宝矿业集团大昌矿业有限公司矿山废弃资源综合利用项目环境影响报告书》，2020年6月19日，承德市生态环境局隆化县分局出具了该项目环评批复，批复文号为“隆环评复</w:t>
      </w:r>
      <w:r>
        <w:rPr>
          <w:rFonts w:hint="default" w:ascii="Times New Roman" w:hAnsi="Times New Roman" w:cs="Times New Roman"/>
          <w:sz w:val="24"/>
          <w:szCs w:val="24"/>
          <w:highlight w:val="none"/>
          <w:lang w:val="en-US" w:eastAsia="zh-CN"/>
        </w:rPr>
        <w:t>[20</w:t>
      </w:r>
      <w:r>
        <w:rPr>
          <w:rFonts w:hint="eastAsia" w:cs="Times New Roman"/>
          <w:sz w:val="24"/>
          <w:szCs w:val="24"/>
          <w:highlight w:val="none"/>
          <w:lang w:val="en-US" w:eastAsia="zh-CN"/>
        </w:rPr>
        <w:t>20</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4号”，详见附件4。2024年8月23日，公司组织完成该项目自主验收，验收意见详见附件5。</w:t>
      </w:r>
    </w:p>
    <w:p w14:paraId="4365C60E">
      <w:pPr>
        <w:pageBreakBefore w:val="0"/>
        <w:widowControl w:val="0"/>
        <w:kinsoku/>
        <w:wordWrap/>
        <w:overflowPunct/>
        <w:autoSpaceDE/>
        <w:autoSpaceDN/>
        <w:bidi w:val="0"/>
        <w:spacing w:line="360" w:lineRule="auto"/>
        <w:ind w:firstLine="480" w:firstLineChars="200"/>
        <w:rPr>
          <w:rFonts w:hint="eastAsia" w:ascii="Times New Roman" w:hAnsi="Times New Roman" w:cs="Times New Roman"/>
          <w:color w:val="000000"/>
          <w:kern w:val="0"/>
          <w:sz w:val="24"/>
          <w:highlight w:val="none"/>
          <w:lang w:eastAsia="zh-CN"/>
        </w:rPr>
      </w:pPr>
      <w:r>
        <w:rPr>
          <w:rFonts w:hint="eastAsia" w:cs="Times New Roman"/>
          <w:sz w:val="24"/>
          <w:szCs w:val="24"/>
          <w:highlight w:val="none"/>
          <w:lang w:val="en-US" w:eastAsia="zh-CN"/>
        </w:rPr>
        <w:t>2023年11月23日，公司取得固定污染源排污登记回执，登记编号为911308257681309530001W，有效期为2023年11月23日至2028年11月22日，详见附件7。</w:t>
      </w:r>
    </w:p>
    <w:p w14:paraId="1DA5C002">
      <w:pPr>
        <w:pageBreakBefore w:val="0"/>
        <w:widowControl w:val="0"/>
        <w:kinsoku/>
        <w:wordWrap/>
        <w:overflowPunct/>
        <w:autoSpaceDE/>
        <w:autoSpaceDN/>
        <w:bidi w:val="0"/>
        <w:spacing w:line="360" w:lineRule="auto"/>
        <w:ind w:firstLine="480" w:firstLineChars="200"/>
        <w:rPr>
          <w:rFonts w:hint="default" w:ascii="Times New Roman" w:hAnsi="Times New Roman" w:cs="Times New Roman"/>
          <w:color w:val="000000"/>
          <w:kern w:val="0"/>
          <w:sz w:val="24"/>
          <w:highlight w:val="none"/>
          <w:lang w:val="en-US" w:eastAsia="zh-CN"/>
        </w:rPr>
      </w:pPr>
      <w:r>
        <w:rPr>
          <w:rFonts w:hint="eastAsia" w:cs="Times New Roman"/>
          <w:color w:val="000000"/>
          <w:kern w:val="0"/>
          <w:sz w:val="24"/>
          <w:highlight w:val="none"/>
          <w:lang w:eastAsia="zh-CN"/>
        </w:rPr>
        <w:t>（</w:t>
      </w:r>
      <w:r>
        <w:rPr>
          <w:rFonts w:hint="eastAsia" w:cs="Times New Roman"/>
          <w:color w:val="000000"/>
          <w:kern w:val="0"/>
          <w:sz w:val="24"/>
          <w:highlight w:val="none"/>
          <w:lang w:val="en-US" w:eastAsia="zh-CN"/>
        </w:rPr>
        <w:t>2</w:t>
      </w:r>
      <w:r>
        <w:rPr>
          <w:rFonts w:hint="eastAsia" w:cs="Times New Roman"/>
          <w:color w:val="000000"/>
          <w:kern w:val="0"/>
          <w:sz w:val="24"/>
          <w:highlight w:val="none"/>
          <w:lang w:eastAsia="zh-CN"/>
        </w:rPr>
        <w:t>）</w:t>
      </w:r>
      <w:r>
        <w:rPr>
          <w:rFonts w:hint="eastAsia" w:cs="Times New Roman"/>
          <w:color w:val="000000"/>
          <w:kern w:val="0"/>
          <w:sz w:val="24"/>
          <w:highlight w:val="none"/>
          <w:lang w:val="en-US" w:eastAsia="zh-CN"/>
        </w:rPr>
        <w:t>工程内容</w:t>
      </w:r>
    </w:p>
    <w:p w14:paraId="4BF0BD5A">
      <w:pPr>
        <w:pageBreakBefore w:val="0"/>
        <w:widowControl w:val="0"/>
        <w:kinsoku/>
        <w:wordWrap/>
        <w:overflowPunct/>
        <w:autoSpaceDE/>
        <w:autoSpaceDN/>
        <w:bidi w:val="0"/>
        <w:spacing w:line="360" w:lineRule="auto"/>
        <w:ind w:firstLine="480" w:firstLineChars="200"/>
        <w:rPr>
          <w:rFonts w:hint="eastAsia" w:ascii="Times New Roman" w:hAnsi="Times New Roman" w:cs="Times New Roman"/>
          <w:color w:val="000000"/>
          <w:kern w:val="0"/>
          <w:sz w:val="24"/>
          <w:highlight w:val="none"/>
          <w:lang w:eastAsia="zh-CN"/>
        </w:rPr>
      </w:pPr>
      <w:r>
        <w:rPr>
          <w:rFonts w:hint="eastAsia" w:cs="Times New Roman"/>
          <w:color w:val="000000"/>
          <w:kern w:val="0"/>
          <w:sz w:val="24"/>
          <w:highlight w:val="none"/>
          <w:lang w:val="en-US" w:eastAsia="zh-CN"/>
        </w:rPr>
        <w:t>选厂</w:t>
      </w:r>
      <w:r>
        <w:rPr>
          <w:rFonts w:hint="eastAsia" w:ascii="Times New Roman" w:hAnsi="Times New Roman" w:cs="Times New Roman"/>
          <w:color w:val="000000"/>
          <w:kern w:val="0"/>
          <w:sz w:val="24"/>
          <w:highlight w:val="none"/>
          <w:lang w:eastAsia="zh-CN"/>
        </w:rPr>
        <w:t>占地面积60000m</w:t>
      </w:r>
      <w:r>
        <w:rPr>
          <w:rFonts w:hint="eastAsia" w:ascii="Times New Roman" w:hAnsi="Times New Roman" w:cs="Times New Roman"/>
          <w:color w:val="000000"/>
          <w:kern w:val="0"/>
          <w:sz w:val="24"/>
          <w:highlight w:val="none"/>
          <w:vertAlign w:val="superscript"/>
          <w:lang w:eastAsia="zh-CN"/>
        </w:rPr>
        <w:t>2</w:t>
      </w:r>
      <w:r>
        <w:rPr>
          <w:rFonts w:hint="eastAsia" w:ascii="Times New Roman" w:hAnsi="Times New Roman" w:cs="Times New Roman"/>
          <w:color w:val="000000"/>
          <w:kern w:val="0"/>
          <w:sz w:val="24"/>
          <w:highlight w:val="none"/>
          <w:lang w:eastAsia="zh-CN"/>
        </w:rPr>
        <w:t>，建设原矿堆场、破碎车间、磨选车间、浮选车间、配药车间、分级车间、脱水车间、铁精粉库房、磷精粉库房</w:t>
      </w:r>
      <w:r>
        <w:rPr>
          <w:rFonts w:hint="eastAsia" w:cs="Times New Roman"/>
          <w:color w:val="000000"/>
          <w:kern w:val="0"/>
          <w:sz w:val="24"/>
          <w:highlight w:val="none"/>
          <w:lang w:eastAsia="zh-CN"/>
        </w:rPr>
        <w:t>、</w:t>
      </w:r>
      <w:r>
        <w:rPr>
          <w:rFonts w:hint="eastAsia" w:cs="Times New Roman"/>
          <w:color w:val="000000"/>
          <w:kern w:val="0"/>
          <w:sz w:val="24"/>
          <w:highlight w:val="none"/>
          <w:lang w:val="en-US" w:eastAsia="zh-CN"/>
        </w:rPr>
        <w:t>办公用房</w:t>
      </w:r>
      <w:r>
        <w:rPr>
          <w:rFonts w:hint="eastAsia" w:ascii="Times New Roman" w:hAnsi="Times New Roman" w:cs="Times New Roman"/>
          <w:color w:val="000000"/>
          <w:kern w:val="0"/>
          <w:sz w:val="24"/>
          <w:highlight w:val="none"/>
          <w:lang w:eastAsia="zh-CN"/>
        </w:rPr>
        <w:t>等。</w:t>
      </w:r>
    </w:p>
    <w:p w14:paraId="65F56192">
      <w:pPr>
        <w:pageBreakBefore w:val="0"/>
        <w:widowControl w:val="0"/>
        <w:kinsoku/>
        <w:wordWrap/>
        <w:overflowPunct/>
        <w:autoSpaceDE/>
        <w:autoSpaceDN/>
        <w:bidi w:val="0"/>
        <w:spacing w:line="360" w:lineRule="auto"/>
        <w:ind w:firstLine="480" w:firstLineChars="200"/>
        <w:rPr>
          <w:rFonts w:hint="default" w:cs="Times New Roman"/>
          <w:color w:val="000000"/>
          <w:kern w:val="0"/>
          <w:sz w:val="24"/>
          <w:highlight w:val="none"/>
          <w:lang w:val="en-US" w:eastAsia="zh-CN"/>
        </w:rPr>
      </w:pPr>
      <w:r>
        <w:rPr>
          <w:rFonts w:hint="eastAsia" w:cs="Times New Roman"/>
          <w:color w:val="000000"/>
          <w:kern w:val="0"/>
          <w:sz w:val="24"/>
          <w:highlight w:val="none"/>
          <w:lang w:eastAsia="zh-CN"/>
        </w:rPr>
        <w:t>（</w:t>
      </w:r>
      <w:r>
        <w:rPr>
          <w:rFonts w:hint="eastAsia" w:cs="Times New Roman"/>
          <w:color w:val="000000"/>
          <w:kern w:val="0"/>
          <w:sz w:val="24"/>
          <w:highlight w:val="none"/>
          <w:lang w:val="en-US" w:eastAsia="zh-CN"/>
        </w:rPr>
        <w:t>3</w:t>
      </w:r>
      <w:r>
        <w:rPr>
          <w:rFonts w:hint="eastAsia" w:cs="Times New Roman"/>
          <w:color w:val="000000"/>
          <w:kern w:val="0"/>
          <w:sz w:val="24"/>
          <w:highlight w:val="none"/>
          <w:lang w:eastAsia="zh-CN"/>
        </w:rPr>
        <w:t>）</w:t>
      </w:r>
      <w:r>
        <w:rPr>
          <w:rFonts w:hint="eastAsia" w:cs="Times New Roman"/>
          <w:color w:val="000000"/>
          <w:kern w:val="0"/>
          <w:sz w:val="24"/>
          <w:highlight w:val="none"/>
          <w:lang w:val="en-US" w:eastAsia="zh-CN"/>
        </w:rPr>
        <w:t>生产规模</w:t>
      </w:r>
    </w:p>
    <w:p w14:paraId="08F85016">
      <w:pPr>
        <w:pageBreakBefore w:val="0"/>
        <w:widowControl w:val="0"/>
        <w:kinsoku/>
        <w:wordWrap/>
        <w:overflowPunct/>
        <w:autoSpaceDE/>
        <w:autoSpaceDN/>
        <w:bidi w:val="0"/>
        <w:spacing w:line="360" w:lineRule="auto"/>
        <w:ind w:firstLine="480" w:firstLineChars="200"/>
        <w:rPr>
          <w:rFonts w:hint="eastAsia" w:cs="Times New Roman"/>
          <w:color w:val="000000"/>
          <w:kern w:val="0"/>
          <w:sz w:val="24"/>
          <w:highlight w:val="none"/>
          <w:lang w:eastAsia="zh-CN"/>
        </w:rPr>
      </w:pPr>
      <w:r>
        <w:rPr>
          <w:rFonts w:hint="eastAsia" w:cs="Times New Roman"/>
          <w:color w:val="000000"/>
          <w:kern w:val="0"/>
          <w:sz w:val="24"/>
          <w:highlight w:val="none"/>
          <w:lang w:eastAsia="zh-CN"/>
        </w:rPr>
        <w:t>年处理铁矿石120万t，年产铁精粉20万t、磷精粉10万t、砂石料16万t。</w:t>
      </w:r>
    </w:p>
    <w:p w14:paraId="5DB06B4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cs="Times New Roman"/>
          <w:b/>
          <w:sz w:val="24"/>
          <w:szCs w:val="24"/>
          <w:highlight w:val="none"/>
          <w:lang w:val="en-US" w:eastAsia="zh-CN"/>
        </w:rPr>
      </w:pPr>
      <w:r>
        <w:rPr>
          <w:rFonts w:hint="eastAsia" w:cs="Times New Roman"/>
          <w:b/>
          <w:sz w:val="24"/>
          <w:szCs w:val="24"/>
          <w:highlight w:val="none"/>
          <w:lang w:val="en-US" w:eastAsia="zh-CN"/>
        </w:rPr>
        <w:t>3.13.3尾矿库工程</w:t>
      </w:r>
    </w:p>
    <w:p w14:paraId="075BB619">
      <w:pPr>
        <w:keepNext w:val="0"/>
        <w:keepLines w:val="0"/>
        <w:pageBreakBefore w:val="0"/>
        <w:widowControl w:val="0"/>
        <w:kinsoku/>
        <w:wordWrap/>
        <w:overflowPunct/>
        <w:topLinePunct w:val="0"/>
        <w:bidi w:val="0"/>
        <w:snapToGrid/>
        <w:spacing w:line="360" w:lineRule="auto"/>
        <w:ind w:firstLine="480"/>
        <w:textAlignment w:val="auto"/>
        <w:rPr>
          <w:rFonts w:hint="default" w:eastAsia="宋体" w:cs="Times New Roman"/>
          <w:b/>
          <w:bCs w:val="0"/>
          <w:sz w:val="24"/>
          <w:szCs w:val="24"/>
          <w:highlight w:val="none"/>
          <w:lang w:val="en-US" w:eastAsia="zh-CN"/>
        </w:rPr>
      </w:pPr>
      <w:r>
        <w:rPr>
          <w:rFonts w:hint="eastAsia" w:cs="Times New Roman"/>
          <w:b/>
          <w:bCs w:val="0"/>
          <w:sz w:val="24"/>
          <w:szCs w:val="24"/>
          <w:highlight w:val="none"/>
          <w:lang w:eastAsia="zh-CN"/>
        </w:rPr>
        <w:t>（</w:t>
      </w:r>
      <w:r>
        <w:rPr>
          <w:rFonts w:hint="eastAsia" w:cs="Times New Roman"/>
          <w:b/>
          <w:bCs w:val="0"/>
          <w:sz w:val="24"/>
          <w:szCs w:val="24"/>
          <w:highlight w:val="none"/>
          <w:lang w:val="en-US" w:eastAsia="zh-CN"/>
        </w:rPr>
        <w:t>1</w:t>
      </w:r>
      <w:r>
        <w:rPr>
          <w:rFonts w:hint="eastAsia" w:cs="Times New Roman"/>
          <w:b/>
          <w:bCs w:val="0"/>
          <w:sz w:val="24"/>
          <w:szCs w:val="24"/>
          <w:highlight w:val="none"/>
          <w:lang w:eastAsia="zh-CN"/>
        </w:rPr>
        <w:t>）</w:t>
      </w:r>
      <w:r>
        <w:rPr>
          <w:rFonts w:hint="eastAsia" w:cs="Times New Roman"/>
          <w:b/>
          <w:bCs w:val="0"/>
          <w:sz w:val="24"/>
          <w:szCs w:val="24"/>
          <w:highlight w:val="none"/>
          <w:lang w:val="en-US" w:eastAsia="zh-CN"/>
        </w:rPr>
        <w:t>尾矿库现状</w:t>
      </w:r>
    </w:p>
    <w:p w14:paraId="4027108A">
      <w:pPr>
        <w:keepNext w:val="0"/>
        <w:keepLines w:val="0"/>
        <w:pageBreakBefore w:val="0"/>
        <w:widowControl w:val="0"/>
        <w:kinsoku/>
        <w:wordWrap/>
        <w:overflowPunct/>
        <w:topLinePunct w:val="0"/>
        <w:bidi w:val="0"/>
        <w:snapToGrid/>
        <w:spacing w:line="360" w:lineRule="auto"/>
        <w:ind w:firstLine="480"/>
        <w:textAlignment w:val="auto"/>
        <w:rPr>
          <w:rFonts w:cs="Times New Roman"/>
          <w:bCs/>
          <w:sz w:val="24"/>
          <w:szCs w:val="24"/>
          <w:highlight w:val="none"/>
        </w:rPr>
      </w:pPr>
      <w:r>
        <w:rPr>
          <w:rFonts w:hint="eastAsia" w:cs="Times New Roman"/>
          <w:bCs/>
          <w:sz w:val="24"/>
          <w:szCs w:val="24"/>
          <w:highlight w:val="none"/>
        </w:rPr>
        <w:t>承德天宝矿业集团大昌矿业有限公司东北沟尾矿库位于隆化县韩麻营镇东兴村东北沟，沟长约800m，地面标高670m-820m。尾矿库为山谷型尾矿库，沟谷横断面呈“V”型，库区走向西北-东南，尾矿库西北邻S352省道，尾矿库通过乡间道路与S352省道相连。尾矿库库区下游1500m处为大昌矿业有限公司办公区，1600m处为东兴村。大昌矿业有限公司选矿车间位于尾矿库下游900m处。尾矿库总库容为851.8万m³，总坝高109.0m，为三等库。</w:t>
      </w:r>
    </w:p>
    <w:p w14:paraId="401DBBEE">
      <w:pPr>
        <w:keepNext w:val="0"/>
        <w:keepLines w:val="0"/>
        <w:pageBreakBefore w:val="0"/>
        <w:widowControl w:val="0"/>
        <w:kinsoku/>
        <w:wordWrap/>
        <w:overflowPunct/>
        <w:topLinePunct w:val="0"/>
        <w:bidi w:val="0"/>
        <w:snapToGrid/>
        <w:spacing w:line="360" w:lineRule="auto"/>
        <w:ind w:firstLine="480"/>
        <w:textAlignment w:val="auto"/>
        <w:rPr>
          <w:rFonts w:cs="Times New Roman"/>
          <w:bCs/>
          <w:sz w:val="24"/>
          <w:szCs w:val="24"/>
          <w:highlight w:val="none"/>
        </w:rPr>
      </w:pPr>
      <w:r>
        <w:rPr>
          <w:rFonts w:hint="eastAsia" w:cs="Times New Roman"/>
          <w:bCs/>
          <w:sz w:val="24"/>
          <w:szCs w:val="24"/>
          <w:highlight w:val="none"/>
        </w:rPr>
        <w:t>初期坝：透水堆石坝型，现状坝脚标高673.5m，坝轴线底标高约为676.0m，坝顶标高695.2m，坝高19.2m，坝顶宽2.8m，平均坡比为1:1.88。</w:t>
      </w:r>
    </w:p>
    <w:p w14:paraId="28AECF19">
      <w:pPr>
        <w:keepNext w:val="0"/>
        <w:keepLines w:val="0"/>
        <w:pageBreakBefore w:val="0"/>
        <w:widowControl w:val="0"/>
        <w:kinsoku/>
        <w:wordWrap/>
        <w:overflowPunct/>
        <w:topLinePunct w:val="0"/>
        <w:bidi w:val="0"/>
        <w:snapToGrid/>
        <w:spacing w:line="360" w:lineRule="auto"/>
        <w:ind w:firstLine="480"/>
        <w:textAlignment w:val="auto"/>
        <w:rPr>
          <w:rFonts w:cs="Times New Roman"/>
          <w:bCs/>
          <w:sz w:val="24"/>
          <w:szCs w:val="24"/>
          <w:highlight w:val="none"/>
        </w:rPr>
      </w:pPr>
      <w:r>
        <w:rPr>
          <w:rFonts w:hint="eastAsia" w:cs="Times New Roman"/>
          <w:bCs/>
          <w:sz w:val="24"/>
          <w:szCs w:val="24"/>
          <w:highlight w:val="none"/>
        </w:rPr>
        <w:t>堆积坝：堆积坝现状滩顶标高为777.9m，现状总坝高101.9m，已使用库容约748万m³，该尾矿库西侧堆积坝坝顶标高776.6m，767.6m~776.6m标高堆积坝平均坡比1:4.3；767.6m标高平台位于坝体西侧支沟；支沟平台以下堆积坝（757.4m~765.7m）平均坡比1:3.8。排洪系统：采用排水斜槽～转流井～排水管～排水隧洞型式，其中，排洪采用排水斜槽，回水采用排水管+排水隧洞。</w:t>
      </w:r>
    </w:p>
    <w:p w14:paraId="50EF416A">
      <w:pPr>
        <w:keepNext w:val="0"/>
        <w:keepLines w:val="0"/>
        <w:pageBreakBefore w:val="0"/>
        <w:widowControl w:val="0"/>
        <w:kinsoku/>
        <w:wordWrap/>
        <w:overflowPunct/>
        <w:topLinePunct w:val="0"/>
        <w:bidi w:val="0"/>
        <w:snapToGrid/>
        <w:spacing w:line="360" w:lineRule="auto"/>
        <w:ind w:firstLine="480"/>
        <w:textAlignment w:val="auto"/>
        <w:rPr>
          <w:rFonts w:cs="Times New Roman"/>
          <w:bCs/>
          <w:sz w:val="24"/>
          <w:szCs w:val="24"/>
          <w:highlight w:val="none"/>
        </w:rPr>
      </w:pPr>
      <w:r>
        <w:rPr>
          <w:rFonts w:hint="eastAsia" w:cs="Times New Roman"/>
          <w:bCs/>
          <w:sz w:val="24"/>
          <w:szCs w:val="24"/>
          <w:highlight w:val="none"/>
        </w:rPr>
        <w:t>观测设施：在696.0m、723.0m、757.0m平台各3个坝体位移观测点共9个，山体坝体位移观测基准桩2个。在标高704.0m平台设置1个，713.0m、721.0m、733.0m、743.0m、757.0m平台各2个，共11个。在标高721.0m、730.0m共设有4个在线监测孔。</w:t>
      </w:r>
    </w:p>
    <w:p w14:paraId="705B74E2">
      <w:pPr>
        <w:keepNext w:val="0"/>
        <w:keepLines w:val="0"/>
        <w:pageBreakBefore w:val="0"/>
        <w:widowControl w:val="0"/>
        <w:kinsoku/>
        <w:wordWrap/>
        <w:overflowPunct/>
        <w:topLinePunct w:val="0"/>
        <w:bidi w:val="0"/>
        <w:snapToGrid/>
        <w:spacing w:line="360" w:lineRule="auto"/>
        <w:ind w:firstLine="480"/>
        <w:textAlignment w:val="auto"/>
        <w:rPr>
          <w:rFonts w:hint="default" w:cs="Times New Roman"/>
          <w:b/>
          <w:bCs w:val="0"/>
          <w:sz w:val="24"/>
          <w:szCs w:val="24"/>
          <w:highlight w:val="none"/>
          <w:lang w:val="en-US" w:eastAsia="zh-CN"/>
        </w:rPr>
      </w:pPr>
      <w:r>
        <w:rPr>
          <w:rFonts w:hint="eastAsia" w:cs="Times New Roman"/>
          <w:b/>
          <w:bCs w:val="0"/>
          <w:sz w:val="24"/>
          <w:szCs w:val="24"/>
          <w:highlight w:val="none"/>
          <w:lang w:eastAsia="zh-CN"/>
        </w:rPr>
        <w:t>（</w:t>
      </w:r>
      <w:r>
        <w:rPr>
          <w:rFonts w:hint="eastAsia" w:cs="Times New Roman"/>
          <w:b/>
          <w:bCs w:val="0"/>
          <w:sz w:val="24"/>
          <w:szCs w:val="24"/>
          <w:highlight w:val="none"/>
          <w:lang w:val="en-US" w:eastAsia="zh-CN"/>
        </w:rPr>
        <w:t>2</w:t>
      </w:r>
      <w:r>
        <w:rPr>
          <w:rFonts w:hint="eastAsia" w:cs="Times New Roman"/>
          <w:b/>
          <w:bCs w:val="0"/>
          <w:sz w:val="24"/>
          <w:szCs w:val="24"/>
          <w:highlight w:val="none"/>
          <w:lang w:eastAsia="zh-CN"/>
        </w:rPr>
        <w:t>）</w:t>
      </w:r>
      <w:r>
        <w:rPr>
          <w:rFonts w:hint="eastAsia" w:cs="Times New Roman"/>
          <w:b/>
          <w:bCs w:val="0"/>
          <w:sz w:val="24"/>
          <w:szCs w:val="24"/>
          <w:highlight w:val="none"/>
          <w:lang w:val="en-US" w:eastAsia="zh-CN"/>
        </w:rPr>
        <w:t>尾矿库稳定性</w:t>
      </w:r>
    </w:p>
    <w:p w14:paraId="51574E72">
      <w:pPr>
        <w:keepNext w:val="0"/>
        <w:keepLines w:val="0"/>
        <w:pageBreakBefore w:val="0"/>
        <w:widowControl w:val="0"/>
        <w:kinsoku/>
        <w:wordWrap/>
        <w:overflowPunct/>
        <w:topLinePunct w:val="0"/>
        <w:bidi w:val="0"/>
        <w:snapToGrid/>
        <w:spacing w:line="360" w:lineRule="auto"/>
        <w:ind w:firstLine="480"/>
        <w:textAlignment w:val="auto"/>
        <w:rPr>
          <w:rFonts w:hint="eastAsia" w:cs="Times New Roman"/>
          <w:b w:val="0"/>
          <w:bCs/>
          <w:sz w:val="24"/>
          <w:szCs w:val="24"/>
          <w:highlight w:val="none"/>
          <w:lang w:eastAsia="zh-CN"/>
        </w:rPr>
      </w:pPr>
      <w:r>
        <w:rPr>
          <w:rFonts w:hint="eastAsia" w:cs="Times New Roman"/>
          <w:b w:val="0"/>
          <w:bCs/>
          <w:sz w:val="24"/>
          <w:szCs w:val="24"/>
          <w:highlight w:val="none"/>
          <w:lang w:val="en-US" w:eastAsia="zh-CN"/>
        </w:rPr>
        <w:t>2024年10月，公司委托河北华勘资环勘测有限公司编制完成《承德天宝矿业集团大昌矿业有限公司东北沟尾矿库边坡稳定性分析报告》（备案版），</w:t>
      </w:r>
      <w:r>
        <w:rPr>
          <w:rFonts w:hint="default" w:ascii="Times New Roman" w:hAnsi="Times New Roman" w:cs="Times New Roman"/>
          <w:b w:val="0"/>
          <w:bCs/>
          <w:sz w:val="24"/>
          <w:szCs w:val="24"/>
          <w:highlight w:val="none"/>
          <w:lang w:val="en-US" w:eastAsia="zh-CN"/>
        </w:rPr>
        <w:t>现状尾矿库为三等库，边坡危害等级Ⅰ级，边坡工程安全等级为Ⅰ级。本次边坡稳定性分析通过现场实地调绘，在充分分析边坡现状和工程地质条件的基础上，采用定性分析和定量分析两种方法对采场的边坡进行了稳定性分析：拟建尾矿库自然工况下边坡稳定性满足规范要求（1.50~1.30），边坡稳定；降雨工况下边坡稳定性满足规范要求（1.20~1.25），边坡稳定；地震工况下边坡稳定性满足规范要求（1.20~1.25），边坡稳定</w:t>
      </w:r>
      <w:r>
        <w:rPr>
          <w:rFonts w:hint="eastAsia" w:ascii="Times New Roman" w:hAnsi="Times New Roman" w:cs="Times New Roman"/>
          <w:b w:val="0"/>
          <w:bCs/>
          <w:sz w:val="24"/>
          <w:szCs w:val="24"/>
          <w:highlight w:val="none"/>
          <w:lang w:val="en-US" w:eastAsia="zh-CN"/>
        </w:rPr>
        <w:t>。</w:t>
      </w:r>
    </w:p>
    <w:p w14:paraId="1AC0C8C2">
      <w:pPr>
        <w:keepNext w:val="0"/>
        <w:keepLines w:val="0"/>
        <w:pageBreakBefore w:val="0"/>
        <w:widowControl w:val="0"/>
        <w:kinsoku/>
        <w:wordWrap/>
        <w:overflowPunct/>
        <w:topLinePunct w:val="0"/>
        <w:bidi w:val="0"/>
        <w:snapToGrid/>
        <w:spacing w:line="360" w:lineRule="auto"/>
        <w:ind w:firstLine="480"/>
        <w:textAlignment w:val="auto"/>
        <w:rPr>
          <w:rFonts w:hint="eastAsia" w:eastAsia="宋体" w:cs="Times New Roman"/>
          <w:b/>
          <w:bCs w:val="0"/>
          <w:sz w:val="24"/>
          <w:szCs w:val="24"/>
          <w:highlight w:val="none"/>
          <w:lang w:eastAsia="zh-CN"/>
        </w:rPr>
      </w:pPr>
      <w:r>
        <w:rPr>
          <w:rFonts w:hint="eastAsia" w:cs="Times New Roman"/>
          <w:b/>
          <w:bCs w:val="0"/>
          <w:sz w:val="24"/>
          <w:szCs w:val="24"/>
          <w:highlight w:val="none"/>
          <w:lang w:eastAsia="zh-CN"/>
        </w:rPr>
        <w:t>（</w:t>
      </w:r>
      <w:r>
        <w:rPr>
          <w:rFonts w:hint="eastAsia" w:cs="Times New Roman"/>
          <w:b/>
          <w:bCs w:val="0"/>
          <w:sz w:val="24"/>
          <w:szCs w:val="24"/>
          <w:highlight w:val="none"/>
          <w:lang w:val="en-US" w:eastAsia="zh-CN"/>
        </w:rPr>
        <w:t>3</w:t>
      </w:r>
      <w:r>
        <w:rPr>
          <w:rFonts w:hint="eastAsia" w:cs="Times New Roman"/>
          <w:b/>
          <w:bCs w:val="0"/>
          <w:sz w:val="24"/>
          <w:szCs w:val="24"/>
          <w:highlight w:val="none"/>
          <w:lang w:eastAsia="zh-CN"/>
        </w:rPr>
        <w:t>）尾矿库闭库、销号情况</w:t>
      </w:r>
    </w:p>
    <w:p w14:paraId="2BF66970">
      <w:pPr>
        <w:keepNext w:val="0"/>
        <w:keepLines w:val="0"/>
        <w:pageBreakBefore w:val="0"/>
        <w:widowControl w:val="0"/>
        <w:kinsoku/>
        <w:wordWrap/>
        <w:overflowPunct/>
        <w:topLinePunct w:val="0"/>
        <w:bidi w:val="0"/>
        <w:snapToGrid/>
        <w:spacing w:line="360" w:lineRule="auto"/>
        <w:ind w:firstLine="480"/>
        <w:textAlignment w:val="auto"/>
        <w:rPr>
          <w:rFonts w:hint="eastAsia" w:cs="Times New Roman"/>
          <w:color w:val="auto"/>
          <w:sz w:val="24"/>
          <w:szCs w:val="24"/>
          <w:highlight w:val="none"/>
          <w:lang w:val="en-US" w:eastAsia="zh-CN"/>
        </w:rPr>
      </w:pPr>
      <w:r>
        <w:rPr>
          <w:rFonts w:hint="eastAsia" w:cs="Times New Roman"/>
          <w:bCs/>
          <w:sz w:val="24"/>
          <w:szCs w:val="24"/>
          <w:highlight w:val="none"/>
        </w:rPr>
        <w:t>2022年2月</w:t>
      </w:r>
      <w:r>
        <w:rPr>
          <w:rFonts w:hint="eastAsia" w:cs="Times New Roman"/>
          <w:bCs/>
          <w:sz w:val="24"/>
          <w:szCs w:val="24"/>
          <w:highlight w:val="none"/>
          <w:lang w:eastAsia="zh-CN"/>
        </w:rPr>
        <w:t>，</w:t>
      </w:r>
      <w:r>
        <w:rPr>
          <w:rFonts w:hint="eastAsia" w:cs="Times New Roman"/>
          <w:bCs/>
          <w:sz w:val="24"/>
          <w:szCs w:val="24"/>
          <w:highlight w:val="none"/>
          <w:lang w:val="en-US" w:eastAsia="zh-CN"/>
        </w:rPr>
        <w:t>公司委托铜源国际工程设计研究有限公司编制完成《承德天宝矿业集团大昌矿业有限公司东北沟尾矿库闭库工程安全设施设计》。</w:t>
      </w:r>
      <w:r>
        <w:rPr>
          <w:rFonts w:hint="eastAsia" w:cs="Times New Roman"/>
          <w:bCs/>
          <w:sz w:val="24"/>
          <w:szCs w:val="24"/>
          <w:highlight w:val="none"/>
        </w:rPr>
        <w:t>2022年2月10日，承德市应急管理局出具《关于承德天宝矿业集团大昌矿业有限公司东北沟尾矿库闭库工程安全设施设计的批复》，文号：承市应急非煤[2022]6号。2023年2月17日，隆化县人民政府出具</w:t>
      </w:r>
      <w:bookmarkStart w:id="178" w:name="_Hlk174352816"/>
      <w:r>
        <w:rPr>
          <w:rFonts w:hint="eastAsia" w:cs="Times New Roman"/>
          <w:bCs/>
          <w:sz w:val="24"/>
          <w:szCs w:val="24"/>
          <w:highlight w:val="none"/>
        </w:rPr>
        <w:t>《关于对承德天宝矿业集团大昌矿业有限公司东北沟尾矿库予以销号的批复》（隆政字[2023]6号）</w:t>
      </w:r>
      <w:bookmarkEnd w:id="178"/>
      <w:r>
        <w:rPr>
          <w:rFonts w:hint="eastAsia" w:cs="Times New Roman"/>
          <w:bCs/>
          <w:sz w:val="24"/>
          <w:szCs w:val="24"/>
          <w:highlight w:val="none"/>
        </w:rPr>
        <w:t>：同意对</w:t>
      </w:r>
      <w:bookmarkStart w:id="179" w:name="_Hlk174352728"/>
      <w:r>
        <w:rPr>
          <w:rFonts w:hint="eastAsia" w:cs="Times New Roman"/>
          <w:bCs/>
          <w:sz w:val="24"/>
          <w:szCs w:val="24"/>
          <w:highlight w:val="none"/>
        </w:rPr>
        <w:t>承德天宝矿业集团大昌矿业有限公司东北沟尾矿库予以销号，</w:t>
      </w:r>
      <w:bookmarkEnd w:id="179"/>
      <w:r>
        <w:rPr>
          <w:rFonts w:hint="eastAsia" w:cs="Times New Roman"/>
          <w:bCs/>
          <w:sz w:val="24"/>
          <w:szCs w:val="24"/>
          <w:highlight w:val="none"/>
        </w:rPr>
        <w:t>并移交属地韩麻营镇人民政府进行监管。</w:t>
      </w:r>
      <w:r>
        <w:rPr>
          <w:rFonts w:hint="default" w:ascii="Times New Roman" w:hAnsi="Times New Roman" w:cs="Times New Roman"/>
          <w:color w:val="auto"/>
          <w:sz w:val="24"/>
          <w:szCs w:val="24"/>
          <w:highlight w:val="none"/>
          <w:lang w:val="en-US" w:eastAsia="zh-CN"/>
        </w:rPr>
        <w:t>不再进行排尾作业，库内排洪设施、监测设施等完备，后期应定期维护，确保正常运行</w:t>
      </w:r>
      <w:r>
        <w:rPr>
          <w:rFonts w:hint="eastAsia" w:cs="Times New Roman"/>
          <w:color w:val="auto"/>
          <w:sz w:val="24"/>
          <w:szCs w:val="24"/>
          <w:highlight w:val="none"/>
          <w:lang w:val="en-US" w:eastAsia="zh-CN"/>
        </w:rPr>
        <w:t>。</w:t>
      </w:r>
    </w:p>
    <w:p w14:paraId="44C7C23F">
      <w:pPr>
        <w:keepNext w:val="0"/>
        <w:keepLines w:val="0"/>
        <w:pageBreakBefore w:val="0"/>
        <w:widowControl w:val="0"/>
        <w:kinsoku/>
        <w:wordWrap/>
        <w:overflowPunct/>
        <w:topLinePunct w:val="0"/>
        <w:bidi w:val="0"/>
        <w:snapToGrid/>
        <w:spacing w:line="360" w:lineRule="auto"/>
        <w:ind w:firstLine="480"/>
        <w:textAlignment w:val="auto"/>
        <w:rPr>
          <w:rFonts w:hint="eastAsia" w:ascii="Times New Roman"/>
          <w:color w:val="auto"/>
          <w:sz w:val="24"/>
          <w:szCs w:val="24"/>
          <w:highlight w:val="none"/>
          <w:lang w:val="en-US" w:eastAsia="zh-CN"/>
        </w:rPr>
      </w:pPr>
      <w:r>
        <w:rPr>
          <w:rFonts w:hint="eastAsia" w:cs="Times New Roman"/>
          <w:color w:val="auto"/>
          <w:sz w:val="24"/>
          <w:szCs w:val="24"/>
          <w:highlight w:val="none"/>
          <w:lang w:val="en-US" w:eastAsia="zh-CN"/>
        </w:rPr>
        <w:t>本项目排土场压占大部分东北沟尾矿库，压占关系见下图</w:t>
      </w:r>
      <w:r>
        <w:rPr>
          <w:rFonts w:hint="default" w:ascii="Times New Roman" w:hAnsi="Times New Roman" w:cs="Times New Roman"/>
          <w:color w:val="auto"/>
          <w:sz w:val="24"/>
          <w:szCs w:val="24"/>
          <w:highlight w:val="none"/>
          <w:lang w:val="en-US" w:eastAsia="zh-CN"/>
        </w:rPr>
        <w:t>。</w:t>
      </w:r>
    </w:p>
    <w:p w14:paraId="3B7EEA02">
      <w:pPr>
        <w:pStyle w:val="2"/>
        <w:keepNext w:val="0"/>
        <w:keepLines w:val="0"/>
        <w:pageBreakBefore w:val="0"/>
        <w:widowControl w:val="0"/>
        <w:kinsoku/>
        <w:wordWrap/>
        <w:overflowPunct/>
        <w:topLinePunct w:val="0"/>
        <w:bidi w:val="0"/>
        <w:snapToGrid/>
        <w:spacing w:line="360" w:lineRule="auto"/>
        <w:jc w:val="center"/>
        <w:textAlignment w:val="auto"/>
        <w:rPr>
          <w:rFonts w:hint="eastAsia" w:ascii="Times New Roman"/>
          <w:color w:val="auto"/>
          <w:sz w:val="24"/>
          <w:szCs w:val="24"/>
          <w:highlight w:val="none"/>
          <w:lang w:val="en-US" w:eastAsia="zh-CN"/>
        </w:rPr>
      </w:pPr>
      <w:r>
        <w:rPr>
          <w:rFonts w:hint="eastAsia" w:ascii="Times New Roman"/>
          <w:color w:val="auto"/>
          <w:sz w:val="24"/>
          <w:szCs w:val="24"/>
          <w:highlight w:val="none"/>
          <w:lang w:val="en-US" w:eastAsia="zh-CN"/>
        </w:rPr>
        <w:drawing>
          <wp:inline distT="0" distB="0" distL="114300" distR="114300">
            <wp:extent cx="5273675" cy="3594100"/>
            <wp:effectExtent l="0" t="0" r="0" b="0"/>
            <wp:docPr id="37" name="图片 37" descr="尾矿库与排土场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尾矿库与排土场位置关系"/>
                    <pic:cNvPicPr>
                      <a:picLocks noChangeAspect="1"/>
                    </pic:cNvPicPr>
                  </pic:nvPicPr>
                  <pic:blipFill>
                    <a:blip r:embed="rId18"/>
                    <a:srcRect b="3594"/>
                    <a:stretch>
                      <a:fillRect/>
                    </a:stretch>
                  </pic:blipFill>
                  <pic:spPr>
                    <a:xfrm>
                      <a:off x="0" y="0"/>
                      <a:ext cx="5273675" cy="3594100"/>
                    </a:xfrm>
                    <a:prstGeom prst="rect">
                      <a:avLst/>
                    </a:prstGeom>
                  </pic:spPr>
                </pic:pic>
              </a:graphicData>
            </a:graphic>
          </wp:inline>
        </w:drawing>
      </w:r>
    </w:p>
    <w:p w14:paraId="3B863019">
      <w:pPr>
        <w:keepNext w:val="0"/>
        <w:keepLines w:val="0"/>
        <w:pageBreakBefore w:val="0"/>
        <w:widowControl/>
        <w:numPr>
          <w:ilvl w:val="0"/>
          <w:numId w:val="21"/>
        </w:numPr>
        <w:kinsoku/>
        <w:wordWrap/>
        <w:overflowPunct/>
        <w:topLinePunct w:val="0"/>
        <w:autoSpaceDE/>
        <w:autoSpaceDN/>
        <w:bidi w:val="0"/>
        <w:adjustRightInd/>
        <w:snapToGrid/>
        <w:spacing w:line="360" w:lineRule="auto"/>
        <w:ind w:left="420" w:leftChars="0" w:hanging="420" w:firstLineChars="0"/>
        <w:jc w:val="center"/>
        <w:textAlignment w:val="auto"/>
        <w:rPr>
          <w:rFonts w:hint="eastAsia" w:ascii="Times New Roman" w:hAnsi="Times New Roman" w:cs="Times New Roman"/>
          <w:color w:val="000000"/>
          <w:kern w:val="0"/>
          <w:sz w:val="24"/>
          <w:highlight w:val="none"/>
          <w:lang w:eastAsia="zh-CN"/>
        </w:rPr>
      </w:pPr>
      <w:r>
        <w:rPr>
          <w:rFonts w:hint="eastAsia"/>
          <w:b/>
          <w:bCs/>
          <w:color w:val="auto"/>
          <w:sz w:val="21"/>
          <w:szCs w:val="21"/>
          <w:highlight w:val="none"/>
          <w:lang w:val="en-US" w:eastAsia="zh-CN"/>
        </w:rPr>
        <w:t>东北沟尾矿库</w:t>
      </w:r>
      <w:r>
        <w:rPr>
          <w:rFonts w:hint="eastAsia" w:ascii="Times New Roman"/>
          <w:b/>
          <w:bCs/>
          <w:color w:val="auto"/>
          <w:sz w:val="21"/>
          <w:szCs w:val="21"/>
          <w:highlight w:val="none"/>
          <w:lang w:val="en-US" w:eastAsia="zh-CN"/>
        </w:rPr>
        <w:t>现状范围图</w:t>
      </w:r>
    </w:p>
    <w:p w14:paraId="5EF0FEB4">
      <w:pPr>
        <w:pageBreakBefore w:val="0"/>
        <w:widowControl w:val="0"/>
        <w:kinsoku/>
        <w:wordWrap/>
        <w:overflowPunct/>
        <w:autoSpaceDE/>
        <w:autoSpaceDN/>
        <w:bidi w:val="0"/>
        <w:spacing w:line="360" w:lineRule="auto"/>
        <w:ind w:firstLine="482" w:firstLineChars="200"/>
        <w:rPr>
          <w:rFonts w:hint="default" w:ascii="Times New Roman" w:hAnsi="Times New Roman" w:cs="Times New Roman"/>
          <w:b/>
          <w:bCs/>
          <w:color w:val="000000"/>
          <w:kern w:val="0"/>
          <w:sz w:val="24"/>
          <w:highlight w:val="none"/>
          <w:lang w:val="en-US" w:eastAsia="zh-CN"/>
        </w:rPr>
      </w:pPr>
      <w:r>
        <w:rPr>
          <w:rFonts w:hint="eastAsia" w:cs="Times New Roman"/>
          <w:b/>
          <w:bCs/>
          <w:color w:val="000000"/>
          <w:kern w:val="0"/>
          <w:sz w:val="24"/>
          <w:highlight w:val="none"/>
          <w:lang w:eastAsia="zh-CN"/>
        </w:rPr>
        <w:t>（</w:t>
      </w:r>
      <w:r>
        <w:rPr>
          <w:rFonts w:hint="eastAsia" w:cs="Times New Roman"/>
          <w:b/>
          <w:bCs/>
          <w:color w:val="000000"/>
          <w:kern w:val="0"/>
          <w:sz w:val="24"/>
          <w:highlight w:val="none"/>
          <w:lang w:val="en-US" w:eastAsia="zh-CN"/>
        </w:rPr>
        <w:t>3</w:t>
      </w:r>
      <w:r>
        <w:rPr>
          <w:rFonts w:hint="eastAsia" w:cs="Times New Roman"/>
          <w:b/>
          <w:bCs/>
          <w:color w:val="000000"/>
          <w:kern w:val="0"/>
          <w:sz w:val="24"/>
          <w:highlight w:val="none"/>
          <w:lang w:eastAsia="zh-CN"/>
        </w:rPr>
        <w:t>）</w:t>
      </w:r>
      <w:r>
        <w:rPr>
          <w:rFonts w:hint="eastAsia" w:cs="Times New Roman"/>
          <w:b/>
          <w:bCs/>
          <w:color w:val="000000"/>
          <w:kern w:val="0"/>
          <w:sz w:val="24"/>
          <w:highlight w:val="none"/>
          <w:lang w:val="en-US" w:eastAsia="zh-CN"/>
        </w:rPr>
        <w:t>地下水跟踪监测</w:t>
      </w:r>
    </w:p>
    <w:p w14:paraId="20814492">
      <w:pPr>
        <w:pageBreakBefore w:val="0"/>
        <w:widowControl w:val="0"/>
        <w:kinsoku/>
        <w:wordWrap/>
        <w:overflowPunct/>
        <w:autoSpaceDE/>
        <w:autoSpaceDN/>
        <w:bidi w:val="0"/>
        <w:spacing w:line="360" w:lineRule="auto"/>
        <w:ind w:firstLine="480" w:firstLineChars="200"/>
        <w:rPr>
          <w:rFonts w:hint="default" w:ascii="Times New Roman" w:hAnsi="Times New Roman" w:cs="Times New Roman"/>
          <w:color w:val="000000"/>
          <w:kern w:val="0"/>
          <w:sz w:val="24"/>
          <w:highlight w:val="none"/>
          <w:lang w:val="en-US" w:eastAsia="zh-CN"/>
        </w:rPr>
      </w:pPr>
      <w:r>
        <w:rPr>
          <w:rFonts w:hint="eastAsia" w:cs="Times New Roman"/>
          <w:color w:val="000000"/>
          <w:kern w:val="0"/>
          <w:sz w:val="24"/>
          <w:highlight w:val="none"/>
          <w:lang w:val="en-US" w:eastAsia="zh-CN"/>
        </w:rPr>
        <w:t>东北沟尾矿库消力池下游设有1口地下水监控井。2024年12月，公司委托承德圣合环境检测有限公司进行地下水环境质量跟踪监测，并出具了《</w:t>
      </w:r>
      <w:r>
        <w:rPr>
          <w:rFonts w:hint="eastAsia"/>
          <w:sz w:val="24"/>
          <w:szCs w:val="24"/>
          <w:highlight w:val="none"/>
          <w:lang w:eastAsia="zh-CN"/>
        </w:rPr>
        <w:t>承德天宝矿业集团大昌矿业有限公司</w:t>
      </w:r>
      <w:r>
        <w:rPr>
          <w:rFonts w:hint="eastAsia"/>
          <w:sz w:val="24"/>
          <w:szCs w:val="24"/>
          <w:highlight w:val="none"/>
          <w:lang w:val="en-US" w:eastAsia="zh-CN"/>
        </w:rPr>
        <w:t>检测项目检测报告</w:t>
      </w:r>
      <w:r>
        <w:rPr>
          <w:rFonts w:hint="eastAsia" w:cs="Times New Roman"/>
          <w:color w:val="000000"/>
          <w:kern w:val="0"/>
          <w:sz w:val="24"/>
          <w:highlight w:val="none"/>
          <w:lang w:val="en-US" w:eastAsia="zh-CN"/>
        </w:rPr>
        <w:t>》（圣合(检)字WT2024-2950），尾矿库下游地下水环境跟踪监测结果见下表。</w:t>
      </w:r>
    </w:p>
    <w:p w14:paraId="582C58E1">
      <w:pPr>
        <w:numPr>
          <w:ilvl w:val="0"/>
          <w:numId w:val="20"/>
        </w:numPr>
        <w:adjustRightInd w:val="0"/>
        <w:snapToGrid w:val="0"/>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尾矿库下游地下水环境跟踪监测结果</w:t>
      </w:r>
    </w:p>
    <w:tbl>
      <w:tblPr>
        <w:tblStyle w:val="58"/>
        <w:tblW w:w="508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473"/>
        <w:gridCol w:w="1633"/>
        <w:gridCol w:w="2080"/>
        <w:gridCol w:w="1281"/>
      </w:tblGrid>
      <w:tr w14:paraId="01B7B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000EA581">
            <w:pPr>
              <w:pStyle w:val="161"/>
              <w:bidi w:val="0"/>
              <w:spacing w:line="240" w:lineRule="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检测项目</w:t>
            </w:r>
          </w:p>
        </w:tc>
        <w:tc>
          <w:tcPr>
            <w:tcW w:w="964" w:type="pct"/>
            <w:shd w:val="clear" w:color="auto" w:fill="auto"/>
            <w:noWrap w:val="0"/>
            <w:vAlign w:val="center"/>
          </w:tcPr>
          <w:p w14:paraId="72C97043">
            <w:pPr>
              <w:pStyle w:val="161"/>
              <w:bidi w:val="0"/>
              <w:spacing w:line="240" w:lineRule="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标准值</w:t>
            </w:r>
          </w:p>
        </w:tc>
        <w:tc>
          <w:tcPr>
            <w:tcW w:w="1228" w:type="pct"/>
            <w:shd w:val="clear" w:color="auto" w:fill="auto"/>
            <w:noWrap w:val="0"/>
            <w:vAlign w:val="center"/>
          </w:tcPr>
          <w:p w14:paraId="679E956F">
            <w:pPr>
              <w:pStyle w:val="161"/>
              <w:bidi w:val="0"/>
              <w:spacing w:line="240" w:lineRule="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检测值</w:t>
            </w:r>
          </w:p>
        </w:tc>
        <w:tc>
          <w:tcPr>
            <w:tcW w:w="756" w:type="pct"/>
            <w:shd w:val="clear" w:color="auto" w:fill="auto"/>
            <w:noWrap w:val="0"/>
            <w:vAlign w:val="center"/>
          </w:tcPr>
          <w:p w14:paraId="58CCCEEB">
            <w:pPr>
              <w:pStyle w:val="161"/>
              <w:bidi w:val="0"/>
              <w:spacing w:line="240" w:lineRule="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超标率%</w:t>
            </w:r>
          </w:p>
        </w:tc>
      </w:tr>
      <w:tr w14:paraId="6E79F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5930BDB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pH值（无量纲）</w:t>
            </w:r>
          </w:p>
        </w:tc>
        <w:tc>
          <w:tcPr>
            <w:tcW w:w="964" w:type="pct"/>
            <w:shd w:val="clear" w:color="auto" w:fill="auto"/>
            <w:noWrap w:val="0"/>
            <w:vAlign w:val="center"/>
          </w:tcPr>
          <w:p w14:paraId="44F3676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6.5~8.5</w:t>
            </w:r>
          </w:p>
        </w:tc>
        <w:tc>
          <w:tcPr>
            <w:tcW w:w="1228" w:type="pct"/>
            <w:shd w:val="clear" w:color="auto" w:fill="auto"/>
            <w:noWrap w:val="0"/>
            <w:vAlign w:val="center"/>
          </w:tcPr>
          <w:p w14:paraId="52F41BC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7.7</w:t>
            </w:r>
          </w:p>
        </w:tc>
        <w:tc>
          <w:tcPr>
            <w:tcW w:w="756" w:type="pct"/>
            <w:shd w:val="clear" w:color="auto" w:fill="auto"/>
            <w:noWrap w:val="0"/>
            <w:vAlign w:val="center"/>
          </w:tcPr>
          <w:p w14:paraId="664EB19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3C19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32F2CE2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总硬度（mg/L）</w:t>
            </w:r>
          </w:p>
        </w:tc>
        <w:tc>
          <w:tcPr>
            <w:tcW w:w="964" w:type="pct"/>
            <w:shd w:val="clear" w:color="auto" w:fill="auto"/>
            <w:noWrap w:val="0"/>
            <w:vAlign w:val="center"/>
          </w:tcPr>
          <w:p w14:paraId="5A41692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450</w:t>
            </w:r>
          </w:p>
        </w:tc>
        <w:tc>
          <w:tcPr>
            <w:tcW w:w="1228" w:type="pct"/>
            <w:shd w:val="clear" w:color="auto" w:fill="auto"/>
            <w:noWrap w:val="0"/>
            <w:vAlign w:val="center"/>
          </w:tcPr>
          <w:p w14:paraId="545AF72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342</w:t>
            </w:r>
          </w:p>
        </w:tc>
        <w:tc>
          <w:tcPr>
            <w:tcW w:w="756" w:type="pct"/>
            <w:shd w:val="clear" w:color="auto" w:fill="auto"/>
            <w:noWrap w:val="0"/>
            <w:vAlign w:val="center"/>
          </w:tcPr>
          <w:p w14:paraId="26202FA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9C87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070A02CE">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溶解性总固体（mg/L）</w:t>
            </w:r>
          </w:p>
        </w:tc>
        <w:tc>
          <w:tcPr>
            <w:tcW w:w="964" w:type="pct"/>
            <w:shd w:val="clear" w:color="auto" w:fill="auto"/>
            <w:noWrap w:val="0"/>
            <w:vAlign w:val="center"/>
          </w:tcPr>
          <w:p w14:paraId="6035D2D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1000</w:t>
            </w:r>
          </w:p>
        </w:tc>
        <w:tc>
          <w:tcPr>
            <w:tcW w:w="1228" w:type="pct"/>
            <w:shd w:val="clear" w:color="auto" w:fill="auto"/>
            <w:noWrap w:val="0"/>
            <w:vAlign w:val="center"/>
          </w:tcPr>
          <w:p w14:paraId="135568B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788</w:t>
            </w:r>
          </w:p>
        </w:tc>
        <w:tc>
          <w:tcPr>
            <w:tcW w:w="756" w:type="pct"/>
            <w:shd w:val="clear" w:color="auto" w:fill="auto"/>
            <w:noWrap w:val="0"/>
            <w:vAlign w:val="center"/>
          </w:tcPr>
          <w:p w14:paraId="7DDC2A4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5257D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5B7A5789">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硫酸盐（mg/L）</w:t>
            </w:r>
          </w:p>
        </w:tc>
        <w:tc>
          <w:tcPr>
            <w:tcW w:w="964" w:type="pct"/>
            <w:shd w:val="clear" w:color="auto" w:fill="auto"/>
            <w:noWrap w:val="0"/>
            <w:vAlign w:val="center"/>
          </w:tcPr>
          <w:p w14:paraId="49A5D75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1228" w:type="pct"/>
            <w:shd w:val="clear" w:color="auto" w:fill="auto"/>
            <w:noWrap w:val="0"/>
            <w:vAlign w:val="center"/>
          </w:tcPr>
          <w:p w14:paraId="37AC122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231</w:t>
            </w:r>
          </w:p>
        </w:tc>
        <w:tc>
          <w:tcPr>
            <w:tcW w:w="756" w:type="pct"/>
            <w:shd w:val="clear" w:color="auto" w:fill="auto"/>
            <w:noWrap w:val="0"/>
            <w:vAlign w:val="center"/>
          </w:tcPr>
          <w:p w14:paraId="50D2707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53F8A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125AFE7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铁（mg/L）</w:t>
            </w:r>
          </w:p>
        </w:tc>
        <w:tc>
          <w:tcPr>
            <w:tcW w:w="964" w:type="pct"/>
            <w:shd w:val="clear" w:color="auto" w:fill="auto"/>
            <w:noWrap w:val="0"/>
            <w:vAlign w:val="center"/>
          </w:tcPr>
          <w:p w14:paraId="7CFC24D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1228" w:type="pct"/>
            <w:shd w:val="clear" w:color="auto" w:fill="auto"/>
            <w:noWrap w:val="0"/>
            <w:vAlign w:val="center"/>
          </w:tcPr>
          <w:p w14:paraId="5949CC1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0.03L</w:t>
            </w:r>
          </w:p>
        </w:tc>
        <w:tc>
          <w:tcPr>
            <w:tcW w:w="756" w:type="pct"/>
            <w:shd w:val="clear" w:color="auto" w:fill="auto"/>
            <w:noWrap w:val="0"/>
            <w:vAlign w:val="center"/>
          </w:tcPr>
          <w:p w14:paraId="1B2E808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328F5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7CAB0779">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锰（mg/L）</w:t>
            </w:r>
          </w:p>
        </w:tc>
        <w:tc>
          <w:tcPr>
            <w:tcW w:w="964" w:type="pct"/>
            <w:shd w:val="clear" w:color="auto" w:fill="auto"/>
            <w:noWrap w:val="0"/>
            <w:vAlign w:val="center"/>
          </w:tcPr>
          <w:p w14:paraId="6263620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w:t>
            </w:r>
          </w:p>
        </w:tc>
        <w:tc>
          <w:tcPr>
            <w:tcW w:w="1228" w:type="pct"/>
            <w:shd w:val="clear" w:color="auto" w:fill="auto"/>
            <w:noWrap w:val="0"/>
            <w:vAlign w:val="center"/>
          </w:tcPr>
          <w:p w14:paraId="3C762F2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756" w:type="pct"/>
            <w:shd w:val="clear" w:color="auto" w:fill="auto"/>
            <w:noWrap w:val="0"/>
            <w:vAlign w:val="center"/>
          </w:tcPr>
          <w:p w14:paraId="0D07EE9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562C5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564AC71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铜（mg/L）</w:t>
            </w:r>
          </w:p>
        </w:tc>
        <w:tc>
          <w:tcPr>
            <w:tcW w:w="964" w:type="pct"/>
            <w:shd w:val="clear" w:color="auto" w:fill="auto"/>
            <w:noWrap w:val="0"/>
            <w:vAlign w:val="center"/>
          </w:tcPr>
          <w:p w14:paraId="0703AC5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228" w:type="pct"/>
            <w:shd w:val="clear" w:color="auto" w:fill="auto"/>
            <w:noWrap w:val="0"/>
            <w:vAlign w:val="center"/>
          </w:tcPr>
          <w:p w14:paraId="5805F01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0.011</w:t>
            </w:r>
          </w:p>
        </w:tc>
        <w:tc>
          <w:tcPr>
            <w:tcW w:w="756" w:type="pct"/>
            <w:shd w:val="clear" w:color="auto" w:fill="auto"/>
            <w:noWrap w:val="0"/>
            <w:vAlign w:val="center"/>
          </w:tcPr>
          <w:p w14:paraId="5021D74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7FDA8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27806EA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锌（mg/L）</w:t>
            </w:r>
          </w:p>
        </w:tc>
        <w:tc>
          <w:tcPr>
            <w:tcW w:w="964" w:type="pct"/>
            <w:shd w:val="clear" w:color="auto" w:fill="auto"/>
            <w:noWrap w:val="0"/>
            <w:vAlign w:val="center"/>
          </w:tcPr>
          <w:p w14:paraId="4E3B796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228" w:type="pct"/>
            <w:shd w:val="clear" w:color="auto" w:fill="auto"/>
            <w:noWrap w:val="0"/>
            <w:vAlign w:val="center"/>
          </w:tcPr>
          <w:p w14:paraId="571AAE7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756" w:type="pct"/>
            <w:shd w:val="clear" w:color="auto" w:fill="auto"/>
            <w:noWrap w:val="0"/>
            <w:vAlign w:val="center"/>
          </w:tcPr>
          <w:p w14:paraId="25BFC47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2674F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37F4F02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挥发酚类（mg/L）</w:t>
            </w:r>
          </w:p>
        </w:tc>
        <w:tc>
          <w:tcPr>
            <w:tcW w:w="964" w:type="pct"/>
            <w:shd w:val="clear" w:color="auto" w:fill="auto"/>
            <w:noWrap w:val="0"/>
            <w:vAlign w:val="center"/>
          </w:tcPr>
          <w:p w14:paraId="23AC9A3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w:t>
            </w:r>
          </w:p>
        </w:tc>
        <w:tc>
          <w:tcPr>
            <w:tcW w:w="1228" w:type="pct"/>
            <w:shd w:val="clear" w:color="auto" w:fill="auto"/>
            <w:noWrap w:val="0"/>
            <w:vAlign w:val="center"/>
          </w:tcPr>
          <w:p w14:paraId="321FD79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756" w:type="pct"/>
            <w:shd w:val="clear" w:color="auto" w:fill="auto"/>
            <w:noWrap w:val="0"/>
            <w:vAlign w:val="center"/>
          </w:tcPr>
          <w:p w14:paraId="0737ECB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31734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0751E898">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氨氮（mg/L）</w:t>
            </w:r>
          </w:p>
        </w:tc>
        <w:tc>
          <w:tcPr>
            <w:tcW w:w="964" w:type="pct"/>
            <w:shd w:val="clear" w:color="auto" w:fill="auto"/>
            <w:noWrap w:val="0"/>
            <w:vAlign w:val="center"/>
          </w:tcPr>
          <w:p w14:paraId="2BBF2F24">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0.5</w:t>
            </w:r>
          </w:p>
        </w:tc>
        <w:tc>
          <w:tcPr>
            <w:tcW w:w="1228" w:type="pct"/>
            <w:shd w:val="clear" w:color="auto" w:fill="auto"/>
            <w:noWrap w:val="0"/>
            <w:vAlign w:val="center"/>
          </w:tcPr>
          <w:p w14:paraId="112D6184">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0.33</w:t>
            </w:r>
          </w:p>
        </w:tc>
        <w:tc>
          <w:tcPr>
            <w:tcW w:w="756" w:type="pct"/>
            <w:shd w:val="clear" w:color="auto" w:fill="auto"/>
            <w:noWrap w:val="0"/>
            <w:vAlign w:val="center"/>
          </w:tcPr>
          <w:p w14:paraId="1FEACF9D">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7DB94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5988819F">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硫化物（mg/L）</w:t>
            </w:r>
          </w:p>
        </w:tc>
        <w:tc>
          <w:tcPr>
            <w:tcW w:w="964" w:type="pct"/>
            <w:shd w:val="clear" w:color="auto" w:fill="auto"/>
            <w:noWrap w:val="0"/>
            <w:vAlign w:val="center"/>
          </w:tcPr>
          <w:p w14:paraId="3C20222D">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0.02</w:t>
            </w:r>
          </w:p>
        </w:tc>
        <w:tc>
          <w:tcPr>
            <w:tcW w:w="1228" w:type="pct"/>
            <w:shd w:val="clear" w:color="auto" w:fill="auto"/>
            <w:noWrap w:val="0"/>
            <w:vAlign w:val="center"/>
          </w:tcPr>
          <w:p w14:paraId="17C392F9">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0.003L</w:t>
            </w:r>
          </w:p>
        </w:tc>
        <w:tc>
          <w:tcPr>
            <w:tcW w:w="756" w:type="pct"/>
            <w:shd w:val="clear" w:color="auto" w:fill="auto"/>
            <w:noWrap w:val="0"/>
            <w:vAlign w:val="center"/>
          </w:tcPr>
          <w:p w14:paraId="0E33CF95">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2E72F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5D78C689">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亚硝酸盐氮（mg/L）</w:t>
            </w:r>
          </w:p>
        </w:tc>
        <w:tc>
          <w:tcPr>
            <w:tcW w:w="964" w:type="pct"/>
            <w:shd w:val="clear" w:color="auto" w:fill="auto"/>
            <w:noWrap w:val="0"/>
            <w:vAlign w:val="center"/>
          </w:tcPr>
          <w:p w14:paraId="5610FA2E">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w:t>
            </w:r>
          </w:p>
        </w:tc>
        <w:tc>
          <w:tcPr>
            <w:tcW w:w="1228" w:type="pct"/>
            <w:shd w:val="clear" w:color="auto" w:fill="auto"/>
            <w:noWrap w:val="0"/>
            <w:vAlign w:val="center"/>
          </w:tcPr>
          <w:p w14:paraId="388DAAC1">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0.003L</w:t>
            </w:r>
          </w:p>
        </w:tc>
        <w:tc>
          <w:tcPr>
            <w:tcW w:w="756" w:type="pct"/>
            <w:shd w:val="clear" w:color="auto" w:fill="auto"/>
            <w:noWrap w:val="0"/>
            <w:vAlign w:val="center"/>
          </w:tcPr>
          <w:p w14:paraId="075B1D52">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25C30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1F1CE382">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硝酸盐氮（mg/L）</w:t>
            </w:r>
          </w:p>
        </w:tc>
        <w:tc>
          <w:tcPr>
            <w:tcW w:w="964" w:type="pct"/>
            <w:shd w:val="clear" w:color="auto" w:fill="auto"/>
            <w:noWrap w:val="0"/>
            <w:vAlign w:val="center"/>
          </w:tcPr>
          <w:p w14:paraId="31A920B8">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20</w:t>
            </w:r>
          </w:p>
        </w:tc>
        <w:tc>
          <w:tcPr>
            <w:tcW w:w="1228" w:type="pct"/>
            <w:shd w:val="clear" w:color="auto" w:fill="auto"/>
            <w:noWrap w:val="0"/>
            <w:vAlign w:val="center"/>
          </w:tcPr>
          <w:p w14:paraId="15D9083D">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5.2</w:t>
            </w:r>
          </w:p>
        </w:tc>
        <w:tc>
          <w:tcPr>
            <w:tcW w:w="756" w:type="pct"/>
            <w:shd w:val="clear" w:color="auto" w:fill="auto"/>
            <w:noWrap w:val="0"/>
            <w:vAlign w:val="center"/>
          </w:tcPr>
          <w:p w14:paraId="698ED0CD">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7736F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05C5B444">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氰化物（mg/L）</w:t>
            </w:r>
          </w:p>
        </w:tc>
        <w:tc>
          <w:tcPr>
            <w:tcW w:w="964" w:type="pct"/>
            <w:shd w:val="clear" w:color="auto" w:fill="auto"/>
            <w:noWrap w:val="0"/>
            <w:vAlign w:val="center"/>
          </w:tcPr>
          <w:p w14:paraId="18EB8667">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0.05</w:t>
            </w:r>
          </w:p>
        </w:tc>
        <w:tc>
          <w:tcPr>
            <w:tcW w:w="1228" w:type="pct"/>
            <w:shd w:val="clear" w:color="auto" w:fill="auto"/>
            <w:noWrap w:val="0"/>
            <w:vAlign w:val="center"/>
          </w:tcPr>
          <w:p w14:paraId="26C4648E">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0.002L</w:t>
            </w:r>
          </w:p>
        </w:tc>
        <w:tc>
          <w:tcPr>
            <w:tcW w:w="756" w:type="pct"/>
            <w:shd w:val="clear" w:color="auto" w:fill="auto"/>
            <w:noWrap w:val="0"/>
            <w:vAlign w:val="center"/>
          </w:tcPr>
          <w:p w14:paraId="7F0B1522">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3BC7F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2F78C4E7">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氟化物（mg/L）</w:t>
            </w:r>
          </w:p>
        </w:tc>
        <w:tc>
          <w:tcPr>
            <w:tcW w:w="964" w:type="pct"/>
            <w:shd w:val="clear" w:color="auto" w:fill="auto"/>
            <w:noWrap w:val="0"/>
            <w:vAlign w:val="center"/>
          </w:tcPr>
          <w:p w14:paraId="0476A773">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w:t>
            </w:r>
          </w:p>
        </w:tc>
        <w:tc>
          <w:tcPr>
            <w:tcW w:w="1228" w:type="pct"/>
            <w:shd w:val="clear" w:color="auto" w:fill="auto"/>
            <w:noWrap w:val="0"/>
            <w:vAlign w:val="center"/>
          </w:tcPr>
          <w:p w14:paraId="31EC9689">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0.2</w:t>
            </w:r>
            <w:r>
              <w:rPr>
                <w:rFonts w:hint="eastAsia" w:cs="Times New Roman"/>
                <w:color w:val="auto"/>
                <w:highlight w:val="none"/>
                <w:lang w:val="en-US" w:eastAsia="zh-CN"/>
              </w:rPr>
              <w:t>7</w:t>
            </w:r>
          </w:p>
        </w:tc>
        <w:tc>
          <w:tcPr>
            <w:tcW w:w="756" w:type="pct"/>
            <w:shd w:val="clear" w:color="auto" w:fill="auto"/>
            <w:noWrap w:val="0"/>
            <w:vAlign w:val="center"/>
          </w:tcPr>
          <w:p w14:paraId="7A057562">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77860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2E4BC590">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汞（μg/L）</w:t>
            </w:r>
          </w:p>
        </w:tc>
        <w:tc>
          <w:tcPr>
            <w:tcW w:w="964" w:type="pct"/>
            <w:shd w:val="clear" w:color="auto" w:fill="auto"/>
            <w:noWrap w:val="0"/>
            <w:vAlign w:val="center"/>
          </w:tcPr>
          <w:p w14:paraId="13587A03">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w:t>
            </w:r>
          </w:p>
        </w:tc>
        <w:tc>
          <w:tcPr>
            <w:tcW w:w="1228" w:type="pct"/>
            <w:shd w:val="clear" w:color="auto" w:fill="auto"/>
            <w:noWrap w:val="0"/>
            <w:vAlign w:val="center"/>
          </w:tcPr>
          <w:p w14:paraId="1672C3FB">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0.02</w:t>
            </w:r>
          </w:p>
        </w:tc>
        <w:tc>
          <w:tcPr>
            <w:tcW w:w="756" w:type="pct"/>
            <w:shd w:val="clear" w:color="auto" w:fill="auto"/>
            <w:noWrap w:val="0"/>
            <w:vAlign w:val="center"/>
          </w:tcPr>
          <w:p w14:paraId="50AF9C60">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4B275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2A649038">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砷（μg/L）</w:t>
            </w:r>
          </w:p>
        </w:tc>
        <w:tc>
          <w:tcPr>
            <w:tcW w:w="964" w:type="pct"/>
            <w:shd w:val="clear" w:color="auto" w:fill="auto"/>
            <w:noWrap w:val="0"/>
            <w:vAlign w:val="center"/>
          </w:tcPr>
          <w:p w14:paraId="1B9F2082">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10</w:t>
            </w:r>
          </w:p>
        </w:tc>
        <w:tc>
          <w:tcPr>
            <w:tcW w:w="1228" w:type="pct"/>
            <w:shd w:val="clear" w:color="auto" w:fill="auto"/>
            <w:noWrap w:val="0"/>
            <w:vAlign w:val="center"/>
          </w:tcPr>
          <w:p w14:paraId="2C7772C6">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1.0</w:t>
            </w:r>
          </w:p>
        </w:tc>
        <w:tc>
          <w:tcPr>
            <w:tcW w:w="756" w:type="pct"/>
            <w:shd w:val="clear" w:color="auto" w:fill="auto"/>
            <w:noWrap w:val="0"/>
            <w:vAlign w:val="center"/>
          </w:tcPr>
          <w:p w14:paraId="08474BB7">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4263E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427C0143">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镉（μg/L）</w:t>
            </w:r>
          </w:p>
        </w:tc>
        <w:tc>
          <w:tcPr>
            <w:tcW w:w="964" w:type="pct"/>
            <w:shd w:val="clear" w:color="auto" w:fill="auto"/>
            <w:noWrap w:val="0"/>
            <w:vAlign w:val="center"/>
          </w:tcPr>
          <w:p w14:paraId="72697294">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5</w:t>
            </w:r>
          </w:p>
        </w:tc>
        <w:tc>
          <w:tcPr>
            <w:tcW w:w="1228" w:type="pct"/>
            <w:shd w:val="clear" w:color="auto" w:fill="auto"/>
            <w:noWrap w:val="0"/>
            <w:vAlign w:val="center"/>
          </w:tcPr>
          <w:p w14:paraId="7B780F68">
            <w:pPr>
              <w:pStyle w:val="161"/>
              <w:bidi w:val="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2.1</w:t>
            </w:r>
          </w:p>
        </w:tc>
        <w:tc>
          <w:tcPr>
            <w:tcW w:w="756" w:type="pct"/>
            <w:shd w:val="clear" w:color="auto" w:fill="auto"/>
            <w:noWrap w:val="0"/>
            <w:vAlign w:val="center"/>
          </w:tcPr>
          <w:p w14:paraId="4F7C7C0A">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7DE12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7722EC6F">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
              </w:rPr>
            </w:pPr>
            <w:r>
              <w:rPr>
                <w:rFonts w:ascii="Times New Roman"/>
                <w:b w:val="0"/>
                <w:bCs/>
                <w:color w:val="auto"/>
                <w:szCs w:val="21"/>
                <w:highlight w:val="none"/>
                <w:lang w:val="en-US" w:eastAsia="zh-CN"/>
              </w:rPr>
              <w:t>六价铬</w:t>
            </w:r>
            <w:r>
              <w:rPr>
                <w:rFonts w:hint="default" w:ascii="Times New Roman" w:hAnsi="Times New Roman" w:cs="Times New Roman"/>
                <w:color w:val="auto"/>
                <w:highlight w:val="none"/>
                <w:lang w:val="en-US" w:eastAsia="zh-CN"/>
              </w:rPr>
              <w:t>（mg/L）</w:t>
            </w:r>
          </w:p>
        </w:tc>
        <w:tc>
          <w:tcPr>
            <w:tcW w:w="964" w:type="pct"/>
            <w:shd w:val="clear" w:color="auto" w:fill="auto"/>
            <w:noWrap w:val="0"/>
            <w:vAlign w:val="center"/>
          </w:tcPr>
          <w:p w14:paraId="101901E5">
            <w:pPr>
              <w:pStyle w:val="161"/>
              <w:bidi w:val="0"/>
              <w:spacing w:line="240" w:lineRule="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0.05</w:t>
            </w:r>
          </w:p>
        </w:tc>
        <w:tc>
          <w:tcPr>
            <w:tcW w:w="1228" w:type="pct"/>
            <w:shd w:val="clear" w:color="auto" w:fill="auto"/>
            <w:noWrap w:val="0"/>
            <w:vAlign w:val="center"/>
          </w:tcPr>
          <w:p w14:paraId="2BE6339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0.004L</w:t>
            </w:r>
          </w:p>
        </w:tc>
        <w:tc>
          <w:tcPr>
            <w:tcW w:w="756" w:type="pct"/>
            <w:shd w:val="clear" w:color="auto" w:fill="auto"/>
            <w:noWrap w:val="0"/>
            <w:vAlign w:val="center"/>
          </w:tcPr>
          <w:p w14:paraId="6F7311CD">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r w14:paraId="1C853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50" w:type="pct"/>
            <w:shd w:val="clear" w:color="auto" w:fill="auto"/>
            <w:noWrap w:val="0"/>
            <w:vAlign w:val="center"/>
          </w:tcPr>
          <w:p w14:paraId="17FE6472">
            <w:pPr>
              <w:pStyle w:val="161"/>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ascii="Times New Roman"/>
                <w:b w:val="0"/>
                <w:bCs/>
                <w:color w:val="auto"/>
                <w:szCs w:val="21"/>
                <w:highlight w:val="none"/>
                <w:lang w:val="en-US" w:eastAsia="zh-CN"/>
              </w:rPr>
              <w:t>铅</w:t>
            </w:r>
            <w:r>
              <w:rPr>
                <w:rFonts w:hint="default" w:ascii="Times New Roman" w:hAnsi="Times New Roman" w:cs="Times New Roman"/>
                <w:color w:val="auto"/>
                <w:highlight w:val="none"/>
                <w:lang w:val="en-US" w:eastAsia="zh-CN"/>
              </w:rPr>
              <w:t>（mg/L）</w:t>
            </w:r>
          </w:p>
        </w:tc>
        <w:tc>
          <w:tcPr>
            <w:tcW w:w="964" w:type="pct"/>
            <w:shd w:val="clear" w:color="auto" w:fill="auto"/>
            <w:noWrap w:val="0"/>
            <w:vAlign w:val="center"/>
          </w:tcPr>
          <w:p w14:paraId="2A836C81">
            <w:pPr>
              <w:pStyle w:val="161"/>
              <w:bidi w:val="0"/>
              <w:spacing w:line="240" w:lineRule="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0.01</w:t>
            </w:r>
          </w:p>
        </w:tc>
        <w:tc>
          <w:tcPr>
            <w:tcW w:w="1228" w:type="pct"/>
            <w:shd w:val="clear" w:color="auto" w:fill="auto"/>
            <w:noWrap w:val="0"/>
            <w:vAlign w:val="center"/>
          </w:tcPr>
          <w:p w14:paraId="0443DFF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0.0061</w:t>
            </w:r>
          </w:p>
        </w:tc>
        <w:tc>
          <w:tcPr>
            <w:tcW w:w="756" w:type="pct"/>
            <w:shd w:val="clear" w:color="auto" w:fill="auto"/>
            <w:noWrap w:val="0"/>
            <w:vAlign w:val="center"/>
          </w:tcPr>
          <w:p w14:paraId="40D7B989">
            <w:pPr>
              <w:pStyle w:val="161"/>
              <w:bidi w:val="0"/>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0</w:t>
            </w:r>
          </w:p>
        </w:tc>
      </w:tr>
    </w:tbl>
    <w:p w14:paraId="36B9DBF5">
      <w:pPr>
        <w:pageBreakBefore w:val="0"/>
        <w:widowControl w:val="0"/>
        <w:kinsoku/>
        <w:wordWrap/>
        <w:overflowPunct/>
        <w:autoSpaceDE/>
        <w:autoSpaceDN/>
        <w:bidi w:val="0"/>
        <w:spacing w:line="360" w:lineRule="auto"/>
        <w:ind w:firstLine="480" w:firstLineChars="200"/>
        <w:rPr>
          <w:rFonts w:hint="eastAsia" w:ascii="Times New Roman" w:hAnsi="Times New Roman" w:cs="Times New Roman"/>
          <w:color w:val="000000"/>
          <w:kern w:val="0"/>
          <w:sz w:val="24"/>
          <w:highlight w:val="none"/>
          <w:lang w:eastAsia="zh-CN"/>
        </w:rPr>
      </w:pPr>
      <w:r>
        <w:rPr>
          <w:rFonts w:hint="eastAsia" w:cs="Times New Roman"/>
          <w:color w:val="000000"/>
          <w:kern w:val="0"/>
          <w:sz w:val="24"/>
          <w:highlight w:val="none"/>
          <w:lang w:val="en-US" w:eastAsia="zh-CN"/>
        </w:rPr>
        <w:t>由上表可知，尾矿库下游地下水环境</w:t>
      </w:r>
      <w:r>
        <w:rPr>
          <w:rFonts w:hint="default" w:ascii="Times New Roman" w:hAnsi="Times New Roman" w:cs="Times New Roman"/>
          <w:color w:val="000000"/>
          <w:kern w:val="0"/>
          <w:sz w:val="24"/>
          <w:highlight w:val="none"/>
          <w:lang w:eastAsia="zh-CN"/>
        </w:rPr>
        <w:t>各项监测因子均满足《地下水质量标准》（GB/T14848-2017）Ⅲ类标准要求</w:t>
      </w:r>
      <w:r>
        <w:rPr>
          <w:rFonts w:hint="eastAsia" w:cs="Times New Roman"/>
          <w:color w:val="000000"/>
          <w:kern w:val="0"/>
          <w:sz w:val="24"/>
          <w:highlight w:val="none"/>
          <w:lang w:eastAsia="zh-CN"/>
        </w:rPr>
        <w:t>。</w:t>
      </w:r>
    </w:p>
    <w:p w14:paraId="79BF57A7">
      <w:pPr>
        <w:pStyle w:val="6"/>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排土场设计</w:t>
      </w:r>
    </w:p>
    <w:p w14:paraId="6CB267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ighlight w:val="none"/>
          <w:lang w:val="en-US" w:eastAsia="zh-CN"/>
        </w:rPr>
      </w:pPr>
      <w:r>
        <w:rPr>
          <w:rFonts w:hint="eastAsia"/>
          <w:sz w:val="24"/>
          <w:szCs w:val="24"/>
          <w:highlight w:val="none"/>
          <w:lang w:val="en-US" w:eastAsia="zh-CN"/>
        </w:rPr>
        <w:t>根据</w:t>
      </w:r>
      <w:r>
        <w:rPr>
          <w:rFonts w:hint="eastAsia"/>
          <w:sz w:val="24"/>
          <w:szCs w:val="24"/>
          <w:highlight w:val="none"/>
          <w:lang w:eastAsia="zh-CN"/>
        </w:rPr>
        <w:t>《承德天宝矿业集团大昌矿业有限公司东北沟排土场建设项目初步设计》（铜源国际工程设计研究有限公司，2025年3月）、《承德天宝矿业集团大昌矿业有限公司东北沟排土场建设项目安全设施设计》（铜源国际工程设计研究有限公司，2025年3月），</w:t>
      </w:r>
      <w:r>
        <w:rPr>
          <w:rFonts w:hint="eastAsia"/>
          <w:sz w:val="24"/>
          <w:szCs w:val="24"/>
          <w:highlight w:val="none"/>
          <w:lang w:val="en-US" w:eastAsia="zh-CN"/>
        </w:rPr>
        <w:t>本项目排土场工程设计如下：</w:t>
      </w:r>
    </w:p>
    <w:p w14:paraId="3D25D8E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.1</w:t>
      </w:r>
      <w:r>
        <w:rPr>
          <w:rFonts w:hint="eastAsia" w:ascii="Times New Roman" w:hAnsi="Times New Roman" w:eastAsia="宋体" w:cs="Times New Roman"/>
          <w:b/>
          <w:sz w:val="24"/>
          <w:szCs w:val="24"/>
          <w:highlight w:val="none"/>
          <w:lang w:val="en-US" w:eastAsia="zh-CN"/>
        </w:rPr>
        <w:t>容积、服务年限及等级</w:t>
      </w:r>
    </w:p>
    <w:p w14:paraId="06417D9B">
      <w:pPr>
        <w:keepNext w:val="0"/>
        <w:keepLines w:val="0"/>
        <w:pageBreakBefore w:val="0"/>
        <w:widowControl w:val="0"/>
        <w:kinsoku/>
        <w:wordWrap/>
        <w:overflowPunct/>
        <w:topLinePunct w:val="0"/>
        <w:autoSpaceDE/>
        <w:autoSpaceDN/>
        <w:bidi w:val="0"/>
        <w:spacing w:line="360" w:lineRule="auto"/>
        <w:ind w:firstLine="561"/>
        <w:textAlignment w:val="auto"/>
        <w:rPr>
          <w:rFonts w:hint="eastAsia" w:ascii="Times New Roman" w:hAnsi="Times New Roman" w:eastAsia="宋体" w:cs="Times New Roman"/>
          <w:color w:val="000000"/>
          <w:sz w:val="24"/>
          <w:szCs w:val="24"/>
          <w:highlight w:val="none"/>
          <w:lang w:eastAsia="zh-CN"/>
        </w:rPr>
      </w:pPr>
      <w:r>
        <w:rPr>
          <w:rFonts w:hint="eastAsia" w:ascii="Times New Roman" w:hAnsi="Times New Roman" w:cs="Times New Roman"/>
          <w:color w:val="auto"/>
          <w:sz w:val="24"/>
          <w:highlight w:val="none"/>
          <w:lang w:val="en-US" w:eastAsia="zh-CN"/>
        </w:rPr>
        <w:t>本项目</w:t>
      </w:r>
      <w:r>
        <w:rPr>
          <w:rFonts w:hint="eastAsia" w:ascii="Times New Roman" w:hAnsi="Times New Roman" w:eastAsia="宋体"/>
          <w:color w:val="auto"/>
          <w:sz w:val="24"/>
          <w:szCs w:val="24"/>
          <w:highlight w:val="none"/>
        </w:rPr>
        <w:t>排土场场底标高670.0m，最终标高808.0m，总堆置高度138.0m，总排土容积约652.8万m</w:t>
      </w:r>
      <w:r>
        <w:rPr>
          <w:rFonts w:hint="eastAsia" w:ascii="Times New Roman" w:hAnsi="Times New Roman" w:eastAsia="宋体"/>
          <w:color w:val="auto"/>
          <w:sz w:val="24"/>
          <w:szCs w:val="24"/>
          <w:highlight w:val="none"/>
          <w:vertAlign w:val="superscript"/>
          <w:lang w:val="en-US" w:eastAsia="zh-CN"/>
        </w:rPr>
        <w:t>3</w:t>
      </w:r>
      <w:r>
        <w:rPr>
          <w:rFonts w:ascii="Times New Roman" w:eastAsia="宋体"/>
          <w:sz w:val="24"/>
          <w:szCs w:val="24"/>
          <w:highlight w:val="none"/>
        </w:rPr>
        <w:t>。</w:t>
      </w:r>
      <w:r>
        <w:rPr>
          <w:rFonts w:hint="eastAsia"/>
          <w:sz w:val="24"/>
          <w:szCs w:val="24"/>
          <w:highlight w:val="none"/>
          <w:lang w:val="en-US" w:eastAsia="zh-CN"/>
        </w:rPr>
        <w:t>根据</w:t>
      </w:r>
      <w:r>
        <w:rPr>
          <w:rFonts w:hint="eastAsia" w:ascii="Times New Roman" w:eastAsia="宋体"/>
          <w:sz w:val="24"/>
          <w:szCs w:val="24"/>
          <w:highlight w:val="none"/>
        </w:rPr>
        <w:t>《承德天宝矿业集团大昌矿业有限公司东北沟排土场建设项目初步设计》</w:t>
      </w:r>
      <w:r>
        <w:rPr>
          <w:rFonts w:hint="eastAsia"/>
          <w:sz w:val="24"/>
          <w:szCs w:val="24"/>
          <w:highlight w:val="none"/>
          <w:lang w:eastAsia="zh-CN"/>
        </w:rPr>
        <w:t>，</w:t>
      </w:r>
      <w:r>
        <w:rPr>
          <w:rFonts w:hint="eastAsia"/>
          <w:sz w:val="24"/>
          <w:szCs w:val="24"/>
          <w:highlight w:val="none"/>
          <w:lang w:val="en-US" w:eastAsia="zh-CN"/>
        </w:rPr>
        <w:t>废石</w:t>
      </w:r>
      <w:r>
        <w:rPr>
          <w:rFonts w:hint="eastAsia" w:cs="Times New Roman"/>
          <w:color w:val="auto"/>
          <w:sz w:val="24"/>
          <w:highlight w:val="none"/>
          <w:lang w:val="en-US" w:eastAsia="zh-CN"/>
        </w:rPr>
        <w:t>设计排放量130.5万m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w:t>
      </w:r>
      <w:r>
        <w:rPr>
          <w:rFonts w:hint="eastAsia"/>
          <w:sz w:val="24"/>
          <w:szCs w:val="24"/>
          <w:highlight w:val="none"/>
          <w:lang w:val="en-US" w:eastAsia="zh-CN"/>
        </w:rPr>
        <w:t>，则排土场</w:t>
      </w:r>
      <w:r>
        <w:rPr>
          <w:rFonts w:hint="eastAsia"/>
          <w:sz w:val="24"/>
          <w:szCs w:val="24"/>
          <w:highlight w:val="none"/>
          <w:lang w:eastAsia="zh-CN"/>
        </w:rPr>
        <w:t>服务年限为5a</w:t>
      </w:r>
      <w:r>
        <w:rPr>
          <w:rFonts w:ascii="Times New Roman" w:eastAsia="宋体"/>
          <w:sz w:val="24"/>
          <w:szCs w:val="24"/>
          <w:highlight w:val="none"/>
        </w:rPr>
        <w:t>。</w:t>
      </w:r>
      <w:r>
        <w:rPr>
          <w:rFonts w:hint="eastAsia"/>
          <w:sz w:val="24"/>
          <w:szCs w:val="24"/>
          <w:highlight w:val="none"/>
          <w:lang w:val="en-US" w:eastAsia="zh-CN"/>
        </w:rPr>
        <w:t>排土场</w:t>
      </w:r>
      <w:r>
        <w:rPr>
          <w:rFonts w:hint="eastAsia" w:ascii="Times New Roman" w:eastAsia="宋体"/>
          <w:sz w:val="24"/>
          <w:szCs w:val="24"/>
          <w:highlight w:val="none"/>
        </w:rPr>
        <w:t>场地条件为不良，排土场等级为一级</w:t>
      </w:r>
      <w:r>
        <w:rPr>
          <w:rFonts w:hint="eastAsia"/>
          <w:sz w:val="24"/>
          <w:szCs w:val="24"/>
          <w:highlight w:val="none"/>
          <w:lang w:eastAsia="zh-CN"/>
        </w:rPr>
        <w:t>。</w:t>
      </w:r>
    </w:p>
    <w:p w14:paraId="700A92F4">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.2</w:t>
      </w:r>
      <w:r>
        <w:rPr>
          <w:rFonts w:hint="eastAsia" w:ascii="Times New Roman" w:hAnsi="Times New Roman" w:eastAsia="宋体" w:cs="Times New Roman"/>
          <w:b/>
          <w:sz w:val="24"/>
          <w:szCs w:val="24"/>
          <w:highlight w:val="none"/>
          <w:lang w:val="en-US" w:eastAsia="zh-CN"/>
        </w:rPr>
        <w:t>挡石坝</w:t>
      </w:r>
    </w:p>
    <w:p w14:paraId="0CDE2FC2">
      <w:pPr>
        <w:keepNext w:val="0"/>
        <w:keepLines w:val="0"/>
        <w:pageBreakBefore w:val="0"/>
        <w:widowControl w:val="0"/>
        <w:kinsoku/>
        <w:wordWrap/>
        <w:overflowPunct/>
        <w:topLinePunct/>
        <w:autoSpaceDE/>
        <w:autoSpaceDN/>
        <w:bidi w:val="0"/>
        <w:adjustRightInd w:val="0"/>
        <w:snapToGrid/>
        <w:spacing w:line="360" w:lineRule="auto"/>
        <w:ind w:firstLine="480" w:firstLineChars="200"/>
        <w:jc w:val="left"/>
        <w:textAlignment w:val="center"/>
        <w:rPr>
          <w:rFonts w:hint="eastAsia" w:ascii="Times New Roman" w:eastAsia="宋体"/>
          <w:color w:val="auto"/>
          <w:sz w:val="24"/>
          <w:szCs w:val="24"/>
          <w:highlight w:val="none"/>
          <w:lang w:eastAsia="zh-CN"/>
        </w:rPr>
      </w:pPr>
      <w:r>
        <w:rPr>
          <w:rFonts w:hint="eastAsia" w:ascii="Times New Roman"/>
          <w:color w:val="auto"/>
          <w:sz w:val="24"/>
          <w:szCs w:val="24"/>
          <w:highlight w:val="none"/>
        </w:rPr>
        <w:t>新建1座挡石坝，采用透水堆石结构</w:t>
      </w:r>
      <w:r>
        <w:rPr>
          <w:rFonts w:hint="eastAsia"/>
          <w:color w:val="auto"/>
          <w:sz w:val="24"/>
          <w:szCs w:val="24"/>
          <w:highlight w:val="none"/>
          <w:lang w:eastAsia="zh-CN"/>
        </w:rPr>
        <w:t>，</w:t>
      </w:r>
      <w:r>
        <w:rPr>
          <w:rFonts w:hint="eastAsia"/>
          <w:color w:val="auto"/>
          <w:sz w:val="24"/>
          <w:szCs w:val="24"/>
          <w:highlight w:val="none"/>
          <w:lang w:val="en-US" w:eastAsia="zh-CN"/>
        </w:rPr>
        <w:t>中心点坐标为</w:t>
      </w:r>
      <w:r>
        <w:rPr>
          <w:rFonts w:hint="default" w:ascii="Times New Roman" w:hAnsi="Times New Roman" w:cs="Times New Roman"/>
          <w:color w:val="auto"/>
          <w:sz w:val="24"/>
          <w:szCs w:val="24"/>
          <w:highlight w:val="none"/>
          <w:lang w:val="en-US" w:eastAsia="zh-CN"/>
        </w:rPr>
        <w:t>E117°47′46.49924″、N41°14′23.50549″</w:t>
      </w:r>
      <w:r>
        <w:rPr>
          <w:rFonts w:hint="eastAsia" w:ascii="Times New Roman"/>
          <w:color w:val="auto"/>
          <w:sz w:val="24"/>
          <w:szCs w:val="24"/>
          <w:highlight w:val="none"/>
        </w:rPr>
        <w:t>。挡石坝在施工前应将表层素填土及角砾全部挖除，确保坝体坐落于中风化层之上</w:t>
      </w:r>
      <w:r>
        <w:rPr>
          <w:rFonts w:hint="eastAsia"/>
          <w:color w:val="auto"/>
          <w:sz w:val="24"/>
          <w:szCs w:val="24"/>
          <w:highlight w:val="none"/>
          <w:lang w:eastAsia="zh-CN"/>
        </w:rPr>
        <w:t>。</w:t>
      </w:r>
    </w:p>
    <w:p w14:paraId="25B440A2">
      <w:pPr>
        <w:keepNext w:val="0"/>
        <w:keepLines w:val="0"/>
        <w:pageBreakBefore w:val="0"/>
        <w:widowControl w:val="0"/>
        <w:kinsoku/>
        <w:wordWrap/>
        <w:overflowPunct/>
        <w:topLinePunct/>
        <w:autoSpaceDE/>
        <w:autoSpaceDN/>
        <w:bidi w:val="0"/>
        <w:adjustRightInd w:val="0"/>
        <w:snapToGrid/>
        <w:spacing w:line="360" w:lineRule="auto"/>
        <w:ind w:firstLine="480" w:firstLineChars="200"/>
        <w:jc w:val="left"/>
        <w:textAlignment w:val="center"/>
        <w:rPr>
          <w:rFonts w:hint="eastAsia" w:ascii="Times New Roman"/>
          <w:color w:val="auto"/>
          <w:sz w:val="24"/>
          <w:szCs w:val="24"/>
          <w:highlight w:val="none"/>
        </w:rPr>
      </w:pPr>
      <w:r>
        <w:rPr>
          <w:rFonts w:hint="eastAsia" w:ascii="Times New Roman"/>
          <w:color w:val="auto"/>
          <w:sz w:val="24"/>
          <w:szCs w:val="24"/>
          <w:highlight w:val="none"/>
        </w:rPr>
        <w:t>挡石坝坝底标高670.0m，坝顶标高690.0m，坝高20.0m，顶宽5.0m，内边坡比均为1：1.6，外边坡比均为1：1.8，基础开挖深度约</w:t>
      </w:r>
      <w:r>
        <w:rPr>
          <w:rFonts w:hint="eastAsia"/>
          <w:color w:val="auto"/>
          <w:sz w:val="24"/>
          <w:szCs w:val="24"/>
          <w:highlight w:val="none"/>
          <w:lang w:eastAsia="zh-CN"/>
        </w:rPr>
        <w:t>3~14m</w:t>
      </w:r>
      <w:r>
        <w:rPr>
          <w:rFonts w:hint="eastAsia" w:ascii="Times New Roman"/>
          <w:color w:val="auto"/>
          <w:sz w:val="24"/>
          <w:szCs w:val="24"/>
          <w:highlight w:val="none"/>
        </w:rPr>
        <w:t>。</w:t>
      </w:r>
    </w:p>
    <w:p w14:paraId="63C605C0">
      <w:pPr>
        <w:keepNext w:val="0"/>
        <w:keepLines w:val="0"/>
        <w:pageBreakBefore w:val="0"/>
        <w:widowControl w:val="0"/>
        <w:kinsoku/>
        <w:wordWrap/>
        <w:overflowPunct/>
        <w:topLinePunct/>
        <w:autoSpaceDE/>
        <w:autoSpaceDN/>
        <w:bidi w:val="0"/>
        <w:adjustRightInd w:val="0"/>
        <w:snapToGrid/>
        <w:spacing w:line="360" w:lineRule="auto"/>
        <w:ind w:firstLine="480" w:firstLineChars="200"/>
        <w:jc w:val="left"/>
        <w:textAlignment w:val="center"/>
        <w:rPr>
          <w:rFonts w:hint="eastAsia"/>
          <w:sz w:val="24"/>
          <w:szCs w:val="24"/>
          <w:highlight w:val="none"/>
          <w:lang w:val="en-US" w:eastAsia="zh-CN"/>
        </w:rPr>
      </w:pPr>
      <w:r>
        <w:rPr>
          <w:rFonts w:hint="eastAsia" w:ascii="Times New Roman"/>
          <w:color w:val="auto"/>
          <w:sz w:val="24"/>
          <w:szCs w:val="24"/>
          <w:highlight w:val="none"/>
        </w:rPr>
        <w:t>外坡设一层400mm厚块石护坡。在上游坡面设置一层500g/</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color w:val="auto"/>
          <w:sz w:val="24"/>
          <w:szCs w:val="24"/>
          <w:highlight w:val="none"/>
        </w:rPr>
        <w:t>的土工布作为反滤层，为防止土工布被刺破，土工布两侧均设置100mm厚碎石保护层，其中碎石直径为10~40mm。保护层外侧设一层400mm厚块石护坡。筑坝石料粒径5～50cm为宜，中值粒径D50=40～200mm，不均匀系数</w:t>
      </w:r>
      <w:r>
        <w:rPr>
          <w:rFonts w:hint="default" w:ascii="Times New Roman" w:hAnsi="Times New Roman" w:cs="Times New Roman"/>
          <w:color w:val="auto"/>
          <w:sz w:val="24"/>
          <w:szCs w:val="24"/>
          <w:highlight w:val="none"/>
        </w:rPr>
        <w:t>ζ</w:t>
      </w:r>
      <w:r>
        <w:rPr>
          <w:rFonts w:hint="eastAsia" w:ascii="Times New Roman"/>
          <w:color w:val="auto"/>
          <w:sz w:val="24"/>
          <w:szCs w:val="24"/>
          <w:highlight w:val="none"/>
        </w:rPr>
        <w:t>=30～150，小于1cm细颗粒含量不大于5%，岩石饱和抗压强度大于30MPa，软化系数大于0.80。挡石坝碾压后的孔隙率不大于30%，坝体堆筑前应根据施工条件进行碾压试验，确定施工参数</w:t>
      </w:r>
      <w:r>
        <w:rPr>
          <w:rFonts w:hint="eastAsia" w:cs="Times New Roman"/>
          <w:color w:val="auto"/>
          <w:sz w:val="24"/>
          <w:szCs w:val="24"/>
          <w:highlight w:val="none"/>
          <w:lang w:val="en-US" w:eastAsia="zh-CN"/>
        </w:rPr>
        <w:t>。</w:t>
      </w:r>
    </w:p>
    <w:p w14:paraId="7529F70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.3</w:t>
      </w:r>
      <w:r>
        <w:rPr>
          <w:rFonts w:hint="eastAsia" w:ascii="Times New Roman" w:hAnsi="Times New Roman" w:eastAsia="宋体" w:cs="Times New Roman"/>
          <w:b/>
          <w:sz w:val="24"/>
          <w:szCs w:val="24"/>
          <w:highlight w:val="none"/>
          <w:lang w:val="en-US" w:eastAsia="zh-CN"/>
        </w:rPr>
        <w:t>拦碴坝</w:t>
      </w:r>
    </w:p>
    <w:p w14:paraId="6398F315">
      <w:pPr>
        <w:pStyle w:val="51"/>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新建1座拦碴坝，采用浆砌石结构，主体采用M7.5浆砌石。拦碴坝位于</w:t>
      </w:r>
      <w:r>
        <w:rPr>
          <w:rFonts w:hint="eastAsia" w:ascii="Times New Roman"/>
          <w:color w:val="auto"/>
          <w:sz w:val="24"/>
          <w:szCs w:val="24"/>
          <w:highlight w:val="none"/>
        </w:rPr>
        <w:t>挡石坝</w:t>
      </w:r>
      <w:r>
        <w:rPr>
          <w:rFonts w:hint="eastAsia"/>
          <w:color w:val="auto"/>
          <w:sz w:val="24"/>
          <w:szCs w:val="24"/>
          <w:highlight w:val="none"/>
          <w:lang w:val="en-US" w:eastAsia="zh-CN"/>
        </w:rPr>
        <w:t>下游南侧10m处</w:t>
      </w:r>
      <w:r>
        <w:rPr>
          <w:rFonts w:hint="eastAsia"/>
          <w:color w:val="auto"/>
          <w:sz w:val="24"/>
          <w:szCs w:val="24"/>
          <w:highlight w:val="none"/>
          <w:lang w:eastAsia="zh-CN"/>
        </w:rPr>
        <w:t>，</w:t>
      </w:r>
      <w:r>
        <w:rPr>
          <w:rFonts w:hint="eastAsia"/>
          <w:color w:val="auto"/>
          <w:sz w:val="24"/>
          <w:szCs w:val="24"/>
          <w:highlight w:val="none"/>
          <w:lang w:val="en-US" w:eastAsia="zh-CN"/>
        </w:rPr>
        <w:t>中心点坐标为</w:t>
      </w:r>
      <w:r>
        <w:rPr>
          <w:rFonts w:hint="default" w:ascii="Times New Roman" w:hAnsi="Times New Roman" w:cs="Times New Roman"/>
          <w:color w:val="auto"/>
          <w:sz w:val="24"/>
          <w:szCs w:val="24"/>
          <w:highlight w:val="none"/>
          <w:lang w:val="en-US" w:eastAsia="zh-CN"/>
        </w:rPr>
        <w:t>E117°47′48.02243″、N41°14′22.53899″</w:t>
      </w:r>
      <w:r>
        <w:rPr>
          <w:rFonts w:hint="eastAsia"/>
          <w:sz w:val="24"/>
          <w:szCs w:val="24"/>
          <w:highlight w:val="none"/>
          <w:lang w:val="en-US" w:eastAsia="zh-CN"/>
        </w:rPr>
        <w:t>。拦碴坝作为排土场与下游设施缓冲带，可有效拦截坡面滚石废碴。拦碴坝在施工前应将表层素填土全部挖除，确保坝体坐落于角砾层之上。</w:t>
      </w:r>
    </w:p>
    <w:p w14:paraId="56BFB300">
      <w:pPr>
        <w:pStyle w:val="51"/>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坝底标高664.0m，坝顶标高668.0m，最大坝高4.0m，坝顶宽2.0m，外边坡坡比1：0.8，内边坡坡比1：0.2，坝长约110.0m。拦碴坝底部埋设700mm预制管。</w:t>
      </w:r>
    </w:p>
    <w:p w14:paraId="6C831C9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.4</w:t>
      </w:r>
      <w:r>
        <w:rPr>
          <w:rFonts w:hint="eastAsia" w:ascii="Times New Roman" w:hAnsi="Times New Roman" w:eastAsia="宋体" w:cs="Times New Roman"/>
          <w:b/>
          <w:sz w:val="24"/>
          <w:szCs w:val="24"/>
          <w:highlight w:val="none"/>
          <w:lang w:val="en-US" w:eastAsia="zh-CN"/>
        </w:rPr>
        <w:t>挡石墙</w:t>
      </w:r>
    </w:p>
    <w:p w14:paraId="1E22EB8F">
      <w:pPr>
        <w:pStyle w:val="51"/>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新建1座挡石墙，采用浆砌石结构，主体采用M10浆砌石。挡石墙位于本项目东北沟排土场与隆化县双盈矿业有限公司大东沟尾矿库相邻山脊的最低点处，</w:t>
      </w:r>
      <w:r>
        <w:rPr>
          <w:rFonts w:hint="eastAsia"/>
          <w:color w:val="auto"/>
          <w:sz w:val="24"/>
          <w:szCs w:val="24"/>
          <w:highlight w:val="none"/>
          <w:lang w:val="en-US" w:eastAsia="zh-CN"/>
        </w:rPr>
        <w:t>中心点坐标为</w:t>
      </w:r>
      <w:r>
        <w:rPr>
          <w:rFonts w:hint="default" w:ascii="Times New Roman" w:hAnsi="Times New Roman" w:cs="Times New Roman"/>
          <w:color w:val="auto"/>
          <w:sz w:val="24"/>
          <w:szCs w:val="24"/>
          <w:highlight w:val="none"/>
          <w:lang w:val="en-US" w:eastAsia="zh-CN"/>
        </w:rPr>
        <w:t>E117°47′33.36007″、N41°14′44.46529″</w:t>
      </w:r>
      <w:r>
        <w:rPr>
          <w:rFonts w:hint="eastAsia" w:cs="Times New Roman"/>
          <w:color w:val="auto"/>
          <w:sz w:val="24"/>
          <w:szCs w:val="24"/>
          <w:highlight w:val="none"/>
          <w:lang w:val="en-US" w:eastAsia="zh-CN"/>
        </w:rPr>
        <w:t>，</w:t>
      </w:r>
      <w:r>
        <w:rPr>
          <w:rFonts w:hint="eastAsia"/>
          <w:sz w:val="24"/>
          <w:szCs w:val="24"/>
          <w:highlight w:val="none"/>
          <w:lang w:val="en-US" w:eastAsia="zh-CN"/>
        </w:rPr>
        <w:t>挡石墙建成后排土场场顶标高808.0m均低于山脊顶标高或者挡石墙顶标高，可避免坡面滚石废碴滚入双盈矿业大东沟尾矿库。</w:t>
      </w:r>
    </w:p>
    <w:p w14:paraId="2E1269FC">
      <w:pPr>
        <w:pStyle w:val="51"/>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坝底标高804.0m，坝顶标高810.0m，最大坝高6.0m，坝顶宽2.0m，外边坡坡比1：0.8，内边坡坡比1：0.2，坝长约20.0m。基础应坐落于中风化层上。</w:t>
      </w:r>
    </w:p>
    <w:p w14:paraId="26FBBCF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w:t>
      </w:r>
      <w:r>
        <w:rPr>
          <w:rFonts w:hint="eastAsia" w:cs="Times New Roman"/>
          <w:b/>
          <w:sz w:val="24"/>
          <w:szCs w:val="24"/>
          <w:highlight w:val="none"/>
          <w:lang w:val="en-US" w:eastAsia="zh-CN"/>
        </w:rPr>
        <w:t>5</w:t>
      </w:r>
      <w:r>
        <w:rPr>
          <w:rFonts w:hint="eastAsia" w:ascii="Times New Roman" w:hAnsi="Times New Roman" w:eastAsia="宋体" w:cs="Times New Roman"/>
          <w:b/>
          <w:sz w:val="24"/>
          <w:szCs w:val="24"/>
          <w:highlight w:val="none"/>
          <w:lang w:val="en-US" w:eastAsia="zh-CN"/>
        </w:rPr>
        <w:t>排渗设施</w:t>
      </w:r>
    </w:p>
    <w:p w14:paraId="0DC55683">
      <w:pPr>
        <w:pStyle w:val="51"/>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在排渗层下部沿沟底走向布置排渗盲沟，排渗盲沟长度约18.0m，盲沟采用倒梯形断面，底宽6m，高度0.5m，两侧坡比1：1，盲沟可采用筛选的D=20~100mm采区剥离级配废石料填充，外包一层500g/m</w:t>
      </w:r>
      <w:r>
        <w:rPr>
          <w:rFonts w:hint="eastAsia"/>
          <w:sz w:val="24"/>
          <w:szCs w:val="24"/>
          <w:highlight w:val="none"/>
          <w:vertAlign w:val="superscript"/>
          <w:lang w:val="en-US" w:eastAsia="zh-CN"/>
        </w:rPr>
        <w:t>2</w:t>
      </w:r>
      <w:r>
        <w:rPr>
          <w:rFonts w:hint="eastAsia"/>
          <w:sz w:val="24"/>
          <w:szCs w:val="24"/>
          <w:highlight w:val="none"/>
          <w:lang w:val="en-US" w:eastAsia="zh-CN"/>
        </w:rPr>
        <w:t>土工布作为反滤层，盲沟内埋设2道</w:t>
      </w:r>
      <w:r>
        <w:rPr>
          <w:rFonts w:hint="default" w:ascii="Times New Roman" w:hAnsi="Times New Roman" w:cs="Times New Roman"/>
          <w:sz w:val="24"/>
          <w:szCs w:val="24"/>
          <w:highlight w:val="none"/>
          <w:lang w:val="en-US" w:eastAsia="zh-CN"/>
        </w:rPr>
        <w:t>φ</w:t>
      </w:r>
      <w:r>
        <w:rPr>
          <w:rFonts w:hint="eastAsia"/>
          <w:sz w:val="24"/>
          <w:szCs w:val="24"/>
          <w:highlight w:val="none"/>
          <w:lang w:val="en-US" w:eastAsia="zh-CN"/>
        </w:rPr>
        <w:t>300的透水盲管。在排土场地表排弃5~10m的大块废石，形成排渗层。</w:t>
      </w:r>
    </w:p>
    <w:p w14:paraId="0418B84B">
      <w:pPr>
        <w:pStyle w:val="51"/>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在续接预制管两侧铺设筛选的D=20~100mm采区剥离级配废石料进行排渗。</w:t>
      </w:r>
    </w:p>
    <w:p w14:paraId="4178242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w:t>
      </w:r>
      <w:r>
        <w:rPr>
          <w:rFonts w:hint="eastAsia" w:cs="Times New Roman"/>
          <w:b/>
          <w:sz w:val="24"/>
          <w:szCs w:val="24"/>
          <w:highlight w:val="none"/>
          <w:lang w:val="en-US" w:eastAsia="zh-CN"/>
        </w:rPr>
        <w:t>6</w:t>
      </w:r>
      <w:r>
        <w:rPr>
          <w:rFonts w:hint="eastAsia" w:ascii="Times New Roman" w:hAnsi="Times New Roman" w:eastAsia="宋体" w:cs="Times New Roman"/>
          <w:b/>
          <w:sz w:val="24"/>
          <w:szCs w:val="24"/>
          <w:highlight w:val="none"/>
          <w:lang w:val="en-US" w:eastAsia="zh-CN"/>
        </w:rPr>
        <w:t>排洪设施</w:t>
      </w:r>
    </w:p>
    <w:p w14:paraId="1F495D37">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现状尾矿库排洪系统采用排水斜槽~消力池型式。在排土场使用前，新建排洪沟-截水沟排洪，建成后对尾矿库排洪系统进行全线封堵。排土场使用时，在排土标高未超过尾矿库坝顶标高788.0m前，东北沟尾矿库采用排洪沟-截水沟排洪，排土场采用坡面排水沟、截水沟排洪；当排土标高达到788.0m、尾矿库被覆盖后，排土场整体采用排水沟、截水沟排洪。</w:t>
      </w:r>
    </w:p>
    <w:p w14:paraId="402DD311">
      <w:pPr>
        <w:keepNext w:val="0"/>
        <w:keepLines w:val="0"/>
        <w:pageBreakBefore w:val="0"/>
        <w:widowControl w:val="0"/>
        <w:kinsoku/>
        <w:wordWrap/>
        <w:overflowPunct/>
        <w:topLinePunct w:val="0"/>
        <w:autoSpaceDE/>
        <w:autoSpaceDN/>
        <w:bidi w:val="0"/>
        <w:spacing w:line="360" w:lineRule="auto"/>
        <w:ind w:firstLine="561"/>
        <w:textAlignment w:val="auto"/>
        <w:rPr>
          <w:rFonts w:hint="default" w:cs="Times New Roman"/>
          <w:b/>
          <w:bCs/>
          <w:color w:val="000000"/>
          <w:kern w:val="0"/>
          <w:sz w:val="24"/>
          <w:szCs w:val="24"/>
          <w:highlight w:val="none"/>
          <w:lang w:val="en-US" w:eastAsia="zh-CN"/>
        </w:rPr>
      </w:pPr>
      <w:r>
        <w:rPr>
          <w:rFonts w:hint="eastAsia" w:cs="Times New Roman"/>
          <w:b/>
          <w:bCs/>
          <w:color w:val="000000"/>
          <w:kern w:val="0"/>
          <w:sz w:val="24"/>
          <w:szCs w:val="24"/>
          <w:highlight w:val="none"/>
          <w:lang w:val="en-US" w:eastAsia="zh-CN"/>
        </w:rPr>
        <w:t>（1）项目新建排洪系统</w:t>
      </w:r>
    </w:p>
    <w:p w14:paraId="4D178D37">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1、排洪沟</w:t>
      </w:r>
    </w:p>
    <w:p w14:paraId="629EA9DD">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在大昌东北沟尾矿库滩面新建排洪沟，排洪沟采用C30钢筋混凝土结构，长度约415.0m，净断面尺寸为1.3m（宽）×1.3m（高），壁厚250mm，顶板厚度250mm，底板厚250mm。新建排洪沟与二区截水沟连接。排洪沟在基建期完成。</w:t>
      </w:r>
    </w:p>
    <w:p w14:paraId="764AB794">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2、截水沟</w:t>
      </w:r>
    </w:p>
    <w:p w14:paraId="7F596684">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为减轻暴雨对排土场的影响，减少排土场外部山坡汇水渗入排土场，在排土场场区外侧修建截水沟。截水沟分五个区建设，具体尺寸见下表3-2。截水沟采用钢筋混凝土结构，壁厚250mm。</w:t>
      </w:r>
    </w:p>
    <w:p w14:paraId="5BDF1BEE">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3、坡面排水沟</w:t>
      </w:r>
    </w:p>
    <w:p w14:paraId="07714C3D">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为了拦截平台表面及坡面汇水，减小雨水对坡面的冲刷，避免排土场内部汇水渗入排土场，设计在690.0m、705.0m、720.0m、735.0m、750.0m、765.0m、780.0m、795.0m平台间坡脚设置坡面纵向排水沟，并且每个平台台阶要保持整体平整，并留有2%～5%的反坡，保证平台汇水流入坡面纵向排水沟。坡面排水沟接入截水沟，垂直于坡面纵向排水沟设置坡面竖向排水沟，坡面排水沟均采用钢筋混凝土结构，断面规格为1.0m（宽）×1.0m（高），壁厚250mm，坡度按0.5%设置。坡面排水沟应在每个平台形成后修建完成。</w:t>
      </w:r>
    </w:p>
    <w:p w14:paraId="66E74497">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4、竖向排水沟</w:t>
      </w:r>
    </w:p>
    <w:p w14:paraId="722677B5">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垂直于坡面排水沟布设竖向排水沟，采用钢筋混凝土结构，断面规格为1.0m（宽）×1.0m（高），壁厚250mm，坡度按0.5%设置。</w:t>
      </w:r>
    </w:p>
    <w:p w14:paraId="67F76F52">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5、临时排洪沟</w:t>
      </w:r>
    </w:p>
    <w:p w14:paraId="6729F62E">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每年雨季前，要在排土场工作台阶高度修建临时排洪沟把洪水疏导入主排洪沟，临时排洪沟可以采用毛沟结构，断面1.3m（宽）×1.3m（高）。</w:t>
      </w:r>
    </w:p>
    <w:p w14:paraId="433D67AE">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6、消力池</w:t>
      </w:r>
    </w:p>
    <w:p w14:paraId="6E12C843">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在挡石坝下游建设1个消力池。消力池大小为8.0m（长）×5.0m（宽）×3.0m（高）。雨水在消力池沉淀后利用消力池外排水沟将雨水导至下游河道。</w:t>
      </w:r>
    </w:p>
    <w:p w14:paraId="38967C83">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7、场顶排水沟</w:t>
      </w:r>
    </w:p>
    <w:p w14:paraId="1B596D51">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为了减轻排土场顶部汇水对排土场的影响，在排土场的最终标高平台布设场顶排水沟，场顶排水沟采用钢筋混凝土结构，断面规格为1.3m（宽）×1.3m（高），壁厚250mm，坡度按1.0%设置。</w:t>
      </w:r>
    </w:p>
    <w:p w14:paraId="193F7BD4">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8、续接预制管</w:t>
      </w:r>
    </w:p>
    <w:p w14:paraId="2DD6BFC5">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b w:val="0"/>
          <w:bCs w:val="0"/>
          <w:color w:val="000000"/>
          <w:kern w:val="0"/>
          <w:sz w:val="24"/>
          <w:szCs w:val="24"/>
          <w:highlight w:val="none"/>
          <w:lang w:val="en-US" w:eastAsia="zh-CN"/>
        </w:rPr>
      </w:pPr>
      <w:r>
        <w:rPr>
          <w:rFonts w:hint="eastAsia" w:cs="Times New Roman"/>
          <w:b w:val="0"/>
          <w:bCs w:val="0"/>
          <w:color w:val="000000"/>
          <w:kern w:val="0"/>
          <w:sz w:val="24"/>
          <w:szCs w:val="24"/>
          <w:highlight w:val="none"/>
          <w:lang w:val="en-US" w:eastAsia="zh-CN"/>
        </w:rPr>
        <w:t>在尾矿库排洪系统出口处续接预制管。预制管内径700mm，将排洪系统处渗水导向下游。预制管底部铺设150m</w:t>
      </w:r>
      <w:r>
        <w:rPr>
          <w:rFonts w:hint="default" w:ascii="Times New Roman" w:hAnsi="Times New Roman" w:cs="Times New Roman"/>
          <w:b w:val="0"/>
          <w:bCs w:val="0"/>
          <w:color w:val="000000"/>
          <w:kern w:val="0"/>
          <w:sz w:val="24"/>
          <w:szCs w:val="24"/>
          <w:highlight w:val="none"/>
          <w:lang w:val="en-US" w:eastAsia="zh-CN"/>
        </w:rPr>
        <w:t>m的Ⅱ型砂石，压实系数不小于0.85，Ⅱ型砂石上铺设123mm的Ⅰ型砂石，压实系数不小于0.93，砂石采用级配砂石、碎石、石屑、中粗砂，其最大粒径不宜大于25mm，Ⅰ型砂石上预制管两侧铺设717mm厚的碎石排渗，铺设D=20~100mm采区剥离级配废石料进行</w:t>
      </w:r>
      <w:r>
        <w:rPr>
          <w:rFonts w:hint="eastAsia" w:cs="Times New Roman"/>
          <w:b w:val="0"/>
          <w:bCs w:val="0"/>
          <w:color w:val="000000"/>
          <w:kern w:val="0"/>
          <w:sz w:val="24"/>
          <w:szCs w:val="24"/>
          <w:highlight w:val="none"/>
          <w:lang w:val="en-US" w:eastAsia="zh-CN"/>
        </w:rPr>
        <w:t>排渗。</w:t>
      </w:r>
    </w:p>
    <w:p w14:paraId="2532F274">
      <w:pPr>
        <w:numPr>
          <w:ilvl w:val="0"/>
          <w:numId w:val="20"/>
        </w:numPr>
        <w:adjustRightInd w:val="0"/>
        <w:snapToGrid w:val="0"/>
        <w:jc w:val="center"/>
        <w:rPr>
          <w:rFonts w:hint="eastAsia" w:cs="Times New Roman"/>
          <w:b/>
          <w:bCs/>
          <w:color w:val="000000"/>
          <w:kern w:val="0"/>
          <w:sz w:val="21"/>
          <w:szCs w:val="21"/>
          <w:highlight w:val="none"/>
          <w:lang w:val="en-US" w:eastAsia="zh-CN"/>
        </w:rPr>
      </w:pPr>
      <w:r>
        <w:rPr>
          <w:rFonts w:hint="eastAsia" w:cs="Times New Roman"/>
          <w:b/>
          <w:bCs/>
          <w:color w:val="000000"/>
          <w:kern w:val="0"/>
          <w:sz w:val="21"/>
          <w:szCs w:val="21"/>
          <w:highlight w:val="none"/>
          <w:lang w:val="en-US" w:eastAsia="zh-CN"/>
        </w:rPr>
        <w:t>排水设施汇总表</w:t>
      </w:r>
    </w:p>
    <w:tbl>
      <w:tblPr>
        <w:tblStyle w:val="59"/>
        <w:tblW w:w="5019"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2017"/>
        <w:gridCol w:w="1440"/>
        <w:gridCol w:w="2115"/>
        <w:gridCol w:w="1395"/>
        <w:gridCol w:w="1383"/>
      </w:tblGrid>
      <w:tr w14:paraId="36EE17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219C69AF">
            <w:pPr>
              <w:pStyle w:val="336"/>
              <w:bidi w:val="0"/>
              <w:rPr>
                <w:rFonts w:hint="default"/>
                <w:b/>
                <w:bCs/>
                <w:highlight w:val="none"/>
                <w:lang w:val="en-US" w:eastAsia="zh-CN"/>
              </w:rPr>
            </w:pPr>
            <w:r>
              <w:rPr>
                <w:rFonts w:hint="default"/>
                <w:b/>
                <w:bCs/>
                <w:highlight w:val="none"/>
                <w:lang w:val="en-US" w:eastAsia="zh-CN"/>
              </w:rPr>
              <w:t>区域</w:t>
            </w:r>
          </w:p>
        </w:tc>
        <w:tc>
          <w:tcPr>
            <w:tcW w:w="862" w:type="pct"/>
            <w:tcBorders>
              <w:tl2br w:val="nil"/>
              <w:tr2bl w:val="nil"/>
            </w:tcBorders>
            <w:noWrap w:val="0"/>
            <w:vAlign w:val="center"/>
          </w:tcPr>
          <w:p w14:paraId="29B0CC14">
            <w:pPr>
              <w:pStyle w:val="336"/>
              <w:bidi w:val="0"/>
              <w:rPr>
                <w:rFonts w:hint="default"/>
                <w:b/>
                <w:bCs/>
                <w:highlight w:val="none"/>
                <w:lang w:val="en-US" w:eastAsia="zh-CN"/>
              </w:rPr>
            </w:pPr>
            <w:r>
              <w:rPr>
                <w:rFonts w:hint="default"/>
                <w:b/>
                <w:bCs/>
                <w:highlight w:val="none"/>
                <w:lang w:val="en-US" w:eastAsia="zh-CN"/>
              </w:rPr>
              <w:t>结构型式</w:t>
            </w:r>
          </w:p>
        </w:tc>
        <w:tc>
          <w:tcPr>
            <w:tcW w:w="1266" w:type="pct"/>
            <w:tcBorders>
              <w:tl2br w:val="nil"/>
              <w:tr2bl w:val="nil"/>
            </w:tcBorders>
            <w:noWrap w:val="0"/>
            <w:vAlign w:val="center"/>
          </w:tcPr>
          <w:p w14:paraId="600399FB">
            <w:pPr>
              <w:pStyle w:val="336"/>
              <w:bidi w:val="0"/>
              <w:rPr>
                <w:rFonts w:hint="default"/>
                <w:b/>
                <w:bCs/>
                <w:highlight w:val="none"/>
                <w:lang w:val="en-US" w:eastAsia="zh-CN"/>
              </w:rPr>
            </w:pPr>
            <w:r>
              <w:rPr>
                <w:rFonts w:hint="default"/>
                <w:b/>
                <w:bCs/>
                <w:highlight w:val="none"/>
                <w:lang w:val="en-US" w:eastAsia="zh-CN"/>
              </w:rPr>
              <w:t>尺寸（宽×深）（m）</w:t>
            </w:r>
          </w:p>
        </w:tc>
        <w:tc>
          <w:tcPr>
            <w:tcW w:w="835" w:type="pct"/>
            <w:tcBorders>
              <w:tl2br w:val="nil"/>
              <w:tr2bl w:val="nil"/>
            </w:tcBorders>
            <w:noWrap w:val="0"/>
            <w:vAlign w:val="center"/>
          </w:tcPr>
          <w:p w14:paraId="0803E57A">
            <w:pPr>
              <w:pStyle w:val="336"/>
              <w:bidi w:val="0"/>
              <w:rPr>
                <w:rFonts w:hint="default"/>
                <w:b/>
                <w:bCs/>
                <w:highlight w:val="none"/>
                <w:lang w:val="en-US" w:eastAsia="zh-CN"/>
              </w:rPr>
            </w:pPr>
            <w:r>
              <w:rPr>
                <w:rFonts w:hint="default"/>
                <w:b/>
                <w:bCs/>
                <w:highlight w:val="none"/>
                <w:lang w:val="en-US" w:eastAsia="zh-CN"/>
              </w:rPr>
              <w:t>坡度（%）</w:t>
            </w:r>
          </w:p>
        </w:tc>
        <w:tc>
          <w:tcPr>
            <w:tcW w:w="827" w:type="pct"/>
            <w:tcBorders>
              <w:tl2br w:val="nil"/>
              <w:tr2bl w:val="nil"/>
            </w:tcBorders>
            <w:noWrap w:val="0"/>
            <w:vAlign w:val="center"/>
          </w:tcPr>
          <w:p w14:paraId="5EE492F7">
            <w:pPr>
              <w:pStyle w:val="336"/>
              <w:bidi w:val="0"/>
              <w:rPr>
                <w:rFonts w:hint="default"/>
                <w:b/>
                <w:bCs/>
                <w:highlight w:val="none"/>
                <w:lang w:val="en-US" w:eastAsia="zh-CN"/>
              </w:rPr>
            </w:pPr>
            <w:r>
              <w:rPr>
                <w:rFonts w:hint="default"/>
                <w:b/>
                <w:bCs/>
                <w:highlight w:val="none"/>
                <w:lang w:val="en-US" w:eastAsia="zh-CN"/>
              </w:rPr>
              <w:t>长度（m）</w:t>
            </w:r>
          </w:p>
        </w:tc>
      </w:tr>
      <w:tr w14:paraId="144B6A7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49B6EE90">
            <w:pPr>
              <w:pStyle w:val="336"/>
              <w:bidi w:val="0"/>
              <w:rPr>
                <w:rFonts w:hint="default"/>
                <w:highlight w:val="none"/>
                <w:lang w:val="en-US" w:eastAsia="zh-CN"/>
              </w:rPr>
            </w:pPr>
            <w:r>
              <w:rPr>
                <w:rFonts w:hint="eastAsia"/>
                <w:highlight w:val="none"/>
                <w:lang w:val="en-US" w:eastAsia="zh-CN"/>
              </w:rPr>
              <w:t>排洪沟</w:t>
            </w:r>
          </w:p>
        </w:tc>
        <w:tc>
          <w:tcPr>
            <w:tcW w:w="862" w:type="pct"/>
            <w:tcBorders>
              <w:tl2br w:val="nil"/>
              <w:tr2bl w:val="nil"/>
            </w:tcBorders>
            <w:noWrap w:val="0"/>
            <w:vAlign w:val="center"/>
          </w:tcPr>
          <w:p w14:paraId="76BD6BCF">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default"/>
                <w:highlight w:val="none"/>
                <w:lang w:val="en-US" w:eastAsia="zh-CN"/>
              </w:rPr>
              <w:t>钢筋混凝土</w:t>
            </w:r>
          </w:p>
        </w:tc>
        <w:tc>
          <w:tcPr>
            <w:tcW w:w="1266" w:type="pct"/>
            <w:tcBorders>
              <w:tl2br w:val="nil"/>
              <w:tr2bl w:val="nil"/>
            </w:tcBorders>
            <w:noWrap w:val="0"/>
            <w:vAlign w:val="center"/>
          </w:tcPr>
          <w:p w14:paraId="67046BDF">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default"/>
                <w:highlight w:val="none"/>
                <w:lang w:val="en-US" w:eastAsia="zh-CN"/>
              </w:rPr>
              <w:t>1.</w:t>
            </w:r>
            <w:r>
              <w:rPr>
                <w:rFonts w:hint="eastAsia"/>
                <w:highlight w:val="none"/>
                <w:lang w:val="en-US" w:eastAsia="zh-CN"/>
              </w:rPr>
              <w:t>3</w:t>
            </w:r>
            <w:r>
              <w:rPr>
                <w:rFonts w:hint="default"/>
                <w:highlight w:val="none"/>
                <w:lang w:val="en-US" w:eastAsia="zh-CN"/>
              </w:rPr>
              <w:t>×1.</w:t>
            </w:r>
            <w:r>
              <w:rPr>
                <w:rFonts w:hint="eastAsia"/>
                <w:highlight w:val="none"/>
                <w:lang w:val="en-US" w:eastAsia="zh-CN"/>
              </w:rPr>
              <w:t>3</w:t>
            </w:r>
          </w:p>
        </w:tc>
        <w:tc>
          <w:tcPr>
            <w:tcW w:w="835" w:type="pct"/>
            <w:tcBorders>
              <w:tl2br w:val="nil"/>
              <w:tr2bl w:val="nil"/>
            </w:tcBorders>
            <w:noWrap w:val="0"/>
            <w:vAlign w:val="center"/>
          </w:tcPr>
          <w:p w14:paraId="0215F3D8">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default"/>
                <w:highlight w:val="none"/>
                <w:lang w:val="en-US" w:eastAsia="zh-CN"/>
              </w:rPr>
              <w:t>1.0</w:t>
            </w:r>
          </w:p>
        </w:tc>
        <w:tc>
          <w:tcPr>
            <w:tcW w:w="827" w:type="pct"/>
            <w:tcBorders>
              <w:tl2br w:val="nil"/>
              <w:tr2bl w:val="nil"/>
            </w:tcBorders>
            <w:noWrap w:val="0"/>
            <w:vAlign w:val="center"/>
          </w:tcPr>
          <w:p w14:paraId="5EDBB671">
            <w:pPr>
              <w:pStyle w:val="336"/>
              <w:bidi w:val="0"/>
              <w:ind w:firstLine="0" w:firstLineChars="0"/>
              <w:rPr>
                <w:rFonts w:hint="eastAsia" w:ascii="Times New Roman" w:hAnsi="Times New Roman" w:eastAsia="宋体" w:cs="Times New Roman"/>
                <w:color w:val="000000"/>
                <w:kern w:val="2"/>
                <w:sz w:val="21"/>
                <w:szCs w:val="28"/>
                <w:highlight w:val="none"/>
                <w:lang w:val="en-US" w:eastAsia="zh-CN" w:bidi="ar-SA"/>
              </w:rPr>
            </w:pPr>
            <w:r>
              <w:rPr>
                <w:rFonts w:hint="eastAsia"/>
                <w:highlight w:val="none"/>
                <w:lang w:val="en-US" w:eastAsia="zh-CN"/>
              </w:rPr>
              <w:t>283.0</w:t>
            </w:r>
          </w:p>
        </w:tc>
      </w:tr>
      <w:tr w14:paraId="454F9D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6CD235C0">
            <w:pPr>
              <w:pStyle w:val="336"/>
              <w:bidi w:val="0"/>
              <w:rPr>
                <w:rFonts w:hint="default"/>
                <w:highlight w:val="none"/>
                <w:lang w:val="en-US" w:eastAsia="zh-CN"/>
              </w:rPr>
            </w:pPr>
            <w:r>
              <w:rPr>
                <w:rFonts w:hint="default"/>
                <w:highlight w:val="none"/>
                <w:lang w:val="en-US" w:eastAsia="zh-CN"/>
              </w:rPr>
              <w:t>一区截水沟</w:t>
            </w:r>
          </w:p>
        </w:tc>
        <w:tc>
          <w:tcPr>
            <w:tcW w:w="862" w:type="pct"/>
            <w:tcBorders>
              <w:tl2br w:val="nil"/>
              <w:tr2bl w:val="nil"/>
            </w:tcBorders>
            <w:noWrap w:val="0"/>
            <w:vAlign w:val="center"/>
          </w:tcPr>
          <w:p w14:paraId="29BE965D">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0377B67F">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default"/>
                <w:highlight w:val="none"/>
                <w:lang w:val="en-US" w:eastAsia="zh-CN"/>
              </w:rPr>
              <w:t>1.</w:t>
            </w:r>
            <w:r>
              <w:rPr>
                <w:rFonts w:hint="eastAsia"/>
                <w:highlight w:val="none"/>
                <w:lang w:val="en-US" w:eastAsia="zh-CN"/>
              </w:rPr>
              <w:t>1</w:t>
            </w:r>
            <w:r>
              <w:rPr>
                <w:rFonts w:hint="default"/>
                <w:highlight w:val="none"/>
                <w:lang w:val="en-US" w:eastAsia="zh-CN"/>
              </w:rPr>
              <w:t>×1.</w:t>
            </w:r>
            <w:r>
              <w:rPr>
                <w:rFonts w:hint="eastAsia"/>
                <w:highlight w:val="none"/>
                <w:lang w:val="en-US" w:eastAsia="zh-CN"/>
              </w:rPr>
              <w:t>1</w:t>
            </w:r>
          </w:p>
        </w:tc>
        <w:tc>
          <w:tcPr>
            <w:tcW w:w="835" w:type="pct"/>
            <w:tcBorders>
              <w:tl2br w:val="nil"/>
              <w:tr2bl w:val="nil"/>
            </w:tcBorders>
            <w:noWrap w:val="0"/>
            <w:vAlign w:val="center"/>
          </w:tcPr>
          <w:p w14:paraId="762F9496">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default"/>
                <w:highlight w:val="none"/>
                <w:lang w:val="en-US" w:eastAsia="zh-CN"/>
              </w:rPr>
              <w:t>1.0</w:t>
            </w:r>
          </w:p>
        </w:tc>
        <w:tc>
          <w:tcPr>
            <w:tcW w:w="827" w:type="pct"/>
            <w:tcBorders>
              <w:tl2br w:val="nil"/>
              <w:tr2bl w:val="nil"/>
            </w:tcBorders>
            <w:noWrap w:val="0"/>
            <w:vAlign w:val="center"/>
          </w:tcPr>
          <w:p w14:paraId="41AC592C">
            <w:pPr>
              <w:pStyle w:val="336"/>
              <w:bidi w:val="0"/>
              <w:rPr>
                <w:rFonts w:hint="default"/>
                <w:highlight w:val="none"/>
                <w:lang w:val="en-US" w:eastAsia="zh-CN"/>
              </w:rPr>
            </w:pPr>
            <w:r>
              <w:rPr>
                <w:rFonts w:hint="eastAsia"/>
                <w:highlight w:val="none"/>
                <w:lang w:val="en-US" w:eastAsia="zh-CN"/>
              </w:rPr>
              <w:t>277.0</w:t>
            </w:r>
          </w:p>
        </w:tc>
      </w:tr>
      <w:tr w14:paraId="03B5AE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68EB58DA">
            <w:pPr>
              <w:pStyle w:val="336"/>
              <w:bidi w:val="0"/>
              <w:rPr>
                <w:rFonts w:hint="default"/>
                <w:highlight w:val="none"/>
                <w:lang w:val="en-US" w:eastAsia="zh-CN"/>
              </w:rPr>
            </w:pPr>
            <w:r>
              <w:rPr>
                <w:rFonts w:hint="default"/>
                <w:highlight w:val="none"/>
                <w:lang w:val="en-US" w:eastAsia="zh-CN"/>
              </w:rPr>
              <w:t>二区截水沟</w:t>
            </w:r>
          </w:p>
        </w:tc>
        <w:tc>
          <w:tcPr>
            <w:tcW w:w="862" w:type="pct"/>
            <w:tcBorders>
              <w:tl2br w:val="nil"/>
              <w:tr2bl w:val="nil"/>
            </w:tcBorders>
            <w:noWrap w:val="0"/>
            <w:vAlign w:val="center"/>
          </w:tcPr>
          <w:p w14:paraId="575C0DE8">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380CC310">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eastAsia"/>
                <w:highlight w:val="none"/>
                <w:lang w:val="en-US" w:eastAsia="zh-CN"/>
              </w:rPr>
              <w:t>1.5</w:t>
            </w:r>
            <w:r>
              <w:rPr>
                <w:rFonts w:hint="default"/>
                <w:highlight w:val="none"/>
                <w:lang w:val="en-US" w:eastAsia="zh-CN"/>
              </w:rPr>
              <w:t>×</w:t>
            </w:r>
            <w:r>
              <w:rPr>
                <w:rFonts w:hint="eastAsia"/>
                <w:highlight w:val="none"/>
                <w:lang w:val="en-US" w:eastAsia="zh-CN"/>
              </w:rPr>
              <w:t>1.5</w:t>
            </w:r>
          </w:p>
        </w:tc>
        <w:tc>
          <w:tcPr>
            <w:tcW w:w="835" w:type="pct"/>
            <w:tcBorders>
              <w:tl2br w:val="nil"/>
              <w:tr2bl w:val="nil"/>
            </w:tcBorders>
            <w:noWrap w:val="0"/>
            <w:vAlign w:val="center"/>
          </w:tcPr>
          <w:p w14:paraId="69CC81ED">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eastAsia"/>
                <w:highlight w:val="none"/>
                <w:lang w:val="en-US" w:eastAsia="zh-CN"/>
              </w:rPr>
              <w:t>8</w:t>
            </w:r>
            <w:r>
              <w:rPr>
                <w:rFonts w:hint="default"/>
                <w:highlight w:val="none"/>
                <w:lang w:val="en-US" w:eastAsia="zh-CN"/>
              </w:rPr>
              <w:t>.0</w:t>
            </w:r>
          </w:p>
        </w:tc>
        <w:tc>
          <w:tcPr>
            <w:tcW w:w="827" w:type="pct"/>
            <w:tcBorders>
              <w:tl2br w:val="nil"/>
              <w:tr2bl w:val="nil"/>
            </w:tcBorders>
            <w:noWrap w:val="0"/>
            <w:vAlign w:val="center"/>
          </w:tcPr>
          <w:p w14:paraId="3BF48D31">
            <w:pPr>
              <w:pStyle w:val="336"/>
              <w:bidi w:val="0"/>
              <w:rPr>
                <w:rFonts w:hint="default"/>
                <w:highlight w:val="none"/>
                <w:lang w:val="en-US" w:eastAsia="zh-CN"/>
              </w:rPr>
            </w:pPr>
            <w:r>
              <w:rPr>
                <w:rFonts w:hint="eastAsia"/>
                <w:highlight w:val="none"/>
                <w:lang w:val="en-US" w:eastAsia="zh-CN"/>
              </w:rPr>
              <w:t>859.0</w:t>
            </w:r>
          </w:p>
        </w:tc>
      </w:tr>
      <w:tr w14:paraId="4DFBFF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7CFAB0F8">
            <w:pPr>
              <w:pStyle w:val="336"/>
              <w:bidi w:val="0"/>
              <w:rPr>
                <w:rFonts w:hint="default"/>
                <w:highlight w:val="none"/>
                <w:lang w:val="en-US" w:eastAsia="zh-CN"/>
              </w:rPr>
            </w:pPr>
            <w:r>
              <w:rPr>
                <w:rFonts w:hint="default"/>
                <w:highlight w:val="none"/>
                <w:lang w:val="en-US" w:eastAsia="zh-CN"/>
              </w:rPr>
              <w:t>三区截水沟</w:t>
            </w:r>
          </w:p>
        </w:tc>
        <w:tc>
          <w:tcPr>
            <w:tcW w:w="862" w:type="pct"/>
            <w:tcBorders>
              <w:tl2br w:val="nil"/>
              <w:tr2bl w:val="nil"/>
            </w:tcBorders>
            <w:noWrap w:val="0"/>
            <w:vAlign w:val="center"/>
          </w:tcPr>
          <w:p w14:paraId="105717BD">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2AFA05DB">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default"/>
                <w:highlight w:val="none"/>
                <w:lang w:val="en-US" w:eastAsia="zh-CN"/>
              </w:rPr>
              <w:t>1.</w:t>
            </w:r>
            <w:r>
              <w:rPr>
                <w:rFonts w:hint="eastAsia"/>
                <w:highlight w:val="none"/>
                <w:lang w:val="en-US" w:eastAsia="zh-CN"/>
              </w:rPr>
              <w:t>1</w:t>
            </w:r>
            <w:r>
              <w:rPr>
                <w:rFonts w:hint="default"/>
                <w:highlight w:val="none"/>
                <w:lang w:val="en-US" w:eastAsia="zh-CN"/>
              </w:rPr>
              <w:t>×1.</w:t>
            </w:r>
            <w:r>
              <w:rPr>
                <w:rFonts w:hint="eastAsia"/>
                <w:highlight w:val="none"/>
                <w:lang w:val="en-US" w:eastAsia="zh-CN"/>
              </w:rPr>
              <w:t>1</w:t>
            </w:r>
          </w:p>
        </w:tc>
        <w:tc>
          <w:tcPr>
            <w:tcW w:w="835" w:type="pct"/>
            <w:tcBorders>
              <w:tl2br w:val="nil"/>
              <w:tr2bl w:val="nil"/>
            </w:tcBorders>
            <w:noWrap w:val="0"/>
            <w:vAlign w:val="center"/>
          </w:tcPr>
          <w:p w14:paraId="70AF3EDE">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eastAsia"/>
                <w:highlight w:val="none"/>
                <w:lang w:val="en-US" w:eastAsia="zh-CN"/>
              </w:rPr>
              <w:t>1</w:t>
            </w:r>
            <w:r>
              <w:rPr>
                <w:rFonts w:hint="default"/>
                <w:highlight w:val="none"/>
                <w:lang w:val="en-US" w:eastAsia="zh-CN"/>
              </w:rPr>
              <w:t>.0</w:t>
            </w:r>
          </w:p>
        </w:tc>
        <w:tc>
          <w:tcPr>
            <w:tcW w:w="827" w:type="pct"/>
            <w:tcBorders>
              <w:tl2br w:val="nil"/>
              <w:tr2bl w:val="nil"/>
            </w:tcBorders>
            <w:noWrap w:val="0"/>
            <w:vAlign w:val="center"/>
          </w:tcPr>
          <w:p w14:paraId="6F971D9D">
            <w:pPr>
              <w:pStyle w:val="336"/>
              <w:bidi w:val="0"/>
              <w:rPr>
                <w:rFonts w:hint="default"/>
                <w:highlight w:val="none"/>
                <w:lang w:val="en-US" w:eastAsia="zh-CN"/>
              </w:rPr>
            </w:pPr>
            <w:r>
              <w:rPr>
                <w:rFonts w:hint="eastAsia"/>
                <w:highlight w:val="none"/>
                <w:lang w:val="en-US" w:eastAsia="zh-CN"/>
              </w:rPr>
              <w:t>1108.0</w:t>
            </w:r>
          </w:p>
        </w:tc>
      </w:tr>
      <w:tr w14:paraId="13230B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506381FF">
            <w:pPr>
              <w:pStyle w:val="336"/>
              <w:bidi w:val="0"/>
              <w:rPr>
                <w:rFonts w:hint="default"/>
                <w:highlight w:val="none"/>
                <w:lang w:val="en-US" w:eastAsia="zh-CN"/>
              </w:rPr>
            </w:pPr>
            <w:r>
              <w:rPr>
                <w:rFonts w:hint="default"/>
                <w:highlight w:val="none"/>
                <w:lang w:val="en-US" w:eastAsia="zh-CN"/>
              </w:rPr>
              <w:t>四区截水沟</w:t>
            </w:r>
          </w:p>
        </w:tc>
        <w:tc>
          <w:tcPr>
            <w:tcW w:w="862" w:type="pct"/>
            <w:tcBorders>
              <w:tl2br w:val="nil"/>
              <w:tr2bl w:val="nil"/>
            </w:tcBorders>
            <w:noWrap w:val="0"/>
            <w:vAlign w:val="center"/>
          </w:tcPr>
          <w:p w14:paraId="319479E0">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0DB62BA6">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default"/>
                <w:highlight w:val="none"/>
                <w:lang w:val="en-US" w:eastAsia="zh-CN"/>
              </w:rPr>
              <w:t>1.</w:t>
            </w:r>
            <w:r>
              <w:rPr>
                <w:rFonts w:hint="eastAsia"/>
                <w:highlight w:val="none"/>
                <w:lang w:val="en-US" w:eastAsia="zh-CN"/>
              </w:rPr>
              <w:t>4</w:t>
            </w:r>
            <w:r>
              <w:rPr>
                <w:rFonts w:hint="default"/>
                <w:highlight w:val="none"/>
                <w:lang w:val="en-US" w:eastAsia="zh-CN"/>
              </w:rPr>
              <w:t>×1.</w:t>
            </w:r>
            <w:r>
              <w:rPr>
                <w:rFonts w:hint="eastAsia"/>
                <w:highlight w:val="none"/>
                <w:lang w:val="en-US" w:eastAsia="zh-CN"/>
              </w:rPr>
              <w:t>4</w:t>
            </w:r>
          </w:p>
        </w:tc>
        <w:tc>
          <w:tcPr>
            <w:tcW w:w="835" w:type="pct"/>
            <w:tcBorders>
              <w:tl2br w:val="nil"/>
              <w:tr2bl w:val="nil"/>
            </w:tcBorders>
            <w:noWrap w:val="0"/>
            <w:vAlign w:val="center"/>
          </w:tcPr>
          <w:p w14:paraId="6EDBB9EA">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eastAsia"/>
                <w:highlight w:val="none"/>
                <w:lang w:val="en-US" w:eastAsia="zh-CN"/>
              </w:rPr>
              <w:t>6.0</w:t>
            </w:r>
          </w:p>
        </w:tc>
        <w:tc>
          <w:tcPr>
            <w:tcW w:w="827" w:type="pct"/>
            <w:tcBorders>
              <w:tl2br w:val="nil"/>
              <w:tr2bl w:val="nil"/>
            </w:tcBorders>
            <w:noWrap w:val="0"/>
            <w:vAlign w:val="center"/>
          </w:tcPr>
          <w:p w14:paraId="68B49F07">
            <w:pPr>
              <w:pStyle w:val="336"/>
              <w:bidi w:val="0"/>
              <w:rPr>
                <w:rFonts w:hint="default"/>
                <w:highlight w:val="none"/>
                <w:lang w:val="en-US" w:eastAsia="zh-CN"/>
              </w:rPr>
            </w:pPr>
            <w:r>
              <w:rPr>
                <w:rFonts w:hint="eastAsia"/>
                <w:highlight w:val="none"/>
                <w:lang w:val="en-US" w:eastAsia="zh-CN"/>
              </w:rPr>
              <w:t>451.0</w:t>
            </w:r>
          </w:p>
        </w:tc>
      </w:tr>
      <w:tr w14:paraId="074564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10AF184B">
            <w:pPr>
              <w:pStyle w:val="336"/>
              <w:bidi w:val="0"/>
              <w:rPr>
                <w:rFonts w:hint="default"/>
                <w:highlight w:val="none"/>
                <w:lang w:val="en-US" w:eastAsia="zh-CN"/>
              </w:rPr>
            </w:pPr>
            <w:r>
              <w:rPr>
                <w:rFonts w:hint="default"/>
                <w:highlight w:val="none"/>
                <w:lang w:val="en-US" w:eastAsia="zh-CN"/>
              </w:rPr>
              <w:t>五区截水沟</w:t>
            </w:r>
          </w:p>
        </w:tc>
        <w:tc>
          <w:tcPr>
            <w:tcW w:w="862" w:type="pct"/>
            <w:tcBorders>
              <w:tl2br w:val="nil"/>
              <w:tr2bl w:val="nil"/>
            </w:tcBorders>
            <w:noWrap w:val="0"/>
            <w:vAlign w:val="center"/>
          </w:tcPr>
          <w:p w14:paraId="0547F621">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0514F79D">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eastAsia"/>
                <w:highlight w:val="none"/>
                <w:lang w:val="en-US" w:eastAsia="zh-CN"/>
              </w:rPr>
              <w:t>1.4</w:t>
            </w:r>
            <w:r>
              <w:rPr>
                <w:rFonts w:hint="default"/>
                <w:highlight w:val="none"/>
                <w:lang w:val="en-US" w:eastAsia="zh-CN"/>
              </w:rPr>
              <w:t>×</w:t>
            </w:r>
            <w:r>
              <w:rPr>
                <w:rFonts w:hint="eastAsia"/>
                <w:highlight w:val="none"/>
                <w:lang w:val="en-US" w:eastAsia="zh-CN"/>
              </w:rPr>
              <w:t>1.4</w:t>
            </w:r>
          </w:p>
        </w:tc>
        <w:tc>
          <w:tcPr>
            <w:tcW w:w="835" w:type="pct"/>
            <w:tcBorders>
              <w:tl2br w:val="nil"/>
              <w:tr2bl w:val="nil"/>
            </w:tcBorders>
            <w:noWrap w:val="0"/>
            <w:vAlign w:val="center"/>
          </w:tcPr>
          <w:p w14:paraId="33401153">
            <w:pPr>
              <w:pStyle w:val="336"/>
              <w:bidi w:val="0"/>
              <w:ind w:firstLine="0" w:firstLineChars="0"/>
              <w:rPr>
                <w:rFonts w:hint="default" w:ascii="Times New Roman" w:hAnsi="Times New Roman" w:eastAsia="宋体" w:cs="Times New Roman"/>
                <w:color w:val="000000"/>
                <w:kern w:val="2"/>
                <w:sz w:val="21"/>
                <w:szCs w:val="28"/>
                <w:highlight w:val="none"/>
                <w:lang w:val="en-US" w:eastAsia="zh-CN" w:bidi="ar-SA"/>
              </w:rPr>
            </w:pPr>
            <w:r>
              <w:rPr>
                <w:rFonts w:hint="eastAsia"/>
                <w:highlight w:val="none"/>
                <w:lang w:val="en-US" w:eastAsia="zh-CN"/>
              </w:rPr>
              <w:t>15.0</w:t>
            </w:r>
          </w:p>
        </w:tc>
        <w:tc>
          <w:tcPr>
            <w:tcW w:w="827" w:type="pct"/>
            <w:tcBorders>
              <w:tl2br w:val="nil"/>
              <w:tr2bl w:val="nil"/>
            </w:tcBorders>
            <w:noWrap w:val="0"/>
            <w:vAlign w:val="center"/>
          </w:tcPr>
          <w:p w14:paraId="55CBC2F9">
            <w:pPr>
              <w:pStyle w:val="336"/>
              <w:bidi w:val="0"/>
              <w:rPr>
                <w:rFonts w:hint="default"/>
                <w:highlight w:val="none"/>
                <w:lang w:val="en-US" w:eastAsia="zh-CN"/>
              </w:rPr>
            </w:pPr>
            <w:r>
              <w:rPr>
                <w:rFonts w:hint="eastAsia"/>
                <w:highlight w:val="none"/>
                <w:lang w:val="en-US" w:eastAsia="zh-CN"/>
              </w:rPr>
              <w:t>595.0</w:t>
            </w:r>
          </w:p>
        </w:tc>
      </w:tr>
      <w:tr w14:paraId="3B9654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7564DC60">
            <w:pPr>
              <w:pStyle w:val="336"/>
              <w:bidi w:val="0"/>
              <w:rPr>
                <w:rFonts w:hint="default"/>
                <w:highlight w:val="none"/>
                <w:lang w:val="en-US" w:eastAsia="zh-CN"/>
              </w:rPr>
            </w:pPr>
            <w:r>
              <w:rPr>
                <w:rFonts w:hint="eastAsia"/>
                <w:highlight w:val="none"/>
                <w:lang w:val="en-US" w:eastAsia="zh-CN"/>
              </w:rPr>
              <w:t>场顶排水沟沟</w:t>
            </w:r>
          </w:p>
        </w:tc>
        <w:tc>
          <w:tcPr>
            <w:tcW w:w="862" w:type="pct"/>
            <w:tcBorders>
              <w:tl2br w:val="nil"/>
              <w:tr2bl w:val="nil"/>
            </w:tcBorders>
            <w:noWrap w:val="0"/>
            <w:vAlign w:val="center"/>
          </w:tcPr>
          <w:p w14:paraId="7AA1A199">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440F93BC">
            <w:pPr>
              <w:pStyle w:val="336"/>
              <w:bidi w:val="0"/>
              <w:rPr>
                <w:rFonts w:hint="default"/>
                <w:highlight w:val="none"/>
                <w:lang w:val="en-US" w:eastAsia="zh-CN"/>
              </w:rPr>
            </w:pPr>
            <w:r>
              <w:rPr>
                <w:rFonts w:hint="default"/>
                <w:highlight w:val="none"/>
                <w:lang w:val="en-US" w:eastAsia="zh-CN"/>
              </w:rPr>
              <w:t>1.</w:t>
            </w:r>
            <w:r>
              <w:rPr>
                <w:rFonts w:hint="eastAsia"/>
                <w:highlight w:val="none"/>
                <w:lang w:val="en-US" w:eastAsia="zh-CN"/>
              </w:rPr>
              <w:t>3</w:t>
            </w:r>
            <w:r>
              <w:rPr>
                <w:rFonts w:hint="default"/>
                <w:highlight w:val="none"/>
                <w:lang w:val="en-US" w:eastAsia="zh-CN"/>
              </w:rPr>
              <w:t>×1.</w:t>
            </w:r>
            <w:r>
              <w:rPr>
                <w:rFonts w:hint="eastAsia"/>
                <w:highlight w:val="none"/>
                <w:lang w:val="en-US" w:eastAsia="zh-CN"/>
              </w:rPr>
              <w:t>3</w:t>
            </w:r>
          </w:p>
        </w:tc>
        <w:tc>
          <w:tcPr>
            <w:tcW w:w="835" w:type="pct"/>
            <w:tcBorders>
              <w:tl2br w:val="nil"/>
              <w:tr2bl w:val="nil"/>
            </w:tcBorders>
            <w:noWrap w:val="0"/>
            <w:vAlign w:val="center"/>
          </w:tcPr>
          <w:p w14:paraId="6A58335D">
            <w:pPr>
              <w:pStyle w:val="336"/>
              <w:bidi w:val="0"/>
              <w:rPr>
                <w:rFonts w:hint="default"/>
                <w:highlight w:val="none"/>
                <w:lang w:val="en-US" w:eastAsia="zh-CN"/>
              </w:rPr>
            </w:pPr>
            <w:r>
              <w:rPr>
                <w:rFonts w:hint="eastAsia"/>
                <w:highlight w:val="none"/>
                <w:lang w:val="en-US" w:eastAsia="zh-CN"/>
              </w:rPr>
              <w:t>1</w:t>
            </w:r>
            <w:r>
              <w:rPr>
                <w:rFonts w:hint="default"/>
                <w:highlight w:val="none"/>
                <w:lang w:val="en-US" w:eastAsia="zh-CN"/>
              </w:rPr>
              <w:t>.0</w:t>
            </w:r>
          </w:p>
        </w:tc>
        <w:tc>
          <w:tcPr>
            <w:tcW w:w="827" w:type="pct"/>
            <w:tcBorders>
              <w:tl2br w:val="nil"/>
              <w:tr2bl w:val="nil"/>
            </w:tcBorders>
            <w:noWrap w:val="0"/>
            <w:vAlign w:val="center"/>
          </w:tcPr>
          <w:p w14:paraId="2F53A806">
            <w:pPr>
              <w:pStyle w:val="336"/>
              <w:bidi w:val="0"/>
              <w:rPr>
                <w:rFonts w:hint="default"/>
                <w:highlight w:val="none"/>
                <w:lang w:val="en-US" w:eastAsia="zh-CN"/>
              </w:rPr>
            </w:pPr>
            <w:r>
              <w:rPr>
                <w:rFonts w:hint="eastAsia"/>
                <w:highlight w:val="none"/>
                <w:lang w:val="en-US" w:eastAsia="zh-CN"/>
              </w:rPr>
              <w:t>520</w:t>
            </w:r>
            <w:r>
              <w:rPr>
                <w:rFonts w:hint="default"/>
                <w:highlight w:val="none"/>
                <w:lang w:val="en-US" w:eastAsia="zh-CN"/>
              </w:rPr>
              <w:t>.0</w:t>
            </w:r>
          </w:p>
        </w:tc>
      </w:tr>
      <w:tr w14:paraId="19BEFC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7FB423B5">
            <w:pPr>
              <w:pStyle w:val="336"/>
              <w:bidi w:val="0"/>
              <w:rPr>
                <w:rFonts w:hint="default"/>
                <w:highlight w:val="none"/>
                <w:lang w:val="en-US" w:eastAsia="zh-CN"/>
              </w:rPr>
            </w:pPr>
            <w:r>
              <w:rPr>
                <w:rFonts w:hint="default"/>
                <w:highlight w:val="none"/>
                <w:lang w:val="en-US" w:eastAsia="zh-CN"/>
              </w:rPr>
              <w:t>坡面排水沟</w:t>
            </w:r>
          </w:p>
        </w:tc>
        <w:tc>
          <w:tcPr>
            <w:tcW w:w="862" w:type="pct"/>
            <w:tcBorders>
              <w:tl2br w:val="nil"/>
              <w:tr2bl w:val="nil"/>
            </w:tcBorders>
            <w:noWrap w:val="0"/>
            <w:vAlign w:val="center"/>
          </w:tcPr>
          <w:p w14:paraId="41466022">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7A2161D3">
            <w:pPr>
              <w:pStyle w:val="336"/>
              <w:bidi w:val="0"/>
              <w:rPr>
                <w:rFonts w:hint="default"/>
                <w:highlight w:val="none"/>
                <w:lang w:val="en-US" w:eastAsia="zh-CN"/>
              </w:rPr>
            </w:pPr>
            <w:r>
              <w:rPr>
                <w:rFonts w:hint="default"/>
                <w:highlight w:val="none"/>
                <w:lang w:val="en-US" w:eastAsia="zh-CN"/>
              </w:rPr>
              <w:t>1.0×1.0</w:t>
            </w:r>
          </w:p>
        </w:tc>
        <w:tc>
          <w:tcPr>
            <w:tcW w:w="835" w:type="pct"/>
            <w:tcBorders>
              <w:tl2br w:val="nil"/>
              <w:tr2bl w:val="nil"/>
            </w:tcBorders>
            <w:noWrap w:val="0"/>
            <w:vAlign w:val="center"/>
          </w:tcPr>
          <w:p w14:paraId="0FBA63DC">
            <w:pPr>
              <w:pStyle w:val="336"/>
              <w:bidi w:val="0"/>
              <w:rPr>
                <w:rFonts w:hint="default"/>
                <w:highlight w:val="none"/>
                <w:lang w:val="en-US" w:eastAsia="zh-CN"/>
              </w:rPr>
            </w:pPr>
            <w:r>
              <w:rPr>
                <w:rFonts w:hint="eastAsia"/>
                <w:highlight w:val="none"/>
                <w:lang w:val="en-US" w:eastAsia="zh-CN"/>
              </w:rPr>
              <w:t>0.5</w:t>
            </w:r>
          </w:p>
        </w:tc>
        <w:tc>
          <w:tcPr>
            <w:tcW w:w="827" w:type="pct"/>
            <w:tcBorders>
              <w:tl2br w:val="nil"/>
              <w:tr2bl w:val="nil"/>
            </w:tcBorders>
            <w:noWrap w:val="0"/>
            <w:vAlign w:val="center"/>
          </w:tcPr>
          <w:p w14:paraId="51B8EEF6">
            <w:pPr>
              <w:pStyle w:val="336"/>
              <w:bidi w:val="0"/>
              <w:rPr>
                <w:rFonts w:hint="default"/>
                <w:highlight w:val="none"/>
                <w:lang w:val="en-US" w:eastAsia="zh-CN"/>
              </w:rPr>
            </w:pPr>
            <w:r>
              <w:rPr>
                <w:rFonts w:hint="eastAsia"/>
                <w:highlight w:val="none"/>
                <w:lang w:val="en-US" w:eastAsia="zh-CN"/>
              </w:rPr>
              <w:t>2890.0</w:t>
            </w:r>
          </w:p>
        </w:tc>
      </w:tr>
      <w:tr w14:paraId="6B04EA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54" w:hRule="atLeast"/>
        </w:trPr>
        <w:tc>
          <w:tcPr>
            <w:tcW w:w="1207" w:type="pct"/>
            <w:tcBorders>
              <w:tl2br w:val="nil"/>
              <w:tr2bl w:val="nil"/>
            </w:tcBorders>
            <w:noWrap w:val="0"/>
            <w:vAlign w:val="center"/>
          </w:tcPr>
          <w:p w14:paraId="7E91A737">
            <w:pPr>
              <w:pStyle w:val="336"/>
              <w:bidi w:val="0"/>
              <w:rPr>
                <w:rFonts w:hint="default"/>
                <w:highlight w:val="none"/>
                <w:lang w:val="en-US" w:eastAsia="zh-CN"/>
              </w:rPr>
            </w:pPr>
            <w:r>
              <w:rPr>
                <w:rFonts w:hint="eastAsia"/>
                <w:highlight w:val="none"/>
                <w:lang w:val="en-US" w:eastAsia="zh-CN"/>
              </w:rPr>
              <w:t>竖向排水沟</w:t>
            </w:r>
          </w:p>
        </w:tc>
        <w:tc>
          <w:tcPr>
            <w:tcW w:w="862" w:type="pct"/>
            <w:tcBorders>
              <w:tl2br w:val="nil"/>
              <w:tr2bl w:val="nil"/>
            </w:tcBorders>
            <w:noWrap w:val="0"/>
            <w:vAlign w:val="center"/>
          </w:tcPr>
          <w:p w14:paraId="0F1292AB">
            <w:pPr>
              <w:pStyle w:val="336"/>
              <w:bidi w:val="0"/>
              <w:rPr>
                <w:rFonts w:hint="default"/>
                <w:highlight w:val="none"/>
                <w:lang w:val="en-US" w:eastAsia="zh-CN"/>
              </w:rPr>
            </w:pPr>
            <w:r>
              <w:rPr>
                <w:rFonts w:hint="default"/>
                <w:highlight w:val="none"/>
                <w:lang w:val="en-US" w:eastAsia="zh-CN"/>
              </w:rPr>
              <w:t>钢筋混凝土</w:t>
            </w:r>
          </w:p>
        </w:tc>
        <w:tc>
          <w:tcPr>
            <w:tcW w:w="1266" w:type="pct"/>
            <w:tcBorders>
              <w:tl2br w:val="nil"/>
              <w:tr2bl w:val="nil"/>
            </w:tcBorders>
            <w:noWrap w:val="0"/>
            <w:vAlign w:val="center"/>
          </w:tcPr>
          <w:p w14:paraId="1D39AF84">
            <w:pPr>
              <w:pStyle w:val="336"/>
              <w:bidi w:val="0"/>
              <w:rPr>
                <w:rFonts w:hint="default"/>
                <w:highlight w:val="none"/>
                <w:lang w:val="en-US" w:eastAsia="zh-CN"/>
              </w:rPr>
            </w:pPr>
            <w:r>
              <w:rPr>
                <w:rFonts w:hint="default"/>
                <w:highlight w:val="none"/>
                <w:lang w:val="en-US" w:eastAsia="zh-CN"/>
              </w:rPr>
              <w:t>1.0×1.0</w:t>
            </w:r>
          </w:p>
        </w:tc>
        <w:tc>
          <w:tcPr>
            <w:tcW w:w="835" w:type="pct"/>
            <w:tcBorders>
              <w:tl2br w:val="nil"/>
              <w:tr2bl w:val="nil"/>
            </w:tcBorders>
            <w:noWrap w:val="0"/>
            <w:vAlign w:val="center"/>
          </w:tcPr>
          <w:p w14:paraId="2A7B53E4">
            <w:pPr>
              <w:pStyle w:val="336"/>
              <w:bidi w:val="0"/>
              <w:rPr>
                <w:rFonts w:hint="default"/>
                <w:highlight w:val="none"/>
                <w:lang w:val="en-US" w:eastAsia="zh-CN"/>
              </w:rPr>
            </w:pPr>
            <w:r>
              <w:rPr>
                <w:rFonts w:hint="eastAsia"/>
                <w:highlight w:val="none"/>
                <w:lang w:val="en-US" w:eastAsia="zh-CN"/>
              </w:rPr>
              <w:t>33.3</w:t>
            </w:r>
          </w:p>
        </w:tc>
        <w:tc>
          <w:tcPr>
            <w:tcW w:w="827" w:type="pct"/>
            <w:tcBorders>
              <w:tl2br w:val="nil"/>
              <w:tr2bl w:val="nil"/>
            </w:tcBorders>
            <w:noWrap w:val="0"/>
            <w:vAlign w:val="center"/>
          </w:tcPr>
          <w:p w14:paraId="64D3ED0E">
            <w:pPr>
              <w:pStyle w:val="336"/>
              <w:bidi w:val="0"/>
              <w:rPr>
                <w:rFonts w:hint="default"/>
                <w:highlight w:val="none"/>
                <w:lang w:val="en-US" w:eastAsia="zh-CN"/>
              </w:rPr>
            </w:pPr>
            <w:r>
              <w:rPr>
                <w:rFonts w:hint="eastAsia"/>
                <w:highlight w:val="none"/>
                <w:lang w:val="en-US" w:eastAsia="zh-CN"/>
              </w:rPr>
              <w:t>561.0</w:t>
            </w:r>
          </w:p>
        </w:tc>
      </w:tr>
    </w:tbl>
    <w:p w14:paraId="639EF18E">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jc w:val="center"/>
        <w:textAlignment w:val="auto"/>
        <w:rPr>
          <w:rFonts w:hint="eastAsia" w:cs="Times New Roman"/>
          <w:b w:val="0"/>
          <w:bCs w:val="0"/>
          <w:color w:val="000000"/>
          <w:kern w:val="0"/>
          <w:sz w:val="24"/>
          <w:szCs w:val="24"/>
          <w:highlight w:val="none"/>
          <w:lang w:val="en-US" w:eastAsia="zh-CN"/>
        </w:rPr>
      </w:pPr>
      <w:r>
        <w:rPr>
          <w:highlight w:val="none"/>
        </w:rPr>
        <w:drawing>
          <wp:inline distT="0" distB="0" distL="114300" distR="114300">
            <wp:extent cx="4585335" cy="3736340"/>
            <wp:effectExtent l="0" t="0" r="1905" b="1270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19"/>
                    <a:stretch>
                      <a:fillRect/>
                    </a:stretch>
                  </pic:blipFill>
                  <pic:spPr>
                    <a:xfrm>
                      <a:off x="0" y="0"/>
                      <a:ext cx="4585335" cy="3736340"/>
                    </a:xfrm>
                    <a:prstGeom prst="rect">
                      <a:avLst/>
                    </a:prstGeom>
                    <a:noFill/>
                    <a:ln>
                      <a:noFill/>
                    </a:ln>
                  </pic:spPr>
                </pic:pic>
              </a:graphicData>
            </a:graphic>
          </wp:inline>
        </w:drawing>
      </w:r>
    </w:p>
    <w:p w14:paraId="16910407">
      <w:pPr>
        <w:keepNext w:val="0"/>
        <w:keepLines w:val="0"/>
        <w:pageBreakBefore w:val="0"/>
        <w:widowControl/>
        <w:numPr>
          <w:ilvl w:val="0"/>
          <w:numId w:val="21"/>
        </w:numPr>
        <w:kinsoku/>
        <w:wordWrap/>
        <w:overflowPunct/>
        <w:topLinePunct w:val="0"/>
        <w:autoSpaceDE/>
        <w:autoSpaceDN/>
        <w:bidi w:val="0"/>
        <w:adjustRightInd/>
        <w:snapToGrid/>
        <w:spacing w:line="360" w:lineRule="auto"/>
        <w:ind w:left="420" w:leftChars="0" w:hanging="420" w:firstLineChars="0"/>
        <w:jc w:val="center"/>
        <w:textAlignment w:val="auto"/>
        <w:rPr>
          <w:rFonts w:hint="eastAsia" w:cs="Times New Roman"/>
          <w:b/>
          <w:bCs/>
          <w:color w:val="000000"/>
          <w:kern w:val="0"/>
          <w:sz w:val="21"/>
          <w:szCs w:val="21"/>
          <w:highlight w:val="none"/>
          <w:lang w:val="en-US" w:eastAsia="zh-CN"/>
        </w:rPr>
      </w:pPr>
      <w:r>
        <w:rPr>
          <w:rFonts w:hint="eastAsia" w:cs="Times New Roman"/>
          <w:b/>
          <w:bCs/>
          <w:color w:val="000000"/>
          <w:kern w:val="0"/>
          <w:sz w:val="21"/>
          <w:szCs w:val="21"/>
          <w:highlight w:val="none"/>
          <w:lang w:val="en-US" w:eastAsia="zh-CN"/>
        </w:rPr>
        <w:t>截水沟对应分区图</w:t>
      </w:r>
    </w:p>
    <w:p w14:paraId="4D5FC8D7">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sz w:val="24"/>
          <w:szCs w:val="24"/>
          <w:highlight w:val="none"/>
          <w:lang w:val="en-US" w:eastAsia="zh-CN"/>
        </w:rPr>
      </w:pPr>
      <w:r>
        <w:rPr>
          <w:rFonts w:hint="eastAsia"/>
          <w:b/>
          <w:bCs/>
          <w:sz w:val="24"/>
          <w:szCs w:val="24"/>
          <w:highlight w:val="none"/>
          <w:lang w:val="en-US" w:eastAsia="zh-CN"/>
        </w:rPr>
        <w:t>（2）尾矿库排洪系统封堵</w:t>
      </w:r>
    </w:p>
    <w:p w14:paraId="1A636A05">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现状尾矿库排洪系统采用排水斜槽~消力池型式。在排洪沟-截水沟建成后，对尾矿库排洪系统进行封堵。</w:t>
      </w:r>
    </w:p>
    <w:p w14:paraId="4B7B9CB7">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（1）封堵方案</w:t>
      </w:r>
    </w:p>
    <w:p w14:paraId="5B08290E">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现状尾矿库排洪系统采用排水斜槽~消力池型式，排洪系统总长约850m。</w:t>
      </w:r>
    </w:p>
    <w:p w14:paraId="4DBA5341">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经过对拟封堵的排洪系统进行分析，确定封堵采用在排水斜槽内封堵点位置有效长度内直接灌注水泥浆的方案。</w:t>
      </w:r>
    </w:p>
    <w:p w14:paraId="5F81FC06">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（2）封堵位置及封堵长度</w:t>
      </w:r>
    </w:p>
    <w:p w14:paraId="63E0351E">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由于排洪系统斜槽断面尺寸有多种型式，本次计算按排洪系统最大尺寸1.0m×0.8m，排土场最终标高为808.0m，计算封堵体长度最小为5.8m。为了确保封堵的安全可靠，确定各封堵段位置及有效长度如下：</w:t>
      </w:r>
    </w:p>
    <w:p w14:paraId="1D7E1AAA">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P1~P2：该封堵段位于现状尾矿库库尾位置，即排水斜槽进水口位置。对该段进行封堵的有效长度为10.0m。</w:t>
      </w:r>
    </w:p>
    <w:p w14:paraId="0A16F92E">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P3~P4：该封堵段位于现状尾矿库初期坝内坡位置，即排水斜槽出水口位置，对该段进行封堵的有效长度为30.0m。</w:t>
      </w:r>
    </w:p>
    <w:p w14:paraId="603233F7">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highlight w:val="none"/>
          <w:lang w:val="en-US" w:eastAsia="zh-CN"/>
        </w:rPr>
      </w:pPr>
      <w:r>
        <w:rPr>
          <w:rFonts w:hint="eastAsia"/>
          <w:sz w:val="24"/>
          <w:szCs w:val="24"/>
          <w:highlight w:val="none"/>
          <w:lang w:val="en-US" w:eastAsia="zh-CN"/>
        </w:rPr>
        <w:t>确定封堵方案如下：</w:t>
      </w:r>
    </w:p>
    <w:p w14:paraId="5FE9CC87">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P3~P4：首先进行P3~P4段封堵，封堵有效长度30.0m，采用水泥浆进行封堵，在封堵段上游采取导流措施。</w:t>
      </w:r>
    </w:p>
    <w:p w14:paraId="3DD150F3">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P1~P2：在P3~P4段封堵完成后进行P1~P2段封堵，封堵有效长度10.0m，采用水泥浆进行封堵。</w:t>
      </w:r>
    </w:p>
    <w:p w14:paraId="2F13B5DD">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sz w:val="24"/>
          <w:szCs w:val="24"/>
          <w:highlight w:val="none"/>
          <w:lang w:val="en-US" w:eastAsia="zh-CN"/>
        </w:rPr>
      </w:pPr>
      <w:r>
        <w:rPr>
          <w:rFonts w:hint="eastAsia"/>
          <w:b/>
          <w:bCs/>
          <w:sz w:val="24"/>
          <w:szCs w:val="24"/>
          <w:highlight w:val="none"/>
          <w:lang w:val="en-US" w:eastAsia="zh-CN"/>
        </w:rPr>
        <w:t>（3）封堵要求</w:t>
      </w:r>
    </w:p>
    <w:p w14:paraId="41249A2A">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①对排洪系统封堵段先进行清淤；</w:t>
      </w:r>
    </w:p>
    <w:p w14:paraId="2FE14088">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②根据排水斜槽内水流情况采取施工导流措施：在封堵段的上游垒砌一道挡水堰，将导流管头部伸至挡水堰上游，导流管头部设置阀门，导流管的管径为200mm，出口伸至封堵段下游2.0m~3.0m以外；</w:t>
      </w:r>
    </w:p>
    <w:p w14:paraId="5DEB73B1">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③砌筑施工围堰墙，采用水泥沙袋砌筑，水泥沙袋采用土工布袋装水泥和沙，土工布袋以500g/m</w:t>
      </w:r>
      <w:r>
        <w:rPr>
          <w:rFonts w:hint="eastAsia"/>
          <w:sz w:val="24"/>
          <w:szCs w:val="24"/>
          <w:highlight w:val="none"/>
          <w:vertAlign w:val="superscript"/>
          <w:lang w:val="en-US" w:eastAsia="zh-CN"/>
        </w:rPr>
        <w:t>2</w:t>
      </w:r>
      <w:r>
        <w:rPr>
          <w:rFonts w:hint="eastAsia"/>
          <w:sz w:val="24"/>
          <w:szCs w:val="24"/>
          <w:highlight w:val="none"/>
          <w:lang w:val="en-US" w:eastAsia="zh-CN"/>
        </w:rPr>
        <w:t>土工布缝制。</w:t>
      </w:r>
    </w:p>
    <w:p w14:paraId="0991FA28">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④采用1：1（1t水：1t水泥）水泥浆进行灌注，灌注时充满度大于95%，然后采取回填压力灌浆，最终确保充满度达到99%以上；</w:t>
      </w:r>
    </w:p>
    <w:p w14:paraId="74E56C80">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⑤必须充分做好斜槽内施工人员的氧气供应、通讯设备、照明、应急救援等安全保障措施，在不能确保安全的条件下禁止施工；</w:t>
      </w:r>
    </w:p>
    <w:p w14:paraId="6A842A2B">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⑥对需要注满填实的封堵段确保注满填实；</w:t>
      </w:r>
    </w:p>
    <w:p w14:paraId="06A1EE1B">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⑦排洪系统封堵后应保证尾矿库内不存水。</w:t>
      </w:r>
    </w:p>
    <w:p w14:paraId="7415AB34">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w:t>
      </w:r>
      <w:r>
        <w:rPr>
          <w:rFonts w:hint="eastAsia" w:cs="Times New Roman"/>
          <w:b/>
          <w:sz w:val="24"/>
          <w:szCs w:val="24"/>
          <w:highlight w:val="none"/>
          <w:lang w:val="en-US" w:eastAsia="zh-CN"/>
        </w:rPr>
        <w:t>7监测设施</w:t>
      </w:r>
    </w:p>
    <w:p w14:paraId="7308522B">
      <w:pPr>
        <w:keepNext w:val="0"/>
        <w:keepLines w:val="0"/>
        <w:pageBreakBefore w:val="0"/>
        <w:widowControl w:val="0"/>
        <w:kinsoku/>
        <w:wordWrap/>
        <w:overflowPunct/>
        <w:topLinePunct w:val="0"/>
        <w:autoSpaceDE/>
        <w:autoSpaceDN/>
        <w:bidi w:val="0"/>
        <w:spacing w:line="360" w:lineRule="auto"/>
        <w:ind w:firstLine="561"/>
        <w:textAlignment w:val="auto"/>
        <w:rPr>
          <w:rFonts w:hint="eastAsia"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rPr>
        <w:t>排土场设置表面位移监测、降雨量监测和视频监控。在排土场设置16个位移监测点位</w:t>
      </w:r>
      <w:r>
        <w:rPr>
          <w:rFonts w:hint="eastAsia" w:cs="Times New Roman"/>
          <w:color w:val="000000"/>
          <w:sz w:val="24"/>
          <w:highlight w:val="none"/>
          <w:lang w:eastAsia="zh-CN"/>
        </w:rPr>
        <w:t>、3个位移监测基准点</w:t>
      </w:r>
      <w:r>
        <w:rPr>
          <w:rFonts w:hint="default" w:ascii="Times New Roman" w:hAnsi="Times New Roman" w:cs="Times New Roman"/>
          <w:color w:val="000000"/>
          <w:sz w:val="24"/>
          <w:highlight w:val="none"/>
        </w:rPr>
        <w:t>，每个点位设置1个在线位移监测点和1个人工位移监测点</w:t>
      </w:r>
      <w:r>
        <w:rPr>
          <w:rFonts w:hint="eastAsia" w:cs="Times New Roman"/>
          <w:color w:val="000000"/>
          <w:sz w:val="24"/>
          <w:highlight w:val="none"/>
          <w:lang w:eastAsia="zh-CN"/>
        </w:rPr>
        <w:t>，对堆体位移情况进行监测。位移监测应每月监测不少于一次，在雨季和融雪季节应每半月进行一次。出现等速变形时，应每周不少于一次；加速变形时应每日进行监测。</w:t>
      </w:r>
    </w:p>
    <w:p w14:paraId="5D920B1C">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在排土场设置1个降雨量监测点。企业应根据降雨量监测结果结合天气预报对应灾害天气进行预警。企业应建立雨量监测系统，雨量监测系统应能够实时显示降雨量，统计日降雨量、月降雨量和年降雨量，并生成报表。</w:t>
      </w:r>
    </w:p>
    <w:p w14:paraId="61C63E35">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在排土场设置10个视频监控点。视频监控应支持按摄像机编号、时间。事件等信息对监控图像进行备份、查询、回放。视频监控应具有夜视功能。</w:t>
      </w:r>
    </w:p>
    <w:p w14:paraId="6EF2FAA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1.3</w:t>
      </w:r>
      <w:r>
        <w:rPr>
          <w:rFonts w:hint="eastAsia" w:ascii="Times New Roman" w:hAnsi="Times New Roman" w:cs="Times New Roman"/>
          <w:b/>
          <w:sz w:val="24"/>
          <w:szCs w:val="24"/>
          <w:highlight w:val="none"/>
          <w:lang w:val="en-US" w:eastAsia="zh-CN"/>
        </w:rPr>
        <w:t>.</w:t>
      </w:r>
      <w:r>
        <w:rPr>
          <w:rFonts w:hint="eastAsia" w:cs="Times New Roman"/>
          <w:b/>
          <w:sz w:val="24"/>
          <w:szCs w:val="24"/>
          <w:highlight w:val="none"/>
          <w:lang w:val="en-US" w:eastAsia="zh-CN"/>
        </w:rPr>
        <w:t>8</w:t>
      </w:r>
      <w:r>
        <w:rPr>
          <w:rFonts w:hint="eastAsia" w:ascii="Times New Roman" w:hAnsi="Times New Roman" w:eastAsia="宋体" w:cs="Times New Roman"/>
          <w:b/>
          <w:sz w:val="24"/>
          <w:szCs w:val="24"/>
          <w:highlight w:val="none"/>
          <w:lang w:val="en-US" w:eastAsia="zh-CN"/>
        </w:rPr>
        <w:t>封场</w:t>
      </w:r>
      <w:r>
        <w:rPr>
          <w:rFonts w:hint="eastAsia" w:cs="Times New Roman"/>
          <w:b/>
          <w:sz w:val="24"/>
          <w:szCs w:val="24"/>
          <w:highlight w:val="none"/>
          <w:lang w:val="en-US" w:eastAsia="zh-CN"/>
        </w:rPr>
        <w:t>、生态恢复</w:t>
      </w:r>
      <w:r>
        <w:rPr>
          <w:rFonts w:hint="eastAsia" w:ascii="Times New Roman" w:hAnsi="Times New Roman" w:eastAsia="宋体" w:cs="Times New Roman"/>
          <w:b/>
          <w:sz w:val="24"/>
          <w:szCs w:val="24"/>
          <w:highlight w:val="none"/>
          <w:lang w:val="en-US" w:eastAsia="zh-CN"/>
        </w:rPr>
        <w:t>工程</w:t>
      </w:r>
    </w:p>
    <w:p w14:paraId="1BB0D1E8">
      <w:pPr>
        <w:keepNext w:val="0"/>
        <w:keepLines w:val="0"/>
        <w:pageBreakBefore w:val="0"/>
        <w:widowControl w:val="0"/>
        <w:kinsoku/>
        <w:wordWrap/>
        <w:overflowPunct/>
        <w:topLinePunct w:val="0"/>
        <w:autoSpaceDE/>
        <w:autoSpaceDN/>
        <w:bidi w:val="0"/>
        <w:spacing w:line="360" w:lineRule="auto"/>
        <w:ind w:firstLine="561"/>
        <w:textAlignment w:val="auto"/>
        <w:rPr>
          <w:rFonts w:hint="default" w:cs="Times New Roman"/>
          <w:b/>
          <w:bCs/>
          <w:color w:val="000000"/>
          <w:sz w:val="24"/>
          <w:highlight w:val="none"/>
          <w:lang w:val="en-US" w:eastAsia="zh-CN"/>
        </w:rPr>
      </w:pP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1</w:t>
      </w: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封场工程</w:t>
      </w:r>
    </w:p>
    <w:p w14:paraId="783E0C5D">
      <w:pPr>
        <w:keepNext w:val="0"/>
        <w:keepLines w:val="0"/>
        <w:pageBreakBefore w:val="0"/>
        <w:widowControl w:val="0"/>
        <w:kinsoku/>
        <w:wordWrap/>
        <w:overflowPunct/>
        <w:topLinePunct w:val="0"/>
        <w:autoSpaceDE/>
        <w:autoSpaceDN/>
        <w:bidi w:val="0"/>
        <w:spacing w:line="360" w:lineRule="auto"/>
        <w:ind w:firstLine="561"/>
        <w:textAlignment w:val="auto"/>
        <w:rPr>
          <w:rFonts w:hint="default" w:cs="Times New Roman"/>
          <w:b/>
          <w:bCs/>
          <w:color w:val="000000"/>
          <w:sz w:val="24"/>
          <w:szCs w:val="24"/>
          <w:highlight w:val="none"/>
          <w:lang w:val="en-US" w:eastAsia="zh-CN"/>
        </w:rPr>
      </w:pPr>
      <w:r>
        <w:rPr>
          <w:rFonts w:hint="eastAsia" w:cs="Times New Roman"/>
          <w:color w:val="auto"/>
          <w:kern w:val="44"/>
          <w:sz w:val="24"/>
          <w:szCs w:val="24"/>
          <w:highlight w:val="none"/>
          <w:lang w:val="en-US" w:eastAsia="zh-CN"/>
        </w:rPr>
        <w:t>项目服务期满后，在2年内启动封场作业，封场时拟控制封场坡度，防止雨水侵蚀。</w:t>
      </w:r>
      <w:r>
        <w:rPr>
          <w:rFonts w:hint="eastAsia" w:cs="Times New Roman"/>
          <w:sz w:val="24"/>
          <w:szCs w:val="24"/>
          <w:highlight w:val="none"/>
          <w:lang w:val="en-US" w:eastAsia="zh-CN"/>
        </w:rPr>
        <w:t>根据</w:t>
      </w:r>
      <w:r>
        <w:rPr>
          <w:rFonts w:hint="eastAsia" w:ascii="Times New Roman" w:hAnsi="Times New Roman" w:cs="Times New Roman"/>
          <w:sz w:val="24"/>
          <w:szCs w:val="24"/>
          <w:highlight w:val="none"/>
          <w:lang w:val="en-US" w:eastAsia="zh-CN"/>
        </w:rPr>
        <w:t>堆存</w:t>
      </w:r>
      <w:r>
        <w:rPr>
          <w:rFonts w:hint="default" w:ascii="Times New Roman" w:hAnsi="Times New Roman" w:cs="Times New Roman"/>
          <w:sz w:val="24"/>
          <w:szCs w:val="24"/>
          <w:highlight w:val="none"/>
          <w:lang w:eastAsia="zh-CN"/>
        </w:rPr>
        <w:t>废石</w:t>
      </w:r>
      <w:r>
        <w:rPr>
          <w:rFonts w:hint="eastAsia" w:cs="Times New Roman"/>
          <w:sz w:val="24"/>
          <w:szCs w:val="24"/>
          <w:highlight w:val="none"/>
          <w:lang w:val="en-US" w:eastAsia="zh-CN"/>
        </w:rPr>
        <w:t>混合样</w:t>
      </w:r>
      <w:r>
        <w:rPr>
          <w:rFonts w:hint="default" w:ascii="Times New Roman" w:hAnsi="Times New Roman" w:cs="Times New Roman"/>
          <w:sz w:val="24"/>
          <w:szCs w:val="24"/>
          <w:highlight w:val="none"/>
          <w:lang w:eastAsia="zh-CN"/>
        </w:rPr>
        <w:t>浸出毒性、腐蚀性进行鉴别</w:t>
      </w:r>
      <w:r>
        <w:rPr>
          <w:rFonts w:hint="eastAsia" w:cs="Times New Roman"/>
          <w:sz w:val="24"/>
          <w:szCs w:val="24"/>
          <w:highlight w:val="none"/>
          <w:lang w:val="en-US" w:eastAsia="zh-CN"/>
        </w:rPr>
        <w:t>结果</w:t>
      </w:r>
      <w:r>
        <w:rPr>
          <w:rFonts w:hint="default" w:ascii="Times New Roman" w:hAnsi="Times New Roman" w:cs="Times New Roman"/>
          <w:sz w:val="24"/>
          <w:szCs w:val="24"/>
          <w:highlight w:val="none"/>
          <w:lang w:eastAsia="zh-CN"/>
        </w:rPr>
        <w:t>，</w:t>
      </w:r>
      <w:r>
        <w:rPr>
          <w:rFonts w:hint="eastAsia" w:cs="Times New Roman"/>
          <w:sz w:val="24"/>
          <w:szCs w:val="24"/>
          <w:highlight w:val="none"/>
          <w:lang w:val="en-US" w:eastAsia="zh-CN"/>
        </w:rPr>
        <w:t>及</w:t>
      </w:r>
      <w:r>
        <w:rPr>
          <w:rFonts w:hint="default" w:ascii="Times New Roman" w:hAnsi="Times New Roman" w:cs="Times New Roman"/>
          <w:sz w:val="24"/>
          <w:szCs w:val="24"/>
          <w:highlight w:val="none"/>
          <w:lang w:eastAsia="zh-CN"/>
        </w:rPr>
        <w:t>第Ⅰ、Ⅱ类一般工业固体废物鉴别</w:t>
      </w:r>
      <w:r>
        <w:rPr>
          <w:rFonts w:hint="eastAsia" w:cs="Times New Roman"/>
          <w:sz w:val="24"/>
          <w:szCs w:val="24"/>
          <w:highlight w:val="none"/>
          <w:lang w:val="en-US" w:eastAsia="zh-CN"/>
        </w:rPr>
        <w:t>结果，</w:t>
      </w:r>
      <w:r>
        <w:rPr>
          <w:rFonts w:hint="default" w:ascii="Times New Roman" w:hAnsi="Times New Roman" w:eastAsia="宋体" w:cs="Times New Roman"/>
          <w:color w:val="auto"/>
          <w:sz w:val="24"/>
          <w:szCs w:val="24"/>
          <w:highlight w:val="none"/>
          <w:lang w:val="en-US" w:eastAsia="zh-CN"/>
        </w:rPr>
        <w:t>项目存放废石为I类一般工业固体废物</w:t>
      </w:r>
      <w:r>
        <w:rPr>
          <w:rFonts w:hint="eastAsia" w:ascii="Times New Roman" w:hAnsi="Times New Roman" w:eastAsia="宋体" w:cs="Times New Roman"/>
          <w:color w:val="auto"/>
          <w:sz w:val="24"/>
          <w:szCs w:val="24"/>
          <w:highlight w:val="none"/>
          <w:lang w:val="en-US" w:eastAsia="zh-CN"/>
        </w:rPr>
        <w:t>，排土场封场覆盖</w:t>
      </w:r>
      <w:r>
        <w:rPr>
          <w:rFonts w:hint="default" w:ascii="Times New Roman" w:hAnsi="Times New Roman" w:cs="Times New Roman"/>
          <w:color w:val="000000"/>
          <w:sz w:val="24"/>
          <w:highlight w:val="none"/>
        </w:rPr>
        <w:t>不小于</w:t>
      </w:r>
      <w:r>
        <w:rPr>
          <w:rFonts w:hint="eastAsia" w:ascii="Times New Roman" w:hAnsi="Times New Roman" w:cs="Times New Roman"/>
          <w:color w:val="000000"/>
          <w:sz w:val="24"/>
          <w:highlight w:val="none"/>
          <w:lang w:eastAsia="zh-CN"/>
        </w:rPr>
        <w:t>40cm</w:t>
      </w:r>
      <w:r>
        <w:rPr>
          <w:rFonts w:hint="default" w:ascii="Times New Roman" w:hAnsi="Times New Roman" w:cs="Times New Roman"/>
          <w:color w:val="000000"/>
          <w:sz w:val="24"/>
          <w:highlight w:val="none"/>
        </w:rPr>
        <w:t>的土层，</w:t>
      </w:r>
      <w:r>
        <w:rPr>
          <w:rFonts w:hint="eastAsia" w:cs="Times New Roman"/>
          <w:color w:val="000000"/>
          <w:sz w:val="24"/>
          <w:highlight w:val="none"/>
          <w:lang w:val="en-US" w:eastAsia="zh-CN"/>
        </w:rPr>
        <w:t>采用灌草结合的方式进行生态恢复。</w:t>
      </w:r>
    </w:p>
    <w:p w14:paraId="3FFAECBE">
      <w:pPr>
        <w:keepNext w:val="0"/>
        <w:keepLines w:val="0"/>
        <w:pageBreakBefore w:val="0"/>
        <w:widowControl w:val="0"/>
        <w:kinsoku/>
        <w:wordWrap/>
        <w:overflowPunct/>
        <w:topLinePunct w:val="0"/>
        <w:autoSpaceDE/>
        <w:autoSpaceDN/>
        <w:bidi w:val="0"/>
        <w:spacing w:line="360" w:lineRule="auto"/>
        <w:ind w:firstLine="561"/>
        <w:textAlignment w:val="auto"/>
        <w:rPr>
          <w:rFonts w:hint="default" w:cs="Times New Roman"/>
          <w:b/>
          <w:bCs/>
          <w:color w:val="000000"/>
          <w:sz w:val="24"/>
          <w:highlight w:val="none"/>
          <w:lang w:val="en-US" w:eastAsia="zh-CN"/>
        </w:rPr>
      </w:pP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2</w:t>
      </w: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生态恢复</w:t>
      </w:r>
    </w:p>
    <w:p w14:paraId="04A7954D">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①运营期生态恢复</w:t>
      </w:r>
    </w:p>
    <w:p w14:paraId="2843F751">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color w:val="000000"/>
          <w:kern w:val="0"/>
          <w:sz w:val="24"/>
          <w:highlight w:val="none"/>
          <w:lang w:eastAsia="zh-CN"/>
        </w:rPr>
      </w:pPr>
      <w:r>
        <w:rPr>
          <w:rFonts w:hint="eastAsia" w:cs="Times New Roman"/>
          <w:color w:val="000000"/>
          <w:sz w:val="24"/>
          <w:highlight w:val="none"/>
          <w:lang w:val="en-US" w:eastAsia="zh-CN"/>
        </w:rPr>
        <w:t>生产运行阶段，</w:t>
      </w:r>
      <w:r>
        <w:rPr>
          <w:color w:val="auto"/>
          <w:sz w:val="24"/>
          <w:szCs w:val="24"/>
          <w:highlight w:val="none"/>
        </w:rPr>
        <w:t>采用单台阶作业，</w:t>
      </w:r>
      <w:r>
        <w:rPr>
          <w:rFonts w:hint="default"/>
          <w:sz w:val="24"/>
          <w:szCs w:val="24"/>
          <w:highlight w:val="none"/>
        </w:rPr>
        <w:t>自下而上的顺序分层排土作业，</w:t>
      </w:r>
      <w:r>
        <w:rPr>
          <w:color w:val="auto"/>
          <w:sz w:val="24"/>
          <w:szCs w:val="24"/>
          <w:highlight w:val="none"/>
        </w:rPr>
        <w:t>下台阶排满后再排置上一个台阶，不实行多台阶同时工作</w:t>
      </w:r>
      <w:r>
        <w:rPr>
          <w:rFonts w:hint="eastAsia"/>
          <w:color w:val="auto"/>
          <w:sz w:val="24"/>
          <w:szCs w:val="24"/>
          <w:highlight w:val="none"/>
          <w:lang w:eastAsia="zh-CN"/>
        </w:rPr>
        <w:t>，</w:t>
      </w:r>
      <w:r>
        <w:rPr>
          <w:rFonts w:hint="default" w:ascii="Times New Roman" w:hAnsi="Times New Roman" w:cs="Times New Roman"/>
          <w:color w:val="000000"/>
          <w:kern w:val="0"/>
          <w:sz w:val="24"/>
          <w:highlight w:val="none"/>
        </w:rPr>
        <w:t>排土过程中分690.0m、705.0m、720.0m、735.0m、750.0m、765.0m、780.0m、795.0m、808.0m共计9个平台</w:t>
      </w:r>
      <w:r>
        <w:rPr>
          <w:rFonts w:hint="eastAsia" w:cs="Times New Roman"/>
          <w:color w:val="000000"/>
          <w:kern w:val="0"/>
          <w:sz w:val="24"/>
          <w:highlight w:val="none"/>
          <w:lang w:eastAsia="zh-CN"/>
        </w:rPr>
        <w:t>。</w:t>
      </w:r>
    </w:p>
    <w:p w14:paraId="628F08C6">
      <w:pPr>
        <w:keepNext w:val="0"/>
        <w:keepLines w:val="0"/>
        <w:pageBreakBefore w:val="0"/>
        <w:widowControl w:val="0"/>
        <w:kinsoku/>
        <w:wordWrap/>
        <w:overflowPunct/>
        <w:topLinePunct w:val="0"/>
        <w:autoSpaceDE/>
        <w:autoSpaceDN/>
        <w:bidi w:val="0"/>
        <w:spacing w:line="360" w:lineRule="auto"/>
        <w:ind w:firstLine="561"/>
        <w:textAlignment w:val="auto"/>
        <w:rPr>
          <w:rFonts w:hint="eastAsia" w:eastAsia="宋体"/>
          <w:sz w:val="24"/>
          <w:szCs w:val="24"/>
          <w:highlight w:val="none"/>
          <w:lang w:val="en-US" w:eastAsia="zh-CN"/>
        </w:rPr>
      </w:pPr>
      <w:r>
        <w:rPr>
          <w:rFonts w:hint="eastAsia" w:cs="Times New Roman"/>
          <w:color w:val="000000"/>
          <w:kern w:val="0"/>
          <w:sz w:val="24"/>
          <w:highlight w:val="none"/>
          <w:lang w:val="en-US" w:eastAsia="zh-CN"/>
        </w:rPr>
        <w:t>项目</w:t>
      </w:r>
      <w:r>
        <w:rPr>
          <w:rFonts w:hint="default" w:ascii="Times New Roman" w:hAnsi="Times New Roman" w:cs="Times New Roman"/>
          <w:color w:val="000000"/>
          <w:kern w:val="0"/>
          <w:sz w:val="24"/>
          <w:highlight w:val="none"/>
        </w:rPr>
        <w:t>先由690.0m平台排放</w:t>
      </w:r>
      <w:r>
        <w:rPr>
          <w:rFonts w:hint="eastAsia" w:cs="Times New Roman"/>
          <w:color w:val="000000"/>
          <w:kern w:val="0"/>
          <w:sz w:val="24"/>
          <w:highlight w:val="none"/>
          <w:lang w:eastAsia="zh-CN"/>
        </w:rPr>
        <w:t>，</w:t>
      </w:r>
      <w:r>
        <w:rPr>
          <w:rFonts w:hint="eastAsia"/>
          <w:color w:val="auto"/>
          <w:sz w:val="24"/>
          <w:szCs w:val="24"/>
          <w:highlight w:val="none"/>
          <w:lang w:eastAsia="zh-CN"/>
        </w:rPr>
        <w:t>及时对台阶及坡面进行覆土绿化，</w:t>
      </w:r>
      <w:r>
        <w:rPr>
          <w:rFonts w:hint="default" w:ascii="Times New Roman" w:hAnsi="Times New Roman" w:cs="Times New Roman"/>
          <w:color w:val="000000"/>
          <w:sz w:val="24"/>
          <w:highlight w:val="none"/>
        </w:rPr>
        <w:t>使用机械设备对排土场进行平整作业，消除高低不平和乱石堆积，形成适宜</w:t>
      </w:r>
      <w:r>
        <w:rPr>
          <w:rFonts w:hint="eastAsia" w:cs="Times New Roman"/>
          <w:color w:val="000000"/>
          <w:sz w:val="24"/>
          <w:highlight w:val="none"/>
          <w:lang w:val="en-US" w:eastAsia="zh-CN"/>
        </w:rPr>
        <w:t>种植</w:t>
      </w:r>
      <w:r>
        <w:rPr>
          <w:rFonts w:hint="default" w:ascii="Times New Roman" w:hAnsi="Times New Roman" w:cs="Times New Roman"/>
          <w:color w:val="000000"/>
          <w:sz w:val="24"/>
          <w:highlight w:val="none"/>
        </w:rPr>
        <w:t>的土地表面。对于复垦绿化区域，先覆盖不小于</w:t>
      </w:r>
      <w:r>
        <w:rPr>
          <w:rFonts w:hint="eastAsia" w:ascii="Times New Roman" w:hAnsi="Times New Roman" w:cs="Times New Roman"/>
          <w:color w:val="000000"/>
          <w:sz w:val="24"/>
          <w:highlight w:val="none"/>
          <w:lang w:eastAsia="zh-CN"/>
        </w:rPr>
        <w:t>40cm</w:t>
      </w:r>
      <w:r>
        <w:rPr>
          <w:rFonts w:hint="default" w:ascii="Times New Roman" w:hAnsi="Times New Roman" w:cs="Times New Roman"/>
          <w:color w:val="000000"/>
          <w:sz w:val="24"/>
          <w:highlight w:val="none"/>
        </w:rPr>
        <w:t>的土层，通过施加有机肥、种植绿肥植物、客土等方式，改善土壤的肥力和结构</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选择适宜的植被进行种植，</w:t>
      </w:r>
      <w:r>
        <w:rPr>
          <w:rFonts w:hint="eastAsia" w:cs="Times New Roman"/>
          <w:color w:val="000000"/>
          <w:sz w:val="24"/>
          <w:highlight w:val="none"/>
          <w:lang w:val="en-US" w:eastAsia="zh-CN"/>
        </w:rPr>
        <w:t>采用灌草结合的方式栽植灌木、播撒草籽，灌木植被可种植沙棘、棉槐等</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单平台台阶及坡面</w:t>
      </w:r>
      <w:r>
        <w:rPr>
          <w:rFonts w:eastAsia="宋体"/>
          <w:sz w:val="24"/>
          <w:szCs w:val="24"/>
          <w:highlight w:val="none"/>
        </w:rPr>
        <w:t>种植</w:t>
      </w:r>
      <w:r>
        <w:rPr>
          <w:rFonts w:hint="eastAsia" w:cs="Times New Roman"/>
          <w:color w:val="000000"/>
          <w:sz w:val="24"/>
          <w:highlight w:val="none"/>
          <w:lang w:val="en-US" w:eastAsia="zh-CN"/>
        </w:rPr>
        <w:t>沙棘1200-1500株、</w:t>
      </w:r>
      <w:r>
        <w:rPr>
          <w:rFonts w:eastAsia="宋体"/>
          <w:sz w:val="24"/>
          <w:szCs w:val="24"/>
          <w:highlight w:val="none"/>
        </w:rPr>
        <w:t>棉槐</w:t>
      </w:r>
      <w:r>
        <w:rPr>
          <w:rFonts w:hint="eastAsia" w:eastAsia="宋体"/>
          <w:sz w:val="24"/>
          <w:szCs w:val="24"/>
          <w:highlight w:val="none"/>
          <w:lang w:val="en-US" w:eastAsia="zh-CN"/>
        </w:rPr>
        <w:t>800</w:t>
      </w:r>
      <w:r>
        <w:rPr>
          <w:rFonts w:hint="eastAsia"/>
          <w:sz w:val="24"/>
          <w:szCs w:val="24"/>
          <w:highlight w:val="none"/>
          <w:lang w:val="en-US" w:eastAsia="zh-CN"/>
        </w:rPr>
        <w:t>-1000</w:t>
      </w:r>
      <w:r>
        <w:rPr>
          <w:rFonts w:eastAsia="宋体"/>
          <w:sz w:val="24"/>
          <w:szCs w:val="24"/>
          <w:highlight w:val="none"/>
        </w:rPr>
        <w:t>株，撒播草籽</w:t>
      </w:r>
      <w:r>
        <w:rPr>
          <w:rFonts w:hint="eastAsia" w:eastAsia="宋体"/>
          <w:sz w:val="24"/>
          <w:szCs w:val="24"/>
          <w:highlight w:val="none"/>
          <w:lang w:val="en-US" w:eastAsia="zh-CN"/>
        </w:rPr>
        <w:t>100</w:t>
      </w:r>
      <w:r>
        <w:rPr>
          <w:rFonts w:hint="eastAsia"/>
          <w:sz w:val="24"/>
          <w:szCs w:val="24"/>
          <w:highlight w:val="none"/>
          <w:lang w:val="en-US" w:eastAsia="zh-CN"/>
        </w:rPr>
        <w:t>-120</w:t>
      </w:r>
      <w:r>
        <w:rPr>
          <w:rFonts w:hint="eastAsia" w:eastAsia="宋体"/>
          <w:sz w:val="24"/>
          <w:szCs w:val="24"/>
          <w:highlight w:val="none"/>
          <w:lang w:val="en-US" w:eastAsia="zh-CN"/>
        </w:rPr>
        <w:t>kg。</w:t>
      </w:r>
    </w:p>
    <w:p w14:paraId="60A06A03">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cs="Times New Roman"/>
          <w:b w:val="0"/>
          <w:bCs w:val="0"/>
          <w:color w:val="000000"/>
          <w:sz w:val="24"/>
          <w:highlight w:val="none"/>
        </w:rPr>
      </w:pPr>
      <w:r>
        <w:rPr>
          <w:rFonts w:hint="eastAsia" w:eastAsia="宋体"/>
          <w:sz w:val="24"/>
          <w:szCs w:val="24"/>
          <w:highlight w:val="none"/>
          <w:lang w:val="en-US" w:eastAsia="zh-CN"/>
        </w:rPr>
        <w:t>采取上述生态恢复措施后，可</w:t>
      </w:r>
      <w:r>
        <w:rPr>
          <w:rFonts w:hint="eastAsia" w:cs="Times New Roman"/>
          <w:color w:val="000000"/>
          <w:sz w:val="24"/>
          <w:highlight w:val="none"/>
          <w:lang w:val="en-US" w:eastAsia="zh-CN"/>
        </w:rPr>
        <w:t>及时</w:t>
      </w:r>
      <w:r>
        <w:rPr>
          <w:rFonts w:hint="default" w:ascii="Times New Roman" w:hAnsi="Times New Roman" w:cs="Times New Roman"/>
          <w:color w:val="000000"/>
          <w:sz w:val="24"/>
          <w:highlight w:val="none"/>
        </w:rPr>
        <w:t>恢复排土场的生态环境</w:t>
      </w:r>
      <w:r>
        <w:rPr>
          <w:rFonts w:hint="default" w:ascii="Times New Roman" w:hAnsi="Times New Roman" w:cs="Times New Roman"/>
          <w:b w:val="0"/>
          <w:bCs w:val="0"/>
          <w:color w:val="000000"/>
          <w:sz w:val="24"/>
          <w:highlight w:val="none"/>
        </w:rPr>
        <w:t>。</w:t>
      </w:r>
    </w:p>
    <w:p w14:paraId="42985E5C">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eastAsia="宋体" w:cs="Times New Roman"/>
          <w:b w:val="0"/>
          <w:bCs w:val="0"/>
          <w:color w:val="000000"/>
          <w:sz w:val="24"/>
          <w:highlight w:val="none"/>
          <w:lang w:val="en-US" w:eastAsia="zh-CN"/>
        </w:rPr>
      </w:pPr>
      <w:r>
        <w:rPr>
          <w:rFonts w:hint="eastAsia" w:cs="Times New Roman"/>
          <w:b w:val="0"/>
          <w:bCs w:val="0"/>
          <w:color w:val="000000"/>
          <w:sz w:val="24"/>
          <w:highlight w:val="none"/>
          <w:lang w:val="en-US" w:eastAsia="zh-CN"/>
        </w:rPr>
        <w:t>②服务期满后生态恢复</w:t>
      </w:r>
    </w:p>
    <w:p w14:paraId="4D137A99">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排土场达到设计标高时，</w:t>
      </w:r>
      <w:r>
        <w:rPr>
          <w:rFonts w:hint="eastAsia" w:cs="Times New Roman"/>
          <w:color w:val="000000"/>
          <w:sz w:val="24"/>
          <w:highlight w:val="none"/>
          <w:lang w:eastAsia="zh-CN"/>
        </w:rPr>
        <w:t>对排土场最终平台及坡面进行绿化。</w:t>
      </w:r>
      <w:r>
        <w:rPr>
          <w:rFonts w:hint="default" w:ascii="Times New Roman" w:hAnsi="Times New Roman" w:cs="Times New Roman"/>
          <w:color w:val="000000"/>
          <w:sz w:val="24"/>
          <w:highlight w:val="none"/>
        </w:rPr>
        <w:t>使用机械设备对排土场进行平整作业，消除高低不平和乱石堆积，形成适宜的土地表面。对于复垦绿化区域，先覆盖不小于</w:t>
      </w:r>
      <w:r>
        <w:rPr>
          <w:rFonts w:hint="eastAsia" w:cs="Times New Roman"/>
          <w:color w:val="000000"/>
          <w:sz w:val="24"/>
          <w:highlight w:val="none"/>
          <w:lang w:eastAsia="zh-CN"/>
        </w:rPr>
        <w:t>40cm</w:t>
      </w:r>
      <w:r>
        <w:rPr>
          <w:rFonts w:hint="default" w:ascii="Times New Roman" w:hAnsi="Times New Roman" w:cs="Times New Roman"/>
          <w:color w:val="000000"/>
          <w:sz w:val="24"/>
          <w:highlight w:val="none"/>
        </w:rPr>
        <w:t>的土层，通过施加有机肥、种植绿肥植物、客土等方式，改善土壤的肥力和结构</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选择适宜的植被进行种植，</w:t>
      </w:r>
      <w:r>
        <w:rPr>
          <w:rFonts w:hint="eastAsia" w:cs="Times New Roman"/>
          <w:color w:val="000000"/>
          <w:sz w:val="24"/>
          <w:highlight w:val="none"/>
          <w:lang w:eastAsia="zh-CN"/>
        </w:rPr>
        <w:t>最终平台</w:t>
      </w:r>
      <w:r>
        <w:rPr>
          <w:rFonts w:hint="eastAsia" w:cs="Times New Roman"/>
          <w:color w:val="000000"/>
          <w:sz w:val="24"/>
          <w:highlight w:val="none"/>
          <w:lang w:val="en-US" w:eastAsia="zh-CN"/>
        </w:rPr>
        <w:t>种植乔木、灌木，并播撒草籽，</w:t>
      </w:r>
      <w:r>
        <w:rPr>
          <w:rFonts w:hint="eastAsia" w:cs="Times New Roman"/>
          <w:color w:val="000000"/>
          <w:sz w:val="24"/>
          <w:highlight w:val="none"/>
          <w:lang w:eastAsia="zh-CN"/>
        </w:rPr>
        <w:t>坡面</w:t>
      </w:r>
      <w:r>
        <w:rPr>
          <w:rFonts w:hint="eastAsia" w:cs="Times New Roman"/>
          <w:color w:val="000000"/>
          <w:sz w:val="24"/>
          <w:highlight w:val="none"/>
          <w:lang w:val="en-US" w:eastAsia="zh-CN"/>
        </w:rPr>
        <w:t>采用灌草结合的方式栽植灌木、播撒草籽，乔木可种植油松、山杏、山楂等，灌木植被可种植沙棘、棉槐等</w:t>
      </w:r>
      <w:r>
        <w:rPr>
          <w:rFonts w:hint="default" w:ascii="Times New Roman" w:hAnsi="Times New Roman" w:cs="Times New Roman"/>
          <w:color w:val="000000"/>
          <w:sz w:val="24"/>
          <w:highlight w:val="none"/>
        </w:rPr>
        <w:t>，恢复排土场</w:t>
      </w:r>
      <w:r>
        <w:rPr>
          <w:rFonts w:hint="eastAsia" w:ascii="Times New Roman" w:hAnsi="Times New Roman" w:cs="Times New Roman"/>
          <w:color w:val="000000"/>
          <w:sz w:val="24"/>
          <w:highlight w:val="none"/>
          <w:lang w:val="en-US" w:eastAsia="zh-CN"/>
        </w:rPr>
        <w:t>占地区域</w:t>
      </w:r>
      <w:r>
        <w:rPr>
          <w:rFonts w:hint="default" w:ascii="Times New Roman" w:hAnsi="Times New Roman" w:cs="Times New Roman"/>
          <w:color w:val="000000"/>
          <w:sz w:val="24"/>
          <w:highlight w:val="none"/>
        </w:rPr>
        <w:t>的生态环境。</w:t>
      </w:r>
    </w:p>
    <w:p w14:paraId="39D2D350">
      <w:pPr>
        <w:pStyle w:val="6"/>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主要生产设备</w:t>
      </w:r>
    </w:p>
    <w:p w14:paraId="130DBAC4">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cs="Times New Roman"/>
          <w:color w:val="000000"/>
          <w:kern w:val="0"/>
          <w:sz w:val="24"/>
          <w:szCs w:val="21"/>
          <w:highlight w:val="none"/>
          <w:lang w:val="en-US" w:eastAsia="zh-CN"/>
        </w:rPr>
      </w:pPr>
      <w:r>
        <w:rPr>
          <w:rFonts w:hint="eastAsia" w:ascii="Times New Roman" w:hAnsi="Times New Roman" w:eastAsia="宋体" w:cs="Times New Roman"/>
          <w:color w:val="000000"/>
          <w:kern w:val="0"/>
          <w:sz w:val="24"/>
          <w:szCs w:val="21"/>
          <w:highlight w:val="none"/>
          <w:lang w:val="en-US" w:eastAsia="zh-CN"/>
        </w:rPr>
        <w:t>本项目主要生产设备见下表</w:t>
      </w:r>
      <w:r>
        <w:rPr>
          <w:rFonts w:hint="eastAsia" w:cs="Times New Roman"/>
          <w:color w:val="000000"/>
          <w:kern w:val="0"/>
          <w:sz w:val="24"/>
          <w:szCs w:val="21"/>
          <w:highlight w:val="none"/>
          <w:lang w:val="en-US" w:eastAsia="zh-CN"/>
        </w:rPr>
        <w:t>。</w:t>
      </w:r>
    </w:p>
    <w:p w14:paraId="6A6DF62B">
      <w:pPr>
        <w:numPr>
          <w:ilvl w:val="0"/>
          <w:numId w:val="20"/>
        </w:numPr>
        <w:adjustRightInd w:val="0"/>
        <w:snapToGrid w:val="0"/>
        <w:jc w:val="center"/>
        <w:rPr>
          <w:rFonts w:ascii="Times New Roman"/>
          <w:b/>
          <w:bCs/>
          <w:snapToGrid w:val="0"/>
          <w:color w:val="auto"/>
          <w:sz w:val="21"/>
          <w:szCs w:val="21"/>
          <w:highlight w:val="none"/>
        </w:rPr>
      </w:pPr>
      <w:r>
        <w:rPr>
          <w:rFonts w:ascii="Times New Roman"/>
          <w:b/>
          <w:bCs/>
          <w:snapToGrid w:val="0"/>
          <w:color w:val="auto"/>
          <w:sz w:val="21"/>
          <w:szCs w:val="21"/>
          <w:highlight w:val="none"/>
        </w:rPr>
        <w:t>主要设备表</w:t>
      </w:r>
    </w:p>
    <w:tbl>
      <w:tblPr>
        <w:tblStyle w:val="5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6"/>
        <w:gridCol w:w="1723"/>
        <w:gridCol w:w="1373"/>
        <w:gridCol w:w="1390"/>
        <w:gridCol w:w="2993"/>
      </w:tblGrid>
      <w:tr w14:paraId="76983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noWrap w:val="0"/>
            <w:vAlign w:val="center"/>
          </w:tcPr>
          <w:p w14:paraId="0C610BD1">
            <w:pPr>
              <w:spacing w:line="240" w:lineRule="auto"/>
              <w:jc w:val="center"/>
              <w:rPr>
                <w:rFonts w:ascii="Times New Roman"/>
                <w:b/>
                <w:color w:val="auto"/>
                <w:sz w:val="21"/>
                <w:szCs w:val="21"/>
                <w:highlight w:val="none"/>
              </w:rPr>
            </w:pPr>
            <w:r>
              <w:rPr>
                <w:rFonts w:ascii="Times New Roman"/>
                <w:b/>
                <w:color w:val="auto"/>
                <w:sz w:val="21"/>
                <w:szCs w:val="21"/>
                <w:highlight w:val="none"/>
              </w:rPr>
              <w:t>序号</w:t>
            </w:r>
          </w:p>
        </w:tc>
        <w:tc>
          <w:tcPr>
            <w:tcW w:w="1010" w:type="pct"/>
            <w:noWrap w:val="0"/>
            <w:vAlign w:val="center"/>
          </w:tcPr>
          <w:p w14:paraId="33BF16CE">
            <w:pPr>
              <w:spacing w:line="240" w:lineRule="auto"/>
              <w:jc w:val="center"/>
              <w:rPr>
                <w:rFonts w:ascii="Times New Roman"/>
                <w:b/>
                <w:color w:val="auto"/>
                <w:sz w:val="21"/>
                <w:szCs w:val="21"/>
                <w:highlight w:val="none"/>
              </w:rPr>
            </w:pPr>
            <w:r>
              <w:rPr>
                <w:rFonts w:ascii="Times New Roman"/>
                <w:b/>
                <w:color w:val="auto"/>
                <w:sz w:val="21"/>
                <w:szCs w:val="21"/>
                <w:highlight w:val="none"/>
              </w:rPr>
              <w:t>设备名称</w:t>
            </w:r>
          </w:p>
        </w:tc>
        <w:tc>
          <w:tcPr>
            <w:tcW w:w="805" w:type="pct"/>
            <w:noWrap w:val="0"/>
            <w:vAlign w:val="center"/>
          </w:tcPr>
          <w:p w14:paraId="7908A65B">
            <w:pPr>
              <w:spacing w:line="240" w:lineRule="auto"/>
              <w:jc w:val="center"/>
              <w:rPr>
                <w:rFonts w:ascii="Times New Roman"/>
                <w:b/>
                <w:color w:val="auto"/>
                <w:sz w:val="21"/>
                <w:szCs w:val="21"/>
                <w:highlight w:val="none"/>
              </w:rPr>
            </w:pPr>
            <w:r>
              <w:rPr>
                <w:rFonts w:ascii="Times New Roman"/>
                <w:b/>
                <w:color w:val="auto"/>
                <w:sz w:val="21"/>
                <w:szCs w:val="21"/>
                <w:highlight w:val="none"/>
              </w:rPr>
              <w:t>单位</w:t>
            </w:r>
          </w:p>
        </w:tc>
        <w:tc>
          <w:tcPr>
            <w:tcW w:w="815" w:type="pct"/>
            <w:noWrap w:val="0"/>
            <w:vAlign w:val="center"/>
          </w:tcPr>
          <w:p w14:paraId="1A162012">
            <w:pPr>
              <w:spacing w:line="240" w:lineRule="auto"/>
              <w:jc w:val="center"/>
              <w:rPr>
                <w:rFonts w:ascii="Times New Roman"/>
                <w:b/>
                <w:color w:val="auto"/>
                <w:sz w:val="21"/>
                <w:szCs w:val="21"/>
                <w:highlight w:val="none"/>
              </w:rPr>
            </w:pPr>
            <w:r>
              <w:rPr>
                <w:rFonts w:ascii="Times New Roman"/>
                <w:b/>
                <w:color w:val="auto"/>
                <w:sz w:val="21"/>
                <w:szCs w:val="21"/>
                <w:highlight w:val="none"/>
              </w:rPr>
              <w:t>数量</w:t>
            </w:r>
          </w:p>
        </w:tc>
        <w:tc>
          <w:tcPr>
            <w:tcW w:w="1755" w:type="pct"/>
            <w:noWrap w:val="0"/>
            <w:vAlign w:val="top"/>
          </w:tcPr>
          <w:p w14:paraId="3DD78232">
            <w:pPr>
              <w:spacing w:line="240" w:lineRule="auto"/>
              <w:jc w:val="center"/>
              <w:rPr>
                <w:rFonts w:hint="eastAsia" w:ascii="Times New Roman" w:eastAsia="宋体"/>
                <w:b/>
                <w:color w:val="auto"/>
                <w:sz w:val="21"/>
                <w:szCs w:val="21"/>
                <w:highlight w:val="none"/>
                <w:lang w:eastAsia="zh-CN"/>
              </w:rPr>
            </w:pPr>
            <w:r>
              <w:rPr>
                <w:rFonts w:hint="eastAsia"/>
                <w:b/>
                <w:color w:val="auto"/>
                <w:sz w:val="21"/>
                <w:szCs w:val="21"/>
                <w:highlight w:val="none"/>
                <w:lang w:val="en-US" w:eastAsia="zh-CN"/>
              </w:rPr>
              <w:t>型号</w:t>
            </w:r>
          </w:p>
        </w:tc>
      </w:tr>
      <w:tr w14:paraId="6D0B9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noWrap w:val="0"/>
            <w:vAlign w:val="center"/>
          </w:tcPr>
          <w:p w14:paraId="1E433DEA">
            <w:pPr>
              <w:spacing w:line="240" w:lineRule="auto"/>
              <w:jc w:val="center"/>
              <w:rPr>
                <w:rFonts w:ascii="Times New Roman"/>
                <w:color w:val="auto"/>
                <w:sz w:val="21"/>
                <w:szCs w:val="21"/>
                <w:highlight w:val="none"/>
              </w:rPr>
            </w:pPr>
            <w:r>
              <w:rPr>
                <w:rFonts w:ascii="Times New Roman"/>
                <w:color w:val="auto"/>
                <w:sz w:val="21"/>
                <w:szCs w:val="21"/>
                <w:highlight w:val="none"/>
              </w:rPr>
              <w:t>1</w:t>
            </w:r>
          </w:p>
        </w:tc>
        <w:tc>
          <w:tcPr>
            <w:tcW w:w="1010" w:type="pct"/>
            <w:shd w:val="clear" w:color="auto" w:fill="auto"/>
            <w:noWrap w:val="0"/>
            <w:vAlign w:val="center"/>
          </w:tcPr>
          <w:p w14:paraId="18C15DF7">
            <w:pPr>
              <w:spacing w:line="240" w:lineRule="auto"/>
              <w:jc w:val="center"/>
              <w:rPr>
                <w:rFonts w:ascii="Times New Roman" w:hAnsi="Times New Roman" w:eastAsia="宋体" w:cs="Times New Roman"/>
                <w:color w:val="auto"/>
                <w:kern w:val="44"/>
                <w:sz w:val="21"/>
                <w:szCs w:val="21"/>
                <w:highlight w:val="none"/>
                <w:lang w:val="en-US" w:eastAsia="zh-CN" w:bidi="ar-SA"/>
              </w:rPr>
            </w:pPr>
            <w:r>
              <w:rPr>
                <w:rFonts w:ascii="Times New Roman"/>
                <w:color w:val="auto"/>
                <w:kern w:val="44"/>
                <w:sz w:val="21"/>
                <w:szCs w:val="21"/>
                <w:highlight w:val="none"/>
              </w:rPr>
              <w:t>装载机</w:t>
            </w:r>
          </w:p>
        </w:tc>
        <w:tc>
          <w:tcPr>
            <w:tcW w:w="805" w:type="pct"/>
            <w:shd w:val="clear" w:color="auto" w:fill="auto"/>
            <w:noWrap w:val="0"/>
            <w:vAlign w:val="center"/>
          </w:tcPr>
          <w:p w14:paraId="7732DFA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辆</w:t>
            </w:r>
          </w:p>
        </w:tc>
        <w:tc>
          <w:tcPr>
            <w:tcW w:w="815" w:type="pct"/>
            <w:shd w:val="clear" w:color="auto" w:fill="auto"/>
            <w:noWrap w:val="0"/>
            <w:vAlign w:val="center"/>
          </w:tcPr>
          <w:p w14:paraId="72097D1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w:t>
            </w:r>
          </w:p>
        </w:tc>
        <w:tc>
          <w:tcPr>
            <w:tcW w:w="1755" w:type="pct"/>
            <w:shd w:val="clear" w:color="auto" w:fill="auto"/>
            <w:noWrap w:val="0"/>
            <w:vAlign w:val="center"/>
          </w:tcPr>
          <w:p w14:paraId="45073661">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SW955K-S</w:t>
            </w:r>
          </w:p>
        </w:tc>
      </w:tr>
      <w:tr w14:paraId="71D66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shd w:val="clear" w:color="auto" w:fill="auto"/>
            <w:noWrap w:val="0"/>
            <w:vAlign w:val="center"/>
          </w:tcPr>
          <w:p w14:paraId="5780E09D">
            <w:pPr>
              <w:spacing w:line="240" w:lineRule="auto"/>
              <w:jc w:val="center"/>
              <w:rPr>
                <w:rFonts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2</w:t>
            </w:r>
          </w:p>
        </w:tc>
        <w:tc>
          <w:tcPr>
            <w:tcW w:w="1010" w:type="pct"/>
            <w:shd w:val="clear" w:color="auto" w:fill="auto"/>
            <w:noWrap w:val="0"/>
            <w:vAlign w:val="center"/>
          </w:tcPr>
          <w:p w14:paraId="54C90F72">
            <w:pPr>
              <w:spacing w:line="240" w:lineRule="auto"/>
              <w:jc w:val="center"/>
              <w:rPr>
                <w:rFonts w:hint="eastAsia" w:ascii="Times New Roman" w:hAnsi="Times New Roman" w:eastAsia="宋体" w:cs="Times New Roman"/>
                <w:color w:val="auto"/>
                <w:kern w:val="44"/>
                <w:sz w:val="21"/>
                <w:szCs w:val="21"/>
                <w:highlight w:val="none"/>
                <w:lang w:val="en-US" w:eastAsia="zh-CN" w:bidi="ar-SA"/>
              </w:rPr>
            </w:pPr>
            <w:r>
              <w:rPr>
                <w:rFonts w:hint="eastAsia"/>
                <w:color w:val="auto"/>
                <w:kern w:val="44"/>
                <w:sz w:val="21"/>
                <w:szCs w:val="21"/>
                <w:highlight w:val="none"/>
                <w:lang w:val="en-US" w:eastAsia="zh-CN"/>
              </w:rPr>
              <w:t>推土机</w:t>
            </w:r>
          </w:p>
        </w:tc>
        <w:tc>
          <w:tcPr>
            <w:tcW w:w="805" w:type="pct"/>
            <w:shd w:val="clear" w:color="auto" w:fill="auto"/>
            <w:noWrap w:val="0"/>
            <w:vAlign w:val="center"/>
          </w:tcPr>
          <w:p w14:paraId="07708E5A">
            <w:pPr>
              <w:spacing w:line="240" w:lineRule="auto"/>
              <w:jc w:val="center"/>
              <w:rPr>
                <w:rFonts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辆</w:t>
            </w:r>
          </w:p>
        </w:tc>
        <w:tc>
          <w:tcPr>
            <w:tcW w:w="815" w:type="pct"/>
            <w:shd w:val="clear" w:color="auto" w:fill="auto"/>
            <w:noWrap w:val="0"/>
            <w:vAlign w:val="center"/>
          </w:tcPr>
          <w:p w14:paraId="1E233B5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w:t>
            </w:r>
          </w:p>
        </w:tc>
        <w:tc>
          <w:tcPr>
            <w:tcW w:w="1755" w:type="pct"/>
            <w:shd w:val="clear" w:color="auto" w:fill="auto"/>
            <w:noWrap w:val="0"/>
            <w:vAlign w:val="center"/>
          </w:tcPr>
          <w:p w14:paraId="3CEAE99B">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QSL9.3</w:t>
            </w:r>
          </w:p>
        </w:tc>
      </w:tr>
      <w:tr w14:paraId="77516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shd w:val="clear" w:color="auto" w:fill="auto"/>
            <w:noWrap w:val="0"/>
            <w:vAlign w:val="center"/>
          </w:tcPr>
          <w:p w14:paraId="103F6D2F">
            <w:pPr>
              <w:spacing w:line="240" w:lineRule="auto"/>
              <w:jc w:val="center"/>
              <w:rPr>
                <w:rFonts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3</w:t>
            </w:r>
          </w:p>
        </w:tc>
        <w:tc>
          <w:tcPr>
            <w:tcW w:w="1010" w:type="pct"/>
            <w:shd w:val="clear" w:color="auto" w:fill="auto"/>
            <w:noWrap w:val="0"/>
            <w:vAlign w:val="center"/>
          </w:tcPr>
          <w:p w14:paraId="4D40753E">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压实机</w:t>
            </w:r>
          </w:p>
        </w:tc>
        <w:tc>
          <w:tcPr>
            <w:tcW w:w="805" w:type="pct"/>
            <w:shd w:val="clear" w:color="auto" w:fill="auto"/>
            <w:noWrap w:val="0"/>
            <w:vAlign w:val="center"/>
          </w:tcPr>
          <w:p w14:paraId="66A6362E">
            <w:pPr>
              <w:spacing w:line="240" w:lineRule="auto"/>
              <w:jc w:val="center"/>
              <w:rPr>
                <w:rFonts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台</w:t>
            </w:r>
          </w:p>
        </w:tc>
        <w:tc>
          <w:tcPr>
            <w:tcW w:w="815" w:type="pct"/>
            <w:shd w:val="clear" w:color="auto" w:fill="auto"/>
            <w:noWrap w:val="0"/>
            <w:vAlign w:val="center"/>
          </w:tcPr>
          <w:p w14:paraId="43FD1DDE">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color w:val="auto"/>
                <w:kern w:val="2"/>
                <w:sz w:val="21"/>
                <w:szCs w:val="21"/>
                <w:highlight w:val="none"/>
              </w:rPr>
              <w:t>1</w:t>
            </w:r>
          </w:p>
        </w:tc>
        <w:tc>
          <w:tcPr>
            <w:tcW w:w="1755" w:type="pct"/>
            <w:shd w:val="clear" w:color="auto" w:fill="auto"/>
            <w:noWrap w:val="0"/>
            <w:vAlign w:val="center"/>
          </w:tcPr>
          <w:p w14:paraId="15D8DEA1">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w:t>
            </w:r>
          </w:p>
        </w:tc>
      </w:tr>
      <w:tr w14:paraId="3E8C1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shd w:val="clear" w:color="auto" w:fill="auto"/>
            <w:noWrap w:val="0"/>
            <w:vAlign w:val="center"/>
          </w:tcPr>
          <w:p w14:paraId="5204CDCE">
            <w:pPr>
              <w:spacing w:line="240" w:lineRule="auto"/>
              <w:jc w:val="center"/>
              <w:rPr>
                <w:rFonts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4</w:t>
            </w:r>
          </w:p>
        </w:tc>
        <w:tc>
          <w:tcPr>
            <w:tcW w:w="1010" w:type="pct"/>
            <w:shd w:val="clear" w:color="auto" w:fill="auto"/>
            <w:noWrap w:val="0"/>
            <w:vAlign w:val="center"/>
          </w:tcPr>
          <w:p w14:paraId="13C4AB8B">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自卸汽车</w:t>
            </w:r>
          </w:p>
        </w:tc>
        <w:tc>
          <w:tcPr>
            <w:tcW w:w="805" w:type="pct"/>
            <w:shd w:val="clear" w:color="auto" w:fill="auto"/>
            <w:noWrap w:val="0"/>
            <w:vAlign w:val="center"/>
          </w:tcPr>
          <w:p w14:paraId="062EAA17">
            <w:pPr>
              <w:adjustRightInd w:val="0"/>
              <w:snapToGrid w:val="0"/>
              <w:spacing w:line="240" w:lineRule="auto"/>
              <w:jc w:val="center"/>
              <w:rPr>
                <w:rFonts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辆</w:t>
            </w:r>
          </w:p>
        </w:tc>
        <w:tc>
          <w:tcPr>
            <w:tcW w:w="815" w:type="pct"/>
            <w:shd w:val="clear" w:color="auto" w:fill="auto"/>
            <w:noWrap w:val="0"/>
            <w:vAlign w:val="center"/>
          </w:tcPr>
          <w:p w14:paraId="7A3B985F">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rPr>
              <w:t>3</w:t>
            </w:r>
          </w:p>
        </w:tc>
        <w:tc>
          <w:tcPr>
            <w:tcW w:w="1755" w:type="pct"/>
            <w:shd w:val="clear" w:color="auto" w:fill="auto"/>
            <w:noWrap w:val="0"/>
            <w:vAlign w:val="center"/>
          </w:tcPr>
          <w:p w14:paraId="75BD7E31">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临工MT96LF</w:t>
            </w:r>
          </w:p>
        </w:tc>
      </w:tr>
      <w:tr w14:paraId="00D80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shd w:val="clear" w:color="auto" w:fill="auto"/>
            <w:noWrap w:val="0"/>
            <w:vAlign w:val="center"/>
          </w:tcPr>
          <w:p w14:paraId="051A564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5</w:t>
            </w:r>
          </w:p>
        </w:tc>
        <w:tc>
          <w:tcPr>
            <w:tcW w:w="1010" w:type="pct"/>
            <w:shd w:val="clear" w:color="auto" w:fill="auto"/>
            <w:noWrap w:val="0"/>
            <w:vAlign w:val="center"/>
          </w:tcPr>
          <w:p w14:paraId="106B5E93">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eastAsia="宋体"/>
                <w:color w:val="auto"/>
                <w:sz w:val="21"/>
                <w:szCs w:val="21"/>
                <w:highlight w:val="none"/>
                <w:lang w:eastAsia="zh-CN"/>
              </w:rPr>
              <w:t>洒水车</w:t>
            </w:r>
          </w:p>
        </w:tc>
        <w:tc>
          <w:tcPr>
            <w:tcW w:w="805" w:type="pct"/>
            <w:shd w:val="clear" w:color="auto" w:fill="auto"/>
            <w:noWrap w:val="0"/>
            <w:vAlign w:val="center"/>
          </w:tcPr>
          <w:p w14:paraId="7727A059">
            <w:pPr>
              <w:adjustRightInd w:val="0"/>
              <w:snapToGrid w:val="0"/>
              <w:spacing w:line="240" w:lineRule="auto"/>
              <w:jc w:val="center"/>
              <w:rPr>
                <w:rFonts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辆</w:t>
            </w:r>
          </w:p>
        </w:tc>
        <w:tc>
          <w:tcPr>
            <w:tcW w:w="815" w:type="pct"/>
            <w:shd w:val="clear" w:color="auto" w:fill="auto"/>
            <w:noWrap w:val="0"/>
            <w:vAlign w:val="center"/>
          </w:tcPr>
          <w:p w14:paraId="7ED6E9C1">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ascii="Times New Roman"/>
                <w:color w:val="auto"/>
                <w:kern w:val="2"/>
                <w:sz w:val="21"/>
                <w:szCs w:val="21"/>
                <w:highlight w:val="none"/>
              </w:rPr>
              <w:t>1</w:t>
            </w:r>
          </w:p>
        </w:tc>
        <w:tc>
          <w:tcPr>
            <w:tcW w:w="1755" w:type="pct"/>
            <w:shd w:val="clear" w:color="auto" w:fill="auto"/>
            <w:noWrap w:val="0"/>
            <w:vAlign w:val="center"/>
          </w:tcPr>
          <w:p w14:paraId="048F6681">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ascii="Times New Roman"/>
                <w:color w:val="auto"/>
                <w:sz w:val="21"/>
                <w:szCs w:val="21"/>
                <w:highlight w:val="none"/>
              </w:rPr>
              <w:t>/</w:t>
            </w:r>
          </w:p>
        </w:tc>
      </w:tr>
    </w:tbl>
    <w:p w14:paraId="04108925">
      <w:pPr>
        <w:pStyle w:val="6"/>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主要能源消耗</w:t>
      </w:r>
    </w:p>
    <w:p w14:paraId="4FCA2080">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ascii="Times New Roman" w:hAnsi="Times New Roman" w:eastAsia="宋体" w:cs="Times New Roman"/>
          <w:color w:val="000000"/>
          <w:kern w:val="0"/>
          <w:sz w:val="24"/>
          <w:szCs w:val="21"/>
          <w:highlight w:val="none"/>
          <w:lang w:val="en-US" w:eastAsia="zh-CN"/>
        </w:rPr>
      </w:pPr>
      <w:r>
        <w:rPr>
          <w:rFonts w:hint="eastAsia" w:ascii="Times New Roman" w:hAnsi="Times New Roman" w:eastAsia="宋体" w:cs="Times New Roman"/>
          <w:color w:val="000000"/>
          <w:kern w:val="0"/>
          <w:sz w:val="24"/>
          <w:szCs w:val="21"/>
          <w:highlight w:val="none"/>
          <w:lang w:val="en-US" w:eastAsia="zh-CN"/>
        </w:rPr>
        <w:t>本项目主要</w:t>
      </w:r>
      <w:r>
        <w:rPr>
          <w:rFonts w:hint="eastAsia" w:cs="Times New Roman"/>
          <w:color w:val="000000"/>
          <w:kern w:val="0"/>
          <w:sz w:val="24"/>
          <w:szCs w:val="21"/>
          <w:highlight w:val="none"/>
          <w:lang w:val="en-US" w:eastAsia="zh-CN"/>
        </w:rPr>
        <w:t>能源消耗</w:t>
      </w:r>
      <w:r>
        <w:rPr>
          <w:rFonts w:hint="eastAsia" w:ascii="Times New Roman" w:hAnsi="Times New Roman" w:eastAsia="宋体" w:cs="Times New Roman"/>
          <w:color w:val="000000"/>
          <w:kern w:val="0"/>
          <w:sz w:val="24"/>
          <w:szCs w:val="21"/>
          <w:highlight w:val="none"/>
          <w:lang w:val="en-US" w:eastAsia="zh-CN"/>
        </w:rPr>
        <w:t>见下表</w:t>
      </w:r>
      <w:r>
        <w:rPr>
          <w:rFonts w:hint="eastAsia" w:cs="Times New Roman"/>
          <w:color w:val="000000"/>
          <w:kern w:val="0"/>
          <w:sz w:val="24"/>
          <w:szCs w:val="21"/>
          <w:highlight w:val="none"/>
          <w:lang w:val="en-US" w:eastAsia="zh-CN"/>
        </w:rPr>
        <w:t>。</w:t>
      </w:r>
    </w:p>
    <w:p w14:paraId="208FE6E0">
      <w:pPr>
        <w:numPr>
          <w:ilvl w:val="0"/>
          <w:numId w:val="20"/>
        </w:numPr>
        <w:adjustRightInd w:val="0"/>
        <w:snapToGrid w:val="0"/>
        <w:jc w:val="center"/>
        <w:rPr>
          <w:rFonts w:hint="eastAsia" w:ascii="Times New Roman" w:hAnsi="Times New Roman" w:eastAsia="宋体" w:cs="Times New Roman"/>
          <w:color w:val="000000"/>
          <w:kern w:val="0"/>
          <w:sz w:val="24"/>
          <w:szCs w:val="21"/>
          <w:highlight w:val="none"/>
          <w:lang w:val="en-US" w:eastAsia="zh-CN"/>
        </w:rPr>
      </w:pPr>
      <w:r>
        <w:rPr>
          <w:rFonts w:ascii="Times New Roman"/>
          <w:b/>
          <w:bCs/>
          <w:snapToGrid w:val="0"/>
          <w:color w:val="auto"/>
          <w:sz w:val="21"/>
          <w:szCs w:val="21"/>
          <w:highlight w:val="none"/>
        </w:rPr>
        <w:t>主要</w:t>
      </w:r>
      <w:r>
        <w:rPr>
          <w:rFonts w:hint="eastAsia" w:ascii="Times New Roman"/>
          <w:b/>
          <w:bCs/>
          <w:snapToGrid w:val="0"/>
          <w:color w:val="auto"/>
          <w:sz w:val="21"/>
          <w:szCs w:val="21"/>
          <w:highlight w:val="none"/>
        </w:rPr>
        <w:t>能源消耗</w:t>
      </w:r>
      <w:r>
        <w:rPr>
          <w:rFonts w:hint="eastAsia"/>
          <w:b/>
          <w:bCs/>
          <w:snapToGrid w:val="0"/>
          <w:color w:val="auto"/>
          <w:sz w:val="21"/>
          <w:szCs w:val="21"/>
          <w:highlight w:val="none"/>
          <w:lang w:val="en-US" w:eastAsia="zh-CN"/>
        </w:rPr>
        <w:t>表</w:t>
      </w:r>
    </w:p>
    <w:tbl>
      <w:tblPr>
        <w:tblStyle w:val="58"/>
        <w:tblW w:w="84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8"/>
        <w:gridCol w:w="2373"/>
        <w:gridCol w:w="1307"/>
        <w:gridCol w:w="2737"/>
      </w:tblGrid>
      <w:tr w14:paraId="370F7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8" w:type="dxa"/>
            <w:noWrap w:val="0"/>
            <w:vAlign w:val="center"/>
          </w:tcPr>
          <w:p w14:paraId="29E6161E">
            <w:pPr>
              <w:adjustRightInd w:val="0"/>
              <w:spacing w:line="240" w:lineRule="auto"/>
              <w:jc w:val="center"/>
              <w:rPr>
                <w:rFonts w:ascii="Times New Roman"/>
                <w:b/>
                <w:snapToGrid w:val="0"/>
                <w:color w:val="auto"/>
                <w:sz w:val="21"/>
                <w:szCs w:val="21"/>
                <w:highlight w:val="none"/>
              </w:rPr>
            </w:pPr>
            <w:r>
              <w:rPr>
                <w:rFonts w:ascii="Times New Roman"/>
                <w:b/>
                <w:snapToGrid w:val="0"/>
                <w:color w:val="auto"/>
                <w:sz w:val="21"/>
                <w:szCs w:val="21"/>
                <w:highlight w:val="none"/>
              </w:rPr>
              <w:t>名称</w:t>
            </w:r>
          </w:p>
        </w:tc>
        <w:tc>
          <w:tcPr>
            <w:tcW w:w="2373" w:type="dxa"/>
            <w:noWrap w:val="0"/>
            <w:vAlign w:val="center"/>
          </w:tcPr>
          <w:p w14:paraId="44A4E2F5">
            <w:pPr>
              <w:adjustRightInd w:val="0"/>
              <w:spacing w:line="240" w:lineRule="auto"/>
              <w:jc w:val="center"/>
              <w:rPr>
                <w:rFonts w:ascii="Times New Roman"/>
                <w:b/>
                <w:snapToGrid w:val="0"/>
                <w:color w:val="auto"/>
                <w:sz w:val="21"/>
                <w:szCs w:val="21"/>
                <w:highlight w:val="none"/>
              </w:rPr>
            </w:pPr>
            <w:r>
              <w:rPr>
                <w:rFonts w:ascii="Times New Roman"/>
                <w:b/>
                <w:snapToGrid w:val="0"/>
                <w:color w:val="auto"/>
                <w:sz w:val="21"/>
                <w:szCs w:val="21"/>
                <w:highlight w:val="none"/>
              </w:rPr>
              <w:t>年耗量</w:t>
            </w:r>
          </w:p>
        </w:tc>
        <w:tc>
          <w:tcPr>
            <w:tcW w:w="1307" w:type="dxa"/>
            <w:noWrap w:val="0"/>
            <w:vAlign w:val="center"/>
          </w:tcPr>
          <w:p w14:paraId="03A4D6A7">
            <w:pPr>
              <w:adjustRightInd w:val="0"/>
              <w:spacing w:line="240" w:lineRule="auto"/>
              <w:jc w:val="center"/>
              <w:rPr>
                <w:rFonts w:ascii="Times New Roman"/>
                <w:b/>
                <w:snapToGrid w:val="0"/>
                <w:color w:val="auto"/>
                <w:sz w:val="21"/>
                <w:szCs w:val="21"/>
                <w:highlight w:val="none"/>
              </w:rPr>
            </w:pPr>
            <w:r>
              <w:rPr>
                <w:rFonts w:ascii="Times New Roman"/>
                <w:b/>
                <w:snapToGrid w:val="0"/>
                <w:color w:val="auto"/>
                <w:sz w:val="21"/>
                <w:szCs w:val="21"/>
                <w:highlight w:val="none"/>
              </w:rPr>
              <w:t>单位</w:t>
            </w:r>
          </w:p>
        </w:tc>
        <w:tc>
          <w:tcPr>
            <w:tcW w:w="2737" w:type="dxa"/>
            <w:noWrap w:val="0"/>
            <w:vAlign w:val="center"/>
          </w:tcPr>
          <w:p w14:paraId="4035771C">
            <w:pPr>
              <w:adjustRightInd w:val="0"/>
              <w:spacing w:line="240" w:lineRule="auto"/>
              <w:jc w:val="center"/>
              <w:rPr>
                <w:rFonts w:ascii="Times New Roman"/>
                <w:b/>
                <w:snapToGrid w:val="0"/>
                <w:color w:val="auto"/>
                <w:sz w:val="21"/>
                <w:szCs w:val="21"/>
                <w:highlight w:val="none"/>
              </w:rPr>
            </w:pPr>
            <w:r>
              <w:rPr>
                <w:rFonts w:ascii="Times New Roman"/>
                <w:b/>
                <w:snapToGrid w:val="0"/>
                <w:color w:val="auto"/>
                <w:sz w:val="21"/>
                <w:szCs w:val="21"/>
                <w:highlight w:val="none"/>
              </w:rPr>
              <w:t>来源</w:t>
            </w:r>
          </w:p>
        </w:tc>
      </w:tr>
      <w:tr w14:paraId="7EECA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8" w:type="dxa"/>
            <w:noWrap w:val="0"/>
            <w:vAlign w:val="center"/>
          </w:tcPr>
          <w:p w14:paraId="3F533503">
            <w:pPr>
              <w:adjustRightInd w:val="0"/>
              <w:spacing w:line="240" w:lineRule="auto"/>
              <w:jc w:val="center"/>
              <w:rPr>
                <w:rFonts w:ascii="Times New Roman"/>
                <w:snapToGrid w:val="0"/>
                <w:color w:val="auto"/>
                <w:sz w:val="21"/>
                <w:szCs w:val="21"/>
                <w:highlight w:val="none"/>
              </w:rPr>
            </w:pPr>
            <w:r>
              <w:rPr>
                <w:rFonts w:ascii="Times New Roman"/>
                <w:snapToGrid w:val="0"/>
                <w:color w:val="auto"/>
                <w:sz w:val="21"/>
                <w:szCs w:val="21"/>
                <w:highlight w:val="none"/>
              </w:rPr>
              <w:t>水</w:t>
            </w:r>
          </w:p>
        </w:tc>
        <w:tc>
          <w:tcPr>
            <w:tcW w:w="2373" w:type="dxa"/>
            <w:noWrap w:val="0"/>
            <w:vAlign w:val="center"/>
          </w:tcPr>
          <w:p w14:paraId="2018262D">
            <w:pPr>
              <w:adjustRightInd w:val="0"/>
              <w:spacing w:line="240" w:lineRule="auto"/>
              <w:jc w:val="center"/>
              <w:rPr>
                <w:rFonts w:hint="default" w:ascii="Times New Roman" w:eastAsia="宋体"/>
                <w:snapToGrid w:val="0"/>
                <w:color w:val="auto"/>
                <w:sz w:val="21"/>
                <w:szCs w:val="21"/>
                <w:highlight w:val="none"/>
                <w:lang w:val="en-US" w:eastAsia="zh-CN"/>
              </w:rPr>
            </w:pPr>
            <w:r>
              <w:rPr>
                <w:rFonts w:hint="eastAsia"/>
                <w:snapToGrid w:val="0"/>
                <w:color w:val="auto"/>
                <w:sz w:val="21"/>
                <w:szCs w:val="21"/>
                <w:highlight w:val="none"/>
                <w:lang w:val="en-US" w:eastAsia="zh-CN"/>
              </w:rPr>
              <w:t>3300</w:t>
            </w:r>
          </w:p>
        </w:tc>
        <w:tc>
          <w:tcPr>
            <w:tcW w:w="1307" w:type="dxa"/>
            <w:noWrap w:val="0"/>
            <w:vAlign w:val="center"/>
          </w:tcPr>
          <w:p w14:paraId="000966AC">
            <w:pPr>
              <w:adjustRightInd w:val="0"/>
              <w:spacing w:line="240" w:lineRule="auto"/>
              <w:jc w:val="center"/>
              <w:rPr>
                <w:rFonts w:ascii="Times New Roman"/>
                <w:snapToGrid w:val="0"/>
                <w:color w:val="auto"/>
                <w:sz w:val="21"/>
                <w:szCs w:val="21"/>
                <w:highlight w:val="none"/>
              </w:rPr>
            </w:pPr>
            <w:r>
              <w:rPr>
                <w:rFonts w:ascii="Times New Roman"/>
                <w:snapToGrid w:val="0"/>
                <w:color w:val="auto"/>
                <w:sz w:val="21"/>
                <w:szCs w:val="21"/>
                <w:highlight w:val="none"/>
              </w:rPr>
              <w:t>t/a</w:t>
            </w:r>
          </w:p>
        </w:tc>
        <w:tc>
          <w:tcPr>
            <w:tcW w:w="2737" w:type="dxa"/>
            <w:noWrap w:val="0"/>
            <w:vAlign w:val="center"/>
          </w:tcPr>
          <w:p w14:paraId="31667E09">
            <w:pPr>
              <w:adjustRightInd w:val="0"/>
              <w:spacing w:line="240" w:lineRule="auto"/>
              <w:jc w:val="center"/>
              <w:rPr>
                <w:rFonts w:ascii="Times New Roman"/>
                <w:snapToGrid w:val="0"/>
                <w:color w:val="auto"/>
                <w:sz w:val="21"/>
                <w:szCs w:val="21"/>
                <w:highlight w:val="none"/>
              </w:rPr>
            </w:pPr>
            <w:r>
              <w:rPr>
                <w:rFonts w:hint="eastAsia"/>
                <w:snapToGrid w:val="0"/>
                <w:color w:val="auto"/>
                <w:sz w:val="21"/>
                <w:szCs w:val="21"/>
                <w:highlight w:val="none"/>
                <w:lang w:val="en-US" w:eastAsia="zh-CN"/>
              </w:rPr>
              <w:t>依托厂区</w:t>
            </w:r>
            <w:r>
              <w:rPr>
                <w:rFonts w:ascii="Times New Roman"/>
                <w:snapToGrid w:val="0"/>
                <w:color w:val="auto"/>
                <w:sz w:val="21"/>
                <w:szCs w:val="21"/>
                <w:highlight w:val="none"/>
              </w:rPr>
              <w:t>自有水井</w:t>
            </w:r>
          </w:p>
        </w:tc>
      </w:tr>
      <w:tr w14:paraId="06AC9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8" w:type="dxa"/>
            <w:noWrap w:val="0"/>
            <w:vAlign w:val="center"/>
          </w:tcPr>
          <w:p w14:paraId="2961048A">
            <w:pPr>
              <w:adjustRightInd w:val="0"/>
              <w:spacing w:line="240" w:lineRule="auto"/>
              <w:jc w:val="center"/>
              <w:rPr>
                <w:rFonts w:hint="eastAsia" w:ascii="Times New Roman" w:eastAsia="宋体"/>
                <w:snapToGrid w:val="0"/>
                <w:color w:val="auto"/>
                <w:sz w:val="21"/>
                <w:szCs w:val="21"/>
                <w:highlight w:val="none"/>
                <w:lang w:val="en-US" w:eastAsia="zh-CN"/>
              </w:rPr>
            </w:pPr>
            <w:r>
              <w:rPr>
                <w:rFonts w:hint="eastAsia"/>
                <w:snapToGrid w:val="0"/>
                <w:color w:val="auto"/>
                <w:sz w:val="21"/>
                <w:szCs w:val="21"/>
                <w:highlight w:val="none"/>
                <w:lang w:val="en-US" w:eastAsia="zh-CN"/>
              </w:rPr>
              <w:t>柴油</w:t>
            </w:r>
          </w:p>
        </w:tc>
        <w:tc>
          <w:tcPr>
            <w:tcW w:w="2373" w:type="dxa"/>
            <w:noWrap w:val="0"/>
            <w:vAlign w:val="center"/>
          </w:tcPr>
          <w:p w14:paraId="55B99497">
            <w:pPr>
              <w:adjustRightInd w:val="0"/>
              <w:spacing w:line="240" w:lineRule="auto"/>
              <w:jc w:val="center"/>
              <w:rPr>
                <w:rFonts w:hint="default"/>
                <w:snapToGrid w:val="0"/>
                <w:color w:val="auto"/>
                <w:sz w:val="21"/>
                <w:szCs w:val="21"/>
                <w:highlight w:val="none"/>
                <w:lang w:val="en-US" w:eastAsia="zh-CN"/>
              </w:rPr>
            </w:pPr>
            <w:r>
              <w:rPr>
                <w:rFonts w:hint="eastAsia"/>
                <w:snapToGrid w:val="0"/>
                <w:color w:val="auto"/>
                <w:sz w:val="21"/>
                <w:szCs w:val="21"/>
                <w:highlight w:val="none"/>
                <w:lang w:val="en-US" w:eastAsia="zh-CN"/>
              </w:rPr>
              <w:t>56</w:t>
            </w:r>
          </w:p>
        </w:tc>
        <w:tc>
          <w:tcPr>
            <w:tcW w:w="1307" w:type="dxa"/>
            <w:noWrap w:val="0"/>
            <w:vAlign w:val="center"/>
          </w:tcPr>
          <w:p w14:paraId="507741D0">
            <w:pPr>
              <w:adjustRightInd w:val="0"/>
              <w:spacing w:line="240" w:lineRule="auto"/>
              <w:jc w:val="center"/>
              <w:rPr>
                <w:rFonts w:ascii="Times New Roman"/>
                <w:snapToGrid w:val="0"/>
                <w:color w:val="auto"/>
                <w:sz w:val="21"/>
                <w:szCs w:val="21"/>
                <w:highlight w:val="none"/>
              </w:rPr>
            </w:pPr>
            <w:r>
              <w:rPr>
                <w:rFonts w:ascii="Times New Roman"/>
                <w:snapToGrid w:val="0"/>
                <w:color w:val="auto"/>
                <w:sz w:val="21"/>
                <w:szCs w:val="21"/>
                <w:highlight w:val="none"/>
              </w:rPr>
              <w:t>t/a</w:t>
            </w:r>
          </w:p>
        </w:tc>
        <w:tc>
          <w:tcPr>
            <w:tcW w:w="2737" w:type="dxa"/>
            <w:noWrap w:val="0"/>
            <w:vAlign w:val="center"/>
          </w:tcPr>
          <w:p w14:paraId="2ADD5CE4">
            <w:pPr>
              <w:adjustRightInd w:val="0"/>
              <w:spacing w:line="240" w:lineRule="auto"/>
              <w:jc w:val="center"/>
              <w:rPr>
                <w:rFonts w:hint="default"/>
                <w:snapToGrid w:val="0"/>
                <w:color w:val="auto"/>
                <w:sz w:val="21"/>
                <w:szCs w:val="21"/>
                <w:highlight w:val="none"/>
                <w:lang w:val="en-US" w:eastAsia="zh-CN"/>
              </w:rPr>
            </w:pPr>
            <w:r>
              <w:rPr>
                <w:rFonts w:hint="eastAsia"/>
                <w:snapToGrid w:val="0"/>
                <w:color w:val="auto"/>
                <w:sz w:val="21"/>
                <w:szCs w:val="21"/>
                <w:highlight w:val="none"/>
                <w:lang w:val="en-US" w:eastAsia="zh-CN"/>
              </w:rPr>
              <w:t>车用燃料，不在厂区存储</w:t>
            </w:r>
          </w:p>
        </w:tc>
      </w:tr>
      <w:tr w14:paraId="60F07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8" w:type="dxa"/>
            <w:noWrap w:val="0"/>
            <w:vAlign w:val="center"/>
          </w:tcPr>
          <w:p w14:paraId="4E989AD5">
            <w:pPr>
              <w:adjustRightInd w:val="0"/>
              <w:spacing w:line="240" w:lineRule="auto"/>
              <w:jc w:val="center"/>
              <w:rPr>
                <w:rFonts w:hint="eastAsia" w:ascii="Times New Roman" w:eastAsia="宋体"/>
                <w:snapToGrid w:val="0"/>
                <w:color w:val="auto"/>
                <w:sz w:val="21"/>
                <w:szCs w:val="21"/>
                <w:highlight w:val="none"/>
                <w:lang w:val="en-US" w:eastAsia="zh-CN"/>
              </w:rPr>
            </w:pPr>
            <w:r>
              <w:rPr>
                <w:rFonts w:hint="eastAsia"/>
                <w:snapToGrid w:val="0"/>
                <w:color w:val="auto"/>
                <w:sz w:val="21"/>
                <w:szCs w:val="21"/>
                <w:highlight w:val="none"/>
                <w:lang w:val="en-US" w:eastAsia="zh-CN"/>
              </w:rPr>
              <w:t>电</w:t>
            </w:r>
          </w:p>
        </w:tc>
        <w:tc>
          <w:tcPr>
            <w:tcW w:w="2373" w:type="dxa"/>
            <w:noWrap w:val="0"/>
            <w:vAlign w:val="center"/>
          </w:tcPr>
          <w:p w14:paraId="790446DB">
            <w:pPr>
              <w:adjustRightInd w:val="0"/>
              <w:spacing w:line="240" w:lineRule="auto"/>
              <w:jc w:val="center"/>
              <w:rPr>
                <w:rFonts w:hint="default"/>
                <w:snapToGrid w:val="0"/>
                <w:color w:val="auto"/>
                <w:sz w:val="21"/>
                <w:szCs w:val="21"/>
                <w:highlight w:val="none"/>
                <w:lang w:val="en-US" w:eastAsia="zh-CN"/>
              </w:rPr>
            </w:pPr>
            <w:r>
              <w:rPr>
                <w:rFonts w:hint="eastAsia"/>
                <w:snapToGrid w:val="0"/>
                <w:color w:val="auto"/>
                <w:sz w:val="21"/>
                <w:szCs w:val="21"/>
                <w:highlight w:val="none"/>
                <w:lang w:val="en-US" w:eastAsia="zh-CN"/>
              </w:rPr>
              <w:t>10</w:t>
            </w:r>
          </w:p>
        </w:tc>
        <w:tc>
          <w:tcPr>
            <w:tcW w:w="1307" w:type="dxa"/>
            <w:noWrap w:val="0"/>
            <w:vAlign w:val="center"/>
          </w:tcPr>
          <w:p w14:paraId="4577ED9D">
            <w:pPr>
              <w:adjustRightInd w:val="0"/>
              <w:spacing w:line="240" w:lineRule="auto"/>
              <w:jc w:val="center"/>
              <w:rPr>
                <w:rFonts w:ascii="Times New Roman"/>
                <w:snapToGrid w:val="0"/>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万kW·h/a</w:t>
            </w:r>
          </w:p>
        </w:tc>
        <w:tc>
          <w:tcPr>
            <w:tcW w:w="2737" w:type="dxa"/>
            <w:noWrap w:val="0"/>
            <w:vAlign w:val="center"/>
          </w:tcPr>
          <w:p w14:paraId="0A476A90">
            <w:pPr>
              <w:adjustRightInd w:val="0"/>
              <w:spacing w:line="240" w:lineRule="auto"/>
              <w:jc w:val="center"/>
              <w:rPr>
                <w:rFonts w:hint="eastAsia"/>
                <w:snapToGrid w:val="0"/>
                <w:color w:val="auto"/>
                <w:sz w:val="21"/>
                <w:szCs w:val="21"/>
                <w:highlight w:val="none"/>
                <w:lang w:val="en-US" w:eastAsia="zh-CN"/>
              </w:rPr>
            </w:pPr>
            <w:r>
              <w:rPr>
                <w:rFonts w:hint="eastAsia" w:cs="Times New Roman"/>
                <w:color w:val="auto"/>
                <w:sz w:val="21"/>
                <w:szCs w:val="21"/>
                <w:highlight w:val="none"/>
                <w:lang w:val="en-US" w:eastAsia="zh-CN"/>
              </w:rPr>
              <w:t>依托厂区现有供电系统</w:t>
            </w:r>
          </w:p>
        </w:tc>
      </w:tr>
    </w:tbl>
    <w:p w14:paraId="405844E5">
      <w:pPr>
        <w:pStyle w:val="6"/>
        <w:rPr>
          <w:rFonts w:hint="eastAsia"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废石来源及废石性质</w:t>
      </w:r>
    </w:p>
    <w:p w14:paraId="421F2B6F">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default"/>
          <w:sz w:val="24"/>
          <w:szCs w:val="24"/>
          <w:highlight w:val="none"/>
          <w:lang w:val="en-US" w:eastAsia="zh-CN"/>
        </w:rPr>
      </w:pPr>
      <w:r>
        <w:rPr>
          <w:rFonts w:hint="eastAsia" w:ascii="Times New Roman" w:hAnsi="Times New Roman" w:cs="Times New Roman"/>
          <w:color w:val="000000"/>
          <w:sz w:val="24"/>
          <w:highlight w:val="none"/>
          <w:lang w:val="en-US" w:eastAsia="zh-CN"/>
        </w:rPr>
        <w:t>本项目排土场堆存</w:t>
      </w:r>
      <w:r>
        <w:rPr>
          <w:rFonts w:hint="eastAsia" w:cs="Times New Roman"/>
          <w:color w:val="000000"/>
          <w:sz w:val="24"/>
          <w:highlight w:val="none"/>
          <w:lang w:val="en-US" w:eastAsia="zh-CN"/>
        </w:rPr>
        <w:t>废石来源为</w:t>
      </w:r>
      <w:r>
        <w:rPr>
          <w:rFonts w:hint="eastAsia" w:cs="Times New Roman"/>
          <w:snapToGrid w:val="0"/>
          <w:kern w:val="0"/>
          <w:sz w:val="24"/>
          <w:szCs w:val="24"/>
          <w:highlight w:val="none"/>
          <w:lang w:val="en-US" w:eastAsia="zh-CN"/>
        </w:rPr>
        <w:t>承德天宝矿业集团大昌矿业有限公司</w:t>
      </w:r>
      <w:r>
        <w:rPr>
          <w:rFonts w:hint="eastAsia"/>
          <w:bCs/>
          <w:sz w:val="24"/>
          <w:szCs w:val="24"/>
          <w:highlight w:val="none"/>
          <w:lang w:val="en-US" w:eastAsia="zh-CN"/>
        </w:rPr>
        <w:t>采区废石、选厂废石</w:t>
      </w:r>
      <w:r>
        <w:rPr>
          <w:rFonts w:hint="eastAsia"/>
          <w:sz w:val="24"/>
          <w:szCs w:val="24"/>
          <w:highlight w:val="none"/>
          <w:lang w:val="en-US" w:eastAsia="zh-CN"/>
        </w:rPr>
        <w:t>。采区剥岩成分为采区的第四系黏土、含黏性土碎石和花岗片麻岩等经爆破后形成的大小不等的块石碎石及角砾等，废石粒径以</w:t>
      </w:r>
      <w:r>
        <w:rPr>
          <w:rFonts w:hint="default" w:ascii="Times New Roman" w:hAnsi="Times New Roman" w:cs="Times New Roman"/>
          <w:sz w:val="24"/>
          <w:szCs w:val="24"/>
          <w:highlight w:val="none"/>
          <w:lang w:val="en-US" w:eastAsia="zh-CN"/>
        </w:rPr>
        <w:t>＞</w:t>
      </w:r>
      <w:r>
        <w:rPr>
          <w:rFonts w:hint="eastAsia"/>
          <w:sz w:val="24"/>
          <w:szCs w:val="24"/>
          <w:highlight w:val="none"/>
          <w:lang w:val="en-US" w:eastAsia="zh-CN"/>
        </w:rPr>
        <w:t>200mm为主，少部分废石粒径＞60mm；选厂废石为干选工序甩废废石，粒径以＞60mm为主。</w:t>
      </w:r>
    </w:p>
    <w:p w14:paraId="74FC9245">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ascii="Times New Roman"/>
          <w:sz w:val="24"/>
          <w:szCs w:val="24"/>
          <w:highlight w:val="none"/>
          <w:lang w:eastAsia="zh-CN"/>
        </w:rPr>
      </w:pPr>
      <w:r>
        <w:rPr>
          <w:rFonts w:hint="eastAsia" w:cs="Times New Roman"/>
          <w:sz w:val="24"/>
          <w:szCs w:val="24"/>
          <w:highlight w:val="none"/>
          <w:lang w:eastAsia="zh-CN"/>
        </w:rPr>
        <w:t>2025年3月6日，</w:t>
      </w:r>
      <w:r>
        <w:rPr>
          <w:rFonts w:hint="default" w:ascii="Times New Roman" w:hAnsi="Times New Roman" w:cs="Times New Roman"/>
          <w:sz w:val="24"/>
          <w:szCs w:val="24"/>
          <w:highlight w:val="none"/>
          <w:lang w:eastAsia="zh-CN"/>
        </w:rPr>
        <w:t>辽宁卓信检验检测有限公司于对</w:t>
      </w:r>
      <w:r>
        <w:rPr>
          <w:rFonts w:hint="eastAsia" w:ascii="Times New Roman" w:hAnsi="Times New Roman" w:cs="Times New Roman"/>
          <w:sz w:val="24"/>
          <w:szCs w:val="24"/>
          <w:highlight w:val="none"/>
          <w:lang w:val="en-US" w:eastAsia="zh-CN"/>
        </w:rPr>
        <w:t>本项目堆存</w:t>
      </w:r>
      <w:r>
        <w:rPr>
          <w:rFonts w:hint="default" w:ascii="Times New Roman" w:hAnsi="Times New Roman" w:cs="Times New Roman"/>
          <w:sz w:val="24"/>
          <w:szCs w:val="24"/>
          <w:highlight w:val="none"/>
          <w:lang w:eastAsia="zh-CN"/>
        </w:rPr>
        <w:t>废石</w:t>
      </w:r>
      <w:r>
        <w:rPr>
          <w:rFonts w:hint="eastAsia" w:cs="Times New Roman"/>
          <w:sz w:val="24"/>
          <w:szCs w:val="24"/>
          <w:highlight w:val="none"/>
          <w:lang w:val="en-US" w:eastAsia="zh-CN"/>
        </w:rPr>
        <w:t>混合样</w:t>
      </w:r>
      <w:r>
        <w:rPr>
          <w:rFonts w:hint="default" w:ascii="Times New Roman" w:hAnsi="Times New Roman" w:cs="Times New Roman"/>
          <w:sz w:val="24"/>
          <w:szCs w:val="24"/>
          <w:highlight w:val="none"/>
          <w:lang w:eastAsia="zh-CN"/>
        </w:rPr>
        <w:t>浸出毒性、腐蚀性进行鉴别，进行了第Ⅰ、Ⅱ类一般工业固体废物鉴别，同时</w:t>
      </w:r>
      <w:r>
        <w:rPr>
          <w:rFonts w:hint="eastAsia" w:cs="Times New Roman"/>
          <w:sz w:val="24"/>
          <w:szCs w:val="24"/>
          <w:highlight w:val="none"/>
          <w:lang w:val="en-US" w:eastAsia="zh-CN"/>
        </w:rPr>
        <w:t>对</w:t>
      </w:r>
      <w:r>
        <w:rPr>
          <w:rFonts w:hint="eastAsia"/>
          <w:color w:val="auto"/>
          <w:sz w:val="24"/>
          <w:szCs w:val="24"/>
          <w:highlight w:val="none"/>
          <w:lang w:val="en-US" w:eastAsia="zh-CN"/>
        </w:rPr>
        <w:t>有机质和水溶性盐总量进行监测，</w:t>
      </w:r>
      <w:r>
        <w:rPr>
          <w:rFonts w:hint="default" w:ascii="Times New Roman" w:hAnsi="Times New Roman" w:cs="Times New Roman"/>
          <w:sz w:val="24"/>
          <w:szCs w:val="24"/>
          <w:highlight w:val="none"/>
          <w:lang w:eastAsia="zh-CN"/>
        </w:rPr>
        <w:t>并出具检测报告，具体检测结果如下</w:t>
      </w:r>
      <w:r>
        <w:rPr>
          <w:rFonts w:hint="eastAsia"/>
          <w:sz w:val="24"/>
          <w:szCs w:val="24"/>
          <w:highlight w:val="none"/>
          <w:lang w:eastAsia="zh-CN"/>
        </w:rPr>
        <w:t>。</w:t>
      </w:r>
    </w:p>
    <w:p w14:paraId="23B652C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sz w:val="24"/>
          <w:szCs w:val="24"/>
          <w:highlight w:val="none"/>
        </w:rPr>
      </w:pPr>
      <w:r>
        <w:rPr>
          <w:rFonts w:hint="eastAsia" w:ascii="Times New Roman" w:hAnsi="Times New Roman" w:cs="Times New Roman"/>
          <w:b/>
          <w:bCs/>
          <w:sz w:val="24"/>
          <w:szCs w:val="24"/>
          <w:highlight w:val="none"/>
          <w:lang w:eastAsia="zh-CN"/>
        </w:rPr>
        <w:t>①</w:t>
      </w:r>
      <w:r>
        <w:rPr>
          <w:rFonts w:hint="default" w:ascii="Times New Roman" w:hAnsi="Times New Roman" w:cs="Times New Roman"/>
          <w:b/>
          <w:bCs/>
          <w:sz w:val="24"/>
          <w:szCs w:val="24"/>
          <w:highlight w:val="none"/>
        </w:rPr>
        <w:t>危险性鉴别</w:t>
      </w:r>
    </w:p>
    <w:p w14:paraId="50BA26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sz w:val="24"/>
          <w:szCs w:val="24"/>
          <w:highlight w:val="none"/>
          <w:lang w:eastAsia="zh-CN"/>
        </w:rPr>
      </w:pPr>
      <w:r>
        <w:rPr>
          <w:rFonts w:hint="eastAsia" w:ascii="Times New Roman" w:hAnsi="Times New Roman" w:cs="Times New Roman"/>
          <w:sz w:val="24"/>
          <w:szCs w:val="24"/>
          <w:highlight w:val="none"/>
          <w:lang w:eastAsia="zh-CN"/>
        </w:rPr>
        <w:t>本次评价</w:t>
      </w:r>
      <w:r>
        <w:rPr>
          <w:rFonts w:hint="eastAsia" w:ascii="Times New Roman" w:hAnsi="Times New Roman" w:cs="Times New Roman"/>
          <w:sz w:val="24"/>
          <w:szCs w:val="24"/>
          <w:highlight w:val="none"/>
          <w:lang w:val="en-US" w:eastAsia="zh-CN"/>
        </w:rPr>
        <w:t>对堆存</w:t>
      </w:r>
      <w:r>
        <w:rPr>
          <w:rFonts w:hint="default" w:ascii="Times New Roman" w:hAnsi="Times New Roman" w:cs="Times New Roman"/>
          <w:sz w:val="24"/>
          <w:szCs w:val="24"/>
          <w:highlight w:val="none"/>
          <w:lang w:eastAsia="zh-CN"/>
        </w:rPr>
        <w:t>废石</w:t>
      </w:r>
      <w:r>
        <w:rPr>
          <w:rFonts w:hint="eastAsia" w:cs="Times New Roman"/>
          <w:sz w:val="24"/>
          <w:szCs w:val="24"/>
          <w:highlight w:val="none"/>
          <w:lang w:val="en-US" w:eastAsia="zh-CN"/>
        </w:rPr>
        <w:t>混合样进行</w:t>
      </w:r>
      <w:r>
        <w:rPr>
          <w:rFonts w:hint="eastAsia" w:ascii="Times New Roman" w:hAnsi="Times New Roman" w:cs="Times New Roman"/>
          <w:sz w:val="24"/>
          <w:szCs w:val="24"/>
          <w:highlight w:val="none"/>
          <w:lang w:val="en-US" w:eastAsia="zh-CN"/>
        </w:rPr>
        <w:t>腐蚀性</w:t>
      </w:r>
      <w:r>
        <w:rPr>
          <w:rFonts w:hint="default" w:ascii="Times New Roman" w:hAnsi="Times New Roman" w:cs="Times New Roman"/>
          <w:sz w:val="24"/>
          <w:szCs w:val="24"/>
          <w:highlight w:val="none"/>
          <w:lang w:eastAsia="zh-CN"/>
        </w:rPr>
        <w:t>鉴别</w:t>
      </w:r>
      <w:r>
        <w:rPr>
          <w:rFonts w:hint="eastAsia" w:cs="Times New Roman"/>
          <w:sz w:val="24"/>
          <w:szCs w:val="24"/>
          <w:highlight w:val="none"/>
          <w:lang w:eastAsia="zh-CN"/>
        </w:rPr>
        <w:t>、</w:t>
      </w:r>
      <w:r>
        <w:rPr>
          <w:rFonts w:hint="default" w:ascii="Times New Roman" w:hAnsi="Times New Roman" w:cs="Times New Roman"/>
          <w:sz w:val="24"/>
          <w:szCs w:val="24"/>
          <w:highlight w:val="none"/>
          <w:lang w:val="en-US" w:eastAsia="zh-CN"/>
        </w:rPr>
        <w:t>浸出毒性</w:t>
      </w:r>
      <w:r>
        <w:rPr>
          <w:rFonts w:hint="eastAsia" w:cs="Times New Roman"/>
          <w:sz w:val="24"/>
          <w:szCs w:val="24"/>
          <w:highlight w:val="none"/>
          <w:lang w:val="en-US" w:eastAsia="zh-CN"/>
        </w:rPr>
        <w:t>鉴别</w:t>
      </w:r>
      <w:r>
        <w:rPr>
          <w:rFonts w:hint="default" w:ascii="Times New Roman" w:hAnsi="Times New Roman" w:cs="Times New Roman"/>
          <w:sz w:val="24"/>
          <w:szCs w:val="24"/>
          <w:highlight w:val="none"/>
          <w:lang w:eastAsia="zh-CN"/>
        </w:rPr>
        <w:t>，</w:t>
      </w:r>
      <w:r>
        <w:rPr>
          <w:rFonts w:hint="eastAsia" w:cs="Times New Roman"/>
          <w:sz w:val="24"/>
          <w:szCs w:val="24"/>
          <w:highlight w:val="none"/>
          <w:lang w:val="en-US" w:eastAsia="zh-CN"/>
        </w:rPr>
        <w:t>根据</w:t>
      </w:r>
      <w:r>
        <w:rPr>
          <w:rFonts w:hint="eastAsia" w:ascii="Times New Roman" w:hAnsi="Times New Roman" w:cs="Times New Roman"/>
          <w:sz w:val="24"/>
          <w:szCs w:val="24"/>
          <w:highlight w:val="none"/>
          <w:lang w:eastAsia="zh-CN"/>
        </w:rPr>
        <w:t>《</w:t>
      </w:r>
      <w:r>
        <w:rPr>
          <w:rFonts w:hint="eastAsia" w:cs="Times New Roman"/>
          <w:color w:val="000000"/>
          <w:sz w:val="24"/>
          <w:highlight w:val="none"/>
          <w:lang w:eastAsia="zh-CN"/>
        </w:rPr>
        <w:t>承德天宝矿业集团大昌矿业有限公司东北沟排土场建设项目</w:t>
      </w:r>
      <w:r>
        <w:rPr>
          <w:rFonts w:hint="eastAsia" w:ascii="Times New Roman" w:hAnsi="Times New Roman" w:cs="Times New Roman"/>
          <w:color w:val="000000"/>
          <w:sz w:val="24"/>
          <w:highlight w:val="none"/>
          <w:lang w:val="en-US" w:eastAsia="zh-CN"/>
        </w:rPr>
        <w:t>固体废物腐蚀性鉴别检测报告</w:t>
      </w:r>
      <w:r>
        <w:rPr>
          <w:rFonts w:hint="eastAsia" w:ascii="Times New Roman" w:hAnsi="Times New Roman" w:cs="Times New Roman"/>
          <w:sz w:val="24"/>
          <w:szCs w:val="24"/>
          <w:highlight w:val="none"/>
          <w:lang w:eastAsia="zh-CN"/>
        </w:rPr>
        <w:t>》（</w:t>
      </w:r>
      <w:r>
        <w:rPr>
          <w:rFonts w:hint="eastAsia" w:cs="Times New Roman"/>
          <w:sz w:val="24"/>
          <w:szCs w:val="24"/>
          <w:highlight w:val="none"/>
          <w:lang w:eastAsia="zh-CN"/>
        </w:rPr>
        <w:t>ZXLN（T）202503026</w:t>
      </w:r>
      <w:r>
        <w:rPr>
          <w:rFonts w:hint="eastAsia" w:ascii="Times New Roman" w:hAnsi="Times New Roman" w:cs="Times New Roman"/>
          <w:sz w:val="24"/>
          <w:szCs w:val="24"/>
          <w:highlight w:val="none"/>
          <w:lang w:eastAsia="zh-CN"/>
        </w:rPr>
        <w:t>）</w:t>
      </w:r>
      <w:r>
        <w:rPr>
          <w:rFonts w:hint="eastAsia" w:cs="Times New Roman"/>
          <w:sz w:val="24"/>
          <w:szCs w:val="24"/>
          <w:highlight w:val="none"/>
          <w:lang w:eastAsia="zh-CN"/>
        </w:rPr>
        <w:t>、</w:t>
      </w:r>
      <w:r>
        <w:rPr>
          <w:rFonts w:hint="eastAsia" w:ascii="Times New Roman" w:hAnsi="Times New Roman" w:cs="Times New Roman"/>
          <w:sz w:val="24"/>
          <w:szCs w:val="24"/>
          <w:highlight w:val="none"/>
          <w:lang w:val="en-US" w:eastAsia="zh-CN"/>
        </w:rPr>
        <w:t>《</w:t>
      </w:r>
      <w:r>
        <w:rPr>
          <w:rFonts w:hint="eastAsia" w:cs="Times New Roman"/>
          <w:sz w:val="24"/>
          <w:szCs w:val="24"/>
          <w:highlight w:val="none"/>
          <w:lang w:val="en-US" w:eastAsia="zh-CN"/>
        </w:rPr>
        <w:t>承德天宝矿业集团大昌矿业有限公司东北沟排土场建设项目</w:t>
      </w:r>
      <w:r>
        <w:rPr>
          <w:rFonts w:hint="eastAsia" w:ascii="Times New Roman" w:hAnsi="Times New Roman" w:cs="Times New Roman"/>
          <w:sz w:val="24"/>
          <w:szCs w:val="24"/>
          <w:highlight w:val="none"/>
          <w:lang w:val="en-US" w:eastAsia="zh-CN"/>
        </w:rPr>
        <w:t>固体废物危险废物浸出毒性鉴别检测报告》（</w:t>
      </w:r>
      <w:r>
        <w:rPr>
          <w:rFonts w:hint="eastAsia" w:cs="Times New Roman"/>
          <w:sz w:val="24"/>
          <w:szCs w:val="24"/>
          <w:highlight w:val="none"/>
          <w:lang w:val="en-US" w:eastAsia="zh-CN"/>
        </w:rPr>
        <w:t>ZXLN（T）202503027</w:t>
      </w:r>
      <w:r>
        <w:rPr>
          <w:rFonts w:hint="eastAsia" w:ascii="Times New Roman" w:hAnsi="Times New Roman" w:cs="Times New Roman"/>
          <w:sz w:val="24"/>
          <w:szCs w:val="24"/>
          <w:highlight w:val="none"/>
          <w:lang w:val="en-US" w:eastAsia="zh-CN"/>
        </w:rPr>
        <w:t>）</w:t>
      </w:r>
      <w:r>
        <w:rPr>
          <w:rFonts w:hint="default" w:ascii="Times New Roman" w:hAnsi="Times New Roman" w:cs="Times New Roman"/>
          <w:sz w:val="24"/>
          <w:szCs w:val="24"/>
          <w:highlight w:val="none"/>
          <w:lang w:eastAsia="zh-CN"/>
        </w:rPr>
        <w:t>，</w:t>
      </w:r>
      <w:r>
        <w:rPr>
          <w:rFonts w:hint="eastAsia" w:cs="Times New Roman"/>
          <w:sz w:val="24"/>
          <w:szCs w:val="24"/>
          <w:highlight w:val="none"/>
          <w:lang w:val="en-US" w:eastAsia="zh-CN"/>
        </w:rPr>
        <w:t>鉴别</w:t>
      </w:r>
      <w:r>
        <w:rPr>
          <w:rFonts w:hint="default" w:ascii="Times New Roman" w:hAnsi="Times New Roman" w:cs="Times New Roman"/>
          <w:sz w:val="24"/>
          <w:szCs w:val="24"/>
          <w:highlight w:val="none"/>
          <w:lang w:eastAsia="zh-CN"/>
        </w:rPr>
        <w:t>结果况见下表</w:t>
      </w:r>
      <w:r>
        <w:rPr>
          <w:rFonts w:hint="eastAsia" w:cs="Times New Roman"/>
          <w:sz w:val="24"/>
          <w:szCs w:val="24"/>
          <w:highlight w:val="none"/>
          <w:lang w:eastAsia="zh-CN"/>
        </w:rPr>
        <w:t>：</w:t>
      </w:r>
    </w:p>
    <w:p w14:paraId="2876622A">
      <w:pPr>
        <w:numPr>
          <w:ilvl w:val="0"/>
          <w:numId w:val="20"/>
        </w:num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b/>
          <w:color w:val="auto"/>
          <w:sz w:val="21"/>
          <w:szCs w:val="21"/>
          <w:highlight w:val="none"/>
          <w:lang w:eastAsia="zh-CN"/>
        </w:rPr>
        <w:t>固体废物</w:t>
      </w:r>
      <w:r>
        <w:rPr>
          <w:rFonts w:hint="eastAsia" w:cs="Times New Roman"/>
          <w:b/>
          <w:color w:val="auto"/>
          <w:sz w:val="21"/>
          <w:szCs w:val="21"/>
          <w:highlight w:val="none"/>
          <w:lang w:val="en-US" w:eastAsia="zh-CN"/>
        </w:rPr>
        <w:t>腐蚀性、</w:t>
      </w:r>
      <w:r>
        <w:rPr>
          <w:rFonts w:hint="default" w:ascii="Times New Roman" w:hAnsi="Times New Roman" w:eastAsia="宋体" w:cs="Times New Roman"/>
          <w:b/>
          <w:color w:val="auto"/>
          <w:sz w:val="21"/>
          <w:szCs w:val="21"/>
          <w:highlight w:val="none"/>
        </w:rPr>
        <w:t>浸出毒性实验结果一览表</w:t>
      </w:r>
    </w:p>
    <w:tbl>
      <w:tblPr>
        <w:tblStyle w:val="59"/>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638"/>
        <w:gridCol w:w="943"/>
        <w:gridCol w:w="704"/>
        <w:gridCol w:w="2009"/>
        <w:gridCol w:w="2009"/>
        <w:gridCol w:w="1120"/>
        <w:gridCol w:w="1105"/>
      </w:tblGrid>
      <w:tr w14:paraId="3FBC26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vMerge w:val="restart"/>
            <w:tcBorders>
              <w:tl2br w:val="nil"/>
              <w:tr2bl w:val="nil"/>
            </w:tcBorders>
            <w:vAlign w:val="center"/>
          </w:tcPr>
          <w:p w14:paraId="48172A24">
            <w:pPr>
              <w:autoSpaceDE w:val="0"/>
              <w:autoSpaceDN w:val="0"/>
              <w:adjustRightInd w:val="0"/>
              <w:spacing w:line="240" w:lineRule="atLeast"/>
              <w:jc w:val="center"/>
              <w:rPr>
                <w:rFonts w:hint="eastAsia"/>
                <w:b/>
                <w:bCs/>
                <w:sz w:val="20"/>
                <w:szCs w:val="20"/>
                <w:highlight w:val="none"/>
              </w:rPr>
            </w:pPr>
            <w:r>
              <w:rPr>
                <w:rFonts w:hint="eastAsia"/>
                <w:b/>
                <w:bCs/>
                <w:color w:val="000000"/>
                <w:highlight w:val="none"/>
              </w:rPr>
              <w:t>监测因子</w:t>
            </w:r>
          </w:p>
        </w:tc>
        <w:tc>
          <w:tcPr>
            <w:tcW w:w="704" w:type="dxa"/>
            <w:vMerge w:val="restart"/>
            <w:tcBorders>
              <w:tl2br w:val="nil"/>
              <w:tr2bl w:val="nil"/>
            </w:tcBorders>
            <w:vAlign w:val="center"/>
          </w:tcPr>
          <w:p w14:paraId="18C45E9F">
            <w:pPr>
              <w:autoSpaceDE w:val="0"/>
              <w:autoSpaceDN w:val="0"/>
              <w:adjustRightInd w:val="0"/>
              <w:spacing w:line="240" w:lineRule="atLeast"/>
              <w:jc w:val="center"/>
              <w:rPr>
                <w:rFonts w:hint="eastAsia"/>
                <w:b/>
                <w:bCs/>
                <w:sz w:val="20"/>
                <w:szCs w:val="20"/>
                <w:highlight w:val="none"/>
              </w:rPr>
            </w:pPr>
            <w:r>
              <w:rPr>
                <w:rFonts w:hint="eastAsia"/>
                <w:b/>
                <w:bCs/>
                <w:color w:val="000000"/>
                <w:highlight w:val="none"/>
              </w:rPr>
              <w:t>单位</w:t>
            </w:r>
          </w:p>
        </w:tc>
        <w:tc>
          <w:tcPr>
            <w:tcW w:w="2009" w:type="dxa"/>
            <w:vMerge w:val="restart"/>
            <w:tcBorders>
              <w:tl2br w:val="nil"/>
              <w:tr2bl w:val="nil"/>
            </w:tcBorders>
            <w:vAlign w:val="center"/>
          </w:tcPr>
          <w:p w14:paraId="40B2C1A3">
            <w:pPr>
              <w:autoSpaceDE w:val="0"/>
              <w:autoSpaceDN w:val="0"/>
              <w:adjustRightInd w:val="0"/>
              <w:spacing w:line="240" w:lineRule="atLeast"/>
              <w:jc w:val="center"/>
              <w:rPr>
                <w:rFonts w:hint="eastAsia"/>
                <w:b/>
                <w:bCs/>
                <w:sz w:val="20"/>
                <w:szCs w:val="20"/>
                <w:highlight w:val="none"/>
              </w:rPr>
            </w:pPr>
            <w:r>
              <w:rPr>
                <w:rFonts w:hint="eastAsia"/>
                <w:b/>
                <w:bCs/>
                <w:color w:val="000000"/>
                <w:highlight w:val="none"/>
              </w:rPr>
              <w:t>《危险废物鉴别标准</w:t>
            </w:r>
            <w:r>
              <w:rPr>
                <w:b/>
                <w:bCs/>
                <w:color w:val="000000"/>
                <w:highlight w:val="none"/>
              </w:rPr>
              <w:t xml:space="preserve"> </w:t>
            </w:r>
            <w:r>
              <w:rPr>
                <w:rFonts w:hint="eastAsia"/>
                <w:b/>
                <w:bCs/>
                <w:color w:val="000000"/>
                <w:highlight w:val="none"/>
              </w:rPr>
              <w:t>腐蚀性鉴别》（</w:t>
            </w:r>
            <w:r>
              <w:rPr>
                <w:b/>
                <w:bCs/>
                <w:color w:val="000000"/>
                <w:highlight w:val="none"/>
              </w:rPr>
              <w:t>GB5085.1-2007</w:t>
            </w:r>
            <w:r>
              <w:rPr>
                <w:rFonts w:hint="eastAsia"/>
                <w:b/>
                <w:bCs/>
                <w:color w:val="000000"/>
                <w:highlight w:val="none"/>
              </w:rPr>
              <w:t>）</w:t>
            </w:r>
          </w:p>
        </w:tc>
        <w:tc>
          <w:tcPr>
            <w:tcW w:w="2009" w:type="dxa"/>
            <w:vMerge w:val="restart"/>
            <w:tcBorders>
              <w:tl2br w:val="nil"/>
              <w:tr2bl w:val="nil"/>
            </w:tcBorders>
            <w:vAlign w:val="center"/>
          </w:tcPr>
          <w:p w14:paraId="318C812F">
            <w:pPr>
              <w:autoSpaceDE w:val="0"/>
              <w:autoSpaceDN w:val="0"/>
              <w:adjustRightInd w:val="0"/>
              <w:spacing w:line="240" w:lineRule="atLeast"/>
              <w:jc w:val="center"/>
              <w:rPr>
                <w:rFonts w:hint="eastAsia"/>
                <w:b/>
                <w:bCs/>
                <w:sz w:val="20"/>
                <w:szCs w:val="20"/>
                <w:highlight w:val="none"/>
              </w:rPr>
            </w:pPr>
            <w:r>
              <w:rPr>
                <w:rFonts w:hint="eastAsia"/>
                <w:b/>
                <w:bCs/>
                <w:color w:val="000000"/>
                <w:highlight w:val="none"/>
              </w:rPr>
              <w:t>《危险废物鉴别标准</w:t>
            </w:r>
            <w:r>
              <w:rPr>
                <w:b/>
                <w:bCs/>
                <w:color w:val="000000"/>
                <w:highlight w:val="none"/>
              </w:rPr>
              <w:t xml:space="preserve"> </w:t>
            </w:r>
            <w:r>
              <w:rPr>
                <w:rFonts w:hint="eastAsia"/>
                <w:b/>
                <w:bCs/>
                <w:color w:val="000000"/>
                <w:highlight w:val="none"/>
              </w:rPr>
              <w:t>浸出毒性鉴别》（</w:t>
            </w:r>
            <w:r>
              <w:rPr>
                <w:b/>
                <w:bCs/>
                <w:color w:val="000000"/>
                <w:highlight w:val="none"/>
              </w:rPr>
              <w:t>GB5085.3-2007</w:t>
            </w:r>
            <w:r>
              <w:rPr>
                <w:rFonts w:hint="eastAsia"/>
                <w:b/>
                <w:bCs/>
                <w:color w:val="000000"/>
                <w:highlight w:val="none"/>
              </w:rPr>
              <w:t>）</w:t>
            </w:r>
          </w:p>
        </w:tc>
        <w:tc>
          <w:tcPr>
            <w:tcW w:w="2225" w:type="dxa"/>
            <w:gridSpan w:val="2"/>
            <w:tcBorders>
              <w:tl2br w:val="nil"/>
              <w:tr2bl w:val="nil"/>
            </w:tcBorders>
            <w:vAlign w:val="center"/>
          </w:tcPr>
          <w:p w14:paraId="2BC2381F">
            <w:pPr>
              <w:autoSpaceDE w:val="0"/>
              <w:autoSpaceDN w:val="0"/>
              <w:adjustRightInd w:val="0"/>
              <w:spacing w:line="240" w:lineRule="atLeast"/>
              <w:jc w:val="center"/>
              <w:rPr>
                <w:rFonts w:hint="eastAsia"/>
                <w:b/>
                <w:bCs/>
                <w:sz w:val="20"/>
                <w:szCs w:val="20"/>
                <w:highlight w:val="none"/>
              </w:rPr>
            </w:pPr>
            <w:r>
              <w:rPr>
                <w:rFonts w:hint="eastAsia"/>
                <w:b/>
                <w:bCs/>
                <w:sz w:val="20"/>
                <w:szCs w:val="20"/>
                <w:highlight w:val="none"/>
              </w:rPr>
              <w:t>废石</w:t>
            </w:r>
          </w:p>
        </w:tc>
      </w:tr>
      <w:tr w14:paraId="0C8753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vMerge w:val="continue"/>
            <w:tcBorders>
              <w:tl2br w:val="nil"/>
              <w:tr2bl w:val="nil"/>
            </w:tcBorders>
            <w:vAlign w:val="center"/>
          </w:tcPr>
          <w:p w14:paraId="45699C4B">
            <w:pPr>
              <w:autoSpaceDE w:val="0"/>
              <w:autoSpaceDN w:val="0"/>
              <w:adjustRightInd w:val="0"/>
              <w:spacing w:line="240" w:lineRule="atLeast"/>
              <w:jc w:val="center"/>
              <w:rPr>
                <w:rFonts w:hint="eastAsia"/>
                <w:b/>
                <w:bCs/>
                <w:sz w:val="20"/>
                <w:szCs w:val="20"/>
                <w:highlight w:val="none"/>
              </w:rPr>
            </w:pPr>
          </w:p>
        </w:tc>
        <w:tc>
          <w:tcPr>
            <w:tcW w:w="704" w:type="dxa"/>
            <w:vMerge w:val="continue"/>
            <w:tcBorders>
              <w:tl2br w:val="nil"/>
              <w:tr2bl w:val="nil"/>
            </w:tcBorders>
            <w:vAlign w:val="center"/>
          </w:tcPr>
          <w:p w14:paraId="25D0FE2B">
            <w:pPr>
              <w:autoSpaceDE w:val="0"/>
              <w:autoSpaceDN w:val="0"/>
              <w:adjustRightInd w:val="0"/>
              <w:spacing w:line="240" w:lineRule="atLeast"/>
              <w:jc w:val="center"/>
              <w:rPr>
                <w:rFonts w:hint="eastAsia"/>
                <w:b/>
                <w:bCs/>
                <w:sz w:val="20"/>
                <w:szCs w:val="20"/>
                <w:highlight w:val="none"/>
              </w:rPr>
            </w:pPr>
          </w:p>
        </w:tc>
        <w:tc>
          <w:tcPr>
            <w:tcW w:w="2009" w:type="dxa"/>
            <w:vMerge w:val="continue"/>
            <w:tcBorders>
              <w:tl2br w:val="nil"/>
              <w:tr2bl w:val="nil"/>
            </w:tcBorders>
            <w:vAlign w:val="center"/>
          </w:tcPr>
          <w:p w14:paraId="7A0AB42C">
            <w:pPr>
              <w:autoSpaceDE w:val="0"/>
              <w:autoSpaceDN w:val="0"/>
              <w:adjustRightInd w:val="0"/>
              <w:spacing w:line="240" w:lineRule="atLeast"/>
              <w:jc w:val="center"/>
              <w:rPr>
                <w:rFonts w:hint="eastAsia"/>
                <w:b/>
                <w:bCs/>
                <w:sz w:val="20"/>
                <w:szCs w:val="20"/>
                <w:highlight w:val="none"/>
              </w:rPr>
            </w:pPr>
          </w:p>
        </w:tc>
        <w:tc>
          <w:tcPr>
            <w:tcW w:w="2009" w:type="dxa"/>
            <w:vMerge w:val="continue"/>
            <w:tcBorders>
              <w:tl2br w:val="nil"/>
              <w:tr2bl w:val="nil"/>
            </w:tcBorders>
            <w:vAlign w:val="center"/>
          </w:tcPr>
          <w:p w14:paraId="0C3A982D">
            <w:pPr>
              <w:autoSpaceDE w:val="0"/>
              <w:autoSpaceDN w:val="0"/>
              <w:adjustRightInd w:val="0"/>
              <w:spacing w:line="240" w:lineRule="atLeast"/>
              <w:jc w:val="center"/>
              <w:rPr>
                <w:rFonts w:hint="eastAsia"/>
                <w:b/>
                <w:bCs/>
                <w:sz w:val="20"/>
                <w:szCs w:val="20"/>
                <w:highlight w:val="none"/>
              </w:rPr>
            </w:pPr>
          </w:p>
        </w:tc>
        <w:tc>
          <w:tcPr>
            <w:tcW w:w="1120" w:type="dxa"/>
            <w:tcBorders>
              <w:tl2br w:val="nil"/>
              <w:tr2bl w:val="nil"/>
            </w:tcBorders>
            <w:vAlign w:val="center"/>
          </w:tcPr>
          <w:p w14:paraId="4022D509">
            <w:pPr>
              <w:autoSpaceDE w:val="0"/>
              <w:autoSpaceDN w:val="0"/>
              <w:adjustRightInd w:val="0"/>
              <w:spacing w:line="240" w:lineRule="atLeast"/>
              <w:jc w:val="center"/>
              <w:rPr>
                <w:rFonts w:hint="eastAsia"/>
                <w:b/>
                <w:bCs/>
                <w:sz w:val="20"/>
                <w:szCs w:val="20"/>
                <w:highlight w:val="none"/>
              </w:rPr>
            </w:pPr>
            <w:r>
              <w:rPr>
                <w:rFonts w:hint="eastAsia"/>
                <w:b/>
                <w:bCs/>
                <w:color w:val="000000"/>
                <w:highlight w:val="none"/>
              </w:rPr>
              <w:t>监测结果</w:t>
            </w:r>
          </w:p>
        </w:tc>
        <w:tc>
          <w:tcPr>
            <w:tcW w:w="1105" w:type="dxa"/>
            <w:tcBorders>
              <w:tl2br w:val="nil"/>
              <w:tr2bl w:val="nil"/>
            </w:tcBorders>
            <w:vAlign w:val="center"/>
          </w:tcPr>
          <w:p w14:paraId="7DEEE4E4">
            <w:pPr>
              <w:autoSpaceDE w:val="0"/>
              <w:autoSpaceDN w:val="0"/>
              <w:adjustRightInd w:val="0"/>
              <w:spacing w:line="240" w:lineRule="atLeast"/>
              <w:jc w:val="center"/>
              <w:rPr>
                <w:rFonts w:hint="eastAsia"/>
                <w:b/>
                <w:bCs/>
                <w:sz w:val="20"/>
                <w:szCs w:val="20"/>
                <w:highlight w:val="none"/>
              </w:rPr>
            </w:pPr>
            <w:r>
              <w:rPr>
                <w:rFonts w:hint="eastAsia"/>
                <w:b/>
                <w:bCs/>
                <w:color w:val="000000"/>
                <w:highlight w:val="none"/>
              </w:rPr>
              <w:t>是否超标</w:t>
            </w:r>
          </w:p>
        </w:tc>
      </w:tr>
      <w:tr w14:paraId="37F0DC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342421CB">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pH</w:t>
            </w:r>
          </w:p>
        </w:tc>
        <w:tc>
          <w:tcPr>
            <w:tcW w:w="704" w:type="dxa"/>
            <w:tcBorders>
              <w:tl2br w:val="nil"/>
              <w:tr2bl w:val="nil"/>
            </w:tcBorders>
            <w:vAlign w:val="center"/>
          </w:tcPr>
          <w:p w14:paraId="10E9E5B0">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348E9D39">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pH≥12.5</w:t>
            </w:r>
            <w:r>
              <w:rPr>
                <w:rFonts w:hint="eastAsia"/>
                <w:color w:val="000000"/>
                <w:highlight w:val="none"/>
              </w:rPr>
              <w:t>或</w:t>
            </w:r>
            <w:r>
              <w:rPr>
                <w:rFonts w:eastAsia="等线"/>
                <w:color w:val="000000"/>
                <w:highlight w:val="none"/>
              </w:rPr>
              <w:t>pH≤2.0</w:t>
            </w:r>
          </w:p>
        </w:tc>
        <w:tc>
          <w:tcPr>
            <w:tcW w:w="2009" w:type="dxa"/>
            <w:tcBorders>
              <w:tl2br w:val="nil"/>
              <w:tr2bl w:val="nil"/>
            </w:tcBorders>
            <w:vAlign w:val="center"/>
          </w:tcPr>
          <w:p w14:paraId="2A78E7D4">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1120" w:type="dxa"/>
            <w:tcBorders>
              <w:tl2br w:val="nil"/>
              <w:tr2bl w:val="nil"/>
            </w:tcBorders>
            <w:vAlign w:val="center"/>
          </w:tcPr>
          <w:p w14:paraId="10E13F77">
            <w:pPr>
              <w:autoSpaceDE w:val="0"/>
              <w:autoSpaceDN w:val="0"/>
              <w:adjustRightInd w:val="0"/>
              <w:spacing w:line="240" w:lineRule="atLeast"/>
              <w:jc w:val="center"/>
              <w:rPr>
                <w:rFonts w:hint="default" w:eastAsia="宋体"/>
                <w:b/>
                <w:bCs/>
                <w:sz w:val="20"/>
                <w:szCs w:val="20"/>
                <w:highlight w:val="none"/>
                <w:lang w:val="en-US" w:eastAsia="zh-CN"/>
              </w:rPr>
            </w:pPr>
            <w:r>
              <w:rPr>
                <w:rFonts w:hint="eastAsia"/>
                <w:color w:val="000000"/>
                <w:highlight w:val="none"/>
                <w:lang w:val="en-US" w:eastAsia="zh-CN"/>
              </w:rPr>
              <w:t>7.85</w:t>
            </w:r>
          </w:p>
        </w:tc>
        <w:tc>
          <w:tcPr>
            <w:tcW w:w="1105" w:type="dxa"/>
            <w:tcBorders>
              <w:tl2br w:val="nil"/>
              <w:tr2bl w:val="nil"/>
            </w:tcBorders>
            <w:vAlign w:val="center"/>
          </w:tcPr>
          <w:p w14:paraId="028FA8DA">
            <w:pPr>
              <w:autoSpaceDE w:val="0"/>
              <w:autoSpaceDN w:val="0"/>
              <w:adjustRightInd w:val="0"/>
              <w:spacing w:line="240" w:lineRule="atLeast"/>
              <w:jc w:val="center"/>
              <w:rPr>
                <w:color w:val="000000"/>
                <w:highlight w:val="none"/>
              </w:rPr>
            </w:pPr>
            <w:r>
              <w:rPr>
                <w:rFonts w:hint="eastAsia"/>
                <w:color w:val="000000"/>
                <w:highlight w:val="none"/>
              </w:rPr>
              <w:t>不具有</w:t>
            </w:r>
          </w:p>
          <w:p w14:paraId="7C7B8E8D">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腐蚀性</w:t>
            </w:r>
          </w:p>
        </w:tc>
      </w:tr>
      <w:tr w14:paraId="258797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5BF95195">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铜</w:t>
            </w:r>
          </w:p>
        </w:tc>
        <w:tc>
          <w:tcPr>
            <w:tcW w:w="704" w:type="dxa"/>
            <w:tcBorders>
              <w:tl2br w:val="nil"/>
              <w:tr2bl w:val="nil"/>
            </w:tcBorders>
            <w:vAlign w:val="center"/>
          </w:tcPr>
          <w:p w14:paraId="7EFDC60F">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5BAA6E1F">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2BBC34C6">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100</w:t>
            </w:r>
          </w:p>
        </w:tc>
        <w:tc>
          <w:tcPr>
            <w:tcW w:w="1120" w:type="dxa"/>
            <w:tcBorders>
              <w:tl2br w:val="nil"/>
              <w:tr2bl w:val="nil"/>
            </w:tcBorders>
            <w:vAlign w:val="center"/>
          </w:tcPr>
          <w:p w14:paraId="6E66552C">
            <w:pPr>
              <w:autoSpaceDE w:val="0"/>
              <w:autoSpaceDN w:val="0"/>
              <w:adjustRightInd w:val="0"/>
              <w:spacing w:line="240" w:lineRule="atLeast"/>
              <w:jc w:val="center"/>
              <w:rPr>
                <w:rFonts w:hint="default" w:eastAsia="宋体"/>
                <w:b/>
                <w:bCs/>
                <w:sz w:val="20"/>
                <w:szCs w:val="20"/>
                <w:highlight w:val="none"/>
                <w:lang w:val="en-US" w:eastAsia="zh-CN"/>
              </w:rPr>
            </w:pPr>
            <w:r>
              <w:rPr>
                <w:rFonts w:hint="eastAsia"/>
                <w:color w:val="000000"/>
                <w:highlight w:val="none"/>
                <w:lang w:val="en-US" w:eastAsia="zh-CN"/>
              </w:rPr>
              <w:t>＜0.02</w:t>
            </w:r>
          </w:p>
        </w:tc>
        <w:tc>
          <w:tcPr>
            <w:tcW w:w="1105" w:type="dxa"/>
            <w:tcBorders>
              <w:tl2br w:val="nil"/>
              <w:tr2bl w:val="nil"/>
            </w:tcBorders>
            <w:vAlign w:val="center"/>
          </w:tcPr>
          <w:p w14:paraId="665FF8CA">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373089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1BB6EED6">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锌</w:t>
            </w:r>
          </w:p>
        </w:tc>
        <w:tc>
          <w:tcPr>
            <w:tcW w:w="704" w:type="dxa"/>
            <w:tcBorders>
              <w:tl2br w:val="nil"/>
              <w:tr2bl w:val="nil"/>
            </w:tcBorders>
            <w:vAlign w:val="center"/>
          </w:tcPr>
          <w:p w14:paraId="7F304176">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203CE9B9">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4FFE8509">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100</w:t>
            </w:r>
          </w:p>
        </w:tc>
        <w:tc>
          <w:tcPr>
            <w:tcW w:w="1120" w:type="dxa"/>
            <w:tcBorders>
              <w:tl2br w:val="nil"/>
              <w:tr2bl w:val="nil"/>
            </w:tcBorders>
            <w:vAlign w:val="center"/>
          </w:tcPr>
          <w:p w14:paraId="3A57E85A">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＜0.06</w:t>
            </w:r>
          </w:p>
        </w:tc>
        <w:tc>
          <w:tcPr>
            <w:tcW w:w="1105" w:type="dxa"/>
            <w:tcBorders>
              <w:tl2br w:val="nil"/>
              <w:tr2bl w:val="nil"/>
            </w:tcBorders>
            <w:vAlign w:val="center"/>
          </w:tcPr>
          <w:p w14:paraId="13F00D88">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24FC2D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55DF1D2F">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镉</w:t>
            </w:r>
          </w:p>
        </w:tc>
        <w:tc>
          <w:tcPr>
            <w:tcW w:w="704" w:type="dxa"/>
            <w:tcBorders>
              <w:tl2br w:val="nil"/>
              <w:tr2bl w:val="nil"/>
            </w:tcBorders>
            <w:vAlign w:val="center"/>
          </w:tcPr>
          <w:p w14:paraId="44A0BA0C">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103A1FE1">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6A92D642">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1000</w:t>
            </w:r>
          </w:p>
        </w:tc>
        <w:tc>
          <w:tcPr>
            <w:tcW w:w="1120" w:type="dxa"/>
            <w:tcBorders>
              <w:tl2br w:val="nil"/>
              <w:tr2bl w:val="nil"/>
            </w:tcBorders>
            <w:vAlign w:val="center"/>
          </w:tcPr>
          <w:p w14:paraId="11B306DE">
            <w:pPr>
              <w:autoSpaceDE w:val="0"/>
              <w:autoSpaceDN w:val="0"/>
              <w:adjustRightInd w:val="0"/>
              <w:spacing w:line="240" w:lineRule="atLeast"/>
              <w:jc w:val="center"/>
              <w:rPr>
                <w:rFonts w:hint="default" w:eastAsia="宋体"/>
                <w:b/>
                <w:bCs/>
                <w:sz w:val="20"/>
                <w:szCs w:val="20"/>
                <w:highlight w:val="none"/>
                <w:lang w:val="en-US" w:eastAsia="zh-CN"/>
              </w:rPr>
            </w:pPr>
            <w:r>
              <w:rPr>
                <w:rFonts w:hint="eastAsia"/>
                <w:color w:val="000000"/>
                <w:highlight w:val="none"/>
              </w:rPr>
              <w:t>＜</w:t>
            </w:r>
            <w:r>
              <w:rPr>
                <w:color w:val="000000"/>
                <w:highlight w:val="none"/>
              </w:rPr>
              <w:t>0.0</w:t>
            </w:r>
            <w:r>
              <w:rPr>
                <w:rFonts w:hint="eastAsia"/>
                <w:color w:val="000000"/>
                <w:highlight w:val="none"/>
                <w:lang w:val="en-US" w:eastAsia="zh-CN"/>
              </w:rPr>
              <w:t>012</w:t>
            </w:r>
          </w:p>
        </w:tc>
        <w:tc>
          <w:tcPr>
            <w:tcW w:w="1105" w:type="dxa"/>
            <w:tcBorders>
              <w:tl2br w:val="nil"/>
              <w:tr2bl w:val="nil"/>
            </w:tcBorders>
            <w:vAlign w:val="center"/>
          </w:tcPr>
          <w:p w14:paraId="18C11C76">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5EE8EF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0CA658E1">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铅</w:t>
            </w:r>
          </w:p>
        </w:tc>
        <w:tc>
          <w:tcPr>
            <w:tcW w:w="704" w:type="dxa"/>
            <w:tcBorders>
              <w:tl2br w:val="nil"/>
              <w:tr2bl w:val="nil"/>
            </w:tcBorders>
            <w:vAlign w:val="center"/>
          </w:tcPr>
          <w:p w14:paraId="497AFD09">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14395E57">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1B00D8C7">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5000</w:t>
            </w:r>
          </w:p>
        </w:tc>
        <w:tc>
          <w:tcPr>
            <w:tcW w:w="1120" w:type="dxa"/>
            <w:tcBorders>
              <w:tl2br w:val="nil"/>
              <w:tr2bl w:val="nil"/>
            </w:tcBorders>
            <w:vAlign w:val="center"/>
          </w:tcPr>
          <w:p w14:paraId="153CE5AC">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w:t>
            </w:r>
            <w:r>
              <w:rPr>
                <w:color w:val="000000"/>
                <w:highlight w:val="none"/>
              </w:rPr>
              <w:t>0.0042</w:t>
            </w:r>
          </w:p>
        </w:tc>
        <w:tc>
          <w:tcPr>
            <w:tcW w:w="1105" w:type="dxa"/>
            <w:tcBorders>
              <w:tl2br w:val="nil"/>
              <w:tr2bl w:val="nil"/>
            </w:tcBorders>
            <w:vAlign w:val="center"/>
          </w:tcPr>
          <w:p w14:paraId="683D83E1">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3233FBC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5591D1E5">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总铬</w:t>
            </w:r>
          </w:p>
        </w:tc>
        <w:tc>
          <w:tcPr>
            <w:tcW w:w="704" w:type="dxa"/>
            <w:tcBorders>
              <w:tl2br w:val="nil"/>
              <w:tr2bl w:val="nil"/>
            </w:tcBorders>
            <w:vAlign w:val="center"/>
          </w:tcPr>
          <w:p w14:paraId="17CD391F">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031CBB52">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2233CED5">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15</w:t>
            </w:r>
          </w:p>
        </w:tc>
        <w:tc>
          <w:tcPr>
            <w:tcW w:w="1120" w:type="dxa"/>
            <w:tcBorders>
              <w:tl2br w:val="nil"/>
              <w:tr2bl w:val="nil"/>
            </w:tcBorders>
            <w:vAlign w:val="center"/>
          </w:tcPr>
          <w:p w14:paraId="37131B22">
            <w:pPr>
              <w:autoSpaceDE w:val="0"/>
              <w:autoSpaceDN w:val="0"/>
              <w:adjustRightInd w:val="0"/>
              <w:spacing w:line="240" w:lineRule="atLeast"/>
              <w:jc w:val="center"/>
              <w:rPr>
                <w:rFonts w:hint="default" w:eastAsia="宋体"/>
                <w:b/>
                <w:bCs/>
                <w:sz w:val="20"/>
                <w:szCs w:val="20"/>
                <w:highlight w:val="none"/>
                <w:lang w:val="en-US" w:eastAsia="zh-CN"/>
              </w:rPr>
            </w:pPr>
            <w:r>
              <w:rPr>
                <w:rFonts w:hint="eastAsia"/>
                <w:color w:val="000000"/>
                <w:highlight w:val="none"/>
                <w:lang w:val="en-US" w:eastAsia="zh-CN"/>
              </w:rPr>
              <w:t>0.018</w:t>
            </w:r>
          </w:p>
        </w:tc>
        <w:tc>
          <w:tcPr>
            <w:tcW w:w="1105" w:type="dxa"/>
            <w:tcBorders>
              <w:tl2br w:val="nil"/>
              <w:tr2bl w:val="nil"/>
            </w:tcBorders>
            <w:vAlign w:val="center"/>
          </w:tcPr>
          <w:p w14:paraId="57AA0B4C">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619C53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28AC546F">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六价铬</w:t>
            </w:r>
          </w:p>
        </w:tc>
        <w:tc>
          <w:tcPr>
            <w:tcW w:w="704" w:type="dxa"/>
            <w:tcBorders>
              <w:tl2br w:val="nil"/>
              <w:tr2bl w:val="nil"/>
            </w:tcBorders>
            <w:vAlign w:val="center"/>
          </w:tcPr>
          <w:p w14:paraId="1FCD7703">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32AEC3FA">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662BB4F8">
            <w:pPr>
              <w:autoSpaceDE w:val="0"/>
              <w:autoSpaceDN w:val="0"/>
              <w:adjustRightInd w:val="0"/>
              <w:spacing w:line="240" w:lineRule="atLeast"/>
              <w:jc w:val="center"/>
              <w:rPr>
                <w:rFonts w:hint="eastAsia"/>
                <w:sz w:val="20"/>
                <w:szCs w:val="20"/>
                <w:highlight w:val="none"/>
              </w:rPr>
            </w:pPr>
            <w:r>
              <w:rPr>
                <w:rFonts w:eastAsia="等线"/>
                <w:color w:val="000000"/>
                <w:highlight w:val="none"/>
              </w:rPr>
              <w:t>5</w:t>
            </w:r>
          </w:p>
        </w:tc>
        <w:tc>
          <w:tcPr>
            <w:tcW w:w="1120" w:type="dxa"/>
            <w:tcBorders>
              <w:tl2br w:val="nil"/>
              <w:tr2bl w:val="nil"/>
            </w:tcBorders>
            <w:vAlign w:val="center"/>
          </w:tcPr>
          <w:p w14:paraId="49BDE983">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＜0.004</w:t>
            </w:r>
          </w:p>
        </w:tc>
        <w:tc>
          <w:tcPr>
            <w:tcW w:w="1105" w:type="dxa"/>
            <w:tcBorders>
              <w:tl2br w:val="nil"/>
              <w:tr2bl w:val="nil"/>
            </w:tcBorders>
            <w:vAlign w:val="center"/>
          </w:tcPr>
          <w:p w14:paraId="7874A6ED">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5DB143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638" w:type="dxa"/>
            <w:vMerge w:val="restart"/>
            <w:tcBorders>
              <w:tl2br w:val="nil"/>
              <w:tr2bl w:val="nil"/>
            </w:tcBorders>
            <w:vAlign w:val="center"/>
          </w:tcPr>
          <w:p w14:paraId="569A4120">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烷基汞</w:t>
            </w:r>
          </w:p>
        </w:tc>
        <w:tc>
          <w:tcPr>
            <w:tcW w:w="943" w:type="dxa"/>
            <w:tcBorders>
              <w:tl2br w:val="nil"/>
              <w:tr2bl w:val="nil"/>
            </w:tcBorders>
            <w:vAlign w:val="center"/>
          </w:tcPr>
          <w:p w14:paraId="5D826E3B">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甲基汞</w:t>
            </w:r>
          </w:p>
        </w:tc>
        <w:tc>
          <w:tcPr>
            <w:tcW w:w="704" w:type="dxa"/>
            <w:tcBorders>
              <w:tl2br w:val="nil"/>
              <w:tr2bl w:val="nil"/>
            </w:tcBorders>
            <w:vAlign w:val="center"/>
          </w:tcPr>
          <w:p w14:paraId="2432ED73">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ng/L</w:t>
            </w:r>
          </w:p>
        </w:tc>
        <w:tc>
          <w:tcPr>
            <w:tcW w:w="2009" w:type="dxa"/>
            <w:tcBorders>
              <w:tl2br w:val="nil"/>
              <w:tr2bl w:val="nil"/>
            </w:tcBorders>
            <w:vAlign w:val="center"/>
          </w:tcPr>
          <w:p w14:paraId="01BD011E">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vMerge w:val="restart"/>
            <w:tcBorders>
              <w:tl2br w:val="nil"/>
              <w:tr2bl w:val="nil"/>
            </w:tcBorders>
            <w:vAlign w:val="center"/>
          </w:tcPr>
          <w:p w14:paraId="42BEB0A5">
            <w:pPr>
              <w:spacing w:line="240" w:lineRule="atLeast"/>
              <w:jc w:val="center"/>
              <w:rPr>
                <w:rFonts w:hint="eastAsia"/>
                <w:sz w:val="20"/>
                <w:szCs w:val="20"/>
                <w:highlight w:val="none"/>
              </w:rPr>
            </w:pPr>
            <w:r>
              <w:rPr>
                <w:rFonts w:hint="eastAsia"/>
                <w:sz w:val="20"/>
                <w:szCs w:val="20"/>
                <w:highlight w:val="none"/>
              </w:rPr>
              <w:t>不得检出</w:t>
            </w:r>
            <w:r>
              <w:rPr>
                <w:rFonts w:hint="eastAsia"/>
                <w:sz w:val="20"/>
                <w:szCs w:val="20"/>
                <w:highlight w:val="none"/>
                <w:vertAlign w:val="superscript"/>
              </w:rPr>
              <w:t>①</w:t>
            </w:r>
          </w:p>
        </w:tc>
        <w:tc>
          <w:tcPr>
            <w:tcW w:w="1120" w:type="dxa"/>
            <w:tcBorders>
              <w:tl2br w:val="nil"/>
              <w:tr2bl w:val="nil"/>
            </w:tcBorders>
            <w:vAlign w:val="center"/>
          </w:tcPr>
          <w:p w14:paraId="413F1576">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＜10</w:t>
            </w:r>
          </w:p>
        </w:tc>
        <w:tc>
          <w:tcPr>
            <w:tcW w:w="1105" w:type="dxa"/>
            <w:tcBorders>
              <w:tl2br w:val="nil"/>
              <w:tr2bl w:val="nil"/>
            </w:tcBorders>
            <w:vAlign w:val="center"/>
          </w:tcPr>
          <w:p w14:paraId="330A670C">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4FC283C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638" w:type="dxa"/>
            <w:vMerge w:val="continue"/>
            <w:tcBorders>
              <w:tl2br w:val="nil"/>
              <w:tr2bl w:val="nil"/>
            </w:tcBorders>
            <w:vAlign w:val="center"/>
          </w:tcPr>
          <w:p w14:paraId="09CB1F66">
            <w:pPr>
              <w:autoSpaceDE w:val="0"/>
              <w:autoSpaceDN w:val="0"/>
              <w:adjustRightInd w:val="0"/>
              <w:spacing w:line="240" w:lineRule="atLeast"/>
              <w:jc w:val="center"/>
              <w:rPr>
                <w:rFonts w:hint="eastAsia"/>
                <w:b/>
                <w:bCs/>
                <w:sz w:val="20"/>
                <w:szCs w:val="20"/>
                <w:highlight w:val="none"/>
              </w:rPr>
            </w:pPr>
          </w:p>
        </w:tc>
        <w:tc>
          <w:tcPr>
            <w:tcW w:w="943" w:type="dxa"/>
            <w:tcBorders>
              <w:tl2br w:val="nil"/>
              <w:tr2bl w:val="nil"/>
            </w:tcBorders>
            <w:vAlign w:val="center"/>
          </w:tcPr>
          <w:p w14:paraId="4A716C7E">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乙基汞</w:t>
            </w:r>
          </w:p>
        </w:tc>
        <w:tc>
          <w:tcPr>
            <w:tcW w:w="704" w:type="dxa"/>
            <w:tcBorders>
              <w:tl2br w:val="nil"/>
              <w:tr2bl w:val="nil"/>
            </w:tcBorders>
            <w:vAlign w:val="center"/>
          </w:tcPr>
          <w:p w14:paraId="2358E532">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ng/L</w:t>
            </w:r>
          </w:p>
        </w:tc>
        <w:tc>
          <w:tcPr>
            <w:tcW w:w="2009" w:type="dxa"/>
            <w:tcBorders>
              <w:tl2br w:val="nil"/>
              <w:tr2bl w:val="nil"/>
            </w:tcBorders>
            <w:vAlign w:val="center"/>
          </w:tcPr>
          <w:p w14:paraId="21848374">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vMerge w:val="continue"/>
            <w:tcBorders>
              <w:tl2br w:val="nil"/>
              <w:tr2bl w:val="nil"/>
            </w:tcBorders>
            <w:vAlign w:val="center"/>
          </w:tcPr>
          <w:p w14:paraId="0FBAA17F">
            <w:pPr>
              <w:autoSpaceDE w:val="0"/>
              <w:autoSpaceDN w:val="0"/>
              <w:adjustRightInd w:val="0"/>
              <w:spacing w:line="240" w:lineRule="atLeast"/>
              <w:jc w:val="center"/>
              <w:rPr>
                <w:rFonts w:hint="eastAsia"/>
                <w:sz w:val="20"/>
                <w:szCs w:val="20"/>
                <w:highlight w:val="none"/>
              </w:rPr>
            </w:pPr>
          </w:p>
        </w:tc>
        <w:tc>
          <w:tcPr>
            <w:tcW w:w="1120" w:type="dxa"/>
            <w:tcBorders>
              <w:tl2br w:val="nil"/>
              <w:tr2bl w:val="nil"/>
            </w:tcBorders>
            <w:vAlign w:val="center"/>
          </w:tcPr>
          <w:p w14:paraId="0F79A2E7">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＜20</w:t>
            </w:r>
          </w:p>
        </w:tc>
        <w:tc>
          <w:tcPr>
            <w:tcW w:w="1105" w:type="dxa"/>
            <w:tcBorders>
              <w:tl2br w:val="nil"/>
              <w:tr2bl w:val="nil"/>
            </w:tcBorders>
            <w:vAlign w:val="center"/>
          </w:tcPr>
          <w:p w14:paraId="1A0BCC64">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1BA203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19ABBE40">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汞</w:t>
            </w:r>
          </w:p>
        </w:tc>
        <w:tc>
          <w:tcPr>
            <w:tcW w:w="704" w:type="dxa"/>
            <w:tcBorders>
              <w:tl2br w:val="nil"/>
              <w:tr2bl w:val="nil"/>
            </w:tcBorders>
            <w:vAlign w:val="center"/>
          </w:tcPr>
          <w:p w14:paraId="5388C021">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694A5856">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7E93E815">
            <w:pPr>
              <w:autoSpaceDE w:val="0"/>
              <w:autoSpaceDN w:val="0"/>
              <w:adjustRightInd w:val="0"/>
              <w:spacing w:line="240" w:lineRule="atLeast"/>
              <w:jc w:val="center"/>
              <w:rPr>
                <w:rFonts w:hint="eastAsia"/>
                <w:sz w:val="20"/>
                <w:szCs w:val="20"/>
                <w:highlight w:val="none"/>
              </w:rPr>
            </w:pPr>
            <w:r>
              <w:rPr>
                <w:rFonts w:eastAsia="等线"/>
                <w:color w:val="000000"/>
                <w:highlight w:val="none"/>
              </w:rPr>
              <w:t>100</w:t>
            </w:r>
          </w:p>
        </w:tc>
        <w:tc>
          <w:tcPr>
            <w:tcW w:w="1120" w:type="dxa"/>
            <w:tcBorders>
              <w:tl2br w:val="nil"/>
              <w:tr2bl w:val="nil"/>
            </w:tcBorders>
            <w:vAlign w:val="center"/>
          </w:tcPr>
          <w:p w14:paraId="606D631B">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&lt;0.00002</w:t>
            </w:r>
          </w:p>
        </w:tc>
        <w:tc>
          <w:tcPr>
            <w:tcW w:w="1105" w:type="dxa"/>
            <w:tcBorders>
              <w:tl2br w:val="nil"/>
              <w:tr2bl w:val="nil"/>
            </w:tcBorders>
            <w:vAlign w:val="center"/>
          </w:tcPr>
          <w:p w14:paraId="1C2B71F3">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50E367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416BC905">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铍</w:t>
            </w:r>
          </w:p>
        </w:tc>
        <w:tc>
          <w:tcPr>
            <w:tcW w:w="704" w:type="dxa"/>
            <w:tcBorders>
              <w:tl2br w:val="nil"/>
              <w:tr2bl w:val="nil"/>
            </w:tcBorders>
            <w:vAlign w:val="center"/>
          </w:tcPr>
          <w:p w14:paraId="42F394D2">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4112574D">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365AA995">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20</w:t>
            </w:r>
          </w:p>
        </w:tc>
        <w:tc>
          <w:tcPr>
            <w:tcW w:w="1120" w:type="dxa"/>
            <w:tcBorders>
              <w:tl2br w:val="nil"/>
              <w:tr2bl w:val="nil"/>
            </w:tcBorders>
            <w:vAlign w:val="center"/>
          </w:tcPr>
          <w:p w14:paraId="58FD4E1E">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w:t>
            </w:r>
            <w:r>
              <w:rPr>
                <w:color w:val="000000"/>
                <w:highlight w:val="none"/>
              </w:rPr>
              <w:t>0.0007</w:t>
            </w:r>
          </w:p>
        </w:tc>
        <w:tc>
          <w:tcPr>
            <w:tcW w:w="1105" w:type="dxa"/>
            <w:tcBorders>
              <w:tl2br w:val="nil"/>
              <w:tr2bl w:val="nil"/>
            </w:tcBorders>
            <w:vAlign w:val="center"/>
          </w:tcPr>
          <w:p w14:paraId="23C394F1">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2AF5F6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188F231E">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钡</w:t>
            </w:r>
          </w:p>
        </w:tc>
        <w:tc>
          <w:tcPr>
            <w:tcW w:w="704" w:type="dxa"/>
            <w:tcBorders>
              <w:tl2br w:val="nil"/>
              <w:tr2bl w:val="nil"/>
            </w:tcBorders>
            <w:vAlign w:val="center"/>
          </w:tcPr>
          <w:p w14:paraId="7460CAD6">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4DD96877">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3E0EFB86">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100</w:t>
            </w:r>
          </w:p>
        </w:tc>
        <w:tc>
          <w:tcPr>
            <w:tcW w:w="1120" w:type="dxa"/>
            <w:tcBorders>
              <w:tl2br w:val="nil"/>
              <w:tr2bl w:val="nil"/>
            </w:tcBorders>
            <w:vAlign w:val="center"/>
          </w:tcPr>
          <w:p w14:paraId="50CE8568">
            <w:pPr>
              <w:autoSpaceDE w:val="0"/>
              <w:autoSpaceDN w:val="0"/>
              <w:adjustRightInd w:val="0"/>
              <w:spacing w:line="240" w:lineRule="atLeast"/>
              <w:jc w:val="center"/>
              <w:rPr>
                <w:rFonts w:hint="default" w:eastAsia="宋体"/>
                <w:b/>
                <w:bCs/>
                <w:sz w:val="20"/>
                <w:szCs w:val="20"/>
                <w:highlight w:val="none"/>
                <w:lang w:val="en-US" w:eastAsia="zh-CN"/>
              </w:rPr>
            </w:pPr>
            <w:r>
              <w:rPr>
                <w:rFonts w:hint="eastAsia"/>
                <w:color w:val="000000"/>
                <w:highlight w:val="none"/>
              </w:rPr>
              <w:t>＜</w:t>
            </w:r>
            <w:r>
              <w:rPr>
                <w:rFonts w:hint="eastAsia"/>
                <w:color w:val="000000"/>
                <w:highlight w:val="none"/>
                <w:lang w:val="en-US" w:eastAsia="zh-CN"/>
              </w:rPr>
              <w:t>0.0018</w:t>
            </w:r>
          </w:p>
        </w:tc>
        <w:tc>
          <w:tcPr>
            <w:tcW w:w="1105" w:type="dxa"/>
            <w:tcBorders>
              <w:tl2br w:val="nil"/>
              <w:tr2bl w:val="nil"/>
            </w:tcBorders>
            <w:vAlign w:val="center"/>
          </w:tcPr>
          <w:p w14:paraId="6F846151">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76209D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7FB217A3">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镍</w:t>
            </w:r>
          </w:p>
        </w:tc>
        <w:tc>
          <w:tcPr>
            <w:tcW w:w="704" w:type="dxa"/>
            <w:tcBorders>
              <w:tl2br w:val="nil"/>
              <w:tr2bl w:val="nil"/>
            </w:tcBorders>
            <w:vAlign w:val="center"/>
          </w:tcPr>
          <w:p w14:paraId="3104BBAA">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26253D64">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60106543">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5</w:t>
            </w:r>
          </w:p>
        </w:tc>
        <w:tc>
          <w:tcPr>
            <w:tcW w:w="1120" w:type="dxa"/>
            <w:tcBorders>
              <w:tl2br w:val="nil"/>
              <w:tr2bl w:val="nil"/>
            </w:tcBorders>
            <w:vAlign w:val="center"/>
          </w:tcPr>
          <w:p w14:paraId="0D7B2F12">
            <w:pPr>
              <w:autoSpaceDE w:val="0"/>
              <w:autoSpaceDN w:val="0"/>
              <w:adjustRightInd w:val="0"/>
              <w:spacing w:line="240" w:lineRule="atLeast"/>
              <w:jc w:val="center"/>
              <w:rPr>
                <w:rFonts w:hint="eastAsia" w:eastAsia="宋体"/>
                <w:b/>
                <w:bCs/>
                <w:sz w:val="20"/>
                <w:szCs w:val="20"/>
                <w:highlight w:val="none"/>
                <w:lang w:eastAsia="zh-CN"/>
              </w:rPr>
            </w:pPr>
            <w:r>
              <w:rPr>
                <w:rFonts w:hint="eastAsia"/>
                <w:color w:val="000000"/>
                <w:highlight w:val="none"/>
              </w:rPr>
              <w:t>＜0.0</w:t>
            </w:r>
            <w:r>
              <w:rPr>
                <w:rFonts w:hint="eastAsia"/>
                <w:color w:val="000000"/>
                <w:highlight w:val="none"/>
                <w:lang w:val="en-US" w:eastAsia="zh-CN"/>
              </w:rPr>
              <w:t>3</w:t>
            </w:r>
          </w:p>
        </w:tc>
        <w:tc>
          <w:tcPr>
            <w:tcW w:w="1105" w:type="dxa"/>
            <w:tcBorders>
              <w:tl2br w:val="nil"/>
              <w:tr2bl w:val="nil"/>
            </w:tcBorders>
            <w:vAlign w:val="center"/>
          </w:tcPr>
          <w:p w14:paraId="6A94F597">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01073E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26E9A308">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银</w:t>
            </w:r>
          </w:p>
        </w:tc>
        <w:tc>
          <w:tcPr>
            <w:tcW w:w="704" w:type="dxa"/>
            <w:tcBorders>
              <w:tl2br w:val="nil"/>
              <w:tr2bl w:val="nil"/>
            </w:tcBorders>
            <w:vAlign w:val="center"/>
          </w:tcPr>
          <w:p w14:paraId="23846056">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1FDC9783">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2EF7857E">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5</w:t>
            </w:r>
          </w:p>
        </w:tc>
        <w:tc>
          <w:tcPr>
            <w:tcW w:w="1120" w:type="dxa"/>
            <w:tcBorders>
              <w:tl2br w:val="nil"/>
              <w:tr2bl w:val="nil"/>
            </w:tcBorders>
            <w:vAlign w:val="center"/>
          </w:tcPr>
          <w:p w14:paraId="48910ED5">
            <w:pPr>
              <w:autoSpaceDE w:val="0"/>
              <w:autoSpaceDN w:val="0"/>
              <w:adjustRightInd w:val="0"/>
              <w:spacing w:line="240" w:lineRule="atLeast"/>
              <w:jc w:val="center"/>
              <w:rPr>
                <w:rFonts w:hint="default" w:eastAsia="宋体"/>
                <w:b/>
                <w:bCs/>
                <w:sz w:val="20"/>
                <w:szCs w:val="20"/>
                <w:highlight w:val="none"/>
                <w:lang w:val="en-US" w:eastAsia="zh-CN"/>
              </w:rPr>
            </w:pPr>
            <w:r>
              <w:rPr>
                <w:rFonts w:hint="eastAsia"/>
                <w:color w:val="000000"/>
                <w:highlight w:val="none"/>
              </w:rPr>
              <w:t>＜0.0</w:t>
            </w:r>
            <w:r>
              <w:rPr>
                <w:rFonts w:hint="eastAsia"/>
                <w:color w:val="000000"/>
                <w:highlight w:val="none"/>
                <w:lang w:val="en-US" w:eastAsia="zh-CN"/>
              </w:rPr>
              <w:t>029</w:t>
            </w:r>
          </w:p>
        </w:tc>
        <w:tc>
          <w:tcPr>
            <w:tcW w:w="1105" w:type="dxa"/>
            <w:tcBorders>
              <w:tl2br w:val="nil"/>
              <w:tr2bl w:val="nil"/>
            </w:tcBorders>
            <w:vAlign w:val="center"/>
          </w:tcPr>
          <w:p w14:paraId="00DD1844">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6DAE47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1C232CD7">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砷</w:t>
            </w:r>
          </w:p>
        </w:tc>
        <w:tc>
          <w:tcPr>
            <w:tcW w:w="704" w:type="dxa"/>
            <w:tcBorders>
              <w:tl2br w:val="nil"/>
              <w:tr2bl w:val="nil"/>
            </w:tcBorders>
            <w:vAlign w:val="center"/>
          </w:tcPr>
          <w:p w14:paraId="5936E034">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29F859A1">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5390AFBF">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5000</w:t>
            </w:r>
          </w:p>
        </w:tc>
        <w:tc>
          <w:tcPr>
            <w:tcW w:w="1120" w:type="dxa"/>
            <w:tcBorders>
              <w:tl2br w:val="nil"/>
              <w:tr2bl w:val="nil"/>
            </w:tcBorders>
            <w:vAlign w:val="center"/>
          </w:tcPr>
          <w:p w14:paraId="7C370158">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&lt;0.0001</w:t>
            </w:r>
          </w:p>
        </w:tc>
        <w:tc>
          <w:tcPr>
            <w:tcW w:w="1105" w:type="dxa"/>
            <w:tcBorders>
              <w:tl2br w:val="nil"/>
              <w:tr2bl w:val="nil"/>
            </w:tcBorders>
            <w:vAlign w:val="center"/>
          </w:tcPr>
          <w:p w14:paraId="35D3B7BC">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7BD05A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14346C59">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硒</w:t>
            </w:r>
          </w:p>
        </w:tc>
        <w:tc>
          <w:tcPr>
            <w:tcW w:w="704" w:type="dxa"/>
            <w:tcBorders>
              <w:tl2br w:val="nil"/>
              <w:tr2bl w:val="nil"/>
            </w:tcBorders>
            <w:vAlign w:val="center"/>
          </w:tcPr>
          <w:p w14:paraId="715E110D">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43D75CFE">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32C0E6FB">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1000</w:t>
            </w:r>
          </w:p>
        </w:tc>
        <w:tc>
          <w:tcPr>
            <w:tcW w:w="1120" w:type="dxa"/>
            <w:tcBorders>
              <w:tl2br w:val="nil"/>
              <w:tr2bl w:val="nil"/>
            </w:tcBorders>
            <w:vAlign w:val="center"/>
          </w:tcPr>
          <w:p w14:paraId="23E6D1D1">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&lt;0.0001</w:t>
            </w:r>
          </w:p>
        </w:tc>
        <w:tc>
          <w:tcPr>
            <w:tcW w:w="1105" w:type="dxa"/>
            <w:tcBorders>
              <w:tl2br w:val="nil"/>
              <w:tr2bl w:val="nil"/>
            </w:tcBorders>
            <w:vAlign w:val="center"/>
          </w:tcPr>
          <w:p w14:paraId="295D5334">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0E7DF0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5C418A8E">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氟化物</w:t>
            </w:r>
          </w:p>
        </w:tc>
        <w:tc>
          <w:tcPr>
            <w:tcW w:w="704" w:type="dxa"/>
            <w:tcBorders>
              <w:tl2br w:val="nil"/>
              <w:tr2bl w:val="nil"/>
            </w:tcBorders>
            <w:vAlign w:val="center"/>
          </w:tcPr>
          <w:p w14:paraId="022819A3">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1E5686E3">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33947458">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100</w:t>
            </w:r>
          </w:p>
        </w:tc>
        <w:tc>
          <w:tcPr>
            <w:tcW w:w="1120" w:type="dxa"/>
            <w:tcBorders>
              <w:tl2br w:val="nil"/>
              <w:tr2bl w:val="nil"/>
            </w:tcBorders>
            <w:vAlign w:val="center"/>
          </w:tcPr>
          <w:p w14:paraId="2A23E759">
            <w:pPr>
              <w:autoSpaceDE w:val="0"/>
              <w:autoSpaceDN w:val="0"/>
              <w:adjustRightInd w:val="0"/>
              <w:spacing w:line="240" w:lineRule="atLeast"/>
              <w:jc w:val="center"/>
              <w:rPr>
                <w:rFonts w:hint="default" w:eastAsia="宋体"/>
                <w:b/>
                <w:bCs/>
                <w:sz w:val="20"/>
                <w:szCs w:val="20"/>
                <w:highlight w:val="none"/>
                <w:lang w:val="en-US" w:eastAsia="zh-CN"/>
              </w:rPr>
            </w:pPr>
            <w:r>
              <w:rPr>
                <w:rFonts w:hint="eastAsia"/>
                <w:color w:val="000000"/>
                <w:highlight w:val="none"/>
                <w:lang w:val="en-US" w:eastAsia="zh-CN"/>
              </w:rPr>
              <w:t>0.293</w:t>
            </w:r>
          </w:p>
        </w:tc>
        <w:tc>
          <w:tcPr>
            <w:tcW w:w="1105" w:type="dxa"/>
            <w:tcBorders>
              <w:tl2br w:val="nil"/>
              <w:tr2bl w:val="nil"/>
            </w:tcBorders>
            <w:vAlign w:val="center"/>
          </w:tcPr>
          <w:p w14:paraId="4CED8B0A">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r w14:paraId="16E5AC7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trPr>
        <w:tc>
          <w:tcPr>
            <w:tcW w:w="1581" w:type="dxa"/>
            <w:gridSpan w:val="2"/>
            <w:tcBorders>
              <w:tl2br w:val="nil"/>
              <w:tr2bl w:val="nil"/>
            </w:tcBorders>
            <w:vAlign w:val="center"/>
          </w:tcPr>
          <w:p w14:paraId="1AF3C9BC">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氰化物</w:t>
            </w:r>
          </w:p>
        </w:tc>
        <w:tc>
          <w:tcPr>
            <w:tcW w:w="704" w:type="dxa"/>
            <w:tcBorders>
              <w:tl2br w:val="nil"/>
              <w:tr2bl w:val="nil"/>
            </w:tcBorders>
            <w:vAlign w:val="center"/>
          </w:tcPr>
          <w:p w14:paraId="58978EC8">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mg/L</w:t>
            </w:r>
          </w:p>
        </w:tc>
        <w:tc>
          <w:tcPr>
            <w:tcW w:w="2009" w:type="dxa"/>
            <w:tcBorders>
              <w:tl2br w:val="nil"/>
              <w:tr2bl w:val="nil"/>
            </w:tcBorders>
            <w:vAlign w:val="center"/>
          </w:tcPr>
          <w:p w14:paraId="42FADEE0">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w:t>
            </w:r>
          </w:p>
        </w:tc>
        <w:tc>
          <w:tcPr>
            <w:tcW w:w="2009" w:type="dxa"/>
            <w:tcBorders>
              <w:tl2br w:val="nil"/>
              <w:tr2bl w:val="nil"/>
            </w:tcBorders>
            <w:vAlign w:val="center"/>
          </w:tcPr>
          <w:p w14:paraId="77B0E60F">
            <w:pPr>
              <w:autoSpaceDE w:val="0"/>
              <w:autoSpaceDN w:val="0"/>
              <w:adjustRightInd w:val="0"/>
              <w:spacing w:line="240" w:lineRule="atLeast"/>
              <w:jc w:val="center"/>
              <w:rPr>
                <w:rFonts w:hint="eastAsia"/>
                <w:b/>
                <w:bCs/>
                <w:sz w:val="20"/>
                <w:szCs w:val="20"/>
                <w:highlight w:val="none"/>
              </w:rPr>
            </w:pPr>
            <w:r>
              <w:rPr>
                <w:rFonts w:eastAsia="等线"/>
                <w:color w:val="000000"/>
                <w:highlight w:val="none"/>
              </w:rPr>
              <w:t>5000</w:t>
            </w:r>
          </w:p>
        </w:tc>
        <w:tc>
          <w:tcPr>
            <w:tcW w:w="1120" w:type="dxa"/>
            <w:tcBorders>
              <w:tl2br w:val="nil"/>
              <w:tr2bl w:val="nil"/>
            </w:tcBorders>
            <w:vAlign w:val="center"/>
          </w:tcPr>
          <w:p w14:paraId="3B5A2657">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w:t>
            </w:r>
            <w:r>
              <w:rPr>
                <w:color w:val="000000"/>
                <w:highlight w:val="none"/>
              </w:rPr>
              <w:t>0.0001</w:t>
            </w:r>
          </w:p>
        </w:tc>
        <w:tc>
          <w:tcPr>
            <w:tcW w:w="1105" w:type="dxa"/>
            <w:tcBorders>
              <w:tl2br w:val="nil"/>
              <w:tr2bl w:val="nil"/>
            </w:tcBorders>
            <w:vAlign w:val="center"/>
          </w:tcPr>
          <w:p w14:paraId="4B6EAEFF">
            <w:pPr>
              <w:autoSpaceDE w:val="0"/>
              <w:autoSpaceDN w:val="0"/>
              <w:adjustRightInd w:val="0"/>
              <w:spacing w:line="240" w:lineRule="atLeast"/>
              <w:jc w:val="center"/>
              <w:rPr>
                <w:rFonts w:hint="eastAsia"/>
                <w:b/>
                <w:bCs/>
                <w:sz w:val="20"/>
                <w:szCs w:val="20"/>
                <w:highlight w:val="none"/>
              </w:rPr>
            </w:pPr>
            <w:r>
              <w:rPr>
                <w:rFonts w:hint="eastAsia"/>
                <w:color w:val="000000"/>
                <w:highlight w:val="none"/>
              </w:rPr>
              <w:t>否</w:t>
            </w:r>
          </w:p>
        </w:tc>
      </w:tr>
    </w:tbl>
    <w:p w14:paraId="205BA3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lang w:eastAsia="zh-CN"/>
        </w:rPr>
      </w:pPr>
      <w:r>
        <w:rPr>
          <w:rFonts w:hint="eastAsia" w:cs="Times New Roman"/>
          <w:sz w:val="24"/>
          <w:szCs w:val="24"/>
          <w:highlight w:val="none"/>
          <w:lang w:val="en-US" w:eastAsia="zh-CN"/>
        </w:rPr>
        <w:t>由上表可知</w:t>
      </w:r>
      <w:r>
        <w:rPr>
          <w:rFonts w:hint="default"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根据《危险废物鉴别标准 腐蚀性鉴别》（GB5085.1-2007），废石不具有腐蚀性</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eastAsia="zh-CN"/>
        </w:rPr>
        <w:t>废石浸出实验各项因子均低于《危险废物鉴别标准—浸出毒性鉴别》（GB5085.3-2007）的限值，</w:t>
      </w:r>
      <w:r>
        <w:rPr>
          <w:rFonts w:hint="eastAsia" w:ascii="Times New Roman" w:hAnsi="Times New Roman" w:cs="Times New Roman"/>
          <w:sz w:val="24"/>
          <w:szCs w:val="24"/>
          <w:highlight w:val="none"/>
          <w:lang w:val="en-US" w:eastAsia="zh-CN"/>
        </w:rPr>
        <w:t>废石为</w:t>
      </w:r>
      <w:r>
        <w:rPr>
          <w:rFonts w:hint="default" w:ascii="Times New Roman" w:hAnsi="Times New Roman" w:cs="Times New Roman"/>
          <w:sz w:val="24"/>
          <w:szCs w:val="24"/>
          <w:highlight w:val="none"/>
          <w:lang w:eastAsia="zh-CN"/>
        </w:rPr>
        <w:t>一般工业固体废物。</w:t>
      </w:r>
    </w:p>
    <w:p w14:paraId="366CD34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sz w:val="24"/>
          <w:szCs w:val="24"/>
          <w:highlight w:val="none"/>
          <w:lang w:eastAsia="zh-CN"/>
        </w:rPr>
      </w:pPr>
      <w:r>
        <w:rPr>
          <w:rFonts w:hint="eastAsia" w:ascii="Times New Roman" w:hAnsi="Times New Roman" w:cs="Times New Roman"/>
          <w:b/>
          <w:bCs/>
          <w:sz w:val="24"/>
          <w:szCs w:val="24"/>
          <w:highlight w:val="none"/>
          <w:lang w:eastAsia="zh-CN"/>
        </w:rPr>
        <w:t>②第</w:t>
      </w:r>
      <w:r>
        <w:rPr>
          <w:rFonts w:hint="default" w:ascii="Times New Roman" w:hAnsi="Times New Roman" w:cs="Times New Roman"/>
          <w:b/>
          <w:bCs/>
          <w:sz w:val="24"/>
          <w:szCs w:val="24"/>
          <w:highlight w:val="none"/>
          <w:lang w:eastAsia="zh-CN"/>
        </w:rPr>
        <w:t>Ⅰ、Ⅱ</w:t>
      </w:r>
      <w:r>
        <w:rPr>
          <w:rFonts w:hint="eastAsia" w:ascii="Times New Roman" w:hAnsi="Times New Roman" w:cs="Times New Roman"/>
          <w:b/>
          <w:bCs/>
          <w:sz w:val="24"/>
          <w:szCs w:val="24"/>
          <w:highlight w:val="none"/>
          <w:lang w:eastAsia="zh-CN"/>
        </w:rPr>
        <w:t>类一般工业固体废物鉴别</w:t>
      </w:r>
    </w:p>
    <w:p w14:paraId="357ECC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sz w:val="24"/>
          <w:szCs w:val="24"/>
          <w:highlight w:val="none"/>
          <w:lang w:eastAsia="zh-CN"/>
        </w:rPr>
      </w:pPr>
      <w:r>
        <w:rPr>
          <w:rFonts w:hint="eastAsia" w:ascii="Times New Roman" w:hAnsi="Times New Roman" w:cs="Times New Roman"/>
          <w:sz w:val="24"/>
          <w:szCs w:val="24"/>
          <w:highlight w:val="none"/>
          <w:lang w:eastAsia="zh-CN"/>
        </w:rPr>
        <w:t>本次评价</w:t>
      </w:r>
      <w:r>
        <w:rPr>
          <w:rFonts w:hint="eastAsia" w:ascii="Times New Roman" w:hAnsi="Times New Roman" w:cs="Times New Roman"/>
          <w:sz w:val="24"/>
          <w:szCs w:val="24"/>
          <w:highlight w:val="none"/>
          <w:lang w:val="en-US" w:eastAsia="zh-CN"/>
        </w:rPr>
        <w:t>对堆存</w:t>
      </w:r>
      <w:r>
        <w:rPr>
          <w:rFonts w:hint="default" w:ascii="Times New Roman" w:hAnsi="Times New Roman" w:cs="Times New Roman"/>
          <w:sz w:val="24"/>
          <w:szCs w:val="24"/>
          <w:highlight w:val="none"/>
          <w:lang w:eastAsia="zh-CN"/>
        </w:rPr>
        <w:t>废石</w:t>
      </w:r>
      <w:r>
        <w:rPr>
          <w:rFonts w:hint="eastAsia" w:cs="Times New Roman"/>
          <w:sz w:val="24"/>
          <w:szCs w:val="24"/>
          <w:highlight w:val="none"/>
          <w:lang w:val="en-US" w:eastAsia="zh-CN"/>
        </w:rPr>
        <w:t>混合样</w:t>
      </w:r>
      <w:r>
        <w:rPr>
          <w:rFonts w:hint="default" w:ascii="Times New Roman" w:hAnsi="Times New Roman" w:cs="Times New Roman"/>
          <w:sz w:val="24"/>
          <w:szCs w:val="24"/>
          <w:highlight w:val="none"/>
        </w:rPr>
        <w:t>进行淋溶实验，进一步判定废石的类别</w:t>
      </w:r>
      <w:r>
        <w:rPr>
          <w:rFonts w:hint="default" w:ascii="Times New Roman" w:hAnsi="Times New Roman" w:cs="Times New Roman"/>
          <w:sz w:val="24"/>
          <w:szCs w:val="24"/>
          <w:highlight w:val="none"/>
          <w:lang w:eastAsia="zh-CN"/>
        </w:rPr>
        <w:t>，根据</w:t>
      </w:r>
      <w:r>
        <w:rPr>
          <w:rFonts w:hint="eastAsia" w:ascii="Times New Roman" w:hAnsi="Times New Roman" w:cs="Times New Roman"/>
          <w:color w:val="000000"/>
          <w:sz w:val="24"/>
          <w:highlight w:val="none"/>
          <w:lang w:val="en-US" w:eastAsia="zh-CN"/>
        </w:rPr>
        <w:t>《承德天宝矿业集团大昌矿业有限公司东北沟排土场建设项目固体废物第</w:t>
      </w:r>
      <w:r>
        <w:rPr>
          <w:rFonts w:hint="default" w:ascii="Times New Roman" w:hAnsi="Times New Roman" w:cs="Times New Roman"/>
          <w:color w:val="000000"/>
          <w:sz w:val="24"/>
          <w:highlight w:val="none"/>
          <w:lang w:val="en-US" w:eastAsia="zh-CN"/>
        </w:rPr>
        <w:t>Ⅰ、Ⅱ类</w:t>
      </w:r>
      <w:r>
        <w:rPr>
          <w:rFonts w:hint="eastAsia" w:ascii="Times New Roman" w:hAnsi="Times New Roman" w:cs="Times New Roman"/>
          <w:color w:val="000000"/>
          <w:sz w:val="24"/>
          <w:highlight w:val="none"/>
          <w:lang w:val="en-US" w:eastAsia="zh-CN"/>
        </w:rPr>
        <w:t>一般工业固体废物鉴别检测报告》（ZXLN（T）202503028））</w:t>
      </w:r>
      <w:r>
        <w:rPr>
          <w:rFonts w:hint="default" w:ascii="Times New Roman" w:hAnsi="Times New Roman" w:cs="Times New Roman"/>
          <w:sz w:val="24"/>
          <w:szCs w:val="24"/>
          <w:highlight w:val="none"/>
          <w:lang w:eastAsia="zh-CN"/>
        </w:rPr>
        <w:t>，检验</w:t>
      </w:r>
      <w:r>
        <w:rPr>
          <w:rFonts w:hint="default" w:ascii="Times New Roman" w:hAnsi="Times New Roman" w:cs="Times New Roman"/>
          <w:sz w:val="24"/>
          <w:szCs w:val="24"/>
          <w:highlight w:val="none"/>
        </w:rPr>
        <w:t>结果况见下表</w:t>
      </w:r>
      <w:r>
        <w:rPr>
          <w:rFonts w:hint="eastAsia" w:cs="Times New Roman"/>
          <w:sz w:val="24"/>
          <w:szCs w:val="24"/>
          <w:highlight w:val="none"/>
          <w:lang w:eastAsia="zh-CN"/>
        </w:rPr>
        <w:t>。</w:t>
      </w:r>
    </w:p>
    <w:p w14:paraId="682309A2">
      <w:pPr>
        <w:numPr>
          <w:ilvl w:val="0"/>
          <w:numId w:val="20"/>
        </w:numPr>
        <w:adjustRightInd w:val="0"/>
        <w:snapToGrid w:val="0"/>
        <w:jc w:val="center"/>
        <w:rPr>
          <w:rFonts w:hint="default" w:ascii="Times New Roman" w:hAnsi="Times New Roman" w:eastAsia="宋体" w:cs="Times New Roman"/>
          <w:b/>
          <w:sz w:val="21"/>
          <w:szCs w:val="16"/>
          <w:highlight w:val="none"/>
        </w:rPr>
      </w:pPr>
      <w:r>
        <w:rPr>
          <w:rFonts w:hint="default" w:ascii="Times New Roman" w:hAnsi="Times New Roman" w:cs="Times New Roman"/>
          <w:b/>
          <w:sz w:val="21"/>
          <w:szCs w:val="16"/>
          <w:highlight w:val="none"/>
          <w:lang w:eastAsia="zh-CN"/>
        </w:rPr>
        <w:t>固体废物第I、</w:t>
      </w:r>
      <w:r>
        <w:rPr>
          <w:rFonts w:hint="default" w:ascii="Times New Roman" w:hAnsi="Times New Roman" w:cs="Times New Roman"/>
          <w:b/>
          <w:color w:val="auto"/>
          <w:sz w:val="21"/>
          <w:szCs w:val="18"/>
          <w:highlight w:val="none"/>
          <w:lang w:eastAsia="zh-CN"/>
        </w:rPr>
        <w:t>II</w:t>
      </w:r>
      <w:r>
        <w:rPr>
          <w:rFonts w:hint="default" w:ascii="Times New Roman" w:hAnsi="Times New Roman" w:cs="Times New Roman"/>
          <w:b/>
          <w:sz w:val="21"/>
          <w:szCs w:val="16"/>
          <w:highlight w:val="none"/>
          <w:lang w:eastAsia="zh-CN"/>
        </w:rPr>
        <w:t>类一般工业固体废物实验结果一览表</w:t>
      </w:r>
    </w:p>
    <w:tbl>
      <w:tblPr>
        <w:tblStyle w:val="59"/>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89"/>
        <w:gridCol w:w="1067"/>
        <w:gridCol w:w="1009"/>
        <w:gridCol w:w="3493"/>
        <w:gridCol w:w="1085"/>
        <w:gridCol w:w="1185"/>
      </w:tblGrid>
      <w:tr w14:paraId="51C1FB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vMerge w:val="restart"/>
            <w:tcBorders>
              <w:tl2br w:val="nil"/>
              <w:tr2bl w:val="nil"/>
            </w:tcBorders>
            <w:vAlign w:val="center"/>
          </w:tcPr>
          <w:p w14:paraId="7250C3D1">
            <w:pPr>
              <w:jc w:val="center"/>
              <w:rPr>
                <w:rFonts w:hint="eastAsia"/>
                <w:b/>
                <w:bCs/>
                <w:color w:val="000000"/>
                <w:highlight w:val="none"/>
              </w:rPr>
            </w:pPr>
            <w:r>
              <w:rPr>
                <w:rFonts w:hint="eastAsia"/>
                <w:b/>
                <w:bCs/>
                <w:color w:val="000000"/>
                <w:highlight w:val="none"/>
              </w:rPr>
              <w:t>项目</w:t>
            </w:r>
          </w:p>
        </w:tc>
        <w:tc>
          <w:tcPr>
            <w:tcW w:w="1009" w:type="dxa"/>
            <w:vMerge w:val="restart"/>
            <w:tcBorders>
              <w:tl2br w:val="nil"/>
              <w:tr2bl w:val="nil"/>
            </w:tcBorders>
            <w:vAlign w:val="center"/>
          </w:tcPr>
          <w:p w14:paraId="15508C05">
            <w:pPr>
              <w:jc w:val="center"/>
              <w:rPr>
                <w:rFonts w:hint="eastAsia"/>
                <w:b/>
                <w:bCs/>
                <w:color w:val="000000"/>
                <w:highlight w:val="none"/>
              </w:rPr>
            </w:pPr>
            <w:r>
              <w:rPr>
                <w:rFonts w:hint="eastAsia"/>
                <w:b/>
                <w:bCs/>
                <w:color w:val="000000"/>
                <w:highlight w:val="none"/>
              </w:rPr>
              <w:t>单位</w:t>
            </w:r>
          </w:p>
        </w:tc>
        <w:tc>
          <w:tcPr>
            <w:tcW w:w="3493" w:type="dxa"/>
            <w:vMerge w:val="restart"/>
            <w:tcBorders>
              <w:tl2br w:val="nil"/>
              <w:tr2bl w:val="nil"/>
            </w:tcBorders>
            <w:vAlign w:val="center"/>
          </w:tcPr>
          <w:p w14:paraId="50C3ECF6">
            <w:pPr>
              <w:jc w:val="center"/>
              <w:rPr>
                <w:rFonts w:hint="eastAsia"/>
                <w:b/>
                <w:bCs/>
                <w:color w:val="000000"/>
                <w:highlight w:val="none"/>
              </w:rPr>
            </w:pPr>
            <w:r>
              <w:rPr>
                <w:rFonts w:hint="eastAsia"/>
                <w:b/>
                <w:bCs/>
                <w:color w:val="000000"/>
                <w:highlight w:val="none"/>
              </w:rPr>
              <w:t>《污水综合排放标准》（</w:t>
            </w:r>
            <w:r>
              <w:rPr>
                <w:b/>
                <w:bCs/>
                <w:color w:val="000000"/>
                <w:highlight w:val="none"/>
              </w:rPr>
              <w:t>GB8978-1996</w:t>
            </w:r>
            <w:r>
              <w:rPr>
                <w:rFonts w:hint="eastAsia"/>
                <w:b/>
                <w:bCs/>
                <w:color w:val="000000"/>
                <w:highlight w:val="none"/>
              </w:rPr>
              <w:t>）最高允许排放浓度</w:t>
            </w:r>
          </w:p>
        </w:tc>
        <w:tc>
          <w:tcPr>
            <w:tcW w:w="2270" w:type="dxa"/>
            <w:gridSpan w:val="2"/>
            <w:tcBorders>
              <w:tl2br w:val="nil"/>
              <w:tr2bl w:val="nil"/>
            </w:tcBorders>
            <w:vAlign w:val="center"/>
          </w:tcPr>
          <w:p w14:paraId="28863A76">
            <w:pPr>
              <w:jc w:val="center"/>
              <w:rPr>
                <w:rFonts w:hint="eastAsia" w:asciiTheme="minorEastAsia" w:hAnsiTheme="minorEastAsia" w:eastAsiaTheme="minorEastAsia" w:cstheme="minorEastAsia"/>
                <w:highlight w:val="none"/>
              </w:rPr>
            </w:pPr>
            <w:r>
              <w:rPr>
                <w:rFonts w:hint="eastAsia"/>
                <w:b/>
                <w:bCs/>
                <w:color w:val="000000"/>
                <w:highlight w:val="none"/>
              </w:rPr>
              <w:t>废石</w:t>
            </w:r>
          </w:p>
        </w:tc>
      </w:tr>
      <w:tr w14:paraId="14FA9A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vMerge w:val="continue"/>
            <w:tcBorders>
              <w:tl2br w:val="nil"/>
              <w:tr2bl w:val="nil"/>
            </w:tcBorders>
            <w:vAlign w:val="center"/>
          </w:tcPr>
          <w:p w14:paraId="6C3A0B4D">
            <w:pPr>
              <w:jc w:val="center"/>
              <w:rPr>
                <w:highlight w:val="none"/>
              </w:rPr>
            </w:pPr>
          </w:p>
        </w:tc>
        <w:tc>
          <w:tcPr>
            <w:tcW w:w="1009" w:type="dxa"/>
            <w:vMerge w:val="continue"/>
            <w:tcBorders>
              <w:tl2br w:val="nil"/>
              <w:tr2bl w:val="nil"/>
            </w:tcBorders>
            <w:vAlign w:val="center"/>
          </w:tcPr>
          <w:p w14:paraId="741F2763">
            <w:pPr>
              <w:jc w:val="center"/>
              <w:rPr>
                <w:highlight w:val="none"/>
              </w:rPr>
            </w:pPr>
          </w:p>
        </w:tc>
        <w:tc>
          <w:tcPr>
            <w:tcW w:w="3493" w:type="dxa"/>
            <w:vMerge w:val="continue"/>
            <w:tcBorders>
              <w:tl2br w:val="nil"/>
              <w:tr2bl w:val="nil"/>
            </w:tcBorders>
            <w:vAlign w:val="center"/>
          </w:tcPr>
          <w:p w14:paraId="5CE410D4">
            <w:pPr>
              <w:jc w:val="center"/>
              <w:rPr>
                <w:highlight w:val="none"/>
              </w:rPr>
            </w:pPr>
          </w:p>
        </w:tc>
        <w:tc>
          <w:tcPr>
            <w:tcW w:w="1085" w:type="dxa"/>
            <w:tcBorders>
              <w:tl2br w:val="nil"/>
              <w:tr2bl w:val="nil"/>
            </w:tcBorders>
            <w:vAlign w:val="center"/>
          </w:tcPr>
          <w:p w14:paraId="5D0C269C">
            <w:pPr>
              <w:jc w:val="center"/>
              <w:rPr>
                <w:highlight w:val="none"/>
              </w:rPr>
            </w:pPr>
            <w:r>
              <w:rPr>
                <w:rFonts w:hint="eastAsia"/>
                <w:b/>
                <w:bCs/>
                <w:color w:val="000000"/>
                <w:highlight w:val="none"/>
              </w:rPr>
              <w:t>监测结果</w:t>
            </w:r>
          </w:p>
        </w:tc>
        <w:tc>
          <w:tcPr>
            <w:tcW w:w="1185" w:type="dxa"/>
            <w:tcBorders>
              <w:tl2br w:val="nil"/>
              <w:tr2bl w:val="nil"/>
            </w:tcBorders>
            <w:vAlign w:val="center"/>
          </w:tcPr>
          <w:p w14:paraId="4B850F27">
            <w:pPr>
              <w:jc w:val="center"/>
              <w:rPr>
                <w:highlight w:val="none"/>
              </w:rPr>
            </w:pPr>
            <w:r>
              <w:rPr>
                <w:rFonts w:hint="eastAsia"/>
                <w:b/>
                <w:bCs/>
                <w:color w:val="000000"/>
                <w:highlight w:val="none"/>
              </w:rPr>
              <w:t>是否超标</w:t>
            </w:r>
          </w:p>
        </w:tc>
      </w:tr>
      <w:tr w14:paraId="70D1A5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528" w:type="dxa"/>
            <w:gridSpan w:val="6"/>
            <w:tcBorders>
              <w:tl2br w:val="nil"/>
              <w:tr2bl w:val="nil"/>
            </w:tcBorders>
            <w:vAlign w:val="center"/>
          </w:tcPr>
          <w:p w14:paraId="2C728E6B">
            <w:pPr>
              <w:widowControl/>
              <w:jc w:val="center"/>
              <w:rPr>
                <w:rFonts w:hint="eastAsia"/>
                <w:b/>
                <w:bCs/>
                <w:color w:val="000000"/>
                <w:kern w:val="0"/>
                <w:highlight w:val="none"/>
              </w:rPr>
            </w:pPr>
            <w:r>
              <w:rPr>
                <w:rFonts w:hint="eastAsia"/>
                <w:b/>
                <w:bCs/>
                <w:color w:val="000000"/>
                <w:highlight w:val="none"/>
              </w:rPr>
              <w:t>第一类污染物</w:t>
            </w:r>
          </w:p>
        </w:tc>
      </w:tr>
      <w:tr w14:paraId="23A2C2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63FA5E5F">
            <w:pPr>
              <w:widowControl/>
              <w:jc w:val="center"/>
              <w:rPr>
                <w:rFonts w:hint="eastAsia"/>
                <w:color w:val="000000"/>
                <w:kern w:val="0"/>
                <w:highlight w:val="none"/>
              </w:rPr>
            </w:pPr>
            <w:r>
              <w:rPr>
                <w:rFonts w:hint="eastAsia"/>
                <w:color w:val="000000"/>
                <w:highlight w:val="none"/>
              </w:rPr>
              <w:t>总汞</w:t>
            </w:r>
          </w:p>
        </w:tc>
        <w:tc>
          <w:tcPr>
            <w:tcW w:w="1009" w:type="dxa"/>
            <w:tcBorders>
              <w:tl2br w:val="nil"/>
              <w:tr2bl w:val="nil"/>
            </w:tcBorders>
            <w:vAlign w:val="center"/>
          </w:tcPr>
          <w:p w14:paraId="7F26000F">
            <w:pPr>
              <w:jc w:val="center"/>
              <w:rPr>
                <w:highlight w:val="none"/>
              </w:rPr>
            </w:pPr>
            <w:r>
              <w:rPr>
                <w:rFonts w:eastAsia="等线"/>
                <w:color w:val="000000"/>
                <w:highlight w:val="none"/>
              </w:rPr>
              <w:t>mg/L</w:t>
            </w:r>
          </w:p>
        </w:tc>
        <w:tc>
          <w:tcPr>
            <w:tcW w:w="3493" w:type="dxa"/>
            <w:tcBorders>
              <w:tl2br w:val="nil"/>
              <w:tr2bl w:val="nil"/>
            </w:tcBorders>
            <w:vAlign w:val="center"/>
          </w:tcPr>
          <w:p w14:paraId="3651D901">
            <w:pPr>
              <w:jc w:val="center"/>
              <w:rPr>
                <w:highlight w:val="none"/>
              </w:rPr>
            </w:pPr>
            <w:r>
              <w:rPr>
                <w:rFonts w:eastAsia="等线"/>
                <w:color w:val="000000"/>
                <w:highlight w:val="none"/>
              </w:rPr>
              <w:t>0.05</w:t>
            </w:r>
          </w:p>
        </w:tc>
        <w:tc>
          <w:tcPr>
            <w:tcW w:w="1085" w:type="dxa"/>
            <w:tcBorders>
              <w:tl2br w:val="nil"/>
              <w:tr2bl w:val="nil"/>
            </w:tcBorders>
            <w:vAlign w:val="center"/>
          </w:tcPr>
          <w:p w14:paraId="21C934FA">
            <w:pPr>
              <w:jc w:val="center"/>
              <w:rPr>
                <w:highlight w:val="none"/>
              </w:rPr>
            </w:pPr>
            <w:r>
              <w:rPr>
                <w:color w:val="000000"/>
                <w:highlight w:val="none"/>
              </w:rPr>
              <w:t>0.00004</w:t>
            </w:r>
            <w:r>
              <w:rPr>
                <w:rFonts w:hint="eastAsia" w:eastAsia="等线"/>
                <w:color w:val="000000"/>
                <w:highlight w:val="none"/>
                <w:lang w:val="en-US" w:eastAsia="zh-CN"/>
              </w:rPr>
              <w:t>L</w:t>
            </w:r>
          </w:p>
        </w:tc>
        <w:tc>
          <w:tcPr>
            <w:tcW w:w="1185" w:type="dxa"/>
            <w:tcBorders>
              <w:tl2br w:val="nil"/>
              <w:tr2bl w:val="nil"/>
            </w:tcBorders>
            <w:vAlign w:val="center"/>
          </w:tcPr>
          <w:p w14:paraId="5726CEB3">
            <w:pPr>
              <w:jc w:val="center"/>
              <w:rPr>
                <w:highlight w:val="none"/>
              </w:rPr>
            </w:pPr>
            <w:r>
              <w:rPr>
                <w:rFonts w:hint="eastAsia"/>
                <w:color w:val="000000"/>
                <w:highlight w:val="none"/>
              </w:rPr>
              <w:t>否</w:t>
            </w:r>
          </w:p>
        </w:tc>
      </w:tr>
      <w:tr w14:paraId="7CFBF4D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89" w:type="dxa"/>
            <w:vMerge w:val="restart"/>
            <w:tcBorders>
              <w:tl2br w:val="nil"/>
              <w:tr2bl w:val="nil"/>
            </w:tcBorders>
            <w:vAlign w:val="center"/>
          </w:tcPr>
          <w:p w14:paraId="69D6B8F9">
            <w:pPr>
              <w:jc w:val="center"/>
              <w:rPr>
                <w:highlight w:val="none"/>
              </w:rPr>
            </w:pPr>
            <w:r>
              <w:rPr>
                <w:rFonts w:hint="eastAsia"/>
                <w:color w:val="000000"/>
                <w:highlight w:val="none"/>
              </w:rPr>
              <w:t>烷基汞</w:t>
            </w:r>
          </w:p>
        </w:tc>
        <w:tc>
          <w:tcPr>
            <w:tcW w:w="1067" w:type="dxa"/>
            <w:tcBorders>
              <w:tl2br w:val="nil"/>
              <w:tr2bl w:val="nil"/>
            </w:tcBorders>
            <w:vAlign w:val="center"/>
          </w:tcPr>
          <w:p w14:paraId="617B3428">
            <w:pPr>
              <w:jc w:val="center"/>
              <w:rPr>
                <w:highlight w:val="none"/>
              </w:rPr>
            </w:pPr>
            <w:r>
              <w:rPr>
                <w:rFonts w:hint="eastAsia"/>
                <w:color w:val="000000"/>
                <w:highlight w:val="none"/>
              </w:rPr>
              <w:t>甲基汞</w:t>
            </w:r>
          </w:p>
        </w:tc>
        <w:tc>
          <w:tcPr>
            <w:tcW w:w="1009" w:type="dxa"/>
            <w:tcBorders>
              <w:tl2br w:val="nil"/>
              <w:tr2bl w:val="nil"/>
            </w:tcBorders>
            <w:vAlign w:val="center"/>
          </w:tcPr>
          <w:p w14:paraId="01AE871D">
            <w:pPr>
              <w:jc w:val="center"/>
              <w:rPr>
                <w:highlight w:val="none"/>
              </w:rPr>
            </w:pPr>
            <w:r>
              <w:rPr>
                <w:rFonts w:eastAsia="等线"/>
                <w:color w:val="000000"/>
                <w:highlight w:val="none"/>
              </w:rPr>
              <w:t>ng/L</w:t>
            </w:r>
          </w:p>
        </w:tc>
        <w:tc>
          <w:tcPr>
            <w:tcW w:w="3493" w:type="dxa"/>
            <w:tcBorders>
              <w:tl2br w:val="nil"/>
              <w:tr2bl w:val="nil"/>
            </w:tcBorders>
            <w:vAlign w:val="center"/>
          </w:tcPr>
          <w:p w14:paraId="307AB933">
            <w:pPr>
              <w:jc w:val="center"/>
              <w:rPr>
                <w:highlight w:val="none"/>
              </w:rPr>
            </w:pPr>
            <w:r>
              <w:rPr>
                <w:rFonts w:eastAsia="等线"/>
                <w:color w:val="000000"/>
                <w:highlight w:val="none"/>
              </w:rPr>
              <w:t>&lt;10</w:t>
            </w:r>
          </w:p>
        </w:tc>
        <w:tc>
          <w:tcPr>
            <w:tcW w:w="1085" w:type="dxa"/>
            <w:tcBorders>
              <w:tl2br w:val="nil"/>
              <w:tr2bl w:val="nil"/>
            </w:tcBorders>
            <w:vAlign w:val="center"/>
          </w:tcPr>
          <w:p w14:paraId="7C7633C8">
            <w:pPr>
              <w:jc w:val="center"/>
              <w:rPr>
                <w:highlight w:val="none"/>
              </w:rPr>
            </w:pPr>
            <w:r>
              <w:rPr>
                <w:rFonts w:eastAsia="等线"/>
                <w:color w:val="000000"/>
                <w:highlight w:val="none"/>
              </w:rPr>
              <w:t>10</w:t>
            </w:r>
            <w:r>
              <w:rPr>
                <w:rFonts w:hint="eastAsia" w:eastAsia="等线"/>
                <w:color w:val="000000"/>
                <w:highlight w:val="none"/>
                <w:lang w:val="en-US" w:eastAsia="zh-CN"/>
              </w:rPr>
              <w:t>L</w:t>
            </w:r>
          </w:p>
        </w:tc>
        <w:tc>
          <w:tcPr>
            <w:tcW w:w="1185" w:type="dxa"/>
            <w:tcBorders>
              <w:tl2br w:val="nil"/>
              <w:tr2bl w:val="nil"/>
            </w:tcBorders>
            <w:vAlign w:val="center"/>
          </w:tcPr>
          <w:p w14:paraId="2B021AD1">
            <w:pPr>
              <w:jc w:val="center"/>
              <w:rPr>
                <w:highlight w:val="none"/>
              </w:rPr>
            </w:pPr>
            <w:r>
              <w:rPr>
                <w:rFonts w:hint="eastAsia"/>
                <w:color w:val="000000"/>
                <w:highlight w:val="none"/>
              </w:rPr>
              <w:t>否</w:t>
            </w:r>
          </w:p>
        </w:tc>
      </w:tr>
      <w:tr w14:paraId="11F10B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89" w:type="dxa"/>
            <w:vMerge w:val="continue"/>
            <w:tcBorders>
              <w:tl2br w:val="nil"/>
              <w:tr2bl w:val="nil"/>
            </w:tcBorders>
            <w:vAlign w:val="center"/>
          </w:tcPr>
          <w:p w14:paraId="0ABC750E">
            <w:pPr>
              <w:jc w:val="center"/>
              <w:rPr>
                <w:highlight w:val="none"/>
              </w:rPr>
            </w:pPr>
          </w:p>
        </w:tc>
        <w:tc>
          <w:tcPr>
            <w:tcW w:w="1067" w:type="dxa"/>
            <w:tcBorders>
              <w:tl2br w:val="nil"/>
              <w:tr2bl w:val="nil"/>
            </w:tcBorders>
            <w:vAlign w:val="center"/>
          </w:tcPr>
          <w:p w14:paraId="68C3CA3C">
            <w:pPr>
              <w:jc w:val="center"/>
              <w:rPr>
                <w:highlight w:val="none"/>
              </w:rPr>
            </w:pPr>
            <w:r>
              <w:rPr>
                <w:rFonts w:hint="eastAsia"/>
                <w:color w:val="000000"/>
                <w:highlight w:val="none"/>
              </w:rPr>
              <w:t>乙基汞</w:t>
            </w:r>
          </w:p>
        </w:tc>
        <w:tc>
          <w:tcPr>
            <w:tcW w:w="1009" w:type="dxa"/>
            <w:tcBorders>
              <w:tl2br w:val="nil"/>
              <w:tr2bl w:val="nil"/>
            </w:tcBorders>
            <w:vAlign w:val="center"/>
          </w:tcPr>
          <w:p w14:paraId="50CE08A1">
            <w:pPr>
              <w:jc w:val="center"/>
              <w:rPr>
                <w:highlight w:val="none"/>
              </w:rPr>
            </w:pPr>
            <w:r>
              <w:rPr>
                <w:rFonts w:eastAsia="等线"/>
                <w:color w:val="000000"/>
                <w:highlight w:val="none"/>
              </w:rPr>
              <w:t>ng/L</w:t>
            </w:r>
          </w:p>
        </w:tc>
        <w:tc>
          <w:tcPr>
            <w:tcW w:w="3493" w:type="dxa"/>
            <w:tcBorders>
              <w:tl2br w:val="nil"/>
              <w:tr2bl w:val="nil"/>
            </w:tcBorders>
            <w:vAlign w:val="center"/>
          </w:tcPr>
          <w:p w14:paraId="60839C45">
            <w:pPr>
              <w:jc w:val="center"/>
              <w:rPr>
                <w:highlight w:val="none"/>
              </w:rPr>
            </w:pPr>
            <w:r>
              <w:rPr>
                <w:rFonts w:eastAsia="等线"/>
                <w:color w:val="000000"/>
                <w:highlight w:val="none"/>
              </w:rPr>
              <w:t>&lt;20</w:t>
            </w:r>
          </w:p>
        </w:tc>
        <w:tc>
          <w:tcPr>
            <w:tcW w:w="1085" w:type="dxa"/>
            <w:tcBorders>
              <w:tl2br w:val="nil"/>
              <w:tr2bl w:val="nil"/>
            </w:tcBorders>
            <w:vAlign w:val="center"/>
          </w:tcPr>
          <w:p w14:paraId="52C2CD7B">
            <w:pPr>
              <w:jc w:val="center"/>
              <w:rPr>
                <w:highlight w:val="none"/>
              </w:rPr>
            </w:pPr>
            <w:r>
              <w:rPr>
                <w:rFonts w:eastAsia="等线"/>
                <w:color w:val="000000"/>
                <w:highlight w:val="none"/>
              </w:rPr>
              <w:t>20</w:t>
            </w:r>
            <w:r>
              <w:rPr>
                <w:rFonts w:hint="eastAsia" w:eastAsia="等线"/>
                <w:color w:val="000000"/>
                <w:highlight w:val="none"/>
                <w:lang w:val="en-US" w:eastAsia="zh-CN"/>
              </w:rPr>
              <w:t>L</w:t>
            </w:r>
          </w:p>
        </w:tc>
        <w:tc>
          <w:tcPr>
            <w:tcW w:w="1185" w:type="dxa"/>
            <w:tcBorders>
              <w:tl2br w:val="nil"/>
              <w:tr2bl w:val="nil"/>
            </w:tcBorders>
            <w:vAlign w:val="center"/>
          </w:tcPr>
          <w:p w14:paraId="2B6F9537">
            <w:pPr>
              <w:jc w:val="center"/>
              <w:rPr>
                <w:highlight w:val="none"/>
              </w:rPr>
            </w:pPr>
            <w:r>
              <w:rPr>
                <w:rFonts w:hint="eastAsia"/>
                <w:color w:val="000000"/>
                <w:highlight w:val="none"/>
              </w:rPr>
              <w:t>否</w:t>
            </w:r>
          </w:p>
        </w:tc>
      </w:tr>
      <w:tr w14:paraId="623340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1DB1D1D0">
            <w:pPr>
              <w:jc w:val="center"/>
              <w:rPr>
                <w:highlight w:val="none"/>
              </w:rPr>
            </w:pPr>
            <w:r>
              <w:rPr>
                <w:rFonts w:hint="eastAsia"/>
                <w:color w:val="000000"/>
                <w:highlight w:val="none"/>
              </w:rPr>
              <w:t>总镉</w:t>
            </w:r>
          </w:p>
        </w:tc>
        <w:tc>
          <w:tcPr>
            <w:tcW w:w="1009" w:type="dxa"/>
            <w:tcBorders>
              <w:tl2br w:val="nil"/>
              <w:tr2bl w:val="nil"/>
            </w:tcBorders>
            <w:vAlign w:val="center"/>
          </w:tcPr>
          <w:p w14:paraId="4534977C">
            <w:pPr>
              <w:jc w:val="center"/>
              <w:rPr>
                <w:highlight w:val="none"/>
              </w:rPr>
            </w:pPr>
            <w:r>
              <w:rPr>
                <w:rFonts w:eastAsia="等线"/>
                <w:color w:val="000000"/>
                <w:highlight w:val="none"/>
              </w:rPr>
              <w:t>mg/L</w:t>
            </w:r>
          </w:p>
        </w:tc>
        <w:tc>
          <w:tcPr>
            <w:tcW w:w="3493" w:type="dxa"/>
            <w:tcBorders>
              <w:tl2br w:val="nil"/>
              <w:tr2bl w:val="nil"/>
            </w:tcBorders>
            <w:vAlign w:val="center"/>
          </w:tcPr>
          <w:p w14:paraId="0FCF8C91">
            <w:pPr>
              <w:jc w:val="center"/>
              <w:rPr>
                <w:highlight w:val="none"/>
              </w:rPr>
            </w:pPr>
            <w:r>
              <w:rPr>
                <w:rFonts w:eastAsia="等线"/>
                <w:color w:val="000000"/>
                <w:highlight w:val="none"/>
              </w:rPr>
              <w:t>0.1</w:t>
            </w:r>
          </w:p>
        </w:tc>
        <w:tc>
          <w:tcPr>
            <w:tcW w:w="1085" w:type="dxa"/>
            <w:tcBorders>
              <w:tl2br w:val="nil"/>
              <w:tr2bl w:val="nil"/>
            </w:tcBorders>
            <w:vAlign w:val="center"/>
          </w:tcPr>
          <w:p w14:paraId="4CC9D36F">
            <w:pPr>
              <w:jc w:val="center"/>
              <w:rPr>
                <w:highlight w:val="none"/>
              </w:rPr>
            </w:pPr>
            <w:r>
              <w:rPr>
                <w:rFonts w:eastAsia="等线"/>
                <w:color w:val="000000"/>
                <w:highlight w:val="none"/>
              </w:rPr>
              <w:t>0.00005</w:t>
            </w:r>
            <w:r>
              <w:rPr>
                <w:rFonts w:hint="eastAsia" w:eastAsia="等线"/>
                <w:color w:val="000000"/>
                <w:highlight w:val="none"/>
                <w:lang w:val="en-US" w:eastAsia="zh-CN"/>
              </w:rPr>
              <w:t>L</w:t>
            </w:r>
          </w:p>
        </w:tc>
        <w:tc>
          <w:tcPr>
            <w:tcW w:w="1185" w:type="dxa"/>
            <w:tcBorders>
              <w:tl2br w:val="nil"/>
              <w:tr2bl w:val="nil"/>
            </w:tcBorders>
            <w:vAlign w:val="center"/>
          </w:tcPr>
          <w:p w14:paraId="28867D12">
            <w:pPr>
              <w:jc w:val="center"/>
              <w:rPr>
                <w:highlight w:val="none"/>
              </w:rPr>
            </w:pPr>
            <w:r>
              <w:rPr>
                <w:rFonts w:hint="eastAsia"/>
                <w:color w:val="000000"/>
                <w:highlight w:val="none"/>
              </w:rPr>
              <w:t>否</w:t>
            </w:r>
          </w:p>
        </w:tc>
      </w:tr>
      <w:tr w14:paraId="77746D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09BD6626">
            <w:pPr>
              <w:jc w:val="center"/>
              <w:rPr>
                <w:highlight w:val="none"/>
              </w:rPr>
            </w:pPr>
            <w:r>
              <w:rPr>
                <w:rFonts w:hint="eastAsia"/>
                <w:color w:val="000000"/>
                <w:highlight w:val="none"/>
              </w:rPr>
              <w:t>总铬</w:t>
            </w:r>
          </w:p>
        </w:tc>
        <w:tc>
          <w:tcPr>
            <w:tcW w:w="1009" w:type="dxa"/>
            <w:tcBorders>
              <w:tl2br w:val="nil"/>
              <w:tr2bl w:val="nil"/>
            </w:tcBorders>
            <w:vAlign w:val="center"/>
          </w:tcPr>
          <w:p w14:paraId="2BB5DDE6">
            <w:pPr>
              <w:jc w:val="center"/>
              <w:rPr>
                <w:highlight w:val="none"/>
              </w:rPr>
            </w:pPr>
            <w:r>
              <w:rPr>
                <w:rFonts w:eastAsia="等线"/>
                <w:color w:val="000000"/>
                <w:highlight w:val="none"/>
              </w:rPr>
              <w:t>mg/L</w:t>
            </w:r>
          </w:p>
        </w:tc>
        <w:tc>
          <w:tcPr>
            <w:tcW w:w="3493" w:type="dxa"/>
            <w:tcBorders>
              <w:tl2br w:val="nil"/>
              <w:tr2bl w:val="nil"/>
            </w:tcBorders>
            <w:vAlign w:val="center"/>
          </w:tcPr>
          <w:p w14:paraId="06981A3E">
            <w:pPr>
              <w:jc w:val="center"/>
              <w:rPr>
                <w:highlight w:val="none"/>
              </w:rPr>
            </w:pPr>
            <w:r>
              <w:rPr>
                <w:rFonts w:eastAsia="等线"/>
                <w:color w:val="000000"/>
                <w:highlight w:val="none"/>
              </w:rPr>
              <w:t>1.5</w:t>
            </w:r>
          </w:p>
        </w:tc>
        <w:tc>
          <w:tcPr>
            <w:tcW w:w="1085" w:type="dxa"/>
            <w:tcBorders>
              <w:tl2br w:val="nil"/>
              <w:tr2bl w:val="nil"/>
            </w:tcBorders>
            <w:vAlign w:val="center"/>
          </w:tcPr>
          <w:p w14:paraId="03873038">
            <w:pPr>
              <w:jc w:val="center"/>
              <w:rPr>
                <w:highlight w:val="none"/>
              </w:rPr>
            </w:pPr>
            <w:r>
              <w:rPr>
                <w:rFonts w:eastAsia="等线"/>
                <w:color w:val="000000"/>
                <w:highlight w:val="none"/>
              </w:rPr>
              <w:t>0.004</w:t>
            </w:r>
            <w:r>
              <w:rPr>
                <w:rFonts w:hint="eastAsia" w:eastAsia="等线"/>
                <w:color w:val="000000"/>
                <w:highlight w:val="none"/>
                <w:lang w:val="en-US" w:eastAsia="zh-CN"/>
              </w:rPr>
              <w:t>L</w:t>
            </w:r>
          </w:p>
        </w:tc>
        <w:tc>
          <w:tcPr>
            <w:tcW w:w="1185" w:type="dxa"/>
            <w:tcBorders>
              <w:tl2br w:val="nil"/>
              <w:tr2bl w:val="nil"/>
            </w:tcBorders>
            <w:vAlign w:val="center"/>
          </w:tcPr>
          <w:p w14:paraId="30E9EED4">
            <w:pPr>
              <w:jc w:val="center"/>
              <w:rPr>
                <w:highlight w:val="none"/>
              </w:rPr>
            </w:pPr>
            <w:r>
              <w:rPr>
                <w:rFonts w:hint="eastAsia"/>
                <w:color w:val="000000"/>
                <w:highlight w:val="none"/>
              </w:rPr>
              <w:t>否</w:t>
            </w:r>
          </w:p>
        </w:tc>
      </w:tr>
      <w:tr w14:paraId="71CDC7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18DF30FD">
            <w:pPr>
              <w:jc w:val="center"/>
              <w:rPr>
                <w:highlight w:val="none"/>
              </w:rPr>
            </w:pPr>
            <w:r>
              <w:rPr>
                <w:rFonts w:hint="eastAsia"/>
                <w:color w:val="000000"/>
                <w:highlight w:val="none"/>
              </w:rPr>
              <w:t>六价铬</w:t>
            </w:r>
          </w:p>
        </w:tc>
        <w:tc>
          <w:tcPr>
            <w:tcW w:w="1009" w:type="dxa"/>
            <w:tcBorders>
              <w:tl2br w:val="nil"/>
              <w:tr2bl w:val="nil"/>
            </w:tcBorders>
            <w:vAlign w:val="center"/>
          </w:tcPr>
          <w:p w14:paraId="19474527">
            <w:pPr>
              <w:jc w:val="center"/>
              <w:rPr>
                <w:highlight w:val="none"/>
              </w:rPr>
            </w:pPr>
            <w:r>
              <w:rPr>
                <w:rFonts w:eastAsia="等线"/>
                <w:color w:val="000000"/>
                <w:highlight w:val="none"/>
              </w:rPr>
              <w:t>mg/L</w:t>
            </w:r>
          </w:p>
        </w:tc>
        <w:tc>
          <w:tcPr>
            <w:tcW w:w="3493" w:type="dxa"/>
            <w:tcBorders>
              <w:tl2br w:val="nil"/>
              <w:tr2bl w:val="nil"/>
            </w:tcBorders>
            <w:vAlign w:val="center"/>
          </w:tcPr>
          <w:p w14:paraId="3CE45AEE">
            <w:pPr>
              <w:jc w:val="center"/>
              <w:rPr>
                <w:highlight w:val="none"/>
              </w:rPr>
            </w:pPr>
            <w:r>
              <w:rPr>
                <w:rFonts w:eastAsia="等线"/>
                <w:color w:val="000000"/>
                <w:highlight w:val="none"/>
              </w:rPr>
              <w:t>0.5</w:t>
            </w:r>
          </w:p>
        </w:tc>
        <w:tc>
          <w:tcPr>
            <w:tcW w:w="1085" w:type="dxa"/>
            <w:tcBorders>
              <w:tl2br w:val="nil"/>
              <w:tr2bl w:val="nil"/>
            </w:tcBorders>
            <w:vAlign w:val="center"/>
          </w:tcPr>
          <w:p w14:paraId="0F54D022">
            <w:pPr>
              <w:jc w:val="center"/>
              <w:rPr>
                <w:highlight w:val="none"/>
              </w:rPr>
            </w:pPr>
            <w:r>
              <w:rPr>
                <w:rFonts w:eastAsia="等线"/>
                <w:color w:val="000000"/>
                <w:highlight w:val="none"/>
              </w:rPr>
              <w:t>0.004</w:t>
            </w:r>
            <w:r>
              <w:rPr>
                <w:rFonts w:hint="eastAsia" w:eastAsia="等线"/>
                <w:color w:val="000000"/>
                <w:highlight w:val="none"/>
                <w:lang w:val="en-US" w:eastAsia="zh-CN"/>
              </w:rPr>
              <w:t>L</w:t>
            </w:r>
          </w:p>
        </w:tc>
        <w:tc>
          <w:tcPr>
            <w:tcW w:w="1185" w:type="dxa"/>
            <w:tcBorders>
              <w:tl2br w:val="nil"/>
              <w:tr2bl w:val="nil"/>
            </w:tcBorders>
            <w:vAlign w:val="center"/>
          </w:tcPr>
          <w:p w14:paraId="423E23F7">
            <w:pPr>
              <w:jc w:val="center"/>
              <w:rPr>
                <w:highlight w:val="none"/>
              </w:rPr>
            </w:pPr>
            <w:r>
              <w:rPr>
                <w:rFonts w:hint="eastAsia"/>
                <w:color w:val="000000"/>
                <w:highlight w:val="none"/>
              </w:rPr>
              <w:t>否</w:t>
            </w:r>
          </w:p>
        </w:tc>
      </w:tr>
      <w:tr w14:paraId="74A519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418F4D6C">
            <w:pPr>
              <w:jc w:val="center"/>
              <w:rPr>
                <w:highlight w:val="none"/>
              </w:rPr>
            </w:pPr>
            <w:r>
              <w:rPr>
                <w:rFonts w:hint="eastAsia"/>
                <w:color w:val="000000"/>
                <w:highlight w:val="none"/>
              </w:rPr>
              <w:t>总砷</w:t>
            </w:r>
          </w:p>
        </w:tc>
        <w:tc>
          <w:tcPr>
            <w:tcW w:w="1009" w:type="dxa"/>
            <w:tcBorders>
              <w:tl2br w:val="nil"/>
              <w:tr2bl w:val="nil"/>
            </w:tcBorders>
            <w:vAlign w:val="center"/>
          </w:tcPr>
          <w:p w14:paraId="6BC0272E">
            <w:pPr>
              <w:jc w:val="center"/>
              <w:rPr>
                <w:highlight w:val="none"/>
              </w:rPr>
            </w:pPr>
            <w:r>
              <w:rPr>
                <w:rFonts w:eastAsia="等线"/>
                <w:color w:val="000000"/>
                <w:highlight w:val="none"/>
              </w:rPr>
              <w:t>mg/L</w:t>
            </w:r>
          </w:p>
        </w:tc>
        <w:tc>
          <w:tcPr>
            <w:tcW w:w="3493" w:type="dxa"/>
            <w:tcBorders>
              <w:tl2br w:val="nil"/>
              <w:tr2bl w:val="nil"/>
            </w:tcBorders>
            <w:vAlign w:val="center"/>
          </w:tcPr>
          <w:p w14:paraId="2658B2D2">
            <w:pPr>
              <w:jc w:val="center"/>
              <w:rPr>
                <w:highlight w:val="none"/>
              </w:rPr>
            </w:pPr>
            <w:r>
              <w:rPr>
                <w:rFonts w:eastAsia="等线"/>
                <w:color w:val="000000"/>
                <w:highlight w:val="none"/>
              </w:rPr>
              <w:t>0.5</w:t>
            </w:r>
          </w:p>
        </w:tc>
        <w:tc>
          <w:tcPr>
            <w:tcW w:w="1085" w:type="dxa"/>
            <w:tcBorders>
              <w:tl2br w:val="nil"/>
              <w:tr2bl w:val="nil"/>
            </w:tcBorders>
            <w:vAlign w:val="center"/>
          </w:tcPr>
          <w:p w14:paraId="6BC5CAE7">
            <w:pPr>
              <w:jc w:val="center"/>
              <w:rPr>
                <w:highlight w:val="none"/>
              </w:rPr>
            </w:pPr>
            <w:r>
              <w:rPr>
                <w:rFonts w:eastAsia="等线"/>
                <w:color w:val="000000"/>
                <w:highlight w:val="none"/>
              </w:rPr>
              <w:t>0.0003</w:t>
            </w:r>
            <w:r>
              <w:rPr>
                <w:rFonts w:hint="eastAsia" w:eastAsia="等线"/>
                <w:color w:val="000000"/>
                <w:highlight w:val="none"/>
                <w:lang w:val="en-US" w:eastAsia="zh-CN"/>
              </w:rPr>
              <w:t>L</w:t>
            </w:r>
          </w:p>
        </w:tc>
        <w:tc>
          <w:tcPr>
            <w:tcW w:w="1185" w:type="dxa"/>
            <w:tcBorders>
              <w:tl2br w:val="nil"/>
              <w:tr2bl w:val="nil"/>
            </w:tcBorders>
            <w:vAlign w:val="center"/>
          </w:tcPr>
          <w:p w14:paraId="0B7BF40F">
            <w:pPr>
              <w:jc w:val="center"/>
              <w:rPr>
                <w:highlight w:val="none"/>
              </w:rPr>
            </w:pPr>
            <w:r>
              <w:rPr>
                <w:rFonts w:hint="eastAsia"/>
                <w:color w:val="000000"/>
                <w:highlight w:val="none"/>
              </w:rPr>
              <w:t>否</w:t>
            </w:r>
          </w:p>
        </w:tc>
      </w:tr>
      <w:tr w14:paraId="540F67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65C6CCCA">
            <w:pPr>
              <w:jc w:val="center"/>
              <w:rPr>
                <w:highlight w:val="none"/>
              </w:rPr>
            </w:pPr>
            <w:r>
              <w:rPr>
                <w:rFonts w:hint="eastAsia"/>
                <w:color w:val="000000"/>
                <w:highlight w:val="none"/>
              </w:rPr>
              <w:t>总铅</w:t>
            </w:r>
          </w:p>
        </w:tc>
        <w:tc>
          <w:tcPr>
            <w:tcW w:w="1009" w:type="dxa"/>
            <w:tcBorders>
              <w:tl2br w:val="nil"/>
              <w:tr2bl w:val="nil"/>
            </w:tcBorders>
            <w:vAlign w:val="center"/>
          </w:tcPr>
          <w:p w14:paraId="4DE76926">
            <w:pPr>
              <w:jc w:val="center"/>
              <w:rPr>
                <w:highlight w:val="none"/>
              </w:rPr>
            </w:pPr>
            <w:r>
              <w:rPr>
                <w:rFonts w:eastAsia="等线"/>
                <w:color w:val="000000"/>
                <w:highlight w:val="none"/>
              </w:rPr>
              <w:t>mg/L</w:t>
            </w:r>
          </w:p>
        </w:tc>
        <w:tc>
          <w:tcPr>
            <w:tcW w:w="3493" w:type="dxa"/>
            <w:tcBorders>
              <w:tl2br w:val="nil"/>
              <w:tr2bl w:val="nil"/>
            </w:tcBorders>
            <w:vAlign w:val="center"/>
          </w:tcPr>
          <w:p w14:paraId="6D48A86B">
            <w:pPr>
              <w:jc w:val="center"/>
              <w:rPr>
                <w:highlight w:val="none"/>
              </w:rPr>
            </w:pPr>
            <w:r>
              <w:rPr>
                <w:rFonts w:eastAsia="等线"/>
                <w:color w:val="000000"/>
                <w:highlight w:val="none"/>
              </w:rPr>
              <w:t>1</w:t>
            </w:r>
          </w:p>
        </w:tc>
        <w:tc>
          <w:tcPr>
            <w:tcW w:w="1085" w:type="dxa"/>
            <w:tcBorders>
              <w:tl2br w:val="nil"/>
              <w:tr2bl w:val="nil"/>
            </w:tcBorders>
            <w:vAlign w:val="center"/>
          </w:tcPr>
          <w:p w14:paraId="0363EAC0">
            <w:pPr>
              <w:jc w:val="center"/>
              <w:rPr>
                <w:highlight w:val="none"/>
              </w:rPr>
            </w:pPr>
            <w:r>
              <w:rPr>
                <w:rFonts w:eastAsia="等线"/>
                <w:color w:val="000000"/>
                <w:highlight w:val="none"/>
              </w:rPr>
              <w:t>0.00009</w:t>
            </w:r>
            <w:r>
              <w:rPr>
                <w:rFonts w:hint="eastAsia" w:eastAsia="等线"/>
                <w:color w:val="000000"/>
                <w:highlight w:val="none"/>
                <w:lang w:val="en-US" w:eastAsia="zh-CN"/>
              </w:rPr>
              <w:t>L</w:t>
            </w:r>
          </w:p>
        </w:tc>
        <w:tc>
          <w:tcPr>
            <w:tcW w:w="1185" w:type="dxa"/>
            <w:tcBorders>
              <w:tl2br w:val="nil"/>
              <w:tr2bl w:val="nil"/>
            </w:tcBorders>
            <w:vAlign w:val="center"/>
          </w:tcPr>
          <w:p w14:paraId="7E81013D">
            <w:pPr>
              <w:jc w:val="center"/>
              <w:rPr>
                <w:highlight w:val="none"/>
              </w:rPr>
            </w:pPr>
            <w:r>
              <w:rPr>
                <w:rFonts w:hint="eastAsia"/>
                <w:color w:val="000000"/>
                <w:highlight w:val="none"/>
              </w:rPr>
              <w:t>否</w:t>
            </w:r>
          </w:p>
        </w:tc>
      </w:tr>
      <w:tr w14:paraId="0C5D2E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1A926000">
            <w:pPr>
              <w:jc w:val="center"/>
              <w:rPr>
                <w:highlight w:val="none"/>
              </w:rPr>
            </w:pPr>
            <w:r>
              <w:rPr>
                <w:rFonts w:hint="eastAsia"/>
                <w:color w:val="000000"/>
                <w:highlight w:val="none"/>
              </w:rPr>
              <w:t>总镍</w:t>
            </w:r>
          </w:p>
        </w:tc>
        <w:tc>
          <w:tcPr>
            <w:tcW w:w="1009" w:type="dxa"/>
            <w:tcBorders>
              <w:tl2br w:val="nil"/>
              <w:tr2bl w:val="nil"/>
            </w:tcBorders>
            <w:vAlign w:val="center"/>
          </w:tcPr>
          <w:p w14:paraId="49D49A24">
            <w:pPr>
              <w:jc w:val="center"/>
              <w:rPr>
                <w:highlight w:val="none"/>
              </w:rPr>
            </w:pPr>
            <w:r>
              <w:rPr>
                <w:rFonts w:eastAsia="等线"/>
                <w:color w:val="000000"/>
                <w:highlight w:val="none"/>
              </w:rPr>
              <w:t>mg/L</w:t>
            </w:r>
          </w:p>
        </w:tc>
        <w:tc>
          <w:tcPr>
            <w:tcW w:w="3493" w:type="dxa"/>
            <w:tcBorders>
              <w:tl2br w:val="nil"/>
              <w:tr2bl w:val="nil"/>
            </w:tcBorders>
            <w:vAlign w:val="center"/>
          </w:tcPr>
          <w:p w14:paraId="60E8C1FF">
            <w:pPr>
              <w:jc w:val="center"/>
              <w:rPr>
                <w:highlight w:val="none"/>
              </w:rPr>
            </w:pPr>
            <w:r>
              <w:rPr>
                <w:rFonts w:eastAsia="等线"/>
                <w:color w:val="000000"/>
                <w:highlight w:val="none"/>
              </w:rPr>
              <w:t>1</w:t>
            </w:r>
          </w:p>
        </w:tc>
        <w:tc>
          <w:tcPr>
            <w:tcW w:w="1085" w:type="dxa"/>
            <w:tcBorders>
              <w:tl2br w:val="nil"/>
              <w:tr2bl w:val="nil"/>
            </w:tcBorders>
            <w:vAlign w:val="center"/>
          </w:tcPr>
          <w:p w14:paraId="1274E031">
            <w:pPr>
              <w:jc w:val="center"/>
              <w:rPr>
                <w:highlight w:val="none"/>
              </w:rPr>
            </w:pPr>
            <w:r>
              <w:rPr>
                <w:rFonts w:eastAsia="等线"/>
                <w:color w:val="000000"/>
                <w:highlight w:val="none"/>
              </w:rPr>
              <w:t>0.0</w:t>
            </w:r>
            <w:r>
              <w:rPr>
                <w:rFonts w:hint="eastAsia" w:eastAsia="等线"/>
                <w:color w:val="000000"/>
                <w:highlight w:val="none"/>
                <w:lang w:val="en-US" w:eastAsia="zh-CN"/>
              </w:rPr>
              <w:t>5L</w:t>
            </w:r>
          </w:p>
        </w:tc>
        <w:tc>
          <w:tcPr>
            <w:tcW w:w="1185" w:type="dxa"/>
            <w:tcBorders>
              <w:tl2br w:val="nil"/>
              <w:tr2bl w:val="nil"/>
            </w:tcBorders>
            <w:vAlign w:val="center"/>
          </w:tcPr>
          <w:p w14:paraId="6FD36042">
            <w:pPr>
              <w:jc w:val="center"/>
              <w:rPr>
                <w:highlight w:val="none"/>
              </w:rPr>
            </w:pPr>
            <w:r>
              <w:rPr>
                <w:rFonts w:hint="eastAsia"/>
                <w:color w:val="000000"/>
                <w:highlight w:val="none"/>
              </w:rPr>
              <w:t>否</w:t>
            </w:r>
          </w:p>
        </w:tc>
      </w:tr>
      <w:tr w14:paraId="2EFDDD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5B65CF9C">
            <w:pPr>
              <w:jc w:val="center"/>
              <w:rPr>
                <w:highlight w:val="none"/>
              </w:rPr>
            </w:pPr>
            <w:r>
              <w:rPr>
                <w:rFonts w:hint="eastAsia"/>
                <w:color w:val="000000"/>
                <w:highlight w:val="none"/>
              </w:rPr>
              <w:t>苯并</w:t>
            </w:r>
            <w:r>
              <w:rPr>
                <w:color w:val="000000"/>
                <w:highlight w:val="none"/>
              </w:rPr>
              <w:t>[α]</w:t>
            </w:r>
            <w:r>
              <w:rPr>
                <w:rFonts w:hint="eastAsia"/>
                <w:color w:val="000000"/>
                <w:highlight w:val="none"/>
              </w:rPr>
              <w:t>芘</w:t>
            </w:r>
          </w:p>
        </w:tc>
        <w:tc>
          <w:tcPr>
            <w:tcW w:w="1009" w:type="dxa"/>
            <w:tcBorders>
              <w:tl2br w:val="nil"/>
              <w:tr2bl w:val="nil"/>
            </w:tcBorders>
            <w:vAlign w:val="center"/>
          </w:tcPr>
          <w:p w14:paraId="7522A7D8">
            <w:pPr>
              <w:jc w:val="center"/>
              <w:rPr>
                <w:highlight w:val="none"/>
              </w:rPr>
            </w:pPr>
            <w:r>
              <w:rPr>
                <w:rFonts w:eastAsia="等线"/>
                <w:color w:val="000000"/>
                <w:highlight w:val="none"/>
              </w:rPr>
              <w:t>mg/L</w:t>
            </w:r>
          </w:p>
        </w:tc>
        <w:tc>
          <w:tcPr>
            <w:tcW w:w="3493" w:type="dxa"/>
            <w:tcBorders>
              <w:tl2br w:val="nil"/>
              <w:tr2bl w:val="nil"/>
            </w:tcBorders>
            <w:vAlign w:val="center"/>
          </w:tcPr>
          <w:p w14:paraId="3B431366">
            <w:pPr>
              <w:jc w:val="center"/>
              <w:rPr>
                <w:highlight w:val="none"/>
              </w:rPr>
            </w:pPr>
            <w:r>
              <w:rPr>
                <w:rFonts w:eastAsia="等线"/>
                <w:color w:val="000000"/>
                <w:highlight w:val="none"/>
              </w:rPr>
              <w:t>0.00003</w:t>
            </w:r>
          </w:p>
        </w:tc>
        <w:tc>
          <w:tcPr>
            <w:tcW w:w="1085" w:type="dxa"/>
            <w:tcBorders>
              <w:tl2br w:val="nil"/>
              <w:tr2bl w:val="nil"/>
            </w:tcBorders>
            <w:vAlign w:val="center"/>
          </w:tcPr>
          <w:p w14:paraId="68535936">
            <w:pPr>
              <w:jc w:val="center"/>
              <w:rPr>
                <w:highlight w:val="none"/>
              </w:rPr>
            </w:pPr>
            <w:r>
              <w:rPr>
                <w:rFonts w:eastAsia="等线"/>
                <w:color w:val="000000"/>
                <w:highlight w:val="none"/>
              </w:rPr>
              <w:t>0.000004</w:t>
            </w:r>
            <w:r>
              <w:rPr>
                <w:rFonts w:hint="eastAsia" w:eastAsia="等线"/>
                <w:color w:val="000000"/>
                <w:highlight w:val="none"/>
                <w:lang w:val="en-US" w:eastAsia="zh-CN"/>
              </w:rPr>
              <w:t>L</w:t>
            </w:r>
          </w:p>
        </w:tc>
        <w:tc>
          <w:tcPr>
            <w:tcW w:w="1185" w:type="dxa"/>
            <w:tcBorders>
              <w:tl2br w:val="nil"/>
              <w:tr2bl w:val="nil"/>
            </w:tcBorders>
            <w:vAlign w:val="center"/>
          </w:tcPr>
          <w:p w14:paraId="16FF630D">
            <w:pPr>
              <w:jc w:val="center"/>
              <w:rPr>
                <w:highlight w:val="none"/>
              </w:rPr>
            </w:pPr>
            <w:r>
              <w:rPr>
                <w:rFonts w:hint="eastAsia"/>
                <w:color w:val="000000"/>
                <w:highlight w:val="none"/>
              </w:rPr>
              <w:t>否</w:t>
            </w:r>
          </w:p>
        </w:tc>
      </w:tr>
      <w:tr w14:paraId="25E78D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73907356">
            <w:pPr>
              <w:jc w:val="center"/>
              <w:rPr>
                <w:highlight w:val="none"/>
              </w:rPr>
            </w:pPr>
            <w:r>
              <w:rPr>
                <w:rFonts w:hint="eastAsia"/>
                <w:color w:val="000000"/>
                <w:highlight w:val="none"/>
              </w:rPr>
              <w:t>总铍</w:t>
            </w:r>
          </w:p>
        </w:tc>
        <w:tc>
          <w:tcPr>
            <w:tcW w:w="1009" w:type="dxa"/>
            <w:tcBorders>
              <w:tl2br w:val="nil"/>
              <w:tr2bl w:val="nil"/>
            </w:tcBorders>
            <w:vAlign w:val="center"/>
          </w:tcPr>
          <w:p w14:paraId="79AB3B82">
            <w:pPr>
              <w:jc w:val="center"/>
              <w:rPr>
                <w:highlight w:val="none"/>
              </w:rPr>
            </w:pPr>
            <w:r>
              <w:rPr>
                <w:rFonts w:eastAsia="等线"/>
                <w:color w:val="000000"/>
                <w:highlight w:val="none"/>
              </w:rPr>
              <w:t>mg/L</w:t>
            </w:r>
          </w:p>
        </w:tc>
        <w:tc>
          <w:tcPr>
            <w:tcW w:w="3493" w:type="dxa"/>
            <w:tcBorders>
              <w:tl2br w:val="nil"/>
              <w:tr2bl w:val="nil"/>
            </w:tcBorders>
            <w:vAlign w:val="center"/>
          </w:tcPr>
          <w:p w14:paraId="764493ED">
            <w:pPr>
              <w:jc w:val="center"/>
              <w:rPr>
                <w:highlight w:val="none"/>
              </w:rPr>
            </w:pPr>
            <w:r>
              <w:rPr>
                <w:rFonts w:eastAsia="等线"/>
                <w:color w:val="000000"/>
                <w:highlight w:val="none"/>
              </w:rPr>
              <w:t>0.005</w:t>
            </w:r>
          </w:p>
        </w:tc>
        <w:tc>
          <w:tcPr>
            <w:tcW w:w="1085" w:type="dxa"/>
            <w:tcBorders>
              <w:tl2br w:val="nil"/>
              <w:tr2bl w:val="nil"/>
            </w:tcBorders>
            <w:vAlign w:val="center"/>
          </w:tcPr>
          <w:p w14:paraId="033DE749">
            <w:pPr>
              <w:jc w:val="center"/>
              <w:rPr>
                <w:highlight w:val="none"/>
              </w:rPr>
            </w:pPr>
            <w:r>
              <w:rPr>
                <w:rFonts w:eastAsia="等线"/>
                <w:color w:val="000000"/>
                <w:highlight w:val="none"/>
              </w:rPr>
              <w:t>0.00004</w:t>
            </w:r>
            <w:r>
              <w:rPr>
                <w:rFonts w:hint="eastAsia" w:eastAsia="等线"/>
                <w:color w:val="000000"/>
                <w:highlight w:val="none"/>
                <w:lang w:val="en-US" w:eastAsia="zh-CN"/>
              </w:rPr>
              <w:t>L</w:t>
            </w:r>
          </w:p>
        </w:tc>
        <w:tc>
          <w:tcPr>
            <w:tcW w:w="1185" w:type="dxa"/>
            <w:tcBorders>
              <w:tl2br w:val="nil"/>
              <w:tr2bl w:val="nil"/>
            </w:tcBorders>
            <w:vAlign w:val="center"/>
          </w:tcPr>
          <w:p w14:paraId="285D275E">
            <w:pPr>
              <w:jc w:val="center"/>
              <w:rPr>
                <w:highlight w:val="none"/>
              </w:rPr>
            </w:pPr>
            <w:r>
              <w:rPr>
                <w:rFonts w:hint="eastAsia"/>
                <w:color w:val="000000"/>
                <w:highlight w:val="none"/>
              </w:rPr>
              <w:t>否</w:t>
            </w:r>
          </w:p>
        </w:tc>
      </w:tr>
      <w:tr w14:paraId="3BCCC0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5E160FFA">
            <w:pPr>
              <w:jc w:val="center"/>
              <w:rPr>
                <w:highlight w:val="none"/>
              </w:rPr>
            </w:pPr>
            <w:r>
              <w:rPr>
                <w:rFonts w:hint="eastAsia"/>
                <w:color w:val="000000"/>
                <w:highlight w:val="none"/>
              </w:rPr>
              <w:t>总银</w:t>
            </w:r>
          </w:p>
        </w:tc>
        <w:tc>
          <w:tcPr>
            <w:tcW w:w="1009" w:type="dxa"/>
            <w:tcBorders>
              <w:tl2br w:val="nil"/>
              <w:tr2bl w:val="nil"/>
            </w:tcBorders>
            <w:vAlign w:val="center"/>
          </w:tcPr>
          <w:p w14:paraId="4AD2E8AC">
            <w:pPr>
              <w:jc w:val="center"/>
              <w:rPr>
                <w:highlight w:val="none"/>
              </w:rPr>
            </w:pPr>
            <w:r>
              <w:rPr>
                <w:rFonts w:eastAsia="等线"/>
                <w:color w:val="000000"/>
                <w:highlight w:val="none"/>
              </w:rPr>
              <w:t>mg/L</w:t>
            </w:r>
          </w:p>
        </w:tc>
        <w:tc>
          <w:tcPr>
            <w:tcW w:w="3493" w:type="dxa"/>
            <w:tcBorders>
              <w:tl2br w:val="nil"/>
              <w:tr2bl w:val="nil"/>
            </w:tcBorders>
            <w:vAlign w:val="center"/>
          </w:tcPr>
          <w:p w14:paraId="63AEFC1C">
            <w:pPr>
              <w:jc w:val="center"/>
              <w:rPr>
                <w:highlight w:val="none"/>
              </w:rPr>
            </w:pPr>
            <w:r>
              <w:rPr>
                <w:rFonts w:eastAsia="等线"/>
                <w:color w:val="000000"/>
                <w:highlight w:val="none"/>
              </w:rPr>
              <w:t>0.5</w:t>
            </w:r>
          </w:p>
        </w:tc>
        <w:tc>
          <w:tcPr>
            <w:tcW w:w="1085" w:type="dxa"/>
            <w:tcBorders>
              <w:tl2br w:val="nil"/>
              <w:tr2bl w:val="nil"/>
            </w:tcBorders>
            <w:vAlign w:val="center"/>
          </w:tcPr>
          <w:p w14:paraId="4D8268B9">
            <w:pPr>
              <w:jc w:val="center"/>
              <w:rPr>
                <w:highlight w:val="none"/>
              </w:rPr>
            </w:pPr>
            <w:r>
              <w:rPr>
                <w:rFonts w:eastAsia="等线"/>
                <w:color w:val="000000"/>
                <w:highlight w:val="none"/>
              </w:rPr>
              <w:t>0.00004</w:t>
            </w:r>
            <w:r>
              <w:rPr>
                <w:rFonts w:hint="eastAsia" w:eastAsia="等线"/>
                <w:color w:val="000000"/>
                <w:highlight w:val="none"/>
                <w:lang w:val="en-US" w:eastAsia="zh-CN"/>
              </w:rPr>
              <w:t>L</w:t>
            </w:r>
          </w:p>
        </w:tc>
        <w:tc>
          <w:tcPr>
            <w:tcW w:w="1185" w:type="dxa"/>
            <w:tcBorders>
              <w:tl2br w:val="nil"/>
              <w:tr2bl w:val="nil"/>
            </w:tcBorders>
            <w:vAlign w:val="center"/>
          </w:tcPr>
          <w:p w14:paraId="1062DE87">
            <w:pPr>
              <w:jc w:val="center"/>
              <w:rPr>
                <w:highlight w:val="none"/>
              </w:rPr>
            </w:pPr>
            <w:r>
              <w:rPr>
                <w:rFonts w:hint="eastAsia"/>
                <w:color w:val="000000"/>
                <w:highlight w:val="none"/>
              </w:rPr>
              <w:t>否</w:t>
            </w:r>
          </w:p>
        </w:tc>
      </w:tr>
      <w:tr w14:paraId="10A127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5C1AC6F6">
            <w:pPr>
              <w:jc w:val="center"/>
              <w:rPr>
                <w:highlight w:val="none"/>
              </w:rPr>
            </w:pPr>
            <w:r>
              <w:rPr>
                <w:rFonts w:hint="eastAsia"/>
                <w:color w:val="000000"/>
                <w:highlight w:val="none"/>
              </w:rPr>
              <w:t>总</w:t>
            </w:r>
            <w:r>
              <w:rPr>
                <w:color w:val="000000"/>
                <w:highlight w:val="none"/>
              </w:rPr>
              <w:t>α</w:t>
            </w:r>
            <w:r>
              <w:rPr>
                <w:rFonts w:hint="eastAsia"/>
                <w:color w:val="000000"/>
                <w:highlight w:val="none"/>
              </w:rPr>
              <w:t>放射性</w:t>
            </w:r>
          </w:p>
        </w:tc>
        <w:tc>
          <w:tcPr>
            <w:tcW w:w="1009" w:type="dxa"/>
            <w:tcBorders>
              <w:tl2br w:val="nil"/>
              <w:tr2bl w:val="nil"/>
            </w:tcBorders>
            <w:vAlign w:val="center"/>
          </w:tcPr>
          <w:p w14:paraId="32EFAF0F">
            <w:pPr>
              <w:jc w:val="center"/>
              <w:rPr>
                <w:highlight w:val="none"/>
              </w:rPr>
            </w:pPr>
            <w:r>
              <w:rPr>
                <w:rFonts w:eastAsia="等线"/>
                <w:color w:val="000000"/>
                <w:highlight w:val="none"/>
              </w:rPr>
              <w:t>Bq/L</w:t>
            </w:r>
          </w:p>
        </w:tc>
        <w:tc>
          <w:tcPr>
            <w:tcW w:w="3493" w:type="dxa"/>
            <w:tcBorders>
              <w:tl2br w:val="nil"/>
              <w:tr2bl w:val="nil"/>
            </w:tcBorders>
            <w:vAlign w:val="center"/>
          </w:tcPr>
          <w:p w14:paraId="6FF868F5">
            <w:pPr>
              <w:jc w:val="center"/>
              <w:rPr>
                <w:highlight w:val="none"/>
              </w:rPr>
            </w:pPr>
            <w:r>
              <w:rPr>
                <w:rFonts w:eastAsia="等线"/>
                <w:color w:val="000000"/>
                <w:highlight w:val="none"/>
              </w:rPr>
              <w:t>1</w:t>
            </w:r>
          </w:p>
        </w:tc>
        <w:tc>
          <w:tcPr>
            <w:tcW w:w="1085" w:type="dxa"/>
            <w:tcBorders>
              <w:tl2br w:val="nil"/>
              <w:tr2bl w:val="nil"/>
            </w:tcBorders>
            <w:vAlign w:val="center"/>
          </w:tcPr>
          <w:p w14:paraId="57200B39">
            <w:pPr>
              <w:jc w:val="center"/>
              <w:rPr>
                <w:highlight w:val="none"/>
              </w:rPr>
            </w:pPr>
            <w:r>
              <w:rPr>
                <w:rFonts w:eastAsia="等线"/>
                <w:color w:val="000000"/>
                <w:highlight w:val="none"/>
              </w:rPr>
              <w:t>0.043</w:t>
            </w:r>
            <w:r>
              <w:rPr>
                <w:rFonts w:hint="eastAsia" w:eastAsia="等线"/>
                <w:color w:val="000000"/>
                <w:highlight w:val="none"/>
                <w:lang w:val="en-US" w:eastAsia="zh-CN"/>
              </w:rPr>
              <w:t>L</w:t>
            </w:r>
          </w:p>
        </w:tc>
        <w:tc>
          <w:tcPr>
            <w:tcW w:w="1185" w:type="dxa"/>
            <w:tcBorders>
              <w:tl2br w:val="nil"/>
              <w:tr2bl w:val="nil"/>
            </w:tcBorders>
            <w:vAlign w:val="center"/>
          </w:tcPr>
          <w:p w14:paraId="2BF7B629">
            <w:pPr>
              <w:jc w:val="center"/>
              <w:rPr>
                <w:highlight w:val="none"/>
              </w:rPr>
            </w:pPr>
            <w:r>
              <w:rPr>
                <w:rFonts w:hint="eastAsia"/>
                <w:color w:val="000000"/>
                <w:highlight w:val="none"/>
              </w:rPr>
              <w:t>否</w:t>
            </w:r>
          </w:p>
        </w:tc>
      </w:tr>
      <w:tr w14:paraId="236AF8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3C14158D">
            <w:pPr>
              <w:jc w:val="center"/>
              <w:rPr>
                <w:highlight w:val="none"/>
              </w:rPr>
            </w:pPr>
            <w:r>
              <w:rPr>
                <w:rFonts w:hint="eastAsia"/>
                <w:color w:val="000000"/>
                <w:highlight w:val="none"/>
              </w:rPr>
              <w:t>总</w:t>
            </w:r>
            <w:r>
              <w:rPr>
                <w:color w:val="000000"/>
                <w:highlight w:val="none"/>
              </w:rPr>
              <w:t>β</w:t>
            </w:r>
            <w:r>
              <w:rPr>
                <w:rFonts w:hint="eastAsia"/>
                <w:color w:val="000000"/>
                <w:highlight w:val="none"/>
              </w:rPr>
              <w:t>放射性</w:t>
            </w:r>
          </w:p>
        </w:tc>
        <w:tc>
          <w:tcPr>
            <w:tcW w:w="1009" w:type="dxa"/>
            <w:tcBorders>
              <w:tl2br w:val="nil"/>
              <w:tr2bl w:val="nil"/>
            </w:tcBorders>
            <w:vAlign w:val="center"/>
          </w:tcPr>
          <w:p w14:paraId="79234EB6">
            <w:pPr>
              <w:jc w:val="center"/>
              <w:rPr>
                <w:highlight w:val="none"/>
              </w:rPr>
            </w:pPr>
            <w:r>
              <w:rPr>
                <w:rFonts w:eastAsia="等线"/>
                <w:color w:val="000000"/>
                <w:highlight w:val="none"/>
              </w:rPr>
              <w:t>Bq/L</w:t>
            </w:r>
          </w:p>
        </w:tc>
        <w:tc>
          <w:tcPr>
            <w:tcW w:w="3493" w:type="dxa"/>
            <w:tcBorders>
              <w:tl2br w:val="nil"/>
              <w:tr2bl w:val="nil"/>
            </w:tcBorders>
            <w:vAlign w:val="center"/>
          </w:tcPr>
          <w:p w14:paraId="5099FF45">
            <w:pPr>
              <w:jc w:val="center"/>
              <w:rPr>
                <w:highlight w:val="none"/>
              </w:rPr>
            </w:pPr>
            <w:r>
              <w:rPr>
                <w:rFonts w:eastAsia="等线"/>
                <w:color w:val="000000"/>
                <w:highlight w:val="none"/>
              </w:rPr>
              <w:t>10</w:t>
            </w:r>
          </w:p>
        </w:tc>
        <w:tc>
          <w:tcPr>
            <w:tcW w:w="1085" w:type="dxa"/>
            <w:tcBorders>
              <w:tl2br w:val="nil"/>
              <w:tr2bl w:val="nil"/>
            </w:tcBorders>
            <w:vAlign w:val="center"/>
          </w:tcPr>
          <w:p w14:paraId="4D8258A1">
            <w:pPr>
              <w:jc w:val="center"/>
              <w:rPr>
                <w:highlight w:val="none"/>
              </w:rPr>
            </w:pPr>
            <w:r>
              <w:rPr>
                <w:rFonts w:eastAsia="等线"/>
                <w:color w:val="000000"/>
                <w:highlight w:val="none"/>
              </w:rPr>
              <w:t>0.0</w:t>
            </w:r>
            <w:r>
              <w:rPr>
                <w:rFonts w:hint="eastAsia" w:eastAsia="等线"/>
                <w:color w:val="000000"/>
                <w:highlight w:val="none"/>
                <w:lang w:val="en-US" w:eastAsia="zh-CN"/>
              </w:rPr>
              <w:t>36L</w:t>
            </w:r>
          </w:p>
        </w:tc>
        <w:tc>
          <w:tcPr>
            <w:tcW w:w="1185" w:type="dxa"/>
            <w:tcBorders>
              <w:tl2br w:val="nil"/>
              <w:tr2bl w:val="nil"/>
            </w:tcBorders>
            <w:vAlign w:val="center"/>
          </w:tcPr>
          <w:p w14:paraId="678EA319">
            <w:pPr>
              <w:jc w:val="center"/>
              <w:rPr>
                <w:highlight w:val="none"/>
              </w:rPr>
            </w:pPr>
            <w:r>
              <w:rPr>
                <w:rFonts w:hint="eastAsia"/>
                <w:color w:val="000000"/>
                <w:highlight w:val="none"/>
              </w:rPr>
              <w:t>否</w:t>
            </w:r>
          </w:p>
        </w:tc>
      </w:tr>
      <w:tr w14:paraId="1C6212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528" w:type="dxa"/>
            <w:gridSpan w:val="6"/>
            <w:tcBorders>
              <w:tl2br w:val="nil"/>
              <w:tr2bl w:val="nil"/>
            </w:tcBorders>
            <w:vAlign w:val="center"/>
          </w:tcPr>
          <w:p w14:paraId="523895A8">
            <w:pPr>
              <w:widowControl/>
              <w:jc w:val="center"/>
              <w:rPr>
                <w:rFonts w:hint="eastAsia" w:eastAsia="宋体"/>
                <w:b/>
                <w:bCs/>
                <w:color w:val="000000"/>
                <w:kern w:val="0"/>
                <w:highlight w:val="none"/>
                <w:lang w:eastAsia="zh-CN"/>
              </w:rPr>
            </w:pPr>
            <w:r>
              <w:rPr>
                <w:rFonts w:hint="eastAsia"/>
                <w:b/>
                <w:bCs/>
                <w:color w:val="000000"/>
                <w:highlight w:val="none"/>
              </w:rPr>
              <w:t>第二类污染物</w:t>
            </w:r>
            <w:r>
              <w:rPr>
                <w:rFonts w:hint="eastAsia"/>
                <w:b/>
                <w:bCs/>
                <w:color w:val="000000"/>
                <w:highlight w:val="none"/>
                <w:lang w:eastAsia="zh-CN"/>
              </w:rPr>
              <w:t>（</w:t>
            </w:r>
            <w:r>
              <w:rPr>
                <w:rFonts w:hint="eastAsia"/>
                <w:b/>
                <w:bCs/>
                <w:color w:val="000000"/>
                <w:highlight w:val="none"/>
                <w:lang w:val="en-US" w:eastAsia="zh-CN"/>
              </w:rPr>
              <w:t>一级标准</w:t>
            </w:r>
            <w:r>
              <w:rPr>
                <w:rFonts w:hint="eastAsia"/>
                <w:b/>
                <w:bCs/>
                <w:color w:val="000000"/>
                <w:highlight w:val="none"/>
                <w:lang w:eastAsia="zh-CN"/>
              </w:rPr>
              <w:t>）</w:t>
            </w:r>
          </w:p>
        </w:tc>
      </w:tr>
      <w:tr w14:paraId="764AC3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3D968E26">
            <w:pPr>
              <w:jc w:val="center"/>
              <w:rPr>
                <w:highlight w:val="none"/>
              </w:rPr>
            </w:pPr>
            <w:r>
              <w:rPr>
                <w:rFonts w:eastAsia="等线"/>
                <w:color w:val="000000"/>
                <w:highlight w:val="none"/>
              </w:rPr>
              <w:t>pH</w:t>
            </w:r>
            <w:r>
              <w:rPr>
                <w:rFonts w:hint="eastAsia"/>
                <w:color w:val="000000"/>
                <w:highlight w:val="none"/>
              </w:rPr>
              <w:t>值</w:t>
            </w:r>
          </w:p>
        </w:tc>
        <w:tc>
          <w:tcPr>
            <w:tcW w:w="1009" w:type="dxa"/>
            <w:tcBorders>
              <w:tl2br w:val="nil"/>
              <w:tr2bl w:val="nil"/>
            </w:tcBorders>
            <w:vAlign w:val="center"/>
          </w:tcPr>
          <w:p w14:paraId="0CB8E22D">
            <w:pPr>
              <w:jc w:val="center"/>
              <w:rPr>
                <w:highlight w:val="none"/>
              </w:rPr>
            </w:pPr>
            <w:r>
              <w:rPr>
                <w:rFonts w:eastAsia="等线"/>
                <w:color w:val="000000"/>
                <w:highlight w:val="none"/>
              </w:rPr>
              <w:t>/</w:t>
            </w:r>
          </w:p>
        </w:tc>
        <w:tc>
          <w:tcPr>
            <w:tcW w:w="3493" w:type="dxa"/>
            <w:tcBorders>
              <w:tl2br w:val="nil"/>
              <w:tr2bl w:val="nil"/>
            </w:tcBorders>
            <w:vAlign w:val="center"/>
          </w:tcPr>
          <w:p w14:paraId="3837F463">
            <w:pPr>
              <w:jc w:val="center"/>
              <w:rPr>
                <w:highlight w:val="none"/>
              </w:rPr>
            </w:pPr>
            <w:r>
              <w:rPr>
                <w:rFonts w:eastAsia="等线"/>
                <w:color w:val="000000"/>
                <w:highlight w:val="none"/>
              </w:rPr>
              <w:t>6~9</w:t>
            </w:r>
          </w:p>
        </w:tc>
        <w:tc>
          <w:tcPr>
            <w:tcW w:w="1085" w:type="dxa"/>
            <w:tcBorders>
              <w:tl2br w:val="nil"/>
              <w:tr2bl w:val="nil"/>
            </w:tcBorders>
            <w:vAlign w:val="center"/>
          </w:tcPr>
          <w:p w14:paraId="0980C68A">
            <w:pPr>
              <w:jc w:val="center"/>
              <w:rPr>
                <w:rFonts w:hint="eastAsia" w:eastAsia="等线"/>
                <w:highlight w:val="none"/>
                <w:lang w:eastAsia="zh-CN"/>
              </w:rPr>
            </w:pPr>
            <w:r>
              <w:rPr>
                <w:rFonts w:eastAsia="等线"/>
                <w:color w:val="000000"/>
                <w:highlight w:val="none"/>
              </w:rPr>
              <w:t>7.</w:t>
            </w:r>
            <w:r>
              <w:rPr>
                <w:rFonts w:hint="eastAsia" w:eastAsia="等线"/>
                <w:color w:val="000000"/>
                <w:highlight w:val="none"/>
                <w:lang w:val="en-US" w:eastAsia="zh-CN"/>
              </w:rPr>
              <w:t>9</w:t>
            </w:r>
          </w:p>
        </w:tc>
        <w:tc>
          <w:tcPr>
            <w:tcW w:w="1185" w:type="dxa"/>
            <w:tcBorders>
              <w:tl2br w:val="nil"/>
              <w:tr2bl w:val="nil"/>
            </w:tcBorders>
            <w:vAlign w:val="center"/>
          </w:tcPr>
          <w:p w14:paraId="5F566EFC">
            <w:pPr>
              <w:jc w:val="center"/>
              <w:rPr>
                <w:highlight w:val="none"/>
              </w:rPr>
            </w:pPr>
            <w:r>
              <w:rPr>
                <w:rFonts w:hint="eastAsia"/>
                <w:color w:val="000000"/>
                <w:highlight w:val="none"/>
              </w:rPr>
              <w:t>否</w:t>
            </w:r>
          </w:p>
        </w:tc>
      </w:tr>
      <w:tr w14:paraId="45A6EF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021AD0EC">
            <w:pPr>
              <w:jc w:val="center"/>
              <w:rPr>
                <w:highlight w:val="none"/>
              </w:rPr>
            </w:pPr>
            <w:r>
              <w:rPr>
                <w:rFonts w:hint="eastAsia"/>
                <w:color w:val="000000"/>
                <w:highlight w:val="none"/>
              </w:rPr>
              <w:t>色度</w:t>
            </w:r>
          </w:p>
        </w:tc>
        <w:tc>
          <w:tcPr>
            <w:tcW w:w="1009" w:type="dxa"/>
            <w:tcBorders>
              <w:tl2br w:val="nil"/>
              <w:tr2bl w:val="nil"/>
            </w:tcBorders>
            <w:vAlign w:val="center"/>
          </w:tcPr>
          <w:p w14:paraId="3EC8DB00">
            <w:pPr>
              <w:jc w:val="center"/>
              <w:rPr>
                <w:highlight w:val="none"/>
              </w:rPr>
            </w:pPr>
            <w:r>
              <w:rPr>
                <w:rFonts w:hint="eastAsia"/>
                <w:color w:val="000000"/>
                <w:highlight w:val="none"/>
              </w:rPr>
              <w:t>度</w:t>
            </w:r>
          </w:p>
        </w:tc>
        <w:tc>
          <w:tcPr>
            <w:tcW w:w="3493" w:type="dxa"/>
            <w:tcBorders>
              <w:tl2br w:val="nil"/>
              <w:tr2bl w:val="nil"/>
            </w:tcBorders>
            <w:vAlign w:val="center"/>
          </w:tcPr>
          <w:p w14:paraId="1B006CCA">
            <w:pPr>
              <w:jc w:val="center"/>
              <w:rPr>
                <w:highlight w:val="none"/>
              </w:rPr>
            </w:pPr>
            <w:r>
              <w:rPr>
                <w:rFonts w:eastAsia="等线"/>
                <w:color w:val="000000"/>
                <w:highlight w:val="none"/>
              </w:rPr>
              <w:t>50</w:t>
            </w:r>
          </w:p>
        </w:tc>
        <w:tc>
          <w:tcPr>
            <w:tcW w:w="1085" w:type="dxa"/>
            <w:tcBorders>
              <w:tl2br w:val="nil"/>
              <w:tr2bl w:val="nil"/>
            </w:tcBorders>
            <w:vAlign w:val="center"/>
          </w:tcPr>
          <w:p w14:paraId="0FFF3F91">
            <w:pPr>
              <w:jc w:val="center"/>
              <w:rPr>
                <w:rFonts w:hint="eastAsia" w:eastAsia="宋体"/>
                <w:highlight w:val="none"/>
                <w:lang w:eastAsia="zh-CN"/>
              </w:rPr>
            </w:pPr>
            <w:r>
              <w:rPr>
                <w:rFonts w:hint="eastAsia" w:eastAsia="等线"/>
                <w:color w:val="000000"/>
                <w:highlight w:val="none"/>
                <w:lang w:val="en-US" w:eastAsia="zh-CN"/>
              </w:rPr>
              <w:t>5</w:t>
            </w:r>
          </w:p>
        </w:tc>
        <w:tc>
          <w:tcPr>
            <w:tcW w:w="1185" w:type="dxa"/>
            <w:tcBorders>
              <w:tl2br w:val="nil"/>
              <w:tr2bl w:val="nil"/>
            </w:tcBorders>
            <w:vAlign w:val="center"/>
          </w:tcPr>
          <w:p w14:paraId="0B33FADD">
            <w:pPr>
              <w:jc w:val="center"/>
              <w:rPr>
                <w:highlight w:val="none"/>
              </w:rPr>
            </w:pPr>
            <w:r>
              <w:rPr>
                <w:rFonts w:hint="eastAsia"/>
                <w:color w:val="000000"/>
                <w:highlight w:val="none"/>
              </w:rPr>
              <w:t>否</w:t>
            </w:r>
          </w:p>
        </w:tc>
      </w:tr>
      <w:tr w14:paraId="462DD0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34F10BC8">
            <w:pPr>
              <w:jc w:val="center"/>
              <w:rPr>
                <w:highlight w:val="none"/>
              </w:rPr>
            </w:pPr>
            <w:r>
              <w:rPr>
                <w:rFonts w:hint="eastAsia"/>
                <w:color w:val="000000"/>
                <w:highlight w:val="none"/>
              </w:rPr>
              <w:t>五日生化需氧量</w:t>
            </w:r>
          </w:p>
        </w:tc>
        <w:tc>
          <w:tcPr>
            <w:tcW w:w="1009" w:type="dxa"/>
            <w:tcBorders>
              <w:tl2br w:val="nil"/>
              <w:tr2bl w:val="nil"/>
            </w:tcBorders>
            <w:vAlign w:val="center"/>
          </w:tcPr>
          <w:p w14:paraId="0D3F197E">
            <w:pPr>
              <w:jc w:val="center"/>
              <w:rPr>
                <w:highlight w:val="none"/>
              </w:rPr>
            </w:pPr>
            <w:r>
              <w:rPr>
                <w:rFonts w:eastAsia="等线"/>
                <w:color w:val="000000"/>
                <w:highlight w:val="none"/>
              </w:rPr>
              <w:t>mg/L</w:t>
            </w:r>
          </w:p>
        </w:tc>
        <w:tc>
          <w:tcPr>
            <w:tcW w:w="3493" w:type="dxa"/>
            <w:tcBorders>
              <w:tl2br w:val="nil"/>
              <w:tr2bl w:val="nil"/>
            </w:tcBorders>
            <w:vAlign w:val="center"/>
          </w:tcPr>
          <w:p w14:paraId="41BB85D3">
            <w:pPr>
              <w:jc w:val="center"/>
              <w:rPr>
                <w:highlight w:val="none"/>
              </w:rPr>
            </w:pPr>
            <w:r>
              <w:rPr>
                <w:rFonts w:eastAsia="等线"/>
                <w:color w:val="000000"/>
                <w:highlight w:val="none"/>
              </w:rPr>
              <w:t>20</w:t>
            </w:r>
          </w:p>
        </w:tc>
        <w:tc>
          <w:tcPr>
            <w:tcW w:w="1085" w:type="dxa"/>
            <w:tcBorders>
              <w:tl2br w:val="nil"/>
              <w:tr2bl w:val="nil"/>
            </w:tcBorders>
            <w:vAlign w:val="center"/>
          </w:tcPr>
          <w:p w14:paraId="1BBDD9CF">
            <w:pPr>
              <w:jc w:val="center"/>
              <w:rPr>
                <w:rFonts w:hint="default" w:eastAsia="宋体"/>
                <w:highlight w:val="none"/>
                <w:lang w:val="en-US" w:eastAsia="zh-CN"/>
              </w:rPr>
            </w:pPr>
            <w:r>
              <w:rPr>
                <w:rFonts w:hint="eastAsia" w:eastAsia="等线"/>
                <w:color w:val="000000"/>
                <w:highlight w:val="none"/>
                <w:lang w:val="en-US" w:eastAsia="zh-CN"/>
              </w:rPr>
              <w:t>11.1</w:t>
            </w:r>
          </w:p>
        </w:tc>
        <w:tc>
          <w:tcPr>
            <w:tcW w:w="1185" w:type="dxa"/>
            <w:tcBorders>
              <w:tl2br w:val="nil"/>
              <w:tr2bl w:val="nil"/>
            </w:tcBorders>
            <w:vAlign w:val="center"/>
          </w:tcPr>
          <w:p w14:paraId="29E6DE3D">
            <w:pPr>
              <w:jc w:val="center"/>
              <w:rPr>
                <w:highlight w:val="none"/>
              </w:rPr>
            </w:pPr>
            <w:r>
              <w:rPr>
                <w:rFonts w:hint="eastAsia"/>
                <w:color w:val="000000"/>
                <w:highlight w:val="none"/>
              </w:rPr>
              <w:t>否</w:t>
            </w:r>
          </w:p>
        </w:tc>
      </w:tr>
      <w:tr w14:paraId="590F19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6E69ACE7">
            <w:pPr>
              <w:jc w:val="center"/>
              <w:rPr>
                <w:highlight w:val="none"/>
              </w:rPr>
            </w:pPr>
            <w:r>
              <w:rPr>
                <w:rFonts w:hint="eastAsia"/>
                <w:color w:val="000000"/>
                <w:highlight w:val="none"/>
              </w:rPr>
              <w:t>化学需氧量</w:t>
            </w:r>
          </w:p>
        </w:tc>
        <w:tc>
          <w:tcPr>
            <w:tcW w:w="1009" w:type="dxa"/>
            <w:tcBorders>
              <w:tl2br w:val="nil"/>
              <w:tr2bl w:val="nil"/>
            </w:tcBorders>
            <w:vAlign w:val="center"/>
          </w:tcPr>
          <w:p w14:paraId="68AB9FA7">
            <w:pPr>
              <w:jc w:val="center"/>
              <w:rPr>
                <w:highlight w:val="none"/>
              </w:rPr>
            </w:pPr>
            <w:r>
              <w:rPr>
                <w:rFonts w:eastAsia="等线"/>
                <w:color w:val="000000"/>
                <w:highlight w:val="none"/>
              </w:rPr>
              <w:t>mg/L</w:t>
            </w:r>
          </w:p>
        </w:tc>
        <w:tc>
          <w:tcPr>
            <w:tcW w:w="3493" w:type="dxa"/>
            <w:tcBorders>
              <w:tl2br w:val="nil"/>
              <w:tr2bl w:val="nil"/>
            </w:tcBorders>
            <w:vAlign w:val="center"/>
          </w:tcPr>
          <w:p w14:paraId="78F9DB8B">
            <w:pPr>
              <w:jc w:val="center"/>
              <w:rPr>
                <w:highlight w:val="none"/>
              </w:rPr>
            </w:pPr>
            <w:r>
              <w:rPr>
                <w:rFonts w:eastAsia="等线"/>
                <w:color w:val="000000"/>
                <w:highlight w:val="none"/>
              </w:rPr>
              <w:t>100</w:t>
            </w:r>
          </w:p>
        </w:tc>
        <w:tc>
          <w:tcPr>
            <w:tcW w:w="1085" w:type="dxa"/>
            <w:tcBorders>
              <w:tl2br w:val="nil"/>
              <w:tr2bl w:val="nil"/>
            </w:tcBorders>
            <w:vAlign w:val="center"/>
          </w:tcPr>
          <w:p w14:paraId="6B64E920">
            <w:pPr>
              <w:jc w:val="center"/>
              <w:rPr>
                <w:rFonts w:hint="default" w:eastAsia="宋体"/>
                <w:highlight w:val="none"/>
                <w:lang w:val="en-US" w:eastAsia="zh-CN"/>
              </w:rPr>
            </w:pPr>
            <w:r>
              <w:rPr>
                <w:rFonts w:hint="eastAsia" w:eastAsia="等线"/>
                <w:color w:val="000000"/>
                <w:highlight w:val="none"/>
                <w:lang w:val="en-US" w:eastAsia="zh-CN"/>
              </w:rPr>
              <w:t>41</w:t>
            </w:r>
          </w:p>
        </w:tc>
        <w:tc>
          <w:tcPr>
            <w:tcW w:w="1185" w:type="dxa"/>
            <w:tcBorders>
              <w:tl2br w:val="nil"/>
              <w:tr2bl w:val="nil"/>
            </w:tcBorders>
            <w:vAlign w:val="center"/>
          </w:tcPr>
          <w:p w14:paraId="33916D21">
            <w:pPr>
              <w:jc w:val="center"/>
              <w:rPr>
                <w:highlight w:val="none"/>
              </w:rPr>
            </w:pPr>
            <w:r>
              <w:rPr>
                <w:rFonts w:hint="eastAsia"/>
                <w:color w:val="000000"/>
                <w:highlight w:val="none"/>
              </w:rPr>
              <w:t>否</w:t>
            </w:r>
          </w:p>
        </w:tc>
      </w:tr>
      <w:tr w14:paraId="2BCCA7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64A0C4A5">
            <w:pPr>
              <w:jc w:val="center"/>
              <w:rPr>
                <w:highlight w:val="none"/>
              </w:rPr>
            </w:pPr>
            <w:r>
              <w:rPr>
                <w:rFonts w:hint="eastAsia"/>
                <w:color w:val="000000"/>
                <w:highlight w:val="none"/>
              </w:rPr>
              <w:t>石油类</w:t>
            </w:r>
          </w:p>
        </w:tc>
        <w:tc>
          <w:tcPr>
            <w:tcW w:w="1009" w:type="dxa"/>
            <w:tcBorders>
              <w:tl2br w:val="nil"/>
              <w:tr2bl w:val="nil"/>
            </w:tcBorders>
            <w:vAlign w:val="center"/>
          </w:tcPr>
          <w:p w14:paraId="7EF0F4E0">
            <w:pPr>
              <w:jc w:val="center"/>
              <w:rPr>
                <w:highlight w:val="none"/>
              </w:rPr>
            </w:pPr>
            <w:r>
              <w:rPr>
                <w:rFonts w:eastAsia="等线"/>
                <w:color w:val="000000"/>
                <w:highlight w:val="none"/>
              </w:rPr>
              <w:t>mg/L</w:t>
            </w:r>
          </w:p>
        </w:tc>
        <w:tc>
          <w:tcPr>
            <w:tcW w:w="3493" w:type="dxa"/>
            <w:tcBorders>
              <w:tl2br w:val="nil"/>
              <w:tr2bl w:val="nil"/>
            </w:tcBorders>
            <w:vAlign w:val="center"/>
          </w:tcPr>
          <w:p w14:paraId="21571007">
            <w:pPr>
              <w:jc w:val="center"/>
              <w:rPr>
                <w:highlight w:val="none"/>
              </w:rPr>
            </w:pPr>
            <w:r>
              <w:rPr>
                <w:rFonts w:eastAsia="等线"/>
                <w:color w:val="000000"/>
                <w:highlight w:val="none"/>
              </w:rPr>
              <w:t>5</w:t>
            </w:r>
          </w:p>
        </w:tc>
        <w:tc>
          <w:tcPr>
            <w:tcW w:w="1085" w:type="dxa"/>
            <w:tcBorders>
              <w:tl2br w:val="nil"/>
              <w:tr2bl w:val="nil"/>
            </w:tcBorders>
            <w:vAlign w:val="center"/>
          </w:tcPr>
          <w:p w14:paraId="78272939">
            <w:pPr>
              <w:jc w:val="center"/>
              <w:rPr>
                <w:rFonts w:hint="default" w:eastAsia="宋体"/>
                <w:highlight w:val="none"/>
                <w:lang w:val="en-US" w:eastAsia="zh-CN"/>
              </w:rPr>
            </w:pPr>
            <w:r>
              <w:rPr>
                <w:rFonts w:hint="eastAsia" w:eastAsia="等线"/>
                <w:color w:val="000000"/>
                <w:highlight w:val="none"/>
                <w:lang w:val="en-US" w:eastAsia="zh-CN"/>
              </w:rPr>
              <w:t>4.23</w:t>
            </w:r>
          </w:p>
        </w:tc>
        <w:tc>
          <w:tcPr>
            <w:tcW w:w="1185" w:type="dxa"/>
            <w:tcBorders>
              <w:tl2br w:val="nil"/>
              <w:tr2bl w:val="nil"/>
            </w:tcBorders>
            <w:vAlign w:val="center"/>
          </w:tcPr>
          <w:p w14:paraId="505343BE">
            <w:pPr>
              <w:jc w:val="center"/>
              <w:rPr>
                <w:highlight w:val="none"/>
              </w:rPr>
            </w:pPr>
            <w:r>
              <w:rPr>
                <w:rFonts w:hint="eastAsia"/>
                <w:color w:val="000000"/>
                <w:highlight w:val="none"/>
              </w:rPr>
              <w:t>否</w:t>
            </w:r>
          </w:p>
        </w:tc>
      </w:tr>
      <w:tr w14:paraId="77100B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315E9C89">
            <w:pPr>
              <w:jc w:val="center"/>
              <w:rPr>
                <w:highlight w:val="none"/>
              </w:rPr>
            </w:pPr>
            <w:r>
              <w:rPr>
                <w:rFonts w:hint="eastAsia"/>
                <w:color w:val="000000"/>
                <w:highlight w:val="none"/>
              </w:rPr>
              <w:t>挥发酚</w:t>
            </w:r>
          </w:p>
        </w:tc>
        <w:tc>
          <w:tcPr>
            <w:tcW w:w="1009" w:type="dxa"/>
            <w:tcBorders>
              <w:tl2br w:val="nil"/>
              <w:tr2bl w:val="nil"/>
            </w:tcBorders>
            <w:vAlign w:val="center"/>
          </w:tcPr>
          <w:p w14:paraId="0FBE2930">
            <w:pPr>
              <w:jc w:val="center"/>
              <w:rPr>
                <w:highlight w:val="none"/>
              </w:rPr>
            </w:pPr>
            <w:r>
              <w:rPr>
                <w:rFonts w:eastAsia="等线"/>
                <w:color w:val="000000"/>
                <w:highlight w:val="none"/>
              </w:rPr>
              <w:t>mg/L</w:t>
            </w:r>
          </w:p>
        </w:tc>
        <w:tc>
          <w:tcPr>
            <w:tcW w:w="3493" w:type="dxa"/>
            <w:tcBorders>
              <w:tl2br w:val="nil"/>
              <w:tr2bl w:val="nil"/>
            </w:tcBorders>
            <w:vAlign w:val="center"/>
          </w:tcPr>
          <w:p w14:paraId="7C706D6D">
            <w:pPr>
              <w:jc w:val="center"/>
              <w:rPr>
                <w:highlight w:val="none"/>
              </w:rPr>
            </w:pPr>
            <w:r>
              <w:rPr>
                <w:rFonts w:eastAsia="等线"/>
                <w:color w:val="000000"/>
                <w:highlight w:val="none"/>
              </w:rPr>
              <w:t>0.5</w:t>
            </w:r>
          </w:p>
        </w:tc>
        <w:tc>
          <w:tcPr>
            <w:tcW w:w="1085" w:type="dxa"/>
            <w:tcBorders>
              <w:tl2br w:val="nil"/>
              <w:tr2bl w:val="nil"/>
            </w:tcBorders>
            <w:vAlign w:val="center"/>
          </w:tcPr>
          <w:p w14:paraId="2B28F1D8">
            <w:pPr>
              <w:jc w:val="center"/>
              <w:rPr>
                <w:highlight w:val="none"/>
              </w:rPr>
            </w:pPr>
            <w:r>
              <w:rPr>
                <w:rFonts w:eastAsia="等线"/>
                <w:color w:val="000000"/>
                <w:highlight w:val="none"/>
              </w:rPr>
              <w:t>0.01</w:t>
            </w:r>
            <w:r>
              <w:rPr>
                <w:rFonts w:hint="eastAsia" w:eastAsia="等线"/>
                <w:color w:val="000000"/>
                <w:highlight w:val="none"/>
                <w:lang w:val="en-US" w:eastAsia="zh-CN"/>
              </w:rPr>
              <w:t>L</w:t>
            </w:r>
          </w:p>
        </w:tc>
        <w:tc>
          <w:tcPr>
            <w:tcW w:w="1185" w:type="dxa"/>
            <w:tcBorders>
              <w:tl2br w:val="nil"/>
              <w:tr2bl w:val="nil"/>
            </w:tcBorders>
            <w:vAlign w:val="center"/>
          </w:tcPr>
          <w:p w14:paraId="13D3CFF0">
            <w:pPr>
              <w:jc w:val="center"/>
              <w:rPr>
                <w:highlight w:val="none"/>
              </w:rPr>
            </w:pPr>
            <w:r>
              <w:rPr>
                <w:rFonts w:hint="eastAsia"/>
                <w:color w:val="000000"/>
                <w:highlight w:val="none"/>
              </w:rPr>
              <w:t>否</w:t>
            </w:r>
          </w:p>
        </w:tc>
      </w:tr>
      <w:tr w14:paraId="03F1D2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32ECDEBF">
            <w:pPr>
              <w:jc w:val="center"/>
              <w:rPr>
                <w:highlight w:val="none"/>
              </w:rPr>
            </w:pPr>
            <w:r>
              <w:rPr>
                <w:rFonts w:hint="eastAsia"/>
                <w:color w:val="000000"/>
                <w:highlight w:val="none"/>
              </w:rPr>
              <w:t>硫化物</w:t>
            </w:r>
          </w:p>
        </w:tc>
        <w:tc>
          <w:tcPr>
            <w:tcW w:w="1009" w:type="dxa"/>
            <w:tcBorders>
              <w:tl2br w:val="nil"/>
              <w:tr2bl w:val="nil"/>
            </w:tcBorders>
            <w:vAlign w:val="center"/>
          </w:tcPr>
          <w:p w14:paraId="68AE3263">
            <w:pPr>
              <w:jc w:val="center"/>
              <w:rPr>
                <w:highlight w:val="none"/>
              </w:rPr>
            </w:pPr>
            <w:r>
              <w:rPr>
                <w:rFonts w:eastAsia="等线"/>
                <w:color w:val="000000"/>
                <w:highlight w:val="none"/>
              </w:rPr>
              <w:t>mg/L</w:t>
            </w:r>
          </w:p>
        </w:tc>
        <w:tc>
          <w:tcPr>
            <w:tcW w:w="3493" w:type="dxa"/>
            <w:tcBorders>
              <w:tl2br w:val="nil"/>
              <w:tr2bl w:val="nil"/>
            </w:tcBorders>
            <w:vAlign w:val="center"/>
          </w:tcPr>
          <w:p w14:paraId="563E541E">
            <w:pPr>
              <w:jc w:val="center"/>
              <w:rPr>
                <w:highlight w:val="none"/>
              </w:rPr>
            </w:pPr>
            <w:r>
              <w:rPr>
                <w:rFonts w:eastAsia="等线"/>
                <w:color w:val="000000"/>
                <w:highlight w:val="none"/>
              </w:rPr>
              <w:t>1</w:t>
            </w:r>
          </w:p>
        </w:tc>
        <w:tc>
          <w:tcPr>
            <w:tcW w:w="1085" w:type="dxa"/>
            <w:tcBorders>
              <w:tl2br w:val="nil"/>
              <w:tr2bl w:val="nil"/>
            </w:tcBorders>
            <w:vAlign w:val="center"/>
          </w:tcPr>
          <w:p w14:paraId="707A4603">
            <w:pPr>
              <w:jc w:val="center"/>
              <w:rPr>
                <w:highlight w:val="none"/>
              </w:rPr>
            </w:pPr>
            <w:r>
              <w:rPr>
                <w:rFonts w:eastAsia="等线"/>
                <w:color w:val="000000"/>
                <w:highlight w:val="none"/>
              </w:rPr>
              <w:t>0.0</w:t>
            </w:r>
            <w:r>
              <w:rPr>
                <w:rFonts w:hint="eastAsia" w:eastAsia="等线"/>
                <w:color w:val="000000"/>
                <w:highlight w:val="none"/>
                <w:lang w:val="en-US" w:eastAsia="zh-CN"/>
              </w:rPr>
              <w:t>1L</w:t>
            </w:r>
          </w:p>
        </w:tc>
        <w:tc>
          <w:tcPr>
            <w:tcW w:w="1185" w:type="dxa"/>
            <w:tcBorders>
              <w:tl2br w:val="nil"/>
              <w:tr2bl w:val="nil"/>
            </w:tcBorders>
            <w:vAlign w:val="center"/>
          </w:tcPr>
          <w:p w14:paraId="763B8E89">
            <w:pPr>
              <w:jc w:val="center"/>
              <w:rPr>
                <w:highlight w:val="none"/>
              </w:rPr>
            </w:pPr>
            <w:r>
              <w:rPr>
                <w:rFonts w:hint="eastAsia"/>
                <w:color w:val="000000"/>
                <w:highlight w:val="none"/>
              </w:rPr>
              <w:t>否</w:t>
            </w:r>
          </w:p>
        </w:tc>
      </w:tr>
      <w:tr w14:paraId="24BD94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6F198CD6">
            <w:pPr>
              <w:jc w:val="center"/>
              <w:rPr>
                <w:highlight w:val="none"/>
              </w:rPr>
            </w:pPr>
            <w:r>
              <w:rPr>
                <w:rFonts w:hint="eastAsia"/>
                <w:color w:val="000000"/>
                <w:highlight w:val="none"/>
              </w:rPr>
              <w:t>氨氮（以</w:t>
            </w:r>
            <w:r>
              <w:rPr>
                <w:color w:val="000000"/>
                <w:highlight w:val="none"/>
              </w:rPr>
              <w:t>N</w:t>
            </w:r>
            <w:r>
              <w:rPr>
                <w:rFonts w:hint="eastAsia"/>
                <w:color w:val="000000"/>
                <w:highlight w:val="none"/>
              </w:rPr>
              <w:t>计）</w:t>
            </w:r>
          </w:p>
        </w:tc>
        <w:tc>
          <w:tcPr>
            <w:tcW w:w="1009" w:type="dxa"/>
            <w:tcBorders>
              <w:tl2br w:val="nil"/>
              <w:tr2bl w:val="nil"/>
            </w:tcBorders>
            <w:vAlign w:val="center"/>
          </w:tcPr>
          <w:p w14:paraId="5282121D">
            <w:pPr>
              <w:jc w:val="center"/>
              <w:rPr>
                <w:highlight w:val="none"/>
              </w:rPr>
            </w:pPr>
            <w:r>
              <w:rPr>
                <w:rFonts w:eastAsia="等线"/>
                <w:color w:val="000000"/>
                <w:highlight w:val="none"/>
              </w:rPr>
              <w:t>mg/L</w:t>
            </w:r>
          </w:p>
        </w:tc>
        <w:tc>
          <w:tcPr>
            <w:tcW w:w="3493" w:type="dxa"/>
            <w:tcBorders>
              <w:tl2br w:val="nil"/>
              <w:tr2bl w:val="nil"/>
            </w:tcBorders>
            <w:vAlign w:val="center"/>
          </w:tcPr>
          <w:p w14:paraId="467D646E">
            <w:pPr>
              <w:jc w:val="center"/>
              <w:rPr>
                <w:highlight w:val="none"/>
              </w:rPr>
            </w:pPr>
            <w:r>
              <w:rPr>
                <w:rFonts w:eastAsia="等线"/>
                <w:color w:val="000000"/>
                <w:highlight w:val="none"/>
              </w:rPr>
              <w:t>15</w:t>
            </w:r>
          </w:p>
        </w:tc>
        <w:tc>
          <w:tcPr>
            <w:tcW w:w="1085" w:type="dxa"/>
            <w:tcBorders>
              <w:tl2br w:val="nil"/>
              <w:tr2bl w:val="nil"/>
            </w:tcBorders>
            <w:vAlign w:val="center"/>
          </w:tcPr>
          <w:p w14:paraId="66F05966">
            <w:pPr>
              <w:jc w:val="center"/>
              <w:rPr>
                <w:rFonts w:hint="default" w:eastAsia="宋体"/>
                <w:highlight w:val="none"/>
                <w:lang w:val="en-US" w:eastAsia="zh-CN"/>
              </w:rPr>
            </w:pPr>
            <w:r>
              <w:rPr>
                <w:rFonts w:hint="eastAsia" w:eastAsia="等线"/>
                <w:color w:val="000000"/>
                <w:highlight w:val="none"/>
                <w:lang w:val="en-US" w:eastAsia="zh-CN"/>
              </w:rPr>
              <w:t>0.077</w:t>
            </w:r>
          </w:p>
        </w:tc>
        <w:tc>
          <w:tcPr>
            <w:tcW w:w="1185" w:type="dxa"/>
            <w:tcBorders>
              <w:tl2br w:val="nil"/>
              <w:tr2bl w:val="nil"/>
            </w:tcBorders>
            <w:vAlign w:val="center"/>
          </w:tcPr>
          <w:p w14:paraId="01E43108">
            <w:pPr>
              <w:jc w:val="center"/>
              <w:rPr>
                <w:highlight w:val="none"/>
              </w:rPr>
            </w:pPr>
            <w:r>
              <w:rPr>
                <w:rFonts w:hint="eastAsia"/>
                <w:color w:val="000000"/>
                <w:highlight w:val="none"/>
              </w:rPr>
              <w:t>否</w:t>
            </w:r>
          </w:p>
        </w:tc>
      </w:tr>
      <w:tr w14:paraId="116719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38AEB76B">
            <w:pPr>
              <w:jc w:val="center"/>
              <w:rPr>
                <w:highlight w:val="none"/>
              </w:rPr>
            </w:pPr>
            <w:r>
              <w:rPr>
                <w:rFonts w:hint="eastAsia"/>
                <w:color w:val="000000"/>
                <w:highlight w:val="none"/>
              </w:rPr>
              <w:t>氟化物</w:t>
            </w:r>
          </w:p>
        </w:tc>
        <w:tc>
          <w:tcPr>
            <w:tcW w:w="1009" w:type="dxa"/>
            <w:tcBorders>
              <w:tl2br w:val="nil"/>
              <w:tr2bl w:val="nil"/>
            </w:tcBorders>
            <w:vAlign w:val="center"/>
          </w:tcPr>
          <w:p w14:paraId="6A9D6B64">
            <w:pPr>
              <w:jc w:val="center"/>
              <w:rPr>
                <w:highlight w:val="none"/>
              </w:rPr>
            </w:pPr>
            <w:r>
              <w:rPr>
                <w:rFonts w:eastAsia="等线"/>
                <w:color w:val="000000"/>
                <w:highlight w:val="none"/>
              </w:rPr>
              <w:t>mg/L</w:t>
            </w:r>
          </w:p>
        </w:tc>
        <w:tc>
          <w:tcPr>
            <w:tcW w:w="3493" w:type="dxa"/>
            <w:tcBorders>
              <w:tl2br w:val="nil"/>
              <w:tr2bl w:val="nil"/>
            </w:tcBorders>
            <w:vAlign w:val="center"/>
          </w:tcPr>
          <w:p w14:paraId="0FA0ABBF">
            <w:pPr>
              <w:jc w:val="center"/>
              <w:rPr>
                <w:highlight w:val="none"/>
              </w:rPr>
            </w:pPr>
            <w:r>
              <w:rPr>
                <w:rFonts w:eastAsia="等线"/>
                <w:color w:val="000000"/>
                <w:highlight w:val="none"/>
              </w:rPr>
              <w:t>10</w:t>
            </w:r>
          </w:p>
        </w:tc>
        <w:tc>
          <w:tcPr>
            <w:tcW w:w="1085" w:type="dxa"/>
            <w:tcBorders>
              <w:tl2br w:val="nil"/>
              <w:tr2bl w:val="nil"/>
            </w:tcBorders>
            <w:vAlign w:val="center"/>
          </w:tcPr>
          <w:p w14:paraId="391A9BE1">
            <w:pPr>
              <w:jc w:val="center"/>
              <w:rPr>
                <w:rFonts w:hint="default" w:eastAsia="宋体"/>
                <w:highlight w:val="none"/>
                <w:lang w:val="en-US" w:eastAsia="zh-CN"/>
              </w:rPr>
            </w:pPr>
            <w:r>
              <w:rPr>
                <w:rFonts w:hint="eastAsia" w:eastAsia="等线"/>
                <w:color w:val="000000"/>
                <w:highlight w:val="none"/>
                <w:lang w:val="en-US" w:eastAsia="zh-CN"/>
              </w:rPr>
              <w:t>0.33</w:t>
            </w:r>
          </w:p>
        </w:tc>
        <w:tc>
          <w:tcPr>
            <w:tcW w:w="1185" w:type="dxa"/>
            <w:tcBorders>
              <w:tl2br w:val="nil"/>
              <w:tr2bl w:val="nil"/>
            </w:tcBorders>
            <w:vAlign w:val="center"/>
          </w:tcPr>
          <w:p w14:paraId="13EE7570">
            <w:pPr>
              <w:jc w:val="center"/>
              <w:rPr>
                <w:highlight w:val="none"/>
              </w:rPr>
            </w:pPr>
            <w:r>
              <w:rPr>
                <w:rFonts w:hint="eastAsia"/>
                <w:color w:val="000000"/>
                <w:highlight w:val="none"/>
              </w:rPr>
              <w:t>否</w:t>
            </w:r>
          </w:p>
        </w:tc>
      </w:tr>
      <w:tr w14:paraId="6FACD1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489A80B5">
            <w:pPr>
              <w:jc w:val="center"/>
              <w:rPr>
                <w:highlight w:val="none"/>
              </w:rPr>
            </w:pPr>
            <w:r>
              <w:rPr>
                <w:rFonts w:hint="eastAsia"/>
                <w:color w:val="000000"/>
                <w:highlight w:val="none"/>
              </w:rPr>
              <w:t>磷酸盐</w:t>
            </w:r>
          </w:p>
        </w:tc>
        <w:tc>
          <w:tcPr>
            <w:tcW w:w="1009" w:type="dxa"/>
            <w:tcBorders>
              <w:tl2br w:val="nil"/>
              <w:tr2bl w:val="nil"/>
            </w:tcBorders>
            <w:vAlign w:val="center"/>
          </w:tcPr>
          <w:p w14:paraId="226CE822">
            <w:pPr>
              <w:jc w:val="center"/>
              <w:rPr>
                <w:highlight w:val="none"/>
              </w:rPr>
            </w:pPr>
            <w:r>
              <w:rPr>
                <w:rFonts w:eastAsia="等线"/>
                <w:color w:val="000000"/>
                <w:highlight w:val="none"/>
              </w:rPr>
              <w:t>mg/L</w:t>
            </w:r>
          </w:p>
        </w:tc>
        <w:tc>
          <w:tcPr>
            <w:tcW w:w="3493" w:type="dxa"/>
            <w:tcBorders>
              <w:tl2br w:val="nil"/>
              <w:tr2bl w:val="nil"/>
            </w:tcBorders>
            <w:vAlign w:val="center"/>
          </w:tcPr>
          <w:p w14:paraId="0B91CA7D">
            <w:pPr>
              <w:jc w:val="center"/>
              <w:rPr>
                <w:highlight w:val="none"/>
              </w:rPr>
            </w:pPr>
            <w:r>
              <w:rPr>
                <w:rFonts w:eastAsia="等线"/>
                <w:color w:val="000000"/>
                <w:highlight w:val="none"/>
              </w:rPr>
              <w:t>0.5</w:t>
            </w:r>
          </w:p>
        </w:tc>
        <w:tc>
          <w:tcPr>
            <w:tcW w:w="1085" w:type="dxa"/>
            <w:tcBorders>
              <w:tl2br w:val="nil"/>
              <w:tr2bl w:val="nil"/>
            </w:tcBorders>
            <w:vAlign w:val="center"/>
          </w:tcPr>
          <w:p w14:paraId="0CBD7D34">
            <w:pPr>
              <w:jc w:val="center"/>
              <w:rPr>
                <w:rFonts w:hint="default" w:eastAsia="宋体"/>
                <w:highlight w:val="none"/>
                <w:lang w:val="en-US" w:eastAsia="zh-CN"/>
              </w:rPr>
            </w:pPr>
            <w:r>
              <w:rPr>
                <w:rFonts w:hint="eastAsia" w:eastAsia="等线"/>
                <w:color w:val="000000"/>
                <w:highlight w:val="none"/>
                <w:lang w:val="en-US" w:eastAsia="zh-CN"/>
              </w:rPr>
              <w:t>0.11</w:t>
            </w:r>
          </w:p>
        </w:tc>
        <w:tc>
          <w:tcPr>
            <w:tcW w:w="1185" w:type="dxa"/>
            <w:tcBorders>
              <w:tl2br w:val="nil"/>
              <w:tr2bl w:val="nil"/>
            </w:tcBorders>
            <w:vAlign w:val="center"/>
          </w:tcPr>
          <w:p w14:paraId="5786380D">
            <w:pPr>
              <w:jc w:val="center"/>
              <w:rPr>
                <w:highlight w:val="none"/>
              </w:rPr>
            </w:pPr>
            <w:r>
              <w:rPr>
                <w:rFonts w:hint="eastAsia"/>
                <w:color w:val="000000"/>
                <w:highlight w:val="none"/>
              </w:rPr>
              <w:t>否</w:t>
            </w:r>
          </w:p>
        </w:tc>
      </w:tr>
      <w:tr w14:paraId="3DF12E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68C0AC25">
            <w:pPr>
              <w:jc w:val="center"/>
              <w:rPr>
                <w:highlight w:val="none"/>
              </w:rPr>
            </w:pPr>
            <w:r>
              <w:rPr>
                <w:rFonts w:hint="eastAsia"/>
                <w:color w:val="000000"/>
                <w:highlight w:val="none"/>
              </w:rPr>
              <w:t>总铜</w:t>
            </w:r>
          </w:p>
        </w:tc>
        <w:tc>
          <w:tcPr>
            <w:tcW w:w="1009" w:type="dxa"/>
            <w:tcBorders>
              <w:tl2br w:val="nil"/>
              <w:tr2bl w:val="nil"/>
            </w:tcBorders>
            <w:vAlign w:val="center"/>
          </w:tcPr>
          <w:p w14:paraId="1679788B">
            <w:pPr>
              <w:jc w:val="center"/>
              <w:rPr>
                <w:highlight w:val="none"/>
              </w:rPr>
            </w:pPr>
            <w:r>
              <w:rPr>
                <w:rFonts w:eastAsia="等线"/>
                <w:color w:val="000000"/>
                <w:highlight w:val="none"/>
              </w:rPr>
              <w:t>mg/L</w:t>
            </w:r>
          </w:p>
        </w:tc>
        <w:tc>
          <w:tcPr>
            <w:tcW w:w="3493" w:type="dxa"/>
            <w:tcBorders>
              <w:tl2br w:val="nil"/>
              <w:tr2bl w:val="nil"/>
            </w:tcBorders>
            <w:vAlign w:val="center"/>
          </w:tcPr>
          <w:p w14:paraId="1340DC4C">
            <w:pPr>
              <w:jc w:val="center"/>
              <w:rPr>
                <w:highlight w:val="none"/>
              </w:rPr>
            </w:pPr>
            <w:r>
              <w:rPr>
                <w:rFonts w:eastAsia="等线"/>
                <w:color w:val="000000"/>
                <w:highlight w:val="none"/>
              </w:rPr>
              <w:t>0.5</w:t>
            </w:r>
          </w:p>
        </w:tc>
        <w:tc>
          <w:tcPr>
            <w:tcW w:w="1085" w:type="dxa"/>
            <w:tcBorders>
              <w:tl2br w:val="nil"/>
              <w:tr2bl w:val="nil"/>
            </w:tcBorders>
            <w:vAlign w:val="center"/>
          </w:tcPr>
          <w:p w14:paraId="690C7032">
            <w:pPr>
              <w:jc w:val="center"/>
              <w:rPr>
                <w:highlight w:val="none"/>
              </w:rPr>
            </w:pPr>
            <w:r>
              <w:rPr>
                <w:rFonts w:eastAsia="等线"/>
                <w:color w:val="000000"/>
                <w:highlight w:val="none"/>
              </w:rPr>
              <w:t>0.0</w:t>
            </w:r>
            <w:r>
              <w:rPr>
                <w:rFonts w:hint="eastAsia" w:eastAsia="等线"/>
                <w:color w:val="000000"/>
                <w:highlight w:val="none"/>
                <w:lang w:val="en-US" w:eastAsia="zh-CN"/>
              </w:rPr>
              <w:t>5L</w:t>
            </w:r>
          </w:p>
        </w:tc>
        <w:tc>
          <w:tcPr>
            <w:tcW w:w="1185" w:type="dxa"/>
            <w:tcBorders>
              <w:tl2br w:val="nil"/>
              <w:tr2bl w:val="nil"/>
            </w:tcBorders>
            <w:vAlign w:val="center"/>
          </w:tcPr>
          <w:p w14:paraId="7B2B62AF">
            <w:pPr>
              <w:jc w:val="center"/>
              <w:rPr>
                <w:highlight w:val="none"/>
              </w:rPr>
            </w:pPr>
            <w:r>
              <w:rPr>
                <w:rFonts w:hint="eastAsia"/>
                <w:color w:val="000000"/>
                <w:highlight w:val="none"/>
              </w:rPr>
              <w:t>否</w:t>
            </w:r>
          </w:p>
        </w:tc>
      </w:tr>
      <w:tr w14:paraId="7BA854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44BDEB82">
            <w:pPr>
              <w:jc w:val="center"/>
              <w:rPr>
                <w:highlight w:val="none"/>
              </w:rPr>
            </w:pPr>
            <w:r>
              <w:rPr>
                <w:rFonts w:hint="eastAsia"/>
                <w:color w:val="000000"/>
                <w:highlight w:val="none"/>
              </w:rPr>
              <w:t>总锌</w:t>
            </w:r>
          </w:p>
        </w:tc>
        <w:tc>
          <w:tcPr>
            <w:tcW w:w="1009" w:type="dxa"/>
            <w:tcBorders>
              <w:tl2br w:val="nil"/>
              <w:tr2bl w:val="nil"/>
            </w:tcBorders>
            <w:vAlign w:val="center"/>
          </w:tcPr>
          <w:p w14:paraId="1CEBB1C0">
            <w:pPr>
              <w:jc w:val="center"/>
              <w:rPr>
                <w:highlight w:val="none"/>
              </w:rPr>
            </w:pPr>
            <w:r>
              <w:rPr>
                <w:rFonts w:eastAsia="等线"/>
                <w:color w:val="000000"/>
                <w:highlight w:val="none"/>
              </w:rPr>
              <w:t>mg/L</w:t>
            </w:r>
          </w:p>
        </w:tc>
        <w:tc>
          <w:tcPr>
            <w:tcW w:w="3493" w:type="dxa"/>
            <w:tcBorders>
              <w:tl2br w:val="nil"/>
              <w:tr2bl w:val="nil"/>
            </w:tcBorders>
            <w:vAlign w:val="center"/>
          </w:tcPr>
          <w:p w14:paraId="51FC70E8">
            <w:pPr>
              <w:jc w:val="center"/>
              <w:rPr>
                <w:highlight w:val="none"/>
              </w:rPr>
            </w:pPr>
            <w:r>
              <w:rPr>
                <w:rFonts w:eastAsia="等线"/>
                <w:color w:val="000000"/>
                <w:highlight w:val="none"/>
              </w:rPr>
              <w:t>2</w:t>
            </w:r>
          </w:p>
        </w:tc>
        <w:tc>
          <w:tcPr>
            <w:tcW w:w="1085" w:type="dxa"/>
            <w:tcBorders>
              <w:tl2br w:val="nil"/>
              <w:tr2bl w:val="nil"/>
            </w:tcBorders>
            <w:vAlign w:val="center"/>
          </w:tcPr>
          <w:p w14:paraId="2575C1ED">
            <w:pPr>
              <w:jc w:val="center"/>
              <w:rPr>
                <w:highlight w:val="none"/>
              </w:rPr>
            </w:pPr>
            <w:r>
              <w:rPr>
                <w:rFonts w:eastAsia="等线"/>
                <w:color w:val="000000"/>
                <w:highlight w:val="none"/>
              </w:rPr>
              <w:t>0.05</w:t>
            </w:r>
            <w:r>
              <w:rPr>
                <w:rFonts w:hint="eastAsia" w:eastAsia="等线"/>
                <w:color w:val="000000"/>
                <w:highlight w:val="none"/>
                <w:lang w:val="en-US" w:eastAsia="zh-CN"/>
              </w:rPr>
              <w:t>L</w:t>
            </w:r>
          </w:p>
        </w:tc>
        <w:tc>
          <w:tcPr>
            <w:tcW w:w="1185" w:type="dxa"/>
            <w:tcBorders>
              <w:tl2br w:val="nil"/>
              <w:tr2bl w:val="nil"/>
            </w:tcBorders>
            <w:vAlign w:val="center"/>
          </w:tcPr>
          <w:p w14:paraId="60068A34">
            <w:pPr>
              <w:jc w:val="center"/>
              <w:rPr>
                <w:highlight w:val="none"/>
              </w:rPr>
            </w:pPr>
            <w:r>
              <w:rPr>
                <w:rFonts w:hint="eastAsia"/>
                <w:color w:val="000000"/>
                <w:highlight w:val="none"/>
              </w:rPr>
              <w:t>否</w:t>
            </w:r>
          </w:p>
        </w:tc>
      </w:tr>
      <w:tr w14:paraId="0128EE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1B0FEE2D">
            <w:pPr>
              <w:jc w:val="center"/>
              <w:rPr>
                <w:highlight w:val="none"/>
              </w:rPr>
            </w:pPr>
            <w:r>
              <w:rPr>
                <w:rFonts w:hint="eastAsia"/>
                <w:color w:val="000000"/>
                <w:highlight w:val="none"/>
              </w:rPr>
              <w:t>总锰</w:t>
            </w:r>
          </w:p>
        </w:tc>
        <w:tc>
          <w:tcPr>
            <w:tcW w:w="1009" w:type="dxa"/>
            <w:tcBorders>
              <w:tl2br w:val="nil"/>
              <w:tr2bl w:val="nil"/>
            </w:tcBorders>
            <w:vAlign w:val="center"/>
          </w:tcPr>
          <w:p w14:paraId="37FB7A9E">
            <w:pPr>
              <w:jc w:val="center"/>
              <w:rPr>
                <w:highlight w:val="none"/>
              </w:rPr>
            </w:pPr>
            <w:r>
              <w:rPr>
                <w:rFonts w:eastAsia="等线"/>
                <w:color w:val="000000"/>
                <w:highlight w:val="none"/>
              </w:rPr>
              <w:t>mg/L</w:t>
            </w:r>
          </w:p>
        </w:tc>
        <w:tc>
          <w:tcPr>
            <w:tcW w:w="3493" w:type="dxa"/>
            <w:tcBorders>
              <w:tl2br w:val="nil"/>
              <w:tr2bl w:val="nil"/>
            </w:tcBorders>
            <w:vAlign w:val="center"/>
          </w:tcPr>
          <w:p w14:paraId="685FB07D">
            <w:pPr>
              <w:jc w:val="center"/>
              <w:rPr>
                <w:highlight w:val="none"/>
              </w:rPr>
            </w:pPr>
            <w:r>
              <w:rPr>
                <w:rFonts w:eastAsia="等线"/>
                <w:color w:val="000000"/>
                <w:highlight w:val="none"/>
              </w:rPr>
              <w:t>2</w:t>
            </w:r>
          </w:p>
        </w:tc>
        <w:tc>
          <w:tcPr>
            <w:tcW w:w="1085" w:type="dxa"/>
            <w:tcBorders>
              <w:tl2br w:val="nil"/>
              <w:tr2bl w:val="nil"/>
            </w:tcBorders>
            <w:vAlign w:val="center"/>
          </w:tcPr>
          <w:p w14:paraId="596E9462">
            <w:pPr>
              <w:jc w:val="center"/>
              <w:rPr>
                <w:rFonts w:hint="eastAsia" w:eastAsia="等线"/>
                <w:highlight w:val="none"/>
                <w:lang w:eastAsia="zh-CN"/>
              </w:rPr>
            </w:pPr>
            <w:r>
              <w:rPr>
                <w:rFonts w:eastAsia="等线"/>
                <w:color w:val="000000"/>
                <w:highlight w:val="none"/>
              </w:rPr>
              <w:t>0.0</w:t>
            </w:r>
            <w:r>
              <w:rPr>
                <w:rFonts w:hint="eastAsia" w:eastAsia="等线"/>
                <w:color w:val="000000"/>
                <w:highlight w:val="none"/>
                <w:lang w:val="en-US" w:eastAsia="zh-CN"/>
              </w:rPr>
              <w:t>1L</w:t>
            </w:r>
          </w:p>
        </w:tc>
        <w:tc>
          <w:tcPr>
            <w:tcW w:w="1185" w:type="dxa"/>
            <w:tcBorders>
              <w:tl2br w:val="nil"/>
              <w:tr2bl w:val="nil"/>
            </w:tcBorders>
            <w:vAlign w:val="center"/>
          </w:tcPr>
          <w:p w14:paraId="328E3737">
            <w:pPr>
              <w:jc w:val="center"/>
              <w:rPr>
                <w:highlight w:val="none"/>
              </w:rPr>
            </w:pPr>
            <w:r>
              <w:rPr>
                <w:rFonts w:hint="eastAsia"/>
                <w:color w:val="000000"/>
                <w:highlight w:val="none"/>
              </w:rPr>
              <w:t>否</w:t>
            </w:r>
          </w:p>
        </w:tc>
      </w:tr>
      <w:tr w14:paraId="3FCAA8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756" w:type="dxa"/>
            <w:gridSpan w:val="2"/>
            <w:tcBorders>
              <w:tl2br w:val="nil"/>
              <w:tr2bl w:val="nil"/>
            </w:tcBorders>
            <w:vAlign w:val="center"/>
          </w:tcPr>
          <w:p w14:paraId="5371D71E">
            <w:pPr>
              <w:jc w:val="center"/>
              <w:rPr>
                <w:highlight w:val="none"/>
              </w:rPr>
            </w:pPr>
            <w:r>
              <w:rPr>
                <w:rFonts w:hint="eastAsia"/>
                <w:color w:val="000000"/>
                <w:highlight w:val="none"/>
              </w:rPr>
              <w:t>元素磷</w:t>
            </w:r>
          </w:p>
        </w:tc>
        <w:tc>
          <w:tcPr>
            <w:tcW w:w="1009" w:type="dxa"/>
            <w:tcBorders>
              <w:tl2br w:val="nil"/>
              <w:tr2bl w:val="nil"/>
            </w:tcBorders>
            <w:vAlign w:val="center"/>
          </w:tcPr>
          <w:p w14:paraId="799FF020">
            <w:pPr>
              <w:jc w:val="center"/>
              <w:rPr>
                <w:highlight w:val="none"/>
              </w:rPr>
            </w:pPr>
            <w:r>
              <w:rPr>
                <w:rFonts w:eastAsia="等线"/>
                <w:color w:val="000000"/>
                <w:highlight w:val="none"/>
              </w:rPr>
              <w:t>mg/L</w:t>
            </w:r>
          </w:p>
        </w:tc>
        <w:tc>
          <w:tcPr>
            <w:tcW w:w="3493" w:type="dxa"/>
            <w:tcBorders>
              <w:tl2br w:val="nil"/>
              <w:tr2bl w:val="nil"/>
            </w:tcBorders>
            <w:vAlign w:val="center"/>
          </w:tcPr>
          <w:p w14:paraId="18B43F10">
            <w:pPr>
              <w:jc w:val="center"/>
              <w:rPr>
                <w:highlight w:val="none"/>
              </w:rPr>
            </w:pPr>
            <w:r>
              <w:rPr>
                <w:rFonts w:eastAsia="等线"/>
                <w:color w:val="000000"/>
                <w:highlight w:val="none"/>
              </w:rPr>
              <w:t>0.1</w:t>
            </w:r>
          </w:p>
        </w:tc>
        <w:tc>
          <w:tcPr>
            <w:tcW w:w="1085" w:type="dxa"/>
            <w:tcBorders>
              <w:tl2br w:val="nil"/>
              <w:tr2bl w:val="nil"/>
            </w:tcBorders>
            <w:vAlign w:val="center"/>
          </w:tcPr>
          <w:p w14:paraId="5000752F">
            <w:pPr>
              <w:jc w:val="center"/>
              <w:rPr>
                <w:rFonts w:hint="default" w:eastAsia="等线"/>
                <w:highlight w:val="none"/>
                <w:lang w:val="en-US" w:eastAsia="zh-CN"/>
              </w:rPr>
            </w:pPr>
            <w:r>
              <w:rPr>
                <w:rFonts w:hint="eastAsia" w:eastAsia="等线"/>
                <w:color w:val="000000"/>
                <w:highlight w:val="none"/>
                <w:lang w:val="en-US" w:eastAsia="zh-CN"/>
              </w:rPr>
              <w:t>0.061</w:t>
            </w:r>
          </w:p>
        </w:tc>
        <w:tc>
          <w:tcPr>
            <w:tcW w:w="1185" w:type="dxa"/>
            <w:tcBorders>
              <w:tl2br w:val="nil"/>
              <w:tr2bl w:val="nil"/>
            </w:tcBorders>
            <w:vAlign w:val="center"/>
          </w:tcPr>
          <w:p w14:paraId="77921331">
            <w:pPr>
              <w:jc w:val="center"/>
              <w:rPr>
                <w:highlight w:val="none"/>
              </w:rPr>
            </w:pPr>
            <w:r>
              <w:rPr>
                <w:rFonts w:hint="eastAsia"/>
                <w:color w:val="000000"/>
                <w:highlight w:val="none"/>
              </w:rPr>
              <w:t>否</w:t>
            </w:r>
          </w:p>
        </w:tc>
      </w:tr>
    </w:tbl>
    <w:p w14:paraId="2A21A9C0">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ascii="Times New Roman" w:eastAsia="宋体"/>
          <w:bCs/>
          <w:sz w:val="24"/>
          <w:szCs w:val="24"/>
          <w:highlight w:val="none"/>
        </w:rPr>
      </w:pPr>
      <w:r>
        <w:rPr>
          <w:rFonts w:hint="eastAsia" w:cs="Times New Roman"/>
          <w:sz w:val="24"/>
          <w:szCs w:val="24"/>
          <w:highlight w:val="none"/>
          <w:lang w:val="en-US" w:eastAsia="zh-CN"/>
        </w:rPr>
        <w:t>由上表可知</w:t>
      </w:r>
      <w:r>
        <w:rPr>
          <w:rFonts w:hint="default" w:ascii="Times New Roman" w:hAnsi="Times New Roman" w:cs="Times New Roman"/>
          <w:sz w:val="24"/>
          <w:szCs w:val="24"/>
          <w:highlight w:val="none"/>
          <w:lang w:eastAsia="zh-CN"/>
        </w:rPr>
        <w:t>，</w:t>
      </w:r>
      <w:r>
        <w:rPr>
          <w:rFonts w:hint="eastAsia" w:cs="Times New Roman"/>
          <w:sz w:val="24"/>
          <w:szCs w:val="24"/>
          <w:highlight w:val="none"/>
          <w:lang w:val="en-US" w:eastAsia="zh-CN"/>
        </w:rPr>
        <w:t>废石</w:t>
      </w:r>
      <w:r>
        <w:rPr>
          <w:rFonts w:hint="default" w:ascii="Times New Roman" w:hAnsi="Times New Roman" w:cs="Times New Roman"/>
          <w:sz w:val="24"/>
          <w:szCs w:val="24"/>
          <w:highlight w:val="none"/>
        </w:rPr>
        <w:t>浸出液中任何一种污染物浓度均未超过《污水综合排放标准》（GB8978-1996）最高允许排放浓度，且pH值在6</w:t>
      </w:r>
      <w:r>
        <w:rPr>
          <w:rFonts w:hint="eastAsia" w:cs="Times New Roman"/>
          <w:sz w:val="24"/>
          <w:szCs w:val="24"/>
          <w:highlight w:val="none"/>
          <w:lang w:val="en-US" w:eastAsia="zh-CN"/>
        </w:rPr>
        <w:t>-</w:t>
      </w:r>
      <w:r>
        <w:rPr>
          <w:rFonts w:hint="default" w:ascii="Times New Roman" w:hAnsi="Times New Roman" w:cs="Times New Roman"/>
          <w:sz w:val="24"/>
          <w:szCs w:val="24"/>
          <w:highlight w:val="none"/>
        </w:rPr>
        <w:t>9，由此判定</w:t>
      </w:r>
      <w:r>
        <w:rPr>
          <w:rFonts w:hint="eastAsia" w:ascii="Times New Roman" w:hAnsi="Times New Roman" w:cs="Times New Roman"/>
          <w:sz w:val="24"/>
          <w:szCs w:val="24"/>
          <w:highlight w:val="none"/>
          <w:lang w:eastAsia="zh-CN"/>
        </w:rPr>
        <w:t>废石为第</w:t>
      </w:r>
      <w:r>
        <w:rPr>
          <w:rFonts w:hint="default" w:ascii="Times New Roman" w:hAnsi="Times New Roman" w:cs="Times New Roman"/>
          <w:sz w:val="24"/>
          <w:szCs w:val="24"/>
          <w:highlight w:val="none"/>
          <w:lang w:eastAsia="zh-CN"/>
        </w:rPr>
        <w:t>Ⅰ类</w:t>
      </w:r>
      <w:r>
        <w:rPr>
          <w:rFonts w:hint="eastAsia" w:ascii="Times New Roman" w:hAnsi="Times New Roman" w:cs="Times New Roman"/>
          <w:sz w:val="24"/>
          <w:szCs w:val="24"/>
          <w:highlight w:val="none"/>
          <w:lang w:eastAsia="zh-CN"/>
        </w:rPr>
        <w:t>一般工业固体废物。</w:t>
      </w:r>
    </w:p>
    <w:p w14:paraId="3FD1E352">
      <w:pPr>
        <w:keepNext w:val="0"/>
        <w:keepLines w:val="0"/>
        <w:pageBreakBefore w:val="0"/>
        <w:widowControl w:val="0"/>
        <w:kinsoku/>
        <w:wordWrap/>
        <w:overflowPunct/>
        <w:topLinePunct/>
        <w:autoSpaceDE/>
        <w:autoSpaceDN/>
        <w:bidi w:val="0"/>
        <w:adjustRightInd w:val="0"/>
        <w:snapToGrid/>
        <w:spacing w:line="360" w:lineRule="auto"/>
        <w:ind w:firstLine="482" w:firstLineChars="200"/>
        <w:textAlignment w:val="center"/>
        <w:rPr>
          <w:rFonts w:hint="eastAsia"/>
          <w:b/>
          <w:bCs w:val="0"/>
          <w:sz w:val="24"/>
          <w:szCs w:val="24"/>
          <w:highlight w:val="none"/>
          <w:lang w:val="en-US" w:eastAsia="zh-CN"/>
        </w:rPr>
      </w:pPr>
      <w:r>
        <w:rPr>
          <w:rFonts w:hint="eastAsia"/>
          <w:b/>
          <w:bCs w:val="0"/>
          <w:sz w:val="24"/>
          <w:szCs w:val="24"/>
          <w:highlight w:val="none"/>
          <w:lang w:val="en-US" w:eastAsia="zh-CN"/>
        </w:rPr>
        <w:t>③有机质和水溶性盐总量</w:t>
      </w:r>
    </w:p>
    <w:p w14:paraId="12AD8552">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b/>
          <w:bCs w:val="0"/>
          <w:sz w:val="24"/>
          <w:szCs w:val="24"/>
          <w:highlight w:val="none"/>
          <w:lang w:val="en-US" w:eastAsia="zh-CN"/>
        </w:rPr>
      </w:pPr>
      <w:r>
        <w:rPr>
          <w:rFonts w:hint="eastAsia" w:ascii="Times New Roman" w:hAnsi="Times New Roman" w:cs="Times New Roman"/>
          <w:sz w:val="24"/>
          <w:szCs w:val="24"/>
          <w:highlight w:val="none"/>
          <w:lang w:eastAsia="zh-CN"/>
        </w:rPr>
        <w:t>本次评价</w:t>
      </w:r>
      <w:r>
        <w:rPr>
          <w:rFonts w:hint="eastAsia" w:ascii="Times New Roman" w:hAnsi="Times New Roman" w:cs="Times New Roman"/>
          <w:sz w:val="24"/>
          <w:szCs w:val="24"/>
          <w:highlight w:val="none"/>
          <w:lang w:val="en-US" w:eastAsia="zh-CN"/>
        </w:rPr>
        <w:t>对堆存</w:t>
      </w:r>
      <w:r>
        <w:rPr>
          <w:rFonts w:hint="default" w:ascii="Times New Roman" w:hAnsi="Times New Roman" w:cs="Times New Roman"/>
          <w:sz w:val="24"/>
          <w:szCs w:val="24"/>
          <w:highlight w:val="none"/>
          <w:lang w:eastAsia="zh-CN"/>
        </w:rPr>
        <w:t>废石</w:t>
      </w:r>
      <w:r>
        <w:rPr>
          <w:rFonts w:hint="eastAsia" w:cs="Times New Roman"/>
          <w:sz w:val="24"/>
          <w:szCs w:val="24"/>
          <w:highlight w:val="none"/>
          <w:lang w:val="en-US" w:eastAsia="zh-CN"/>
        </w:rPr>
        <w:t>混合样</w:t>
      </w:r>
      <w:r>
        <w:rPr>
          <w:rFonts w:hint="eastAsia"/>
          <w:color w:val="auto"/>
          <w:sz w:val="24"/>
          <w:szCs w:val="24"/>
          <w:highlight w:val="none"/>
          <w:lang w:val="en-US" w:eastAsia="zh-CN"/>
        </w:rPr>
        <w:t>有机质和水溶性盐总量进行监测</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eastAsia="zh-CN"/>
        </w:rPr>
        <w:t>根据</w:t>
      </w:r>
      <w:r>
        <w:rPr>
          <w:rFonts w:hint="eastAsia" w:cs="Times New Roman"/>
          <w:color w:val="000000"/>
          <w:sz w:val="24"/>
          <w:szCs w:val="24"/>
          <w:highlight w:val="none"/>
          <w:lang w:val="en-US" w:eastAsia="zh-CN"/>
        </w:rPr>
        <w:t>《承德天宝矿业集团大昌矿业有限公司东北沟排土场建设项目浸溶试验检测报告》（ZXLN（T）202503029）</w:t>
      </w:r>
      <w:r>
        <w:rPr>
          <w:rFonts w:hint="default" w:ascii="Times New Roman" w:hAnsi="Times New Roman" w:cs="Times New Roman"/>
          <w:sz w:val="24"/>
          <w:szCs w:val="24"/>
          <w:highlight w:val="none"/>
          <w:lang w:eastAsia="zh-CN"/>
        </w:rPr>
        <w:t>，检验</w:t>
      </w:r>
      <w:r>
        <w:rPr>
          <w:rFonts w:hint="default" w:ascii="Times New Roman" w:hAnsi="Times New Roman" w:cs="Times New Roman"/>
          <w:sz w:val="24"/>
          <w:szCs w:val="24"/>
          <w:highlight w:val="none"/>
        </w:rPr>
        <w:t>结果况见下表</w:t>
      </w:r>
      <w:r>
        <w:rPr>
          <w:rFonts w:hint="eastAsia" w:cs="Times New Roman"/>
          <w:sz w:val="24"/>
          <w:szCs w:val="24"/>
          <w:highlight w:val="none"/>
          <w:lang w:eastAsia="zh-CN"/>
        </w:rPr>
        <w:t>。</w:t>
      </w:r>
    </w:p>
    <w:p w14:paraId="38F14F5D">
      <w:pPr>
        <w:numPr>
          <w:ilvl w:val="0"/>
          <w:numId w:val="20"/>
        </w:numPr>
        <w:adjustRightInd w:val="0"/>
        <w:snapToGrid w:val="0"/>
        <w:jc w:val="center"/>
        <w:rPr>
          <w:rFonts w:hint="eastAsia" w:ascii="Times New Roman" w:hAnsi="Times New Roman" w:eastAsia="宋体" w:cs="Times New Roman"/>
          <w:b/>
          <w:bCs/>
          <w:color w:val="auto"/>
          <w:kern w:val="2"/>
          <w:sz w:val="21"/>
          <w:szCs w:val="16"/>
          <w:highlight w:val="none"/>
          <w:lang w:val="en-US" w:eastAsia="zh-CN" w:bidi="ar-SA"/>
        </w:rPr>
      </w:pPr>
      <w:r>
        <w:rPr>
          <w:rFonts w:hint="eastAsia" w:ascii="Times New Roman" w:hAnsi="Times New Roman" w:eastAsia="宋体" w:cs="Times New Roman"/>
          <w:b/>
          <w:bCs/>
          <w:color w:val="auto"/>
          <w:kern w:val="2"/>
          <w:sz w:val="21"/>
          <w:szCs w:val="16"/>
          <w:highlight w:val="none"/>
          <w:lang w:val="en-US" w:eastAsia="zh-CN" w:bidi="ar-SA"/>
        </w:rPr>
        <w:t>I类场的一般工业固体废物入场要求</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8"/>
        <w:gridCol w:w="908"/>
        <w:gridCol w:w="3254"/>
        <w:gridCol w:w="1359"/>
        <w:gridCol w:w="1366"/>
      </w:tblGrid>
      <w:tr w14:paraId="2B23E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5D58A4C3">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highlight w:val="none"/>
              </w:rPr>
            </w:pPr>
            <w:r>
              <w:rPr>
                <w:rFonts w:hint="default"/>
                <w:b/>
                <w:bCs/>
                <w:color w:val="auto"/>
                <w:kern w:val="0"/>
                <w:sz w:val="21"/>
                <w:szCs w:val="21"/>
                <w:highlight w:val="none"/>
                <w:lang w:bidi="ar"/>
              </w:rPr>
              <w:t>检测项目</w:t>
            </w:r>
          </w:p>
        </w:tc>
        <w:tc>
          <w:tcPr>
            <w:tcW w:w="532" w:type="pct"/>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7EB3DADD">
            <w:pPr>
              <w:keepNext w:val="0"/>
              <w:keepLines w:val="0"/>
              <w:suppressLineNumbers w:val="0"/>
              <w:spacing w:before="0" w:beforeAutospacing="0" w:after="0" w:afterAutospacing="0" w:line="240" w:lineRule="auto"/>
              <w:ind w:left="0" w:right="0" w:firstLine="0" w:firstLineChars="0"/>
              <w:jc w:val="center"/>
              <w:rPr>
                <w:rFonts w:hint="eastAsia" w:eastAsia="宋体"/>
                <w:b/>
                <w:bCs/>
                <w:color w:val="auto"/>
                <w:kern w:val="0"/>
                <w:sz w:val="21"/>
                <w:szCs w:val="21"/>
                <w:highlight w:val="none"/>
                <w:lang w:val="en-US" w:eastAsia="zh-CN" w:bidi="ar"/>
              </w:rPr>
            </w:pPr>
            <w:r>
              <w:rPr>
                <w:rFonts w:hint="eastAsia"/>
                <w:b/>
                <w:bCs/>
                <w:color w:val="auto"/>
                <w:kern w:val="0"/>
                <w:sz w:val="21"/>
                <w:szCs w:val="21"/>
                <w:highlight w:val="none"/>
                <w:lang w:val="en-US" w:eastAsia="zh-CN" w:bidi="ar"/>
              </w:rPr>
              <w:t>单位</w:t>
            </w:r>
          </w:p>
        </w:tc>
        <w:tc>
          <w:tcPr>
            <w:tcW w:w="1908" w:type="pct"/>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61C768A1">
            <w:pPr>
              <w:keepNext w:val="0"/>
              <w:keepLines w:val="0"/>
              <w:suppressLineNumbers w:val="0"/>
              <w:spacing w:before="0" w:beforeAutospacing="0" w:after="0" w:afterAutospacing="0" w:line="240" w:lineRule="auto"/>
              <w:ind w:left="0" w:right="0" w:firstLine="0" w:firstLineChars="0"/>
              <w:jc w:val="center"/>
              <w:rPr>
                <w:rFonts w:hint="default" w:cs="宋体"/>
                <w:b/>
                <w:bCs/>
                <w:color w:val="auto"/>
                <w:sz w:val="21"/>
                <w:szCs w:val="21"/>
                <w:highlight w:val="none"/>
              </w:rPr>
            </w:pPr>
            <w:r>
              <w:rPr>
                <w:rFonts w:hint="default"/>
                <w:b/>
                <w:bCs/>
                <w:color w:val="auto"/>
                <w:kern w:val="0"/>
                <w:sz w:val="21"/>
                <w:szCs w:val="21"/>
                <w:highlight w:val="none"/>
                <w:lang w:bidi="ar"/>
              </w:rPr>
              <w:t>《一般工业固体废物贮存和填埋污染控制标准》（GB 18599-2020）</w:t>
            </w:r>
          </w:p>
        </w:tc>
        <w:tc>
          <w:tcPr>
            <w:tcW w:w="1598" w:type="pct"/>
            <w:gridSpan w:val="2"/>
            <w:tcBorders>
              <w:top w:val="single" w:color="auto" w:sz="2" w:space="0"/>
              <w:left w:val="single" w:color="auto" w:sz="2" w:space="0"/>
              <w:bottom w:val="single" w:color="auto" w:sz="2" w:space="0"/>
              <w:right w:val="single" w:color="auto" w:sz="2" w:space="0"/>
            </w:tcBorders>
            <w:shd w:val="clear" w:color="auto" w:fill="auto"/>
            <w:vAlign w:val="center"/>
          </w:tcPr>
          <w:p w14:paraId="51E6CD9D">
            <w:pPr>
              <w:keepNext w:val="0"/>
              <w:keepLines w:val="0"/>
              <w:suppressLineNumbers w:val="0"/>
              <w:spacing w:before="0" w:beforeAutospacing="0" w:after="0" w:afterAutospacing="0" w:line="240" w:lineRule="auto"/>
              <w:ind w:left="0" w:right="0" w:firstLine="0" w:firstLineChars="0"/>
              <w:jc w:val="center"/>
              <w:rPr>
                <w:rFonts w:hint="default"/>
                <w:b/>
                <w:bCs/>
                <w:color w:val="auto"/>
                <w:kern w:val="0"/>
                <w:sz w:val="21"/>
                <w:szCs w:val="21"/>
                <w:highlight w:val="none"/>
                <w:lang w:bidi="ar"/>
              </w:rPr>
            </w:pPr>
            <w:r>
              <w:rPr>
                <w:rFonts w:hint="default"/>
                <w:b/>
                <w:bCs/>
                <w:color w:val="auto"/>
                <w:kern w:val="0"/>
                <w:sz w:val="21"/>
                <w:szCs w:val="21"/>
                <w:highlight w:val="none"/>
                <w:lang w:bidi="ar"/>
              </w:rPr>
              <w:t>检测结果</w:t>
            </w:r>
          </w:p>
        </w:tc>
      </w:tr>
      <w:tr w14:paraId="7BA99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2BBB9990">
            <w:pPr>
              <w:keepNext w:val="0"/>
              <w:keepLines w:val="0"/>
              <w:suppressLineNumbers w:val="0"/>
              <w:spacing w:before="0" w:beforeAutospacing="0" w:after="0" w:afterAutospacing="0" w:line="240" w:lineRule="auto"/>
              <w:ind w:left="0" w:right="0" w:firstLine="0" w:firstLineChars="0"/>
              <w:rPr>
                <w:rFonts w:hint="default"/>
                <w:b/>
                <w:bCs/>
                <w:color w:val="auto"/>
                <w:sz w:val="21"/>
                <w:szCs w:val="21"/>
                <w:highlight w:val="none"/>
              </w:rPr>
            </w:pPr>
          </w:p>
        </w:tc>
        <w:tc>
          <w:tcPr>
            <w:tcW w:w="532"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3D0E5955">
            <w:pPr>
              <w:keepNext w:val="0"/>
              <w:keepLines w:val="0"/>
              <w:suppressLineNumbers w:val="0"/>
              <w:spacing w:before="0" w:beforeAutospacing="0" w:after="0" w:afterAutospacing="0" w:line="240" w:lineRule="auto"/>
              <w:ind w:left="0" w:right="0" w:firstLine="0" w:firstLineChars="0"/>
              <w:rPr>
                <w:rFonts w:hint="default"/>
                <w:b/>
                <w:bCs/>
                <w:color w:val="auto"/>
                <w:sz w:val="21"/>
                <w:szCs w:val="21"/>
                <w:highlight w:val="none"/>
              </w:rPr>
            </w:pPr>
          </w:p>
        </w:tc>
        <w:tc>
          <w:tcPr>
            <w:tcW w:w="1908" w:type="pct"/>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14E2AE7F">
            <w:pPr>
              <w:keepNext w:val="0"/>
              <w:keepLines w:val="0"/>
              <w:suppressLineNumbers w:val="0"/>
              <w:spacing w:before="0" w:beforeAutospacing="0" w:after="0" w:afterAutospacing="0" w:line="240" w:lineRule="auto"/>
              <w:ind w:left="0" w:right="0" w:firstLine="0" w:firstLineChars="0"/>
              <w:rPr>
                <w:rFonts w:hint="default" w:cs="宋体"/>
                <w:b/>
                <w:bCs/>
                <w:color w:val="auto"/>
                <w:sz w:val="21"/>
                <w:szCs w:val="21"/>
                <w:highlight w:val="none"/>
              </w:rPr>
            </w:pPr>
          </w:p>
        </w:tc>
        <w:tc>
          <w:tcPr>
            <w:tcW w:w="797" w:type="pct"/>
            <w:tcBorders>
              <w:top w:val="single" w:color="auto" w:sz="2" w:space="0"/>
              <w:left w:val="single" w:color="auto" w:sz="2" w:space="0"/>
              <w:bottom w:val="single" w:color="auto" w:sz="2" w:space="0"/>
              <w:right w:val="single" w:color="auto" w:sz="2" w:space="0"/>
            </w:tcBorders>
            <w:shd w:val="clear" w:color="auto" w:fill="auto"/>
            <w:vAlign w:val="center"/>
          </w:tcPr>
          <w:p w14:paraId="3ECFACA0">
            <w:pPr>
              <w:keepNext w:val="0"/>
              <w:keepLines w:val="0"/>
              <w:suppressLineNumbers w:val="0"/>
              <w:spacing w:before="0" w:beforeAutospacing="0" w:after="0" w:afterAutospacing="0" w:line="240" w:lineRule="auto"/>
              <w:ind w:left="0" w:right="0" w:firstLine="0" w:firstLineChars="0"/>
              <w:jc w:val="center"/>
              <w:rPr>
                <w:rFonts w:hint="eastAsia" w:eastAsia="宋体"/>
                <w:b/>
                <w:bCs/>
                <w:color w:val="auto"/>
                <w:szCs w:val="20"/>
                <w:highlight w:val="none"/>
                <w:lang w:eastAsia="zh-CN"/>
              </w:rPr>
            </w:pPr>
            <w:r>
              <w:rPr>
                <w:rFonts w:hint="eastAsia"/>
                <w:b/>
                <w:bCs/>
                <w:color w:val="auto"/>
                <w:kern w:val="0"/>
                <w:sz w:val="21"/>
                <w:szCs w:val="21"/>
                <w:highlight w:val="none"/>
                <w:lang w:val="en-US" w:eastAsia="zh-CN" w:bidi="ar"/>
              </w:rPr>
              <w:t>监测值</w:t>
            </w:r>
          </w:p>
        </w:tc>
        <w:tc>
          <w:tcPr>
            <w:tcW w:w="801" w:type="pct"/>
            <w:tcBorders>
              <w:top w:val="single" w:color="auto" w:sz="2" w:space="0"/>
              <w:left w:val="single" w:color="auto" w:sz="2" w:space="0"/>
              <w:bottom w:val="single" w:color="auto" w:sz="2" w:space="0"/>
              <w:right w:val="single" w:color="auto" w:sz="2" w:space="0"/>
            </w:tcBorders>
            <w:shd w:val="clear" w:color="auto" w:fill="auto"/>
            <w:vAlign w:val="center"/>
          </w:tcPr>
          <w:p w14:paraId="0BCFC90E">
            <w:pPr>
              <w:keepNext w:val="0"/>
              <w:keepLines w:val="0"/>
              <w:suppressLineNumbers w:val="0"/>
              <w:spacing w:before="0" w:beforeAutospacing="0" w:after="0" w:afterAutospacing="0" w:line="240" w:lineRule="auto"/>
              <w:ind w:left="0" w:right="0" w:firstLine="0" w:firstLineChars="0"/>
              <w:jc w:val="center"/>
              <w:rPr>
                <w:rFonts w:hint="default"/>
                <w:b/>
                <w:bCs/>
                <w:color w:val="auto"/>
                <w:kern w:val="0"/>
                <w:sz w:val="21"/>
                <w:szCs w:val="21"/>
                <w:highlight w:val="none"/>
                <w:lang w:bidi="ar"/>
              </w:rPr>
            </w:pPr>
            <w:r>
              <w:rPr>
                <w:rFonts w:hint="default"/>
                <w:b/>
                <w:bCs/>
                <w:color w:val="auto"/>
                <w:kern w:val="0"/>
                <w:sz w:val="21"/>
                <w:szCs w:val="21"/>
                <w:highlight w:val="none"/>
                <w:lang w:bidi="ar"/>
              </w:rPr>
              <w:t>是否达标</w:t>
            </w:r>
          </w:p>
        </w:tc>
      </w:tr>
      <w:tr w14:paraId="3092A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tcBorders>
              <w:top w:val="single" w:color="auto" w:sz="2" w:space="0"/>
              <w:left w:val="single" w:color="auto" w:sz="2" w:space="0"/>
              <w:bottom w:val="single" w:color="auto" w:sz="2" w:space="0"/>
              <w:right w:val="single" w:color="auto" w:sz="2" w:space="0"/>
            </w:tcBorders>
            <w:shd w:val="clear" w:color="auto" w:fill="auto"/>
            <w:vAlign w:val="center"/>
          </w:tcPr>
          <w:p w14:paraId="53EC270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szCs w:val="21"/>
                <w:highlight w:val="none"/>
              </w:rPr>
            </w:pPr>
            <w:r>
              <w:rPr>
                <w:rFonts w:hint="eastAsia"/>
                <w:color w:val="auto"/>
                <w:sz w:val="21"/>
                <w:szCs w:val="21"/>
                <w:highlight w:val="none"/>
              </w:rPr>
              <w:t>有机质</w:t>
            </w:r>
          </w:p>
        </w:tc>
        <w:tc>
          <w:tcPr>
            <w:tcW w:w="532" w:type="pct"/>
            <w:tcBorders>
              <w:top w:val="single" w:color="auto" w:sz="2" w:space="0"/>
              <w:left w:val="single" w:color="auto" w:sz="2" w:space="0"/>
              <w:bottom w:val="single" w:color="auto" w:sz="2" w:space="0"/>
              <w:right w:val="single" w:color="auto" w:sz="2" w:space="0"/>
            </w:tcBorders>
            <w:shd w:val="clear" w:color="auto" w:fill="auto"/>
            <w:vAlign w:val="center"/>
          </w:tcPr>
          <w:p w14:paraId="59FBB4CC">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olor w:val="auto"/>
                <w:sz w:val="21"/>
                <w:szCs w:val="21"/>
                <w:highlight w:val="none"/>
              </w:rPr>
            </w:pPr>
            <w:r>
              <w:rPr>
                <w:rFonts w:hint="eastAsia" w:cs="宋体"/>
                <w:color w:val="auto"/>
                <w:sz w:val="21"/>
                <w:szCs w:val="21"/>
                <w:highlight w:val="none"/>
              </w:rPr>
              <w:t>%</w:t>
            </w:r>
          </w:p>
        </w:tc>
        <w:tc>
          <w:tcPr>
            <w:tcW w:w="1908" w:type="pct"/>
            <w:tcBorders>
              <w:top w:val="single" w:color="auto" w:sz="2" w:space="0"/>
              <w:left w:val="single" w:color="auto" w:sz="2" w:space="0"/>
              <w:bottom w:val="single" w:color="auto" w:sz="2" w:space="0"/>
              <w:right w:val="single" w:color="auto" w:sz="2" w:space="0"/>
            </w:tcBorders>
            <w:shd w:val="clear" w:color="auto" w:fill="auto"/>
            <w:vAlign w:val="center"/>
          </w:tcPr>
          <w:p w14:paraId="54EA15BE">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bidi="ar"/>
              </w:rPr>
              <w:t>2</w:t>
            </w:r>
          </w:p>
        </w:tc>
        <w:tc>
          <w:tcPr>
            <w:tcW w:w="797" w:type="pct"/>
            <w:tcBorders>
              <w:top w:val="single" w:color="auto" w:sz="2" w:space="0"/>
              <w:left w:val="single" w:color="auto" w:sz="2" w:space="0"/>
              <w:bottom w:val="single" w:color="auto" w:sz="2" w:space="0"/>
              <w:right w:val="single" w:color="auto" w:sz="2" w:space="0"/>
            </w:tcBorders>
            <w:shd w:val="clear" w:color="auto" w:fill="auto"/>
            <w:vAlign w:val="center"/>
          </w:tcPr>
          <w:p w14:paraId="2D937EF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cs="宋体"/>
                <w:color w:val="auto"/>
                <w:kern w:val="2"/>
                <w:sz w:val="21"/>
                <w:szCs w:val="21"/>
                <w:highlight w:val="none"/>
                <w:lang w:val="en-US" w:eastAsia="zh-CN" w:bidi="ar-SA"/>
              </w:rPr>
              <w:t>1.6</w:t>
            </w:r>
          </w:p>
        </w:tc>
        <w:tc>
          <w:tcPr>
            <w:tcW w:w="801" w:type="pct"/>
            <w:tcBorders>
              <w:top w:val="single" w:color="auto" w:sz="2" w:space="0"/>
              <w:left w:val="single" w:color="auto" w:sz="2" w:space="0"/>
              <w:bottom w:val="single" w:color="auto" w:sz="2" w:space="0"/>
              <w:right w:val="single" w:color="auto" w:sz="2" w:space="0"/>
            </w:tcBorders>
            <w:shd w:val="clear" w:color="auto" w:fill="auto"/>
            <w:vAlign w:val="center"/>
          </w:tcPr>
          <w:p w14:paraId="0B75053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szCs w:val="21"/>
                <w:highlight w:val="none"/>
                <w:lang w:bidi="ar"/>
              </w:rPr>
            </w:pPr>
            <w:r>
              <w:rPr>
                <w:rFonts w:hint="default"/>
                <w:color w:val="auto"/>
                <w:kern w:val="0"/>
                <w:sz w:val="21"/>
                <w:szCs w:val="21"/>
                <w:highlight w:val="none"/>
                <w:lang w:bidi="ar"/>
              </w:rPr>
              <w:t>是</w:t>
            </w:r>
          </w:p>
        </w:tc>
      </w:tr>
      <w:tr w14:paraId="12F74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tcBorders>
              <w:top w:val="single" w:color="auto" w:sz="2" w:space="0"/>
              <w:left w:val="single" w:color="auto" w:sz="2" w:space="0"/>
              <w:bottom w:val="single" w:color="auto" w:sz="2" w:space="0"/>
              <w:right w:val="single" w:color="auto" w:sz="2" w:space="0"/>
            </w:tcBorders>
            <w:shd w:val="clear" w:color="auto" w:fill="auto"/>
            <w:vAlign w:val="center"/>
          </w:tcPr>
          <w:p w14:paraId="6973856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sz w:val="21"/>
                <w:szCs w:val="21"/>
                <w:highlight w:val="none"/>
              </w:rPr>
            </w:pPr>
            <w:r>
              <w:rPr>
                <w:rFonts w:hint="eastAsia"/>
                <w:color w:val="auto"/>
                <w:sz w:val="21"/>
                <w:szCs w:val="21"/>
                <w:highlight w:val="none"/>
              </w:rPr>
              <w:t>水溶性盐总量</w:t>
            </w:r>
          </w:p>
        </w:tc>
        <w:tc>
          <w:tcPr>
            <w:tcW w:w="532" w:type="pct"/>
            <w:tcBorders>
              <w:top w:val="single" w:color="auto" w:sz="2" w:space="0"/>
              <w:left w:val="single" w:color="auto" w:sz="2" w:space="0"/>
              <w:bottom w:val="single" w:color="auto" w:sz="2" w:space="0"/>
              <w:right w:val="single" w:color="auto" w:sz="2" w:space="0"/>
            </w:tcBorders>
            <w:shd w:val="clear" w:color="auto" w:fill="auto"/>
            <w:vAlign w:val="center"/>
          </w:tcPr>
          <w:p w14:paraId="6B036DB5">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1908" w:type="pct"/>
            <w:tcBorders>
              <w:top w:val="single" w:color="auto" w:sz="2" w:space="0"/>
              <w:left w:val="single" w:color="auto" w:sz="2" w:space="0"/>
              <w:bottom w:val="single" w:color="auto" w:sz="2" w:space="0"/>
              <w:right w:val="single" w:color="auto" w:sz="2" w:space="0"/>
            </w:tcBorders>
            <w:shd w:val="clear" w:color="auto" w:fill="auto"/>
            <w:vAlign w:val="center"/>
          </w:tcPr>
          <w:p w14:paraId="582739A9">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bidi="ar"/>
              </w:rPr>
              <w:t>2</w:t>
            </w:r>
          </w:p>
        </w:tc>
        <w:tc>
          <w:tcPr>
            <w:tcW w:w="797" w:type="pct"/>
            <w:tcBorders>
              <w:top w:val="single" w:color="auto" w:sz="2" w:space="0"/>
              <w:left w:val="single" w:color="auto" w:sz="2" w:space="0"/>
              <w:bottom w:val="single" w:color="auto" w:sz="2" w:space="0"/>
              <w:right w:val="single" w:color="auto" w:sz="2" w:space="0"/>
            </w:tcBorders>
            <w:shd w:val="clear" w:color="auto" w:fill="auto"/>
            <w:vAlign w:val="center"/>
          </w:tcPr>
          <w:p w14:paraId="7A49301F">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cs="宋体"/>
                <w:color w:val="auto"/>
                <w:kern w:val="2"/>
                <w:sz w:val="21"/>
                <w:szCs w:val="21"/>
                <w:highlight w:val="none"/>
                <w:lang w:val="en-US" w:eastAsia="zh-CN" w:bidi="ar-SA"/>
              </w:rPr>
              <w:t>0.6</w:t>
            </w:r>
          </w:p>
        </w:tc>
        <w:tc>
          <w:tcPr>
            <w:tcW w:w="801" w:type="pct"/>
            <w:tcBorders>
              <w:top w:val="single" w:color="auto" w:sz="2" w:space="0"/>
              <w:left w:val="single" w:color="auto" w:sz="2" w:space="0"/>
              <w:bottom w:val="single" w:color="auto" w:sz="2" w:space="0"/>
              <w:right w:val="single" w:color="auto" w:sz="2" w:space="0"/>
            </w:tcBorders>
            <w:shd w:val="clear" w:color="auto" w:fill="auto"/>
            <w:vAlign w:val="center"/>
          </w:tcPr>
          <w:p w14:paraId="5A9B61A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auto"/>
                <w:kern w:val="0"/>
                <w:sz w:val="21"/>
                <w:szCs w:val="21"/>
                <w:highlight w:val="none"/>
                <w:lang w:bidi="ar"/>
              </w:rPr>
            </w:pPr>
            <w:r>
              <w:rPr>
                <w:rFonts w:hint="default"/>
                <w:color w:val="auto"/>
                <w:kern w:val="0"/>
                <w:sz w:val="21"/>
                <w:szCs w:val="21"/>
                <w:highlight w:val="none"/>
                <w:lang w:bidi="ar"/>
              </w:rPr>
              <w:t>是</w:t>
            </w:r>
          </w:p>
        </w:tc>
      </w:tr>
    </w:tbl>
    <w:p w14:paraId="28AC8871">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b/>
          <w:bCs w:val="0"/>
          <w:sz w:val="24"/>
          <w:szCs w:val="24"/>
          <w:highlight w:val="none"/>
          <w:lang w:val="en-US" w:eastAsia="zh-CN"/>
        </w:rPr>
      </w:pPr>
      <w:r>
        <w:rPr>
          <w:rFonts w:hint="eastAsia"/>
          <w:color w:val="auto"/>
          <w:sz w:val="24"/>
          <w:szCs w:val="24"/>
          <w:highlight w:val="none"/>
          <w:lang w:eastAsia="zh-CN"/>
        </w:rPr>
        <w:t>由上表可知，</w:t>
      </w:r>
      <w:r>
        <w:rPr>
          <w:rFonts w:hint="default"/>
          <w:color w:val="auto"/>
          <w:sz w:val="24"/>
          <w:szCs w:val="24"/>
          <w:highlight w:val="none"/>
          <w:lang w:eastAsia="zh-CN"/>
        </w:rPr>
        <w:t>本项目废石有机质含量</w:t>
      </w:r>
      <w:r>
        <w:rPr>
          <w:rFonts w:hint="eastAsia"/>
          <w:color w:val="auto"/>
          <w:sz w:val="24"/>
          <w:szCs w:val="24"/>
          <w:highlight w:val="none"/>
          <w:lang w:eastAsia="zh-CN"/>
        </w:rPr>
        <w:t>、</w:t>
      </w:r>
      <w:r>
        <w:rPr>
          <w:rFonts w:hint="default"/>
          <w:color w:val="auto"/>
          <w:sz w:val="24"/>
          <w:szCs w:val="24"/>
          <w:highlight w:val="none"/>
          <w:lang w:eastAsia="zh-CN"/>
        </w:rPr>
        <w:t>水溶性盐总量</w:t>
      </w:r>
      <w:r>
        <w:rPr>
          <w:rFonts w:hint="eastAsia"/>
          <w:color w:val="auto"/>
          <w:sz w:val="24"/>
          <w:szCs w:val="24"/>
          <w:highlight w:val="none"/>
          <w:lang w:val="en-US" w:eastAsia="zh-CN"/>
        </w:rPr>
        <w:t>均</w:t>
      </w:r>
      <w:r>
        <w:rPr>
          <w:rFonts w:hint="default"/>
          <w:color w:val="auto"/>
          <w:sz w:val="24"/>
          <w:szCs w:val="24"/>
          <w:highlight w:val="none"/>
          <w:lang w:eastAsia="zh-CN"/>
        </w:rPr>
        <w:t>小于2%，满足I类场入场要求。</w:t>
      </w:r>
    </w:p>
    <w:p w14:paraId="7723E8A1">
      <w:pPr>
        <w:keepNext w:val="0"/>
        <w:keepLines w:val="0"/>
        <w:pageBreakBefore w:val="0"/>
        <w:widowControl w:val="0"/>
        <w:kinsoku/>
        <w:wordWrap/>
        <w:overflowPunct/>
        <w:topLinePunct/>
        <w:autoSpaceDE/>
        <w:autoSpaceDN/>
        <w:bidi w:val="0"/>
        <w:adjustRightInd w:val="0"/>
        <w:snapToGrid/>
        <w:spacing w:line="360" w:lineRule="auto"/>
        <w:ind w:firstLine="482" w:firstLineChars="200"/>
        <w:textAlignment w:val="center"/>
        <w:rPr>
          <w:rFonts w:hint="eastAsia" w:ascii="Times New Roman" w:eastAsia="宋体"/>
          <w:b/>
          <w:bCs w:val="0"/>
          <w:sz w:val="24"/>
          <w:szCs w:val="24"/>
          <w:highlight w:val="none"/>
        </w:rPr>
      </w:pPr>
      <w:r>
        <w:rPr>
          <w:rFonts w:hint="eastAsia"/>
          <w:b/>
          <w:bCs w:val="0"/>
          <w:sz w:val="24"/>
          <w:szCs w:val="24"/>
          <w:highlight w:val="none"/>
          <w:lang w:val="en-US" w:eastAsia="zh-CN"/>
        </w:rPr>
        <w:t>④</w:t>
      </w:r>
      <w:r>
        <w:rPr>
          <w:rFonts w:hint="eastAsia" w:ascii="Times New Roman" w:eastAsia="宋体"/>
          <w:b/>
          <w:bCs w:val="0"/>
          <w:sz w:val="24"/>
          <w:szCs w:val="24"/>
          <w:highlight w:val="none"/>
        </w:rPr>
        <w:t>辐射鉴别</w:t>
      </w:r>
    </w:p>
    <w:p w14:paraId="6A241FA5">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ascii="Times New Roman" w:hAnsi="Times New Roman" w:eastAsia="宋体" w:cs="Times New Roman"/>
          <w:color w:val="000000"/>
          <w:kern w:val="0"/>
          <w:sz w:val="24"/>
          <w:szCs w:val="21"/>
          <w:highlight w:val="none"/>
          <w:lang w:val="en-US" w:eastAsia="zh-CN"/>
        </w:rPr>
      </w:pPr>
      <w:r>
        <w:rPr>
          <w:rFonts w:hint="eastAsia" w:ascii="Times New Roman" w:hAnsi="Times New Roman" w:eastAsia="宋体" w:cs="Times New Roman"/>
          <w:color w:val="000000"/>
          <w:kern w:val="0"/>
          <w:sz w:val="24"/>
          <w:szCs w:val="21"/>
          <w:highlight w:val="none"/>
          <w:lang w:val="en-US" w:eastAsia="zh-CN"/>
        </w:rPr>
        <w:t>根据《矿产资源开发利用辐射环境监督管理名录》（2020年11月25日印发），本项目属于铁选项目，在《矿产资源开发利用辐射环境监督管理名录》（2020年11月25日印发）内。</w:t>
      </w:r>
    </w:p>
    <w:p w14:paraId="7A06CA56">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ascii="Times New Roman" w:hAnsi="Times New Roman" w:eastAsia="宋体" w:cs="Times New Roman"/>
          <w:color w:val="000000"/>
          <w:kern w:val="0"/>
          <w:sz w:val="24"/>
          <w:szCs w:val="21"/>
          <w:highlight w:val="none"/>
          <w:lang w:val="en-US" w:eastAsia="zh-CN"/>
        </w:rPr>
      </w:pPr>
      <w:r>
        <w:rPr>
          <w:rFonts w:hint="eastAsia" w:ascii="Times New Roman" w:hAnsi="Times New Roman" w:eastAsia="宋体" w:cs="Times New Roman"/>
          <w:color w:val="000000"/>
          <w:kern w:val="0"/>
          <w:sz w:val="24"/>
          <w:szCs w:val="21"/>
          <w:highlight w:val="none"/>
          <w:lang w:val="en-US" w:eastAsia="zh-CN"/>
        </w:rPr>
        <w:t>依照《矿产资源开发利用辐射环境监督管理名录》（2020年11月25日印发）环评类别为环境影响报告书（表）且已纳入上述名录中的矿产资源开发利用建设项目，建设单位应在环境影响报告书（表）中给出原矿、中间产品、尾矿、尾渣或者其他残留物中铀（钍）系单个核素活度浓度是否超过1贝可/克（Bq/g）的结论。</w:t>
      </w:r>
    </w:p>
    <w:p w14:paraId="7C8EDFF4">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cs="Times New Roman"/>
          <w:color w:val="000000"/>
          <w:kern w:val="0"/>
          <w:sz w:val="24"/>
          <w:szCs w:val="21"/>
          <w:highlight w:val="none"/>
          <w:lang w:val="en-US" w:eastAsia="zh-CN"/>
        </w:rPr>
      </w:pPr>
      <w:r>
        <w:rPr>
          <w:rFonts w:hint="eastAsia" w:ascii="Times New Roman" w:hAnsi="Times New Roman" w:eastAsia="宋体" w:cs="Times New Roman"/>
          <w:color w:val="000000"/>
          <w:kern w:val="0"/>
          <w:sz w:val="24"/>
          <w:szCs w:val="21"/>
          <w:highlight w:val="none"/>
          <w:lang w:val="en-US" w:eastAsia="zh-CN"/>
        </w:rPr>
        <w:t>为此，公司委托</w:t>
      </w:r>
      <w:r>
        <w:rPr>
          <w:rFonts w:hint="eastAsia" w:cs="Times New Roman"/>
          <w:color w:val="000000"/>
          <w:kern w:val="0"/>
          <w:sz w:val="24"/>
          <w:szCs w:val="21"/>
          <w:highlight w:val="none"/>
          <w:lang w:val="en-US" w:eastAsia="zh-CN"/>
        </w:rPr>
        <w:t>辽宁卓信检验检测有限公司</w:t>
      </w:r>
      <w:r>
        <w:rPr>
          <w:rFonts w:hint="eastAsia" w:ascii="Times New Roman" w:hAnsi="Times New Roman" w:eastAsia="宋体" w:cs="Times New Roman"/>
          <w:color w:val="000000"/>
          <w:kern w:val="0"/>
          <w:sz w:val="24"/>
          <w:szCs w:val="21"/>
          <w:highlight w:val="none"/>
          <w:lang w:val="en-US" w:eastAsia="zh-CN"/>
        </w:rPr>
        <w:t>对废石进行了放射性核素活度浓度检测，根据</w:t>
      </w:r>
      <w:r>
        <w:rPr>
          <w:rFonts w:hint="eastAsia" w:ascii="Times New Roman" w:hAnsi="Times New Roman" w:cs="Times New Roman"/>
          <w:color w:val="000000"/>
          <w:sz w:val="24"/>
          <w:highlight w:val="none"/>
          <w:lang w:val="en-US" w:eastAsia="zh-CN"/>
        </w:rPr>
        <w:t>《</w:t>
      </w:r>
      <w:r>
        <w:rPr>
          <w:rFonts w:hint="eastAsia" w:cs="Times New Roman"/>
          <w:color w:val="000000"/>
          <w:sz w:val="24"/>
          <w:highlight w:val="none"/>
          <w:lang w:eastAsia="zh-CN"/>
        </w:rPr>
        <w:t>承德天宝矿业集团大昌矿业有限公司东北沟排土场建设项目</w:t>
      </w:r>
      <w:r>
        <w:rPr>
          <w:rFonts w:hint="eastAsia" w:ascii="Times New Roman" w:hAnsi="Times New Roman" w:cs="Times New Roman"/>
          <w:color w:val="000000"/>
          <w:sz w:val="24"/>
          <w:highlight w:val="none"/>
          <w:lang w:val="en-US" w:eastAsia="zh-CN"/>
        </w:rPr>
        <w:t>物料放射性核素活度浓度检测报告》（</w:t>
      </w:r>
      <w:r>
        <w:rPr>
          <w:rFonts w:hint="eastAsia" w:cs="Times New Roman"/>
          <w:color w:val="auto"/>
          <w:sz w:val="24"/>
          <w:highlight w:val="none"/>
          <w:lang w:val="en-US" w:eastAsia="zh-CN"/>
        </w:rPr>
        <w:t>（辽鹏环测）字PY2503078-001号</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s="Times New Roman"/>
          <w:color w:val="000000"/>
          <w:kern w:val="0"/>
          <w:sz w:val="24"/>
          <w:szCs w:val="21"/>
          <w:highlight w:val="none"/>
          <w:lang w:val="en-US" w:eastAsia="zh-CN"/>
        </w:rPr>
        <w:t>，检验结果见下表</w:t>
      </w:r>
      <w:r>
        <w:rPr>
          <w:rFonts w:hint="eastAsia" w:cs="Times New Roman"/>
          <w:color w:val="000000"/>
          <w:kern w:val="0"/>
          <w:sz w:val="24"/>
          <w:szCs w:val="21"/>
          <w:highlight w:val="none"/>
          <w:lang w:val="en-US" w:eastAsia="zh-CN"/>
        </w:rPr>
        <w:t>：</w:t>
      </w:r>
    </w:p>
    <w:p w14:paraId="6AD4FA44">
      <w:pPr>
        <w:numPr>
          <w:ilvl w:val="0"/>
          <w:numId w:val="20"/>
        </w:numPr>
        <w:adjustRightInd w:val="0"/>
        <w:snapToGrid w:val="0"/>
        <w:jc w:val="center"/>
        <w:rPr>
          <w:rStyle w:val="66"/>
          <w:rFonts w:hint="default" w:ascii="Times New Roman" w:hAnsi="Times New Roman" w:eastAsia="宋体" w:cs="Times New Roman"/>
          <w:b/>
          <w:highlight w:val="none"/>
          <w:lang w:val="en-US" w:eastAsia="zh-CN"/>
        </w:rPr>
      </w:pPr>
      <w:r>
        <w:rPr>
          <w:rStyle w:val="66"/>
          <w:rFonts w:hint="default" w:ascii="Times New Roman" w:hAnsi="Times New Roman" w:eastAsia="宋体" w:cs="Times New Roman"/>
          <w:b/>
          <w:highlight w:val="none"/>
          <w:lang w:val="en-US" w:eastAsia="zh-CN"/>
        </w:rPr>
        <w:t>放射性核素活度浓度检测结果一览表</w:t>
      </w:r>
    </w:p>
    <w:tbl>
      <w:tblPr>
        <w:tblStyle w:val="58"/>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Layout w:type="autofit"/>
        <w:tblCellMar>
          <w:top w:w="0" w:type="dxa"/>
          <w:left w:w="0" w:type="dxa"/>
          <w:bottom w:w="0" w:type="dxa"/>
          <w:right w:w="0" w:type="dxa"/>
        </w:tblCellMar>
      </w:tblPr>
      <w:tblGrid>
        <w:gridCol w:w="2338"/>
        <w:gridCol w:w="1580"/>
        <w:gridCol w:w="1416"/>
        <w:gridCol w:w="1514"/>
        <w:gridCol w:w="1477"/>
      </w:tblGrid>
      <w:tr w14:paraId="6F308B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1404" w:type="pct"/>
            <w:vMerge w:val="restart"/>
            <w:tcBorders>
              <w:tl2br w:val="nil"/>
              <w:tr2bl w:val="nil"/>
            </w:tcBorders>
            <w:shd w:val="clear" w:color="auto" w:fill="auto"/>
            <w:tcMar>
              <w:top w:w="8" w:type="dxa"/>
              <w:left w:w="8" w:type="dxa"/>
              <w:right w:w="8" w:type="dxa"/>
            </w:tcMar>
            <w:vAlign w:val="center"/>
          </w:tcPr>
          <w:p w14:paraId="18BC1BA7">
            <w:pPr>
              <w:pStyle w:val="324"/>
              <w:keepNext w:val="0"/>
              <w:keepLines w:val="0"/>
              <w:pageBreakBefore w:val="0"/>
              <w:kinsoku/>
              <w:wordWrap/>
              <w:overflowPunct/>
              <w:topLinePunct w:val="0"/>
              <w:autoSpaceDE/>
              <w:autoSpaceDN/>
              <w:bidi w:val="0"/>
              <w:snapToGrid/>
              <w:spacing w:before="0" w:beforeLines="0" w:after="0" w:afterLines="0" w:line="240" w:lineRule="atLeas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监测</w:t>
            </w:r>
            <w:r>
              <w:rPr>
                <w:rFonts w:hint="eastAsia" w:ascii="Times New Roman" w:hAnsi="Times New Roman" w:cs="Times New Roman"/>
                <w:color w:val="auto"/>
                <w:sz w:val="21"/>
                <w:szCs w:val="21"/>
                <w:highlight w:val="none"/>
                <w:lang w:val="en-US" w:eastAsia="zh-CN"/>
              </w:rPr>
              <w:t>项目</w:t>
            </w:r>
          </w:p>
        </w:tc>
        <w:tc>
          <w:tcPr>
            <w:tcW w:w="3595" w:type="pct"/>
            <w:gridSpan w:val="4"/>
            <w:tcBorders>
              <w:tl2br w:val="nil"/>
              <w:tr2bl w:val="nil"/>
            </w:tcBorders>
            <w:shd w:val="clear" w:color="auto" w:fill="auto"/>
            <w:tcMar>
              <w:top w:w="8" w:type="dxa"/>
              <w:left w:w="8" w:type="dxa"/>
              <w:right w:w="8" w:type="dxa"/>
            </w:tcMar>
            <w:vAlign w:val="center"/>
          </w:tcPr>
          <w:p w14:paraId="6A7C3F82">
            <w:pPr>
              <w:pStyle w:val="324"/>
              <w:keepNext w:val="0"/>
              <w:keepLines w:val="0"/>
              <w:pageBreakBefore w:val="0"/>
              <w:kinsoku/>
              <w:wordWrap/>
              <w:overflowPunct/>
              <w:topLinePunct w:val="0"/>
              <w:autoSpaceDE/>
              <w:autoSpaceDN/>
              <w:bidi w:val="0"/>
              <w:snapToGrid/>
              <w:spacing w:before="0" w:beforeLines="0" w:after="0" w:afterLines="0" w:line="240" w:lineRule="atLeast"/>
              <w:textAlignment w:val="auto"/>
              <w:rPr>
                <w:rFonts w:hint="default" w:ascii="Times New Roman" w:hAnsi="Times New Roman" w:eastAsia="黑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检测结果</w:t>
            </w:r>
          </w:p>
        </w:tc>
      </w:tr>
      <w:tr w14:paraId="67505F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1404" w:type="pct"/>
            <w:vMerge w:val="continue"/>
            <w:tcBorders>
              <w:tl2br w:val="nil"/>
              <w:tr2bl w:val="nil"/>
            </w:tcBorders>
            <w:shd w:val="clear" w:color="auto" w:fill="auto"/>
            <w:tcMar>
              <w:top w:w="8" w:type="dxa"/>
              <w:left w:w="8" w:type="dxa"/>
              <w:right w:w="8" w:type="dxa"/>
            </w:tcMar>
            <w:vAlign w:val="center"/>
          </w:tcPr>
          <w:p w14:paraId="1670C52E">
            <w:pPr>
              <w:pStyle w:val="324"/>
              <w:keepNext w:val="0"/>
              <w:keepLines w:val="0"/>
              <w:pageBreakBefore w:val="0"/>
              <w:kinsoku/>
              <w:wordWrap/>
              <w:overflowPunct/>
              <w:topLinePunct w:val="0"/>
              <w:autoSpaceDE/>
              <w:autoSpaceDN/>
              <w:bidi w:val="0"/>
              <w:snapToGrid/>
              <w:spacing w:before="0" w:beforeLines="0" w:after="0" w:afterLines="0" w:line="240" w:lineRule="atLeast"/>
              <w:textAlignment w:val="auto"/>
              <w:rPr>
                <w:rFonts w:hint="default" w:ascii="Times New Roman" w:hAnsi="Times New Roman" w:cs="Times New Roman"/>
                <w:color w:val="auto"/>
                <w:sz w:val="21"/>
                <w:szCs w:val="21"/>
                <w:highlight w:val="none"/>
              </w:rPr>
            </w:pPr>
          </w:p>
        </w:tc>
        <w:tc>
          <w:tcPr>
            <w:tcW w:w="949" w:type="pct"/>
            <w:tcBorders>
              <w:tl2br w:val="nil"/>
              <w:tr2bl w:val="nil"/>
            </w:tcBorders>
            <w:shd w:val="clear" w:color="auto" w:fill="auto"/>
            <w:tcMar>
              <w:top w:w="8" w:type="dxa"/>
              <w:left w:w="8" w:type="dxa"/>
              <w:right w:w="8" w:type="dxa"/>
            </w:tcMar>
            <w:vAlign w:val="center"/>
          </w:tcPr>
          <w:p w14:paraId="5A5237EE">
            <w:pPr>
              <w:pStyle w:val="324"/>
              <w:keepNext w:val="0"/>
              <w:keepLines w:val="0"/>
              <w:pageBreakBefore w:val="0"/>
              <w:kinsoku/>
              <w:wordWrap/>
              <w:overflowPunct/>
              <w:topLinePunct w:val="0"/>
              <w:autoSpaceDE/>
              <w:autoSpaceDN/>
              <w:bidi w:val="0"/>
              <w:snapToGrid/>
              <w:spacing w:before="0" w:beforeLines="0" w:after="0" w:afterLines="0" w:line="240" w:lineRule="atLeas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单位</w:t>
            </w:r>
          </w:p>
        </w:tc>
        <w:tc>
          <w:tcPr>
            <w:tcW w:w="850" w:type="pct"/>
            <w:tcBorders>
              <w:tl2br w:val="nil"/>
              <w:tr2bl w:val="nil"/>
            </w:tcBorders>
            <w:shd w:val="clear" w:color="auto" w:fill="auto"/>
            <w:tcMar>
              <w:top w:w="8" w:type="dxa"/>
              <w:left w:w="8" w:type="dxa"/>
              <w:right w:w="8" w:type="dxa"/>
            </w:tcMar>
            <w:vAlign w:val="center"/>
          </w:tcPr>
          <w:p w14:paraId="0E1257B9">
            <w:pPr>
              <w:pStyle w:val="324"/>
              <w:keepNext w:val="0"/>
              <w:keepLines w:val="0"/>
              <w:pageBreakBefore w:val="0"/>
              <w:kinsoku/>
              <w:wordWrap/>
              <w:overflowPunct/>
              <w:topLinePunct w:val="0"/>
              <w:autoSpaceDE/>
              <w:autoSpaceDN/>
              <w:bidi w:val="0"/>
              <w:snapToGrid/>
              <w:spacing w:before="0" w:beforeLines="0" w:after="0" w:afterLines="0" w:line="240" w:lineRule="atLeas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000000"/>
                <w:sz w:val="21"/>
                <w:szCs w:val="21"/>
                <w:highlight w:val="none"/>
              </w:rPr>
              <w:t>Ra</w:t>
            </w:r>
            <w:r>
              <w:rPr>
                <w:rFonts w:hint="default" w:ascii="Times New Roman" w:hAnsi="Times New Roman" w:eastAsia="宋体" w:cs="Times New Roman"/>
                <w:color w:val="000000"/>
                <w:sz w:val="21"/>
                <w:szCs w:val="21"/>
                <w:highlight w:val="none"/>
                <w:vertAlign w:val="superscript"/>
              </w:rPr>
              <w:t>226</w:t>
            </w:r>
          </w:p>
        </w:tc>
        <w:tc>
          <w:tcPr>
            <w:tcW w:w="909" w:type="pct"/>
            <w:tcBorders>
              <w:tl2br w:val="nil"/>
              <w:tr2bl w:val="nil"/>
            </w:tcBorders>
            <w:shd w:val="clear" w:color="auto" w:fill="auto"/>
            <w:tcMar>
              <w:top w:w="8" w:type="dxa"/>
              <w:left w:w="8" w:type="dxa"/>
              <w:right w:w="8" w:type="dxa"/>
            </w:tcMar>
            <w:vAlign w:val="center"/>
          </w:tcPr>
          <w:p w14:paraId="206EC232">
            <w:pPr>
              <w:pStyle w:val="324"/>
              <w:keepNext w:val="0"/>
              <w:keepLines w:val="0"/>
              <w:pageBreakBefore w:val="0"/>
              <w:kinsoku/>
              <w:wordWrap/>
              <w:overflowPunct/>
              <w:topLinePunct w:val="0"/>
              <w:autoSpaceDE/>
              <w:autoSpaceDN/>
              <w:bidi w:val="0"/>
              <w:snapToGrid/>
              <w:spacing w:before="0" w:beforeLines="0" w:after="0" w:afterLines="0" w:line="240" w:lineRule="atLeas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000000"/>
                <w:sz w:val="21"/>
                <w:szCs w:val="21"/>
                <w:highlight w:val="none"/>
              </w:rPr>
              <w:t>Th</w:t>
            </w:r>
            <w:r>
              <w:rPr>
                <w:rFonts w:hint="default" w:ascii="Times New Roman" w:hAnsi="Times New Roman" w:eastAsia="宋体" w:cs="Times New Roman"/>
                <w:color w:val="000000"/>
                <w:sz w:val="21"/>
                <w:szCs w:val="21"/>
                <w:highlight w:val="none"/>
                <w:vertAlign w:val="superscript"/>
              </w:rPr>
              <w:t>232</w:t>
            </w:r>
          </w:p>
        </w:tc>
        <w:tc>
          <w:tcPr>
            <w:tcW w:w="886" w:type="pct"/>
            <w:tcBorders>
              <w:tl2br w:val="nil"/>
              <w:tr2bl w:val="nil"/>
            </w:tcBorders>
            <w:shd w:val="clear" w:color="auto" w:fill="auto"/>
            <w:tcMar>
              <w:top w:w="8" w:type="dxa"/>
              <w:left w:w="8" w:type="dxa"/>
              <w:right w:w="8" w:type="dxa"/>
            </w:tcMar>
            <w:vAlign w:val="center"/>
          </w:tcPr>
          <w:p w14:paraId="3EA0C3CF">
            <w:pPr>
              <w:pStyle w:val="324"/>
              <w:keepNext w:val="0"/>
              <w:keepLines w:val="0"/>
              <w:pageBreakBefore w:val="0"/>
              <w:kinsoku/>
              <w:wordWrap/>
              <w:overflowPunct/>
              <w:topLinePunct w:val="0"/>
              <w:autoSpaceDE/>
              <w:autoSpaceDN/>
              <w:bidi w:val="0"/>
              <w:snapToGrid/>
              <w:spacing w:before="0" w:beforeLines="0" w:after="0" w:afterLines="0" w:line="240" w:lineRule="atLeas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vertAlign w:val="baseline"/>
                <w:lang w:val="en-US" w:eastAsia="zh-CN"/>
              </w:rPr>
              <w:t>总U</w:t>
            </w:r>
          </w:p>
        </w:tc>
      </w:tr>
      <w:tr w14:paraId="71453C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1404" w:type="pct"/>
            <w:tcBorders>
              <w:tl2br w:val="nil"/>
              <w:tr2bl w:val="nil"/>
            </w:tcBorders>
            <w:shd w:val="clear" w:color="auto" w:fill="auto"/>
            <w:tcMar>
              <w:top w:w="8" w:type="dxa"/>
              <w:left w:w="8" w:type="dxa"/>
              <w:right w:w="8" w:type="dxa"/>
            </w:tcMar>
            <w:vAlign w:val="center"/>
          </w:tcPr>
          <w:p w14:paraId="51D9457E">
            <w:pPr>
              <w:pStyle w:val="161"/>
              <w:keepNext w:val="0"/>
              <w:keepLines w:val="0"/>
              <w:pageBreakBefore w:val="0"/>
              <w:kinsoku/>
              <w:wordWrap/>
              <w:overflowPunct/>
              <w:topLinePunct w:val="0"/>
              <w:autoSpaceDE/>
              <w:autoSpaceDN/>
              <w:bidi w:val="0"/>
              <w:snapToGrid/>
              <w:spacing w:line="240" w:lineRule="atLeast"/>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sz w:val="21"/>
                <w:szCs w:val="21"/>
                <w:highlight w:val="none"/>
                <w:lang w:val="en-US" w:eastAsia="zh-CN"/>
              </w:rPr>
              <w:t>采区废石</w:t>
            </w:r>
          </w:p>
        </w:tc>
        <w:tc>
          <w:tcPr>
            <w:tcW w:w="949" w:type="pct"/>
            <w:tcBorders>
              <w:tl2br w:val="nil"/>
              <w:tr2bl w:val="nil"/>
            </w:tcBorders>
            <w:shd w:val="clear" w:color="auto" w:fill="auto"/>
            <w:tcMar>
              <w:top w:w="8" w:type="dxa"/>
              <w:left w:w="8" w:type="dxa"/>
              <w:right w:w="8" w:type="dxa"/>
            </w:tcMar>
            <w:vAlign w:val="center"/>
          </w:tcPr>
          <w:p w14:paraId="3038805C">
            <w:pPr>
              <w:pStyle w:val="161"/>
              <w:keepNext w:val="0"/>
              <w:keepLines w:val="0"/>
              <w:pageBreakBefore w:val="0"/>
              <w:kinsoku/>
              <w:wordWrap/>
              <w:overflowPunct/>
              <w:topLinePunct w:val="0"/>
              <w:autoSpaceDE/>
              <w:autoSpaceDN/>
              <w:bidi w:val="0"/>
              <w:snapToGrid/>
              <w:spacing w:line="240" w:lineRule="atLeas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Bq/g</w:t>
            </w:r>
          </w:p>
        </w:tc>
        <w:tc>
          <w:tcPr>
            <w:tcW w:w="850" w:type="pct"/>
            <w:tcBorders>
              <w:tl2br w:val="nil"/>
              <w:tr2bl w:val="nil"/>
            </w:tcBorders>
            <w:shd w:val="clear" w:color="auto" w:fill="auto"/>
            <w:tcMar>
              <w:top w:w="8" w:type="dxa"/>
              <w:left w:w="8" w:type="dxa"/>
              <w:right w:w="8" w:type="dxa"/>
            </w:tcMar>
            <w:vAlign w:val="center"/>
          </w:tcPr>
          <w:p w14:paraId="5DC8170D">
            <w:pPr>
              <w:pStyle w:val="161"/>
              <w:keepNext w:val="0"/>
              <w:keepLines w:val="0"/>
              <w:pageBreakBefore w:val="0"/>
              <w:kinsoku/>
              <w:wordWrap/>
              <w:overflowPunct/>
              <w:topLinePunct w:val="0"/>
              <w:autoSpaceDE/>
              <w:autoSpaceDN/>
              <w:bidi w:val="0"/>
              <w:snapToGrid/>
              <w:spacing w:line="240" w:lineRule="atLeast"/>
              <w:textAlignment w:val="auto"/>
              <w:rPr>
                <w:rFonts w:hint="default" w:ascii="Times New Roman" w:hAnsi="Times New Roman" w:cs="Times New Roman"/>
                <w:color w:val="auto"/>
                <w:sz w:val="21"/>
                <w:szCs w:val="21"/>
                <w:highlight w:val="none"/>
                <w:lang w:val="en-US" w:eastAsia="zh-CN"/>
              </w:rPr>
            </w:pPr>
            <w:r>
              <w:rPr>
                <w:rFonts w:hint="eastAsia" w:cs="Times New Roman"/>
                <w:i w:val="0"/>
                <w:color w:val="000000"/>
                <w:kern w:val="2"/>
                <w:sz w:val="21"/>
                <w:szCs w:val="21"/>
                <w:highlight w:val="none"/>
                <w:u w:val="none"/>
                <w:lang w:val="en-US" w:eastAsia="zh-CN" w:bidi="ar-SA"/>
              </w:rPr>
              <w:t>1.0</w:t>
            </w:r>
            <w:r>
              <w:rPr>
                <w:rFonts w:hint="default" w:ascii="Times New Roman" w:hAnsi="Times New Roman" w:eastAsia="宋体" w:cs="Times New Roman"/>
                <w:i w:val="0"/>
                <w:color w:val="000000"/>
                <w:kern w:val="2"/>
                <w:sz w:val="21"/>
                <w:szCs w:val="21"/>
                <w:highlight w:val="none"/>
                <w:u w:val="none"/>
                <w:lang w:val="en-US" w:eastAsia="zh-CN" w:bidi="ar-SA"/>
              </w:rPr>
              <w:t>×10</w:t>
            </w:r>
            <w:r>
              <w:rPr>
                <w:rFonts w:hint="default" w:ascii="Times New Roman" w:hAnsi="Times New Roman" w:eastAsia="宋体" w:cs="Times New Roman"/>
                <w:i w:val="0"/>
                <w:color w:val="000000"/>
                <w:kern w:val="2"/>
                <w:sz w:val="21"/>
                <w:szCs w:val="21"/>
                <w:highlight w:val="none"/>
                <w:u w:val="none"/>
                <w:vertAlign w:val="superscript"/>
                <w:lang w:val="en-US" w:eastAsia="zh-CN" w:bidi="ar-SA"/>
              </w:rPr>
              <w:t>-</w:t>
            </w:r>
            <w:r>
              <w:rPr>
                <w:rFonts w:hint="eastAsia" w:cs="Times New Roman"/>
                <w:i w:val="0"/>
                <w:color w:val="000000"/>
                <w:kern w:val="2"/>
                <w:sz w:val="21"/>
                <w:szCs w:val="21"/>
                <w:highlight w:val="none"/>
                <w:u w:val="none"/>
                <w:vertAlign w:val="superscript"/>
                <w:lang w:val="en-US" w:eastAsia="zh-CN" w:bidi="ar-SA"/>
              </w:rPr>
              <w:t>2</w:t>
            </w:r>
          </w:p>
        </w:tc>
        <w:tc>
          <w:tcPr>
            <w:tcW w:w="909" w:type="pct"/>
            <w:tcBorders>
              <w:tl2br w:val="nil"/>
              <w:tr2bl w:val="nil"/>
            </w:tcBorders>
            <w:shd w:val="clear" w:color="auto" w:fill="auto"/>
            <w:tcMar>
              <w:top w:w="8" w:type="dxa"/>
              <w:left w:w="8" w:type="dxa"/>
              <w:right w:w="8" w:type="dxa"/>
            </w:tcMar>
            <w:vAlign w:val="center"/>
          </w:tcPr>
          <w:p w14:paraId="202C17DC">
            <w:pPr>
              <w:pStyle w:val="161"/>
              <w:keepNext w:val="0"/>
              <w:keepLines w:val="0"/>
              <w:pageBreakBefore w:val="0"/>
              <w:kinsoku/>
              <w:wordWrap/>
              <w:overflowPunct/>
              <w:topLinePunct w:val="0"/>
              <w:autoSpaceDE/>
              <w:autoSpaceDN/>
              <w:bidi w:val="0"/>
              <w:snapToGrid/>
              <w:spacing w:line="240" w:lineRule="atLeast"/>
              <w:textAlignment w:val="auto"/>
              <w:rPr>
                <w:rFonts w:hint="default" w:ascii="Times New Roman" w:hAnsi="Times New Roman" w:cs="Times New Roman"/>
                <w:color w:val="auto"/>
                <w:sz w:val="21"/>
                <w:szCs w:val="21"/>
                <w:highlight w:val="none"/>
                <w:lang w:val="en-US" w:eastAsia="zh-CN"/>
              </w:rPr>
            </w:pPr>
            <w:r>
              <w:rPr>
                <w:rFonts w:hint="eastAsia" w:cs="Times New Roman"/>
                <w:i w:val="0"/>
                <w:color w:val="000000"/>
                <w:kern w:val="2"/>
                <w:sz w:val="21"/>
                <w:szCs w:val="21"/>
                <w:highlight w:val="none"/>
                <w:u w:val="none"/>
                <w:lang w:val="en-US" w:eastAsia="zh-CN" w:bidi="ar-SA"/>
              </w:rPr>
              <w:t>9.2</w:t>
            </w:r>
            <w:r>
              <w:rPr>
                <w:rFonts w:hint="default" w:ascii="Times New Roman" w:hAnsi="Times New Roman" w:eastAsia="宋体" w:cs="Times New Roman"/>
                <w:i w:val="0"/>
                <w:color w:val="000000"/>
                <w:kern w:val="2"/>
                <w:sz w:val="21"/>
                <w:szCs w:val="21"/>
                <w:highlight w:val="none"/>
                <w:u w:val="none"/>
                <w:lang w:val="en-US" w:eastAsia="zh-CN" w:bidi="ar-SA"/>
              </w:rPr>
              <w:t>×10</w:t>
            </w:r>
            <w:r>
              <w:rPr>
                <w:rFonts w:hint="default" w:ascii="Times New Roman" w:hAnsi="Times New Roman" w:eastAsia="宋体" w:cs="Times New Roman"/>
                <w:i w:val="0"/>
                <w:color w:val="000000"/>
                <w:kern w:val="2"/>
                <w:sz w:val="21"/>
                <w:szCs w:val="21"/>
                <w:highlight w:val="none"/>
                <w:u w:val="none"/>
                <w:vertAlign w:val="superscript"/>
                <w:lang w:val="en-US" w:eastAsia="zh-CN" w:bidi="ar-SA"/>
              </w:rPr>
              <w:t>-3</w:t>
            </w:r>
          </w:p>
        </w:tc>
        <w:tc>
          <w:tcPr>
            <w:tcW w:w="886" w:type="pct"/>
            <w:tcBorders>
              <w:tl2br w:val="nil"/>
              <w:tr2bl w:val="nil"/>
            </w:tcBorders>
            <w:shd w:val="clear" w:color="auto" w:fill="auto"/>
            <w:tcMar>
              <w:top w:w="8" w:type="dxa"/>
              <w:left w:w="8" w:type="dxa"/>
              <w:right w:w="8" w:type="dxa"/>
            </w:tcMar>
            <w:vAlign w:val="center"/>
          </w:tcPr>
          <w:p w14:paraId="2B8FC27E">
            <w:pPr>
              <w:pStyle w:val="161"/>
              <w:keepNext w:val="0"/>
              <w:keepLines w:val="0"/>
              <w:pageBreakBefore w:val="0"/>
              <w:kinsoku/>
              <w:wordWrap/>
              <w:overflowPunct/>
              <w:topLinePunct w:val="0"/>
              <w:autoSpaceDE/>
              <w:autoSpaceDN/>
              <w:bidi w:val="0"/>
              <w:snapToGrid/>
              <w:spacing w:line="240" w:lineRule="atLeast"/>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14:paraId="4DC8D9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1404" w:type="pct"/>
            <w:tcBorders>
              <w:tl2br w:val="nil"/>
              <w:tr2bl w:val="nil"/>
            </w:tcBorders>
            <w:shd w:val="clear" w:color="auto" w:fill="auto"/>
            <w:tcMar>
              <w:top w:w="8" w:type="dxa"/>
              <w:left w:w="8" w:type="dxa"/>
              <w:right w:w="8" w:type="dxa"/>
            </w:tcMar>
            <w:vAlign w:val="center"/>
          </w:tcPr>
          <w:p w14:paraId="4EA358D2">
            <w:pPr>
              <w:pStyle w:val="161"/>
              <w:keepNext w:val="0"/>
              <w:keepLines w:val="0"/>
              <w:pageBreakBefore w:val="0"/>
              <w:kinsoku/>
              <w:wordWrap/>
              <w:overflowPunct/>
              <w:topLinePunct w:val="0"/>
              <w:autoSpaceDE/>
              <w:autoSpaceDN/>
              <w:bidi w:val="0"/>
              <w:snapToGrid/>
              <w:spacing w:line="240" w:lineRule="atLeast"/>
              <w:textAlignment w:val="auto"/>
              <w:rPr>
                <w:rFonts w:hint="eastAsia" w:cs="Times New Roman"/>
                <w:sz w:val="21"/>
                <w:szCs w:val="21"/>
                <w:highlight w:val="none"/>
                <w:lang w:val="en-US" w:eastAsia="zh-CN"/>
              </w:rPr>
            </w:pPr>
            <w:r>
              <w:rPr>
                <w:rFonts w:hint="eastAsia" w:cs="Times New Roman"/>
                <w:sz w:val="21"/>
                <w:szCs w:val="21"/>
                <w:highlight w:val="none"/>
                <w:lang w:val="en-US" w:eastAsia="zh-CN"/>
              </w:rPr>
              <w:t>选厂废石</w:t>
            </w:r>
          </w:p>
        </w:tc>
        <w:tc>
          <w:tcPr>
            <w:tcW w:w="949" w:type="pct"/>
            <w:tcBorders>
              <w:tl2br w:val="nil"/>
              <w:tr2bl w:val="nil"/>
            </w:tcBorders>
            <w:shd w:val="clear" w:color="auto" w:fill="auto"/>
            <w:tcMar>
              <w:top w:w="8" w:type="dxa"/>
              <w:left w:w="8" w:type="dxa"/>
              <w:right w:w="8" w:type="dxa"/>
            </w:tcMar>
            <w:vAlign w:val="center"/>
          </w:tcPr>
          <w:p w14:paraId="17CABF29">
            <w:pPr>
              <w:pStyle w:val="161"/>
              <w:keepNext w:val="0"/>
              <w:keepLines w:val="0"/>
              <w:pageBreakBefore w:val="0"/>
              <w:kinsoku/>
              <w:wordWrap/>
              <w:overflowPunct/>
              <w:topLinePunct w:val="0"/>
              <w:autoSpaceDE/>
              <w:autoSpaceDN/>
              <w:bidi w:val="0"/>
              <w:snapToGrid/>
              <w:spacing w:line="240" w:lineRule="atLeas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Bq/g</w:t>
            </w:r>
          </w:p>
        </w:tc>
        <w:tc>
          <w:tcPr>
            <w:tcW w:w="850" w:type="pct"/>
            <w:tcBorders>
              <w:tl2br w:val="nil"/>
              <w:tr2bl w:val="nil"/>
            </w:tcBorders>
            <w:shd w:val="clear" w:color="auto" w:fill="auto"/>
            <w:tcMar>
              <w:top w:w="8" w:type="dxa"/>
              <w:left w:w="8" w:type="dxa"/>
              <w:right w:w="8" w:type="dxa"/>
            </w:tcMar>
            <w:vAlign w:val="center"/>
          </w:tcPr>
          <w:p w14:paraId="1CDC4758">
            <w:pPr>
              <w:pStyle w:val="161"/>
              <w:keepNext w:val="0"/>
              <w:keepLines w:val="0"/>
              <w:pageBreakBefore w:val="0"/>
              <w:kinsoku/>
              <w:wordWrap/>
              <w:overflowPunct/>
              <w:topLinePunct w:val="0"/>
              <w:autoSpaceDE/>
              <w:autoSpaceDN/>
              <w:bidi w:val="0"/>
              <w:snapToGrid/>
              <w:spacing w:line="240" w:lineRule="atLeas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i w:val="0"/>
                <w:color w:val="000000"/>
                <w:kern w:val="2"/>
                <w:sz w:val="21"/>
                <w:szCs w:val="21"/>
                <w:highlight w:val="none"/>
                <w:u w:val="none"/>
                <w:lang w:val="en-US" w:eastAsia="zh-CN" w:bidi="ar-SA"/>
              </w:rPr>
              <w:t>1.1</w:t>
            </w:r>
            <w:r>
              <w:rPr>
                <w:rFonts w:hint="default" w:ascii="Times New Roman" w:hAnsi="Times New Roman" w:eastAsia="宋体" w:cs="Times New Roman"/>
                <w:i w:val="0"/>
                <w:color w:val="000000"/>
                <w:kern w:val="2"/>
                <w:sz w:val="21"/>
                <w:szCs w:val="21"/>
                <w:highlight w:val="none"/>
                <w:u w:val="none"/>
                <w:lang w:val="en-US" w:eastAsia="zh-CN" w:bidi="ar-SA"/>
              </w:rPr>
              <w:t>×10</w:t>
            </w:r>
            <w:r>
              <w:rPr>
                <w:rFonts w:hint="default" w:ascii="Times New Roman" w:hAnsi="Times New Roman" w:eastAsia="宋体" w:cs="Times New Roman"/>
                <w:i w:val="0"/>
                <w:color w:val="000000"/>
                <w:kern w:val="2"/>
                <w:sz w:val="21"/>
                <w:szCs w:val="21"/>
                <w:highlight w:val="none"/>
                <w:u w:val="none"/>
                <w:vertAlign w:val="superscript"/>
                <w:lang w:val="en-US" w:eastAsia="zh-CN" w:bidi="ar-SA"/>
              </w:rPr>
              <w:t>-</w:t>
            </w:r>
            <w:r>
              <w:rPr>
                <w:rFonts w:hint="eastAsia" w:cs="Times New Roman"/>
                <w:i w:val="0"/>
                <w:color w:val="000000"/>
                <w:kern w:val="2"/>
                <w:sz w:val="21"/>
                <w:szCs w:val="21"/>
                <w:highlight w:val="none"/>
                <w:u w:val="none"/>
                <w:vertAlign w:val="superscript"/>
                <w:lang w:val="en-US" w:eastAsia="zh-CN" w:bidi="ar-SA"/>
              </w:rPr>
              <w:t>2</w:t>
            </w:r>
          </w:p>
        </w:tc>
        <w:tc>
          <w:tcPr>
            <w:tcW w:w="909" w:type="pct"/>
            <w:tcBorders>
              <w:tl2br w:val="nil"/>
              <w:tr2bl w:val="nil"/>
            </w:tcBorders>
            <w:shd w:val="clear" w:color="auto" w:fill="auto"/>
            <w:tcMar>
              <w:top w:w="8" w:type="dxa"/>
              <w:left w:w="8" w:type="dxa"/>
              <w:right w:w="8" w:type="dxa"/>
            </w:tcMar>
            <w:vAlign w:val="center"/>
          </w:tcPr>
          <w:p w14:paraId="57FB1B4F">
            <w:pPr>
              <w:pStyle w:val="161"/>
              <w:keepNext w:val="0"/>
              <w:keepLines w:val="0"/>
              <w:pageBreakBefore w:val="0"/>
              <w:kinsoku/>
              <w:wordWrap/>
              <w:overflowPunct/>
              <w:topLinePunct w:val="0"/>
              <w:autoSpaceDE/>
              <w:autoSpaceDN/>
              <w:bidi w:val="0"/>
              <w:snapToGrid/>
              <w:spacing w:line="240" w:lineRule="atLeast"/>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i w:val="0"/>
                <w:color w:val="000000"/>
                <w:kern w:val="2"/>
                <w:sz w:val="21"/>
                <w:szCs w:val="21"/>
                <w:highlight w:val="none"/>
                <w:u w:val="none"/>
                <w:lang w:val="en-US" w:eastAsia="zh-CN" w:bidi="ar-SA"/>
              </w:rPr>
              <w:t>7.8</w:t>
            </w:r>
            <w:r>
              <w:rPr>
                <w:rFonts w:hint="default" w:ascii="Times New Roman" w:hAnsi="Times New Roman" w:eastAsia="宋体" w:cs="Times New Roman"/>
                <w:i w:val="0"/>
                <w:color w:val="000000"/>
                <w:kern w:val="2"/>
                <w:sz w:val="21"/>
                <w:szCs w:val="21"/>
                <w:highlight w:val="none"/>
                <w:u w:val="none"/>
                <w:lang w:val="en-US" w:eastAsia="zh-CN" w:bidi="ar-SA"/>
              </w:rPr>
              <w:t>×10</w:t>
            </w:r>
            <w:r>
              <w:rPr>
                <w:rFonts w:hint="default" w:ascii="Times New Roman" w:hAnsi="Times New Roman" w:eastAsia="宋体" w:cs="Times New Roman"/>
                <w:i w:val="0"/>
                <w:color w:val="000000"/>
                <w:kern w:val="2"/>
                <w:sz w:val="21"/>
                <w:szCs w:val="21"/>
                <w:highlight w:val="none"/>
                <w:u w:val="none"/>
                <w:vertAlign w:val="superscript"/>
                <w:lang w:val="en-US" w:eastAsia="zh-CN" w:bidi="ar-SA"/>
              </w:rPr>
              <w:t>-3</w:t>
            </w:r>
          </w:p>
        </w:tc>
        <w:tc>
          <w:tcPr>
            <w:tcW w:w="886" w:type="pct"/>
            <w:tcBorders>
              <w:tl2br w:val="nil"/>
              <w:tr2bl w:val="nil"/>
            </w:tcBorders>
            <w:shd w:val="clear" w:color="auto" w:fill="auto"/>
            <w:tcMar>
              <w:top w:w="8" w:type="dxa"/>
              <w:left w:w="8" w:type="dxa"/>
              <w:right w:w="8" w:type="dxa"/>
            </w:tcMar>
            <w:vAlign w:val="center"/>
          </w:tcPr>
          <w:p w14:paraId="1DE67EB7">
            <w:pPr>
              <w:pStyle w:val="161"/>
              <w:keepNext w:val="0"/>
              <w:keepLines w:val="0"/>
              <w:pageBreakBefore w:val="0"/>
              <w:kinsoku/>
              <w:wordWrap/>
              <w:overflowPunct/>
              <w:topLinePunct w:val="0"/>
              <w:autoSpaceDE/>
              <w:autoSpaceDN/>
              <w:bidi w:val="0"/>
              <w:snapToGrid/>
              <w:spacing w:line="240" w:lineRule="atLeas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w:t>
            </w:r>
          </w:p>
        </w:tc>
      </w:tr>
    </w:tbl>
    <w:p w14:paraId="4090C6F5">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cs="Times New Roman"/>
          <w:color w:val="auto"/>
          <w:sz w:val="24"/>
          <w:szCs w:val="24"/>
          <w:highlight w:val="none"/>
          <w:lang w:eastAsia="zh-CN"/>
        </w:rPr>
      </w:pPr>
      <w:r>
        <w:rPr>
          <w:rFonts w:hint="eastAsia" w:ascii="Times New Roman" w:hAnsi="Times New Roman" w:cs="Times New Roman"/>
          <w:b w:val="0"/>
          <w:bCs w:val="0"/>
          <w:color w:val="auto"/>
          <w:kern w:val="0"/>
          <w:sz w:val="24"/>
          <w:szCs w:val="24"/>
          <w:highlight w:val="none"/>
          <w:lang w:val="en-US" w:eastAsia="zh-CN"/>
        </w:rPr>
        <w:t>由上表可知，本项目的</w:t>
      </w:r>
      <w:r>
        <w:rPr>
          <w:rFonts w:hint="eastAsia" w:ascii="Times New Roman" w:hAnsi="Times New Roman" w:cs="Times New Roman"/>
          <w:sz w:val="24"/>
          <w:szCs w:val="24"/>
          <w:highlight w:val="none"/>
          <w:lang w:val="en-US" w:eastAsia="zh-CN"/>
        </w:rPr>
        <w:t>废石</w:t>
      </w:r>
      <w:r>
        <w:rPr>
          <w:rFonts w:hint="default" w:ascii="Times New Roman" w:hAnsi="Times New Roman" w:cs="Times New Roman"/>
          <w:sz w:val="24"/>
          <w:szCs w:val="24"/>
          <w:highlight w:val="none"/>
          <w:lang w:val="en-US" w:eastAsia="zh-CN"/>
        </w:rPr>
        <w:t>单个核素活度浓度</w:t>
      </w:r>
      <w:r>
        <w:rPr>
          <w:rFonts w:hint="eastAsia" w:ascii="Times New Roman" w:hAnsi="Times New Roman" w:cs="Times New Roman"/>
          <w:sz w:val="24"/>
          <w:szCs w:val="24"/>
          <w:highlight w:val="none"/>
          <w:lang w:val="en-US" w:eastAsia="zh-CN"/>
        </w:rPr>
        <w:t>均未超过</w:t>
      </w:r>
      <w:r>
        <w:rPr>
          <w:rFonts w:hint="default" w:ascii="Times New Roman" w:hAnsi="Times New Roman" w:cs="Times New Roman"/>
          <w:sz w:val="24"/>
          <w:szCs w:val="24"/>
          <w:highlight w:val="none"/>
          <w:lang w:val="en-US" w:eastAsia="zh-CN"/>
        </w:rPr>
        <w:t>1Bq/g</w:t>
      </w:r>
      <w:r>
        <w:rPr>
          <w:rFonts w:hint="eastAsia" w:ascii="Times New Roman" w:hAnsi="Times New Roman" w:cs="Times New Roman"/>
          <w:sz w:val="24"/>
          <w:szCs w:val="24"/>
          <w:highlight w:val="none"/>
          <w:lang w:val="en-US" w:eastAsia="zh-CN"/>
        </w:rPr>
        <w:t>。</w:t>
      </w:r>
      <w:r>
        <w:rPr>
          <w:rFonts w:hint="eastAsia" w:ascii="Times New Roman" w:hAnsi="Times New Roman" w:eastAsia="宋体" w:cs="Times New Roman"/>
          <w:color w:val="auto"/>
          <w:sz w:val="24"/>
          <w:szCs w:val="24"/>
          <w:highlight w:val="none"/>
        </w:rPr>
        <w:t>故根据《矿产资源开发利用辐射环境监督管理名录》（2020年11月25日印发）项目不用组织编制辐射环境影响评价专篇</w:t>
      </w:r>
      <w:r>
        <w:rPr>
          <w:rFonts w:hint="eastAsia" w:cs="Times New Roman"/>
          <w:color w:val="auto"/>
          <w:sz w:val="24"/>
          <w:szCs w:val="24"/>
          <w:highlight w:val="none"/>
          <w:lang w:eastAsia="zh-CN"/>
        </w:rPr>
        <w:t>。</w:t>
      </w:r>
    </w:p>
    <w:p w14:paraId="3A99A4B4">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ascii="Times New Roman" w:hAnsi="Times New Roman" w:eastAsia="宋体" w:cs="Times New Roman"/>
          <w:color w:val="000000"/>
          <w:kern w:val="0"/>
          <w:sz w:val="24"/>
          <w:szCs w:val="21"/>
          <w:highlight w:val="none"/>
          <w:lang w:val="en-US" w:eastAsia="zh-CN"/>
        </w:rPr>
      </w:pPr>
      <w:r>
        <w:rPr>
          <w:rFonts w:hint="default" w:ascii="Times New Roman" w:hAnsi="Times New Roman" w:cs="Times New Roman"/>
          <w:color w:val="auto"/>
          <w:sz w:val="24"/>
          <w:szCs w:val="24"/>
          <w:highlight w:val="none"/>
          <w:lang w:val="en-US" w:eastAsia="zh-CN"/>
        </w:rPr>
        <w:t>综上所述</w:t>
      </w:r>
      <w:r>
        <w:rPr>
          <w:rFonts w:hint="default" w:ascii="Times New Roman" w:hAnsi="Times New Roman" w:cs="Times New Roman"/>
          <w:color w:val="auto"/>
          <w:sz w:val="24"/>
          <w:szCs w:val="24"/>
          <w:highlight w:val="none"/>
          <w:lang w:eastAsia="zh-CN"/>
        </w:rPr>
        <w:t>，本项目堆存的废石不属于危险废物、不属于伴生放射性固体废物，为第Ⅰ类一般工业固体废物</w:t>
      </w:r>
      <w:r>
        <w:rPr>
          <w:rFonts w:hint="eastAsia" w:cs="Times New Roman"/>
          <w:color w:val="auto"/>
          <w:sz w:val="24"/>
          <w:szCs w:val="24"/>
          <w:highlight w:val="none"/>
          <w:lang w:eastAsia="zh-CN"/>
        </w:rPr>
        <w:t>。</w:t>
      </w:r>
    </w:p>
    <w:p w14:paraId="500961A0">
      <w:pPr>
        <w:pStyle w:val="6"/>
        <w:rPr>
          <w:rFonts w:hint="default" w:ascii="Times New Roman" w:hAnsi="Times New Roman" w:eastAsia="宋体" w:cs="Times New Roman"/>
          <w:b/>
          <w:sz w:val="24"/>
          <w:szCs w:val="24"/>
          <w:highlight w:val="none"/>
          <w:lang w:val="en-US" w:eastAsia="zh-CN"/>
        </w:rPr>
      </w:pPr>
      <w:bookmarkStart w:id="180" w:name="_Toc21919"/>
      <w:r>
        <w:rPr>
          <w:rFonts w:hint="default" w:ascii="Times New Roman" w:hAnsi="Times New Roman" w:eastAsia="宋体" w:cs="Times New Roman"/>
          <w:b/>
          <w:sz w:val="24"/>
          <w:szCs w:val="24"/>
          <w:highlight w:val="none"/>
          <w:lang w:val="en-US" w:eastAsia="zh-CN"/>
        </w:rPr>
        <w:t>公用工程</w:t>
      </w:r>
      <w:bookmarkEnd w:id="180"/>
    </w:p>
    <w:p w14:paraId="28E01554">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2" w:firstLineChars="200"/>
        <w:textAlignment w:val="auto"/>
        <w:rPr>
          <w:rFonts w:hint="default"/>
          <w:b/>
          <w:bCs/>
          <w:sz w:val="24"/>
          <w:szCs w:val="24"/>
          <w:highlight w:val="none"/>
          <w:lang w:val="en-US" w:eastAsia="zh-CN"/>
        </w:rPr>
      </w:pPr>
      <w:r>
        <w:rPr>
          <w:rFonts w:hint="eastAsia"/>
          <w:b/>
          <w:bCs/>
          <w:sz w:val="24"/>
          <w:szCs w:val="24"/>
          <w:highlight w:val="none"/>
          <w:lang w:val="en-US" w:eastAsia="zh-CN"/>
        </w:rPr>
        <w:t>（1）给水工程</w:t>
      </w:r>
    </w:p>
    <w:p w14:paraId="50541F4B">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sz w:val="24"/>
          <w:szCs w:val="24"/>
          <w:highlight w:val="none"/>
          <w:lang w:val="en-US" w:eastAsia="zh-CN"/>
        </w:rPr>
      </w:pPr>
      <w:r>
        <w:rPr>
          <w:rFonts w:ascii="Times New Roman" w:eastAsia="宋体"/>
          <w:sz w:val="24"/>
          <w:szCs w:val="24"/>
          <w:highlight w:val="none"/>
        </w:rPr>
        <w:t>本项目用水为排土场抑尘用水和道路抑尘用水</w:t>
      </w:r>
      <w:r>
        <w:rPr>
          <w:rFonts w:hint="eastAsia"/>
          <w:sz w:val="24"/>
          <w:szCs w:val="24"/>
          <w:highlight w:val="none"/>
          <w:lang w:eastAsia="zh-CN"/>
        </w:rPr>
        <w:t>，</w:t>
      </w:r>
      <w:r>
        <w:rPr>
          <w:rFonts w:ascii="Times New Roman" w:eastAsia="宋体"/>
          <w:sz w:val="24"/>
          <w:szCs w:val="24"/>
          <w:highlight w:val="none"/>
        </w:rPr>
        <w:t>抑尘用水量为</w:t>
      </w:r>
      <w:r>
        <w:rPr>
          <w:rFonts w:hint="eastAsia"/>
          <w:sz w:val="24"/>
          <w:szCs w:val="24"/>
          <w:highlight w:val="none"/>
          <w:lang w:val="en-US" w:eastAsia="zh-CN"/>
        </w:rPr>
        <w:t>10</w:t>
      </w:r>
      <w:r>
        <w:rPr>
          <w:rFonts w:ascii="Times New Roman" w:eastAsia="宋体"/>
          <w:sz w:val="24"/>
          <w:szCs w:val="24"/>
          <w:highlight w:val="none"/>
        </w:rPr>
        <w:t>m</w:t>
      </w:r>
      <w:r>
        <w:rPr>
          <w:rFonts w:ascii="Times New Roman" w:eastAsia="宋体"/>
          <w:sz w:val="24"/>
          <w:szCs w:val="24"/>
          <w:highlight w:val="none"/>
          <w:vertAlign w:val="superscript"/>
        </w:rPr>
        <w:t>3</w:t>
      </w:r>
      <w:r>
        <w:rPr>
          <w:rFonts w:ascii="Times New Roman" w:eastAsia="宋体"/>
          <w:sz w:val="24"/>
          <w:szCs w:val="24"/>
          <w:highlight w:val="none"/>
        </w:rPr>
        <w:t>/</w:t>
      </w:r>
      <w:r>
        <w:rPr>
          <w:rFonts w:hint="eastAsia"/>
          <w:sz w:val="24"/>
          <w:szCs w:val="24"/>
          <w:highlight w:val="none"/>
          <w:lang w:val="en-US" w:eastAsia="zh-CN"/>
        </w:rPr>
        <w:t>d（3300</w:t>
      </w:r>
      <w:r>
        <w:rPr>
          <w:rFonts w:ascii="Times New Roman" w:eastAsia="宋体"/>
          <w:sz w:val="24"/>
          <w:szCs w:val="24"/>
          <w:highlight w:val="none"/>
        </w:rPr>
        <w:t>m</w:t>
      </w:r>
      <w:r>
        <w:rPr>
          <w:rFonts w:ascii="Times New Roman" w:eastAsia="宋体"/>
          <w:sz w:val="24"/>
          <w:szCs w:val="24"/>
          <w:highlight w:val="none"/>
          <w:vertAlign w:val="superscript"/>
        </w:rPr>
        <w:t>3</w:t>
      </w:r>
      <w:r>
        <w:rPr>
          <w:rFonts w:ascii="Times New Roman" w:eastAsia="宋体"/>
          <w:sz w:val="24"/>
          <w:szCs w:val="24"/>
          <w:highlight w:val="none"/>
        </w:rPr>
        <w:t>/</w:t>
      </w:r>
      <w:r>
        <w:rPr>
          <w:rFonts w:hint="eastAsia"/>
          <w:sz w:val="24"/>
          <w:szCs w:val="24"/>
          <w:highlight w:val="none"/>
          <w:lang w:val="en-US" w:eastAsia="zh-CN"/>
        </w:rPr>
        <w:t>a）</w:t>
      </w:r>
      <w:r>
        <w:rPr>
          <w:rFonts w:ascii="Times New Roman" w:eastAsia="宋体"/>
          <w:sz w:val="24"/>
          <w:szCs w:val="24"/>
          <w:highlight w:val="none"/>
        </w:rPr>
        <w:t>。</w:t>
      </w:r>
    </w:p>
    <w:p w14:paraId="356653DB">
      <w:pPr>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default"/>
          <w:b/>
          <w:bCs/>
          <w:sz w:val="24"/>
          <w:szCs w:val="24"/>
          <w:highlight w:val="none"/>
          <w:lang w:val="en-US" w:eastAsia="zh-CN"/>
        </w:rPr>
      </w:pPr>
      <w:r>
        <w:rPr>
          <w:rFonts w:hint="eastAsia"/>
          <w:b/>
          <w:bCs/>
          <w:sz w:val="24"/>
          <w:szCs w:val="24"/>
          <w:highlight w:val="none"/>
          <w:lang w:val="en-US" w:eastAsia="zh-CN"/>
        </w:rPr>
        <w:t>（2）排水工程</w:t>
      </w:r>
    </w:p>
    <w:p w14:paraId="5AFB89AC">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sz w:val="24"/>
          <w:szCs w:val="24"/>
          <w:highlight w:val="none"/>
          <w:lang w:val="en-US" w:eastAsia="zh-CN"/>
        </w:rPr>
      </w:pPr>
      <w:r>
        <w:rPr>
          <w:rFonts w:hint="eastAsia"/>
          <w:sz w:val="24"/>
          <w:szCs w:val="24"/>
          <w:highlight w:val="none"/>
          <w:lang w:val="en-US" w:eastAsia="zh-CN"/>
        </w:rPr>
        <w:t>项目排土场</w:t>
      </w:r>
      <w:r>
        <w:rPr>
          <w:rFonts w:ascii="Times New Roman" w:eastAsia="宋体"/>
          <w:sz w:val="24"/>
          <w:szCs w:val="24"/>
          <w:highlight w:val="none"/>
        </w:rPr>
        <w:t>场区内降雨下渗后产生淋滤废水</w:t>
      </w:r>
      <w:r>
        <w:rPr>
          <w:rFonts w:hint="eastAsia"/>
          <w:sz w:val="24"/>
          <w:szCs w:val="24"/>
          <w:highlight w:val="none"/>
          <w:lang w:eastAsia="zh-CN"/>
        </w:rPr>
        <w:t>。</w:t>
      </w:r>
    </w:p>
    <w:p w14:paraId="11BE5B75">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b w:val="0"/>
          <w:bCs w:val="0"/>
          <w:sz w:val="24"/>
          <w:szCs w:val="24"/>
          <w:highlight w:val="none"/>
          <w:lang w:val="en-US" w:eastAsia="zh-CN"/>
        </w:rPr>
      </w:pPr>
      <w:r>
        <w:rPr>
          <w:rFonts w:hint="eastAsia"/>
          <w:b w:val="0"/>
          <w:bCs w:val="0"/>
          <w:sz w:val="24"/>
          <w:szCs w:val="24"/>
          <w:highlight w:val="none"/>
          <w:lang w:val="en-US" w:eastAsia="zh-CN"/>
        </w:rPr>
        <w:t>隆化县年平均降水量480.5mm排土场面积为</w:t>
      </w:r>
      <w:r>
        <w:rPr>
          <w:rFonts w:hint="eastAsia" w:cs="Times New Roman"/>
          <w:b w:val="0"/>
          <w:bCs w:val="0"/>
          <w:color w:val="auto"/>
          <w:sz w:val="24"/>
          <w:szCs w:val="24"/>
          <w:highlight w:val="none"/>
          <w:lang w:val="en-US" w:eastAsia="zh-CN"/>
        </w:rPr>
        <w:t>39h</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b w:val="0"/>
          <w:bCs w:val="0"/>
          <w:sz w:val="24"/>
          <w:szCs w:val="24"/>
          <w:highlight w:val="none"/>
          <w:lang w:val="en-US" w:eastAsia="zh-CN"/>
        </w:rPr>
        <w:t>，产生的雨水量约为187395m</w:t>
      </w:r>
      <w:r>
        <w:rPr>
          <w:rFonts w:hint="eastAsia"/>
          <w:b w:val="0"/>
          <w:bCs w:val="0"/>
          <w:sz w:val="24"/>
          <w:szCs w:val="24"/>
          <w:highlight w:val="none"/>
          <w:vertAlign w:val="superscript"/>
          <w:lang w:val="en-US" w:eastAsia="zh-CN"/>
        </w:rPr>
        <w:t>3</w:t>
      </w:r>
      <w:r>
        <w:rPr>
          <w:rFonts w:hint="eastAsia"/>
          <w:b w:val="0"/>
          <w:bCs w:val="0"/>
          <w:sz w:val="24"/>
          <w:szCs w:val="24"/>
          <w:highlight w:val="none"/>
          <w:lang w:val="en-US" w:eastAsia="zh-CN"/>
        </w:rPr>
        <w:t>/a，雨水经地表植被截留35%，蒸发60%，淋溶废水产生量为9369.8m</w:t>
      </w:r>
      <w:r>
        <w:rPr>
          <w:rFonts w:hint="eastAsia" w:ascii="Times New Roman" w:hAnsi="Times New Roman" w:eastAsia="宋体" w:cs="Times New Roman"/>
          <w:b w:val="0"/>
          <w:bCs w:val="0"/>
          <w:sz w:val="24"/>
          <w:szCs w:val="24"/>
          <w:highlight w:val="none"/>
          <w:vertAlign w:val="superscript"/>
          <w:lang w:val="en-US" w:eastAsia="zh-CN"/>
        </w:rPr>
        <w:t>3</w:t>
      </w:r>
      <w:r>
        <w:rPr>
          <w:rFonts w:hint="eastAsia"/>
          <w:b w:val="0"/>
          <w:bCs w:val="0"/>
          <w:sz w:val="24"/>
          <w:szCs w:val="24"/>
          <w:highlight w:val="none"/>
          <w:lang w:val="en-US" w:eastAsia="zh-CN"/>
        </w:rPr>
        <w:t>/a，合计28.4m</w:t>
      </w:r>
      <w:r>
        <w:rPr>
          <w:rFonts w:hint="eastAsia" w:ascii="Times New Roman" w:hAnsi="Times New Roman" w:eastAsia="宋体" w:cs="Times New Roman"/>
          <w:b w:val="0"/>
          <w:bCs w:val="0"/>
          <w:sz w:val="24"/>
          <w:szCs w:val="24"/>
          <w:highlight w:val="none"/>
          <w:vertAlign w:val="superscript"/>
          <w:lang w:val="en-US" w:eastAsia="zh-CN"/>
        </w:rPr>
        <w:t>3</w:t>
      </w:r>
      <w:r>
        <w:rPr>
          <w:rFonts w:hint="eastAsia"/>
          <w:b w:val="0"/>
          <w:bCs w:val="0"/>
          <w:sz w:val="24"/>
          <w:szCs w:val="24"/>
          <w:highlight w:val="none"/>
          <w:lang w:val="en-US" w:eastAsia="zh-CN"/>
        </w:rPr>
        <w:t>/d，</w:t>
      </w:r>
      <w:r>
        <w:rPr>
          <w:rFonts w:hint="eastAsia"/>
          <w:b w:val="0"/>
          <w:bCs w:val="0"/>
          <w:sz w:val="24"/>
          <w:szCs w:val="24"/>
          <w:highlight w:val="none"/>
          <w:lang w:val="en-US" w:eastAsia="zh-CN"/>
        </w:rPr>
        <w:t>其中10m</w:t>
      </w:r>
      <w:r>
        <w:rPr>
          <w:rFonts w:hint="eastAsia" w:ascii="Times New Roman" w:hAnsi="Times New Roman" w:eastAsia="宋体" w:cs="Times New Roman"/>
          <w:b w:val="0"/>
          <w:bCs w:val="0"/>
          <w:sz w:val="24"/>
          <w:szCs w:val="24"/>
          <w:highlight w:val="none"/>
          <w:vertAlign w:val="superscript"/>
          <w:lang w:val="en-US" w:eastAsia="zh-CN"/>
        </w:rPr>
        <w:t>3</w:t>
      </w:r>
      <w:r>
        <w:rPr>
          <w:rFonts w:hint="eastAsia"/>
          <w:b w:val="0"/>
          <w:bCs w:val="0"/>
          <w:sz w:val="24"/>
          <w:szCs w:val="24"/>
          <w:highlight w:val="none"/>
          <w:lang w:val="en-US" w:eastAsia="zh-CN"/>
        </w:rPr>
        <w:t>/d回用于</w:t>
      </w:r>
      <w:r>
        <w:rPr>
          <w:rFonts w:ascii="Times New Roman" w:eastAsia="宋体"/>
          <w:sz w:val="24"/>
          <w:szCs w:val="24"/>
          <w:highlight w:val="none"/>
        </w:rPr>
        <w:t>排土场抑尘用水和道路抑尘用水</w:t>
      </w:r>
      <w:r>
        <w:rPr>
          <w:rFonts w:hint="eastAsia"/>
          <w:b w:val="0"/>
          <w:bCs w:val="0"/>
          <w:sz w:val="24"/>
          <w:szCs w:val="24"/>
          <w:highlight w:val="none"/>
          <w:lang w:val="en-US" w:eastAsia="zh-CN"/>
        </w:rPr>
        <w:t>，剩余18.4m</w:t>
      </w:r>
      <w:r>
        <w:rPr>
          <w:rFonts w:hint="eastAsia" w:ascii="Times New Roman" w:hAnsi="Times New Roman" w:eastAsia="宋体" w:cs="Times New Roman"/>
          <w:b w:val="0"/>
          <w:bCs w:val="0"/>
          <w:sz w:val="24"/>
          <w:szCs w:val="24"/>
          <w:highlight w:val="none"/>
          <w:vertAlign w:val="superscript"/>
          <w:lang w:val="en-US" w:eastAsia="zh-CN"/>
        </w:rPr>
        <w:t>3</w:t>
      </w:r>
      <w:r>
        <w:rPr>
          <w:rFonts w:hint="eastAsia"/>
          <w:b w:val="0"/>
          <w:bCs w:val="0"/>
          <w:sz w:val="24"/>
          <w:szCs w:val="24"/>
          <w:highlight w:val="none"/>
          <w:lang w:val="en-US" w:eastAsia="zh-CN"/>
        </w:rPr>
        <w:t>/d回用于选厂生产使用。综上，</w:t>
      </w:r>
      <w:r>
        <w:rPr>
          <w:rFonts w:hint="eastAsia"/>
          <w:sz w:val="24"/>
          <w:szCs w:val="24"/>
          <w:highlight w:val="none"/>
          <w:lang w:val="en-US" w:eastAsia="zh-CN"/>
        </w:rPr>
        <w:t>淋溶废水回用降尘、选厂生产，不外排。</w:t>
      </w:r>
    </w:p>
    <w:p w14:paraId="34A33E1A">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2" w:firstLineChars="200"/>
        <w:textAlignment w:val="auto"/>
        <w:rPr>
          <w:rFonts w:hint="default"/>
          <w:b/>
          <w:bCs/>
          <w:sz w:val="24"/>
          <w:szCs w:val="24"/>
          <w:highlight w:val="none"/>
          <w:lang w:val="en-US" w:eastAsia="zh-CN"/>
        </w:rPr>
      </w:pPr>
      <w:r>
        <w:rPr>
          <w:rFonts w:hint="eastAsia"/>
          <w:b/>
          <w:bCs/>
          <w:sz w:val="24"/>
          <w:szCs w:val="24"/>
          <w:highlight w:val="none"/>
          <w:lang w:val="en-US" w:eastAsia="zh-CN"/>
        </w:rPr>
        <w:t>（3）供电工程</w:t>
      </w:r>
    </w:p>
    <w:p w14:paraId="433BAFF8">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b w:val="0"/>
          <w:bCs w:val="0"/>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本项目用电设施主要为照明设施、监控设施，</w:t>
      </w:r>
      <w:r>
        <w:rPr>
          <w:rFonts w:hint="eastAsia" w:cs="Times New Roman"/>
          <w:b w:val="0"/>
          <w:bCs w:val="0"/>
          <w:color w:val="auto"/>
          <w:sz w:val="24"/>
          <w:szCs w:val="24"/>
          <w:highlight w:val="none"/>
          <w:lang w:val="en-US" w:eastAsia="zh-CN"/>
        </w:rPr>
        <w:t>依托厂区现有供电系统</w:t>
      </w:r>
      <w:r>
        <w:rPr>
          <w:rFonts w:hint="default" w:ascii="Times New Roman" w:hAnsi="Times New Roman" w:cs="Times New Roman"/>
          <w:b w:val="0"/>
          <w:bCs w:val="0"/>
          <w:color w:val="auto"/>
          <w:sz w:val="24"/>
          <w:szCs w:val="24"/>
          <w:highlight w:val="none"/>
          <w:lang w:val="en-US" w:eastAsia="zh-CN"/>
        </w:rPr>
        <w:t>。</w:t>
      </w:r>
    </w:p>
    <w:bookmarkEnd w:id="175"/>
    <w:bookmarkEnd w:id="176"/>
    <w:bookmarkEnd w:id="177"/>
    <w:p w14:paraId="0B5CF6E1">
      <w:pPr>
        <w:pStyle w:val="6"/>
        <w:rPr>
          <w:rFonts w:hint="default" w:ascii="Times New Roman" w:hAnsi="Times New Roman" w:eastAsia="宋体" w:cs="Times New Roman"/>
          <w:b/>
          <w:sz w:val="24"/>
          <w:szCs w:val="24"/>
          <w:highlight w:val="none"/>
          <w:lang w:val="en-US" w:eastAsia="zh-CN"/>
        </w:rPr>
      </w:pPr>
      <w:bookmarkStart w:id="181" w:name="_Toc272325209"/>
      <w:bookmarkStart w:id="182" w:name="_Toc272324810"/>
      <w:bookmarkStart w:id="183" w:name="_Toc211252900"/>
      <w:r>
        <w:rPr>
          <w:rFonts w:hint="eastAsia" w:ascii="Times New Roman" w:hAnsi="Times New Roman" w:eastAsia="宋体" w:cs="Times New Roman"/>
          <w:b/>
          <w:sz w:val="24"/>
          <w:szCs w:val="24"/>
          <w:highlight w:val="none"/>
          <w:lang w:val="en-US" w:eastAsia="zh-CN"/>
        </w:rPr>
        <w:t>生产工艺流程</w:t>
      </w:r>
    </w:p>
    <w:p w14:paraId="1E1C6DA0">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w:t>
      </w:r>
      <w:r>
        <w:rPr>
          <w:rFonts w:hint="eastAsia" w:ascii="Times New Roman" w:hAnsi="Times New Roman" w:cs="Times New Roman"/>
          <w:b/>
          <w:sz w:val="24"/>
          <w:szCs w:val="24"/>
          <w:highlight w:val="none"/>
          <w:lang w:val="en-US" w:eastAsia="zh-CN"/>
        </w:rPr>
        <w:t>.8.1建设阶段工艺流程</w:t>
      </w:r>
    </w:p>
    <w:p w14:paraId="15C1F258">
      <w:pPr>
        <w:spacing w:line="360" w:lineRule="auto"/>
        <w:ind w:firstLine="480" w:firstLineChars="200"/>
        <w:rPr>
          <w:rFonts w:hint="eastAsia" w:ascii="Times New Roman" w:hAnsi="Times New Roman" w:cs="Times New Roman"/>
          <w:color w:val="000000"/>
          <w:kern w:val="0"/>
          <w:sz w:val="24"/>
          <w:szCs w:val="21"/>
          <w:highlight w:val="none"/>
          <w:lang w:val="en-US" w:eastAsia="zh-CN"/>
        </w:rPr>
      </w:pPr>
      <w:r>
        <w:rPr>
          <w:rFonts w:hint="eastAsia" w:cs="Times New Roman"/>
          <w:color w:val="000000"/>
          <w:kern w:val="0"/>
          <w:sz w:val="24"/>
          <w:szCs w:val="21"/>
          <w:highlight w:val="none"/>
          <w:lang w:val="en-US" w:eastAsia="zh-CN"/>
        </w:rPr>
        <w:t>项目</w:t>
      </w:r>
      <w:r>
        <w:rPr>
          <w:rFonts w:hint="eastAsia" w:ascii="Times New Roman" w:hAnsi="Times New Roman" w:cs="Times New Roman"/>
          <w:color w:val="000000"/>
          <w:kern w:val="0"/>
          <w:sz w:val="24"/>
          <w:szCs w:val="21"/>
          <w:highlight w:val="none"/>
          <w:lang w:val="en-US" w:eastAsia="zh-CN"/>
        </w:rPr>
        <w:t>工程施工内容主要为场地平整、</w:t>
      </w:r>
      <w:r>
        <w:rPr>
          <w:rFonts w:hint="eastAsia" w:cs="Times New Roman"/>
          <w:color w:val="000000"/>
          <w:kern w:val="0"/>
          <w:sz w:val="24"/>
          <w:szCs w:val="21"/>
          <w:highlight w:val="none"/>
          <w:lang w:val="en-US" w:eastAsia="zh-CN"/>
        </w:rPr>
        <w:t>新建挡石坝</w:t>
      </w:r>
      <w:r>
        <w:rPr>
          <w:rFonts w:hint="eastAsia" w:ascii="Times New Roman" w:hAnsi="Times New Roman" w:cs="Times New Roman"/>
          <w:color w:val="000000"/>
          <w:kern w:val="0"/>
          <w:sz w:val="24"/>
          <w:szCs w:val="21"/>
          <w:highlight w:val="none"/>
          <w:lang w:val="en-US" w:eastAsia="zh-CN"/>
        </w:rPr>
        <w:t>、</w:t>
      </w:r>
      <w:r>
        <w:rPr>
          <w:rFonts w:hint="eastAsia" w:cs="Times New Roman"/>
          <w:color w:val="000000"/>
          <w:kern w:val="0"/>
          <w:sz w:val="24"/>
          <w:szCs w:val="21"/>
          <w:highlight w:val="none"/>
          <w:lang w:val="en-US" w:eastAsia="zh-CN"/>
        </w:rPr>
        <w:t>拦碴坝</w:t>
      </w:r>
      <w:r>
        <w:rPr>
          <w:rFonts w:hint="eastAsia" w:ascii="Times New Roman" w:hAnsi="Times New Roman" w:cs="Times New Roman"/>
          <w:color w:val="000000"/>
          <w:kern w:val="0"/>
          <w:sz w:val="24"/>
          <w:szCs w:val="21"/>
          <w:highlight w:val="none"/>
          <w:lang w:val="en-US" w:eastAsia="zh-CN"/>
        </w:rPr>
        <w:t>、</w:t>
      </w:r>
      <w:r>
        <w:rPr>
          <w:rFonts w:hint="eastAsia" w:cs="Times New Roman"/>
          <w:color w:val="000000"/>
          <w:kern w:val="0"/>
          <w:sz w:val="24"/>
          <w:szCs w:val="21"/>
          <w:highlight w:val="none"/>
          <w:lang w:val="en-US" w:eastAsia="zh-CN"/>
        </w:rPr>
        <w:t>排渗设施、</w:t>
      </w:r>
      <w:r>
        <w:rPr>
          <w:rFonts w:hint="eastAsia" w:ascii="Times New Roman" w:hAnsi="Times New Roman" w:cs="Times New Roman"/>
          <w:color w:val="000000"/>
          <w:kern w:val="0"/>
          <w:sz w:val="24"/>
          <w:szCs w:val="21"/>
          <w:highlight w:val="none"/>
          <w:lang w:val="en-US" w:eastAsia="zh-CN"/>
        </w:rPr>
        <w:t>排洪设施等工程，包括：清除植被、清除</w:t>
      </w:r>
      <w:r>
        <w:rPr>
          <w:rFonts w:hint="eastAsia" w:cs="Times New Roman"/>
          <w:color w:val="000000"/>
          <w:kern w:val="0"/>
          <w:sz w:val="24"/>
          <w:szCs w:val="21"/>
          <w:highlight w:val="none"/>
          <w:lang w:val="en-US" w:eastAsia="zh-CN"/>
        </w:rPr>
        <w:t>尾砂、</w:t>
      </w:r>
      <w:r>
        <w:rPr>
          <w:rFonts w:hint="eastAsia" w:ascii="Times New Roman" w:hAnsi="Times New Roman" w:cs="Times New Roman"/>
          <w:color w:val="000000"/>
          <w:kern w:val="0"/>
          <w:sz w:val="24"/>
          <w:szCs w:val="21"/>
          <w:highlight w:val="none"/>
          <w:lang w:val="en-US" w:eastAsia="zh-CN"/>
        </w:rPr>
        <w:t>场地平整、建筑物地基挖掘及施工等。施工过程中将会产生扬尘、废水、噪声及固体废物。</w:t>
      </w:r>
    </w:p>
    <w:p w14:paraId="083BE214">
      <w:pPr>
        <w:spacing w:line="360" w:lineRule="auto"/>
        <w:ind w:firstLine="480" w:firstLineChars="200"/>
        <w:rPr>
          <w:rFonts w:hint="eastAsia" w:cs="Times New Roman"/>
          <w:color w:val="000000"/>
          <w:kern w:val="0"/>
          <w:sz w:val="24"/>
          <w:szCs w:val="21"/>
          <w:highlight w:val="none"/>
          <w:lang w:eastAsia="zh-CN"/>
        </w:rPr>
      </w:pPr>
      <w:r>
        <w:rPr>
          <w:rFonts w:hint="default" w:ascii="Times New Roman" w:hAnsi="Times New Roman" w:eastAsia="宋体" w:cs="Times New Roman"/>
          <w:color w:val="000000"/>
          <w:kern w:val="0"/>
          <w:sz w:val="24"/>
          <w:szCs w:val="21"/>
          <w:highlight w:val="none"/>
        </w:rPr>
        <w:t>建设阶段产污环节见</w:t>
      </w:r>
      <w:r>
        <w:rPr>
          <w:rFonts w:hint="eastAsia" w:ascii="Times New Roman" w:hAnsi="Times New Roman" w:eastAsia="宋体" w:cs="Times New Roman"/>
          <w:color w:val="000000"/>
          <w:kern w:val="0"/>
          <w:sz w:val="24"/>
          <w:szCs w:val="21"/>
          <w:highlight w:val="none"/>
          <w:lang w:eastAsia="zh-CN"/>
        </w:rPr>
        <w:t>下表</w:t>
      </w:r>
      <w:r>
        <w:rPr>
          <w:rFonts w:hint="eastAsia" w:cs="Times New Roman"/>
          <w:color w:val="000000"/>
          <w:kern w:val="0"/>
          <w:sz w:val="24"/>
          <w:szCs w:val="21"/>
          <w:highlight w:val="none"/>
          <w:lang w:eastAsia="zh-CN"/>
        </w:rPr>
        <w:t>。</w:t>
      </w:r>
    </w:p>
    <w:p w14:paraId="67599247">
      <w:pPr>
        <w:numPr>
          <w:ilvl w:val="0"/>
          <w:numId w:val="20"/>
        </w:numPr>
        <w:adjustRightInd w:val="0"/>
        <w:snapToGrid w:val="0"/>
        <w:jc w:val="center"/>
        <w:rPr>
          <w:rStyle w:val="66"/>
          <w:rFonts w:hint="default" w:ascii="Times New Roman" w:hAnsi="Times New Roman" w:eastAsia="宋体" w:cs="Times New Roman"/>
          <w:b/>
          <w:color w:val="000000"/>
          <w:highlight w:val="none"/>
        </w:rPr>
      </w:pPr>
      <w:r>
        <w:rPr>
          <w:rStyle w:val="66"/>
          <w:rFonts w:hint="default" w:ascii="Times New Roman" w:hAnsi="Times New Roman" w:eastAsia="宋体" w:cs="Times New Roman"/>
          <w:b/>
          <w:color w:val="000000"/>
          <w:highlight w:val="none"/>
        </w:rPr>
        <w:t>建设阶段产污环节一览表</w:t>
      </w:r>
    </w:p>
    <w:tbl>
      <w:tblPr>
        <w:tblStyle w:val="58"/>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35"/>
        <w:gridCol w:w="987"/>
        <w:gridCol w:w="960"/>
        <w:gridCol w:w="1554"/>
        <w:gridCol w:w="4587"/>
      </w:tblGrid>
      <w:tr w14:paraId="3D1125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tcBorders>
              <w:tl2br w:val="nil"/>
              <w:tr2bl w:val="nil"/>
            </w:tcBorders>
            <w:noWrap w:val="0"/>
            <w:vAlign w:val="center"/>
          </w:tcPr>
          <w:p w14:paraId="69AE6132">
            <w:pPr>
              <w:pStyle w:val="161"/>
              <w:spacing w:line="280" w:lineRule="exact"/>
              <w:rPr>
                <w:rFonts w:ascii="Times New Roman"/>
                <w:b/>
                <w:bCs w:val="0"/>
                <w:szCs w:val="21"/>
                <w:highlight w:val="none"/>
                <w:lang w:val="en-US" w:eastAsia="zh-CN" w:bidi="ar"/>
              </w:rPr>
            </w:pPr>
            <w:r>
              <w:rPr>
                <w:rFonts w:ascii="Times New Roman"/>
                <w:b/>
                <w:bCs w:val="0"/>
                <w:highlight w:val="none"/>
              </w:rPr>
              <w:t>类别</w:t>
            </w:r>
          </w:p>
        </w:tc>
        <w:tc>
          <w:tcPr>
            <w:tcW w:w="987" w:type="dxa"/>
            <w:tcBorders>
              <w:tl2br w:val="nil"/>
              <w:tr2bl w:val="nil"/>
            </w:tcBorders>
            <w:noWrap w:val="0"/>
            <w:vAlign w:val="center"/>
          </w:tcPr>
          <w:p w14:paraId="5A75A097">
            <w:pPr>
              <w:pStyle w:val="161"/>
              <w:spacing w:line="280" w:lineRule="exact"/>
              <w:rPr>
                <w:rFonts w:ascii="Times New Roman"/>
                <w:b/>
                <w:bCs w:val="0"/>
                <w:szCs w:val="21"/>
                <w:highlight w:val="none"/>
                <w:lang w:val="en-US" w:eastAsia="zh-CN" w:bidi="ar"/>
              </w:rPr>
            </w:pPr>
            <w:r>
              <w:rPr>
                <w:rFonts w:ascii="Times New Roman"/>
                <w:b/>
                <w:bCs w:val="0"/>
                <w:highlight w:val="none"/>
              </w:rPr>
              <w:t>排放源</w:t>
            </w:r>
          </w:p>
        </w:tc>
        <w:tc>
          <w:tcPr>
            <w:tcW w:w="960" w:type="dxa"/>
            <w:tcBorders>
              <w:tl2br w:val="nil"/>
              <w:tr2bl w:val="nil"/>
            </w:tcBorders>
            <w:noWrap w:val="0"/>
            <w:vAlign w:val="center"/>
          </w:tcPr>
          <w:p w14:paraId="0BB6A202">
            <w:pPr>
              <w:pStyle w:val="161"/>
              <w:spacing w:line="280" w:lineRule="exact"/>
              <w:rPr>
                <w:rFonts w:ascii="Times New Roman"/>
                <w:b/>
                <w:bCs w:val="0"/>
                <w:szCs w:val="21"/>
                <w:highlight w:val="none"/>
                <w:lang w:bidi="ar"/>
              </w:rPr>
            </w:pPr>
            <w:r>
              <w:rPr>
                <w:rFonts w:ascii="Times New Roman"/>
                <w:b/>
                <w:bCs w:val="0"/>
                <w:highlight w:val="none"/>
              </w:rPr>
              <w:t>污染物</w:t>
            </w:r>
          </w:p>
        </w:tc>
        <w:tc>
          <w:tcPr>
            <w:tcW w:w="1554" w:type="dxa"/>
            <w:tcBorders>
              <w:tl2br w:val="nil"/>
              <w:tr2bl w:val="nil"/>
            </w:tcBorders>
            <w:noWrap w:val="0"/>
            <w:vAlign w:val="center"/>
          </w:tcPr>
          <w:p w14:paraId="30215A61">
            <w:pPr>
              <w:pStyle w:val="161"/>
              <w:spacing w:line="280" w:lineRule="exact"/>
              <w:rPr>
                <w:rFonts w:ascii="Times New Roman"/>
                <w:b/>
                <w:bCs w:val="0"/>
                <w:szCs w:val="21"/>
                <w:highlight w:val="none"/>
              </w:rPr>
            </w:pPr>
            <w:r>
              <w:rPr>
                <w:rFonts w:ascii="Times New Roman"/>
                <w:b/>
                <w:bCs w:val="0"/>
                <w:highlight w:val="none"/>
              </w:rPr>
              <w:t>污染因子</w:t>
            </w:r>
          </w:p>
        </w:tc>
        <w:tc>
          <w:tcPr>
            <w:tcW w:w="4587" w:type="dxa"/>
            <w:tcBorders>
              <w:tl2br w:val="nil"/>
              <w:tr2bl w:val="nil"/>
            </w:tcBorders>
            <w:noWrap w:val="0"/>
            <w:vAlign w:val="center"/>
          </w:tcPr>
          <w:p w14:paraId="0BDD1BF8">
            <w:pPr>
              <w:pStyle w:val="161"/>
              <w:spacing w:line="280" w:lineRule="exact"/>
              <w:rPr>
                <w:rFonts w:ascii="Times New Roman"/>
                <w:b/>
                <w:bCs w:val="0"/>
                <w:highlight w:val="none"/>
              </w:rPr>
            </w:pPr>
            <w:r>
              <w:rPr>
                <w:rFonts w:ascii="Times New Roman"/>
                <w:b/>
                <w:bCs w:val="0"/>
                <w:highlight w:val="none"/>
              </w:rPr>
              <w:t>治理措施</w:t>
            </w:r>
          </w:p>
        </w:tc>
      </w:tr>
      <w:tr w14:paraId="27A8CC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restart"/>
            <w:tcBorders>
              <w:tl2br w:val="nil"/>
              <w:tr2bl w:val="nil"/>
            </w:tcBorders>
            <w:noWrap w:val="0"/>
            <w:vAlign w:val="center"/>
          </w:tcPr>
          <w:p w14:paraId="64E76440">
            <w:pPr>
              <w:pStyle w:val="161"/>
              <w:spacing w:line="280" w:lineRule="exact"/>
              <w:rPr>
                <w:rFonts w:ascii="Times New Roman"/>
                <w:color w:val="FF0000"/>
                <w:szCs w:val="21"/>
                <w:highlight w:val="none"/>
              </w:rPr>
            </w:pPr>
            <w:r>
              <w:rPr>
                <w:rFonts w:ascii="Times New Roman"/>
                <w:b w:val="0"/>
                <w:bCs/>
                <w:highlight w:val="none"/>
              </w:rPr>
              <w:t>废气</w:t>
            </w:r>
          </w:p>
        </w:tc>
        <w:tc>
          <w:tcPr>
            <w:tcW w:w="987" w:type="dxa"/>
            <w:tcBorders>
              <w:tl2br w:val="nil"/>
              <w:tr2bl w:val="nil"/>
            </w:tcBorders>
            <w:shd w:val="clear" w:color="auto" w:fill="auto"/>
            <w:noWrap w:val="0"/>
            <w:vAlign w:val="center"/>
          </w:tcPr>
          <w:p w14:paraId="1221A5C8">
            <w:pPr>
              <w:adjustRightInd w:val="0"/>
              <w:snapToGrid w:val="0"/>
              <w:spacing w:line="320" w:lineRule="exact"/>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eastAsia="宋体"/>
                <w:sz w:val="21"/>
                <w:szCs w:val="21"/>
                <w:highlight w:val="none"/>
              </w:rPr>
              <w:t>场地平整</w:t>
            </w:r>
          </w:p>
        </w:tc>
        <w:tc>
          <w:tcPr>
            <w:tcW w:w="960" w:type="dxa"/>
            <w:tcBorders>
              <w:tl2br w:val="nil"/>
              <w:tr2bl w:val="nil"/>
            </w:tcBorders>
            <w:shd w:val="clear" w:color="auto" w:fill="auto"/>
            <w:noWrap w:val="0"/>
            <w:vAlign w:val="center"/>
          </w:tcPr>
          <w:p w14:paraId="567DEB74">
            <w:pPr>
              <w:pStyle w:val="161"/>
              <w:spacing w:line="280" w:lineRule="exact"/>
              <w:rPr>
                <w:rFonts w:ascii="Times New Roman" w:hAnsi="Times New Roman" w:eastAsia="宋体" w:cs="Times New Roman"/>
                <w:b w:val="0"/>
                <w:kern w:val="2"/>
                <w:sz w:val="21"/>
                <w:szCs w:val="21"/>
                <w:highlight w:val="none"/>
                <w:lang w:val="en-US" w:eastAsia="zh-CN" w:bidi="ar-SA"/>
              </w:rPr>
            </w:pPr>
            <w:r>
              <w:rPr>
                <w:rFonts w:ascii="Times New Roman"/>
                <w:b w:val="0"/>
                <w:highlight w:val="none"/>
              </w:rPr>
              <w:t>扬尘</w:t>
            </w:r>
          </w:p>
        </w:tc>
        <w:tc>
          <w:tcPr>
            <w:tcW w:w="1554" w:type="dxa"/>
            <w:tcBorders>
              <w:tl2br w:val="nil"/>
              <w:tr2bl w:val="nil"/>
            </w:tcBorders>
            <w:shd w:val="clear" w:color="auto" w:fill="auto"/>
            <w:noWrap w:val="0"/>
            <w:vAlign w:val="center"/>
          </w:tcPr>
          <w:p w14:paraId="0B692DA6">
            <w:pPr>
              <w:widowControl/>
              <w:adjustRightInd w:val="0"/>
              <w:snapToGrid w:val="0"/>
              <w:spacing w:line="240" w:lineRule="auto"/>
              <w:jc w:val="center"/>
              <w:textAlignment w:val="center"/>
              <w:rPr>
                <w:rFonts w:ascii="Times New Roman" w:hAnsi="Times New Roman" w:eastAsia="宋体" w:cs="Times New Roman"/>
                <w:kern w:val="2"/>
                <w:sz w:val="21"/>
                <w:szCs w:val="21"/>
                <w:highlight w:val="none"/>
                <w:lang w:val="en-US" w:eastAsia="zh-CN" w:bidi="ar"/>
              </w:rPr>
            </w:pPr>
            <w:r>
              <w:rPr>
                <w:rFonts w:ascii="Times New Roman" w:eastAsia="宋体"/>
                <w:sz w:val="21"/>
                <w:szCs w:val="21"/>
                <w:highlight w:val="none"/>
                <w:lang w:bidi="ar"/>
              </w:rPr>
              <w:t>颗粒物</w:t>
            </w:r>
          </w:p>
        </w:tc>
        <w:tc>
          <w:tcPr>
            <w:tcW w:w="4587" w:type="dxa"/>
            <w:vMerge w:val="restart"/>
            <w:tcBorders>
              <w:tl2br w:val="nil"/>
              <w:tr2bl w:val="nil"/>
            </w:tcBorders>
            <w:noWrap w:val="0"/>
            <w:vAlign w:val="center"/>
          </w:tcPr>
          <w:p w14:paraId="04B95E46">
            <w:pPr>
              <w:widowControl/>
              <w:adjustRightInd w:val="0"/>
              <w:snapToGrid w:val="0"/>
              <w:spacing w:line="240" w:lineRule="auto"/>
              <w:jc w:val="center"/>
              <w:textAlignment w:val="center"/>
              <w:rPr>
                <w:rFonts w:hint="eastAsia" w:ascii="Times New Roman" w:eastAsia="宋体"/>
                <w:sz w:val="21"/>
                <w:szCs w:val="21"/>
                <w:highlight w:val="none"/>
                <w:lang w:eastAsia="zh-CN"/>
              </w:rPr>
            </w:pPr>
            <w:r>
              <w:rPr>
                <w:rFonts w:ascii="Times New Roman" w:eastAsia="宋体"/>
                <w:bCs/>
                <w:snapToGrid w:val="0"/>
                <w:sz w:val="21"/>
                <w:szCs w:val="21"/>
                <w:highlight w:val="none"/>
              </w:rPr>
              <w:t>施工场地出入口明显位置设置公示牌；施工现场周边设置硬质封闭围挡或者围墙，现场出入口、场内施工道路、材料加工堆放区进行硬化处理，并保持地面整洁；使用预拌混凝土、预拌砂浆等建筑材料，只能现场搅拌的，应当采取防尘措施；施工工地内堆放易产生扬尘的粉状、粒状建筑材料的，应当采取密闭或者遮盖等防尘措施，装卸、搬运时应当采取防尘措施；建筑垃圾应当及时清运，运输车辆应减速慢行，运输建筑垃圾及土方时应采用蓬布遮盖；建施工单位加强监管</w:t>
            </w:r>
            <w:r>
              <w:rPr>
                <w:rFonts w:hint="eastAsia"/>
                <w:bCs/>
                <w:snapToGrid w:val="0"/>
                <w:sz w:val="21"/>
                <w:szCs w:val="21"/>
                <w:highlight w:val="none"/>
                <w:lang w:eastAsia="zh-CN"/>
              </w:rPr>
              <w:t>。</w:t>
            </w:r>
          </w:p>
        </w:tc>
      </w:tr>
      <w:tr w14:paraId="54FDB2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continue"/>
            <w:tcBorders>
              <w:tl2br w:val="nil"/>
              <w:tr2bl w:val="nil"/>
            </w:tcBorders>
            <w:noWrap w:val="0"/>
            <w:vAlign w:val="center"/>
          </w:tcPr>
          <w:p w14:paraId="2B4A1030">
            <w:pPr>
              <w:pStyle w:val="161"/>
              <w:spacing w:line="280" w:lineRule="exact"/>
              <w:rPr>
                <w:rFonts w:ascii="Times New Roman"/>
                <w:b w:val="0"/>
                <w:bCs/>
                <w:color w:val="FF0000"/>
                <w:highlight w:val="none"/>
              </w:rPr>
            </w:pPr>
          </w:p>
        </w:tc>
        <w:tc>
          <w:tcPr>
            <w:tcW w:w="987" w:type="dxa"/>
            <w:tcBorders>
              <w:tl2br w:val="nil"/>
              <w:tr2bl w:val="nil"/>
            </w:tcBorders>
            <w:shd w:val="clear" w:color="auto" w:fill="auto"/>
            <w:noWrap w:val="0"/>
            <w:vAlign w:val="center"/>
          </w:tcPr>
          <w:p w14:paraId="753EAF70">
            <w:pPr>
              <w:adjustRightInd w:val="0"/>
              <w:snapToGrid w:val="0"/>
              <w:spacing w:line="320" w:lineRule="exact"/>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eastAsia="宋体"/>
                <w:sz w:val="21"/>
                <w:szCs w:val="21"/>
                <w:highlight w:val="none"/>
                <w:lang w:val="en-US" w:eastAsia="zh-CN"/>
              </w:rPr>
              <w:t>工程</w:t>
            </w:r>
            <w:r>
              <w:rPr>
                <w:rFonts w:ascii="Times New Roman" w:eastAsia="宋体"/>
                <w:sz w:val="21"/>
                <w:szCs w:val="21"/>
                <w:highlight w:val="none"/>
              </w:rPr>
              <w:t>施工</w:t>
            </w:r>
          </w:p>
        </w:tc>
        <w:tc>
          <w:tcPr>
            <w:tcW w:w="960" w:type="dxa"/>
            <w:tcBorders>
              <w:tl2br w:val="nil"/>
              <w:tr2bl w:val="nil"/>
            </w:tcBorders>
            <w:shd w:val="clear" w:color="auto" w:fill="auto"/>
            <w:noWrap w:val="0"/>
            <w:vAlign w:val="center"/>
          </w:tcPr>
          <w:p w14:paraId="1E5CB9A9">
            <w:pPr>
              <w:pStyle w:val="161"/>
              <w:spacing w:line="280" w:lineRule="exact"/>
              <w:rPr>
                <w:rFonts w:ascii="Times New Roman" w:hAnsi="Times New Roman" w:eastAsia="宋体" w:cs="Times New Roman"/>
                <w:kern w:val="2"/>
                <w:sz w:val="21"/>
                <w:szCs w:val="21"/>
                <w:highlight w:val="none"/>
                <w:lang w:val="en-US" w:eastAsia="zh-CN" w:bidi="ar-SA"/>
              </w:rPr>
            </w:pPr>
            <w:r>
              <w:rPr>
                <w:rFonts w:ascii="Times New Roman"/>
                <w:b w:val="0"/>
                <w:highlight w:val="none"/>
              </w:rPr>
              <w:t>扬尘</w:t>
            </w:r>
          </w:p>
        </w:tc>
        <w:tc>
          <w:tcPr>
            <w:tcW w:w="1554" w:type="dxa"/>
            <w:tcBorders>
              <w:tl2br w:val="nil"/>
              <w:tr2bl w:val="nil"/>
            </w:tcBorders>
            <w:shd w:val="clear" w:color="auto" w:fill="auto"/>
            <w:noWrap w:val="0"/>
            <w:vAlign w:val="center"/>
          </w:tcPr>
          <w:p w14:paraId="7EE806D0">
            <w:pPr>
              <w:widowControl/>
              <w:adjustRightInd w:val="0"/>
              <w:snapToGrid w:val="0"/>
              <w:spacing w:line="240" w:lineRule="auto"/>
              <w:jc w:val="center"/>
              <w:textAlignment w:val="center"/>
              <w:rPr>
                <w:rFonts w:ascii="Times New Roman" w:hAnsi="Times New Roman" w:eastAsia="宋体" w:cs="Times New Roman"/>
                <w:kern w:val="2"/>
                <w:sz w:val="21"/>
                <w:szCs w:val="21"/>
                <w:highlight w:val="none"/>
                <w:lang w:val="en-US" w:eastAsia="zh-CN" w:bidi="ar"/>
              </w:rPr>
            </w:pPr>
            <w:r>
              <w:rPr>
                <w:rFonts w:ascii="Times New Roman" w:eastAsia="宋体"/>
                <w:sz w:val="21"/>
                <w:szCs w:val="21"/>
                <w:highlight w:val="none"/>
                <w:lang w:bidi="ar"/>
              </w:rPr>
              <w:t>颗粒物</w:t>
            </w:r>
          </w:p>
        </w:tc>
        <w:tc>
          <w:tcPr>
            <w:tcW w:w="4587" w:type="dxa"/>
            <w:vMerge w:val="continue"/>
            <w:tcBorders>
              <w:tl2br w:val="nil"/>
              <w:tr2bl w:val="nil"/>
            </w:tcBorders>
            <w:noWrap w:val="0"/>
            <w:vAlign w:val="center"/>
          </w:tcPr>
          <w:p w14:paraId="07E6E7F6">
            <w:pPr>
              <w:widowControl/>
              <w:adjustRightInd w:val="0"/>
              <w:snapToGrid w:val="0"/>
              <w:spacing w:line="240" w:lineRule="auto"/>
              <w:jc w:val="center"/>
              <w:textAlignment w:val="center"/>
              <w:rPr>
                <w:rFonts w:ascii="Times New Roman"/>
                <w:bCs/>
                <w:snapToGrid w:val="0"/>
                <w:color w:val="FF0000"/>
                <w:sz w:val="21"/>
                <w:szCs w:val="21"/>
                <w:highlight w:val="none"/>
              </w:rPr>
            </w:pPr>
          </w:p>
        </w:tc>
      </w:tr>
      <w:tr w14:paraId="6AF9AE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continue"/>
            <w:tcBorders>
              <w:tl2br w:val="nil"/>
              <w:tr2bl w:val="nil"/>
            </w:tcBorders>
            <w:noWrap w:val="0"/>
            <w:vAlign w:val="center"/>
          </w:tcPr>
          <w:p w14:paraId="14335067">
            <w:pPr>
              <w:pStyle w:val="161"/>
              <w:spacing w:line="280" w:lineRule="exact"/>
              <w:rPr>
                <w:rFonts w:ascii="Times New Roman"/>
                <w:b w:val="0"/>
                <w:bCs/>
                <w:highlight w:val="none"/>
              </w:rPr>
            </w:pPr>
          </w:p>
        </w:tc>
        <w:tc>
          <w:tcPr>
            <w:tcW w:w="987" w:type="dxa"/>
            <w:tcBorders>
              <w:tl2br w:val="nil"/>
              <w:tr2bl w:val="nil"/>
            </w:tcBorders>
            <w:noWrap w:val="0"/>
            <w:vAlign w:val="center"/>
          </w:tcPr>
          <w:p w14:paraId="1A49A651">
            <w:pPr>
              <w:adjustRightInd w:val="0"/>
              <w:snapToGrid w:val="0"/>
              <w:spacing w:line="320" w:lineRule="exact"/>
              <w:jc w:val="center"/>
              <w:rPr>
                <w:rFonts w:ascii="Times New Roman"/>
                <w:b/>
                <w:highlight w:val="none"/>
              </w:rPr>
            </w:pPr>
            <w:r>
              <w:rPr>
                <w:rFonts w:ascii="Times New Roman" w:eastAsia="宋体"/>
                <w:sz w:val="21"/>
                <w:szCs w:val="21"/>
                <w:highlight w:val="none"/>
              </w:rPr>
              <w:t>车辆运输</w:t>
            </w:r>
          </w:p>
        </w:tc>
        <w:tc>
          <w:tcPr>
            <w:tcW w:w="960" w:type="dxa"/>
            <w:tcBorders>
              <w:tl2br w:val="nil"/>
              <w:tr2bl w:val="nil"/>
            </w:tcBorders>
            <w:noWrap w:val="0"/>
            <w:vAlign w:val="center"/>
          </w:tcPr>
          <w:p w14:paraId="36CD5AAC">
            <w:pPr>
              <w:pStyle w:val="161"/>
              <w:spacing w:line="280" w:lineRule="exact"/>
              <w:rPr>
                <w:rFonts w:ascii="Times New Roman"/>
                <w:szCs w:val="21"/>
                <w:highlight w:val="none"/>
              </w:rPr>
            </w:pPr>
            <w:r>
              <w:rPr>
                <w:rFonts w:ascii="Times New Roman"/>
                <w:b w:val="0"/>
                <w:highlight w:val="none"/>
              </w:rPr>
              <w:t>扬尘</w:t>
            </w:r>
          </w:p>
        </w:tc>
        <w:tc>
          <w:tcPr>
            <w:tcW w:w="1554" w:type="dxa"/>
            <w:tcBorders>
              <w:tl2br w:val="nil"/>
              <w:tr2bl w:val="nil"/>
            </w:tcBorders>
            <w:noWrap w:val="0"/>
            <w:vAlign w:val="center"/>
          </w:tcPr>
          <w:p w14:paraId="5C2192C3">
            <w:pPr>
              <w:widowControl/>
              <w:adjustRightInd w:val="0"/>
              <w:snapToGrid w:val="0"/>
              <w:spacing w:line="240" w:lineRule="auto"/>
              <w:jc w:val="center"/>
              <w:textAlignment w:val="center"/>
              <w:rPr>
                <w:rFonts w:ascii="Times New Roman"/>
                <w:sz w:val="21"/>
                <w:szCs w:val="21"/>
                <w:highlight w:val="none"/>
                <w:lang w:bidi="ar"/>
              </w:rPr>
            </w:pPr>
            <w:r>
              <w:rPr>
                <w:rFonts w:ascii="Times New Roman" w:eastAsia="宋体"/>
                <w:sz w:val="21"/>
                <w:szCs w:val="21"/>
                <w:highlight w:val="none"/>
                <w:lang w:bidi="ar"/>
              </w:rPr>
              <w:t>颗粒物</w:t>
            </w:r>
          </w:p>
        </w:tc>
        <w:tc>
          <w:tcPr>
            <w:tcW w:w="4587" w:type="dxa"/>
            <w:vMerge w:val="continue"/>
            <w:tcBorders>
              <w:tl2br w:val="nil"/>
              <w:tr2bl w:val="nil"/>
            </w:tcBorders>
            <w:noWrap w:val="0"/>
            <w:vAlign w:val="center"/>
          </w:tcPr>
          <w:p w14:paraId="02FBC08E">
            <w:pPr>
              <w:widowControl/>
              <w:adjustRightInd w:val="0"/>
              <w:snapToGrid w:val="0"/>
              <w:spacing w:line="240" w:lineRule="auto"/>
              <w:jc w:val="center"/>
              <w:textAlignment w:val="center"/>
              <w:rPr>
                <w:rFonts w:ascii="Times New Roman"/>
                <w:bCs/>
                <w:snapToGrid w:val="0"/>
                <w:sz w:val="21"/>
                <w:szCs w:val="21"/>
                <w:highlight w:val="none"/>
              </w:rPr>
            </w:pPr>
          </w:p>
        </w:tc>
      </w:tr>
      <w:tr w14:paraId="317FA6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97" w:hRule="atLeast"/>
          <w:jc w:val="center"/>
        </w:trPr>
        <w:tc>
          <w:tcPr>
            <w:tcW w:w="435" w:type="dxa"/>
            <w:vMerge w:val="restart"/>
            <w:tcBorders>
              <w:tl2br w:val="nil"/>
              <w:tr2bl w:val="nil"/>
            </w:tcBorders>
            <w:noWrap w:val="0"/>
            <w:vAlign w:val="center"/>
          </w:tcPr>
          <w:p w14:paraId="7B364114">
            <w:pPr>
              <w:pStyle w:val="161"/>
              <w:spacing w:line="280" w:lineRule="exact"/>
              <w:rPr>
                <w:rFonts w:ascii="Times New Roman"/>
                <w:szCs w:val="21"/>
                <w:highlight w:val="none"/>
                <w:lang w:val="en-US" w:eastAsia="zh-CN" w:bidi="ar"/>
              </w:rPr>
            </w:pPr>
            <w:r>
              <w:rPr>
                <w:rFonts w:ascii="Times New Roman"/>
                <w:b w:val="0"/>
                <w:bCs/>
                <w:highlight w:val="none"/>
              </w:rPr>
              <w:t>废水</w:t>
            </w:r>
          </w:p>
        </w:tc>
        <w:tc>
          <w:tcPr>
            <w:tcW w:w="987" w:type="dxa"/>
            <w:tcBorders>
              <w:tl2br w:val="nil"/>
              <w:tr2bl w:val="nil"/>
            </w:tcBorders>
            <w:noWrap w:val="0"/>
            <w:vAlign w:val="center"/>
          </w:tcPr>
          <w:p w14:paraId="4BE8DC1F">
            <w:pPr>
              <w:pStyle w:val="161"/>
              <w:spacing w:line="280" w:lineRule="exact"/>
              <w:rPr>
                <w:rFonts w:ascii="Times New Roman"/>
                <w:szCs w:val="21"/>
                <w:highlight w:val="none"/>
                <w:lang w:val="en-US" w:eastAsia="zh-CN" w:bidi="ar"/>
              </w:rPr>
            </w:pPr>
            <w:r>
              <w:rPr>
                <w:rFonts w:ascii="Times New Roman"/>
                <w:b w:val="0"/>
                <w:highlight w:val="none"/>
              </w:rPr>
              <w:t>工程施工</w:t>
            </w:r>
          </w:p>
        </w:tc>
        <w:tc>
          <w:tcPr>
            <w:tcW w:w="960" w:type="dxa"/>
            <w:tcBorders>
              <w:tl2br w:val="nil"/>
              <w:tr2bl w:val="nil"/>
            </w:tcBorders>
            <w:noWrap w:val="0"/>
            <w:vAlign w:val="center"/>
          </w:tcPr>
          <w:p w14:paraId="4D5D0C82">
            <w:pPr>
              <w:pStyle w:val="161"/>
              <w:spacing w:line="280" w:lineRule="exact"/>
              <w:rPr>
                <w:rFonts w:ascii="Times New Roman"/>
                <w:szCs w:val="21"/>
                <w:highlight w:val="none"/>
                <w:lang w:val="en-US" w:eastAsia="zh-CN" w:bidi="ar"/>
              </w:rPr>
            </w:pPr>
            <w:r>
              <w:rPr>
                <w:rFonts w:ascii="Times New Roman"/>
                <w:b w:val="0"/>
                <w:highlight w:val="none"/>
              </w:rPr>
              <w:t>施工废水</w:t>
            </w:r>
          </w:p>
        </w:tc>
        <w:tc>
          <w:tcPr>
            <w:tcW w:w="1554" w:type="dxa"/>
            <w:tcBorders>
              <w:tl2br w:val="nil"/>
              <w:tr2bl w:val="nil"/>
            </w:tcBorders>
            <w:noWrap w:val="0"/>
            <w:vAlign w:val="center"/>
          </w:tcPr>
          <w:p w14:paraId="10C6D45E">
            <w:pPr>
              <w:pStyle w:val="161"/>
              <w:spacing w:line="280" w:lineRule="exact"/>
              <w:rPr>
                <w:rFonts w:ascii="Times New Roman"/>
                <w:szCs w:val="21"/>
                <w:highlight w:val="none"/>
                <w:lang w:val="en-US" w:eastAsia="zh-CN"/>
              </w:rPr>
            </w:pPr>
            <w:r>
              <w:rPr>
                <w:rFonts w:ascii="Times New Roman"/>
                <w:b w:val="0"/>
                <w:highlight w:val="none"/>
              </w:rPr>
              <w:t>SS</w:t>
            </w:r>
          </w:p>
        </w:tc>
        <w:tc>
          <w:tcPr>
            <w:tcW w:w="4587" w:type="dxa"/>
            <w:tcBorders>
              <w:tl2br w:val="nil"/>
              <w:tr2bl w:val="nil"/>
            </w:tcBorders>
            <w:noWrap w:val="0"/>
            <w:vAlign w:val="center"/>
          </w:tcPr>
          <w:p w14:paraId="1B3C30E9">
            <w:pPr>
              <w:pStyle w:val="161"/>
              <w:spacing w:line="280" w:lineRule="exact"/>
              <w:rPr>
                <w:rFonts w:ascii="Times New Roman"/>
                <w:szCs w:val="21"/>
                <w:highlight w:val="none"/>
                <w:lang w:val="en-US" w:eastAsia="zh-CN"/>
              </w:rPr>
            </w:pPr>
            <w:r>
              <w:rPr>
                <w:rFonts w:ascii="Times New Roman" w:eastAsia="宋体"/>
                <w:b w:val="0"/>
                <w:snapToGrid w:val="0"/>
                <w:szCs w:val="21"/>
                <w:highlight w:val="none"/>
                <w:lang w:eastAsia="zh-CN"/>
              </w:rPr>
              <w:t>沉淀池</w:t>
            </w:r>
            <w:r>
              <w:rPr>
                <w:rFonts w:ascii="Times New Roman"/>
                <w:b w:val="0"/>
                <w:snapToGrid w:val="0"/>
                <w:szCs w:val="21"/>
                <w:highlight w:val="none"/>
              </w:rPr>
              <w:t>沉淀后</w:t>
            </w:r>
            <w:r>
              <w:rPr>
                <w:rFonts w:ascii="Times New Roman" w:eastAsia="宋体"/>
                <w:b w:val="0"/>
                <w:snapToGrid w:val="0"/>
                <w:szCs w:val="21"/>
                <w:highlight w:val="none"/>
                <w:lang w:eastAsia="zh-CN"/>
              </w:rPr>
              <w:t>回用</w:t>
            </w:r>
            <w:r>
              <w:rPr>
                <w:rFonts w:hint="eastAsia"/>
                <w:b w:val="0"/>
                <w:snapToGrid w:val="0"/>
                <w:szCs w:val="21"/>
                <w:highlight w:val="none"/>
                <w:lang w:eastAsia="zh-CN"/>
              </w:rPr>
              <w:t>。</w:t>
            </w:r>
          </w:p>
        </w:tc>
      </w:tr>
      <w:tr w14:paraId="790AA4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continue"/>
            <w:tcBorders>
              <w:tl2br w:val="nil"/>
              <w:tr2bl w:val="nil"/>
            </w:tcBorders>
            <w:noWrap w:val="0"/>
            <w:vAlign w:val="center"/>
          </w:tcPr>
          <w:p w14:paraId="53E2E746">
            <w:pPr>
              <w:pStyle w:val="161"/>
              <w:spacing w:line="280" w:lineRule="exact"/>
              <w:rPr>
                <w:rFonts w:ascii="Times New Roman"/>
                <w:szCs w:val="21"/>
                <w:highlight w:val="none"/>
              </w:rPr>
            </w:pPr>
          </w:p>
        </w:tc>
        <w:tc>
          <w:tcPr>
            <w:tcW w:w="987" w:type="dxa"/>
            <w:tcBorders>
              <w:tl2br w:val="nil"/>
              <w:tr2bl w:val="nil"/>
            </w:tcBorders>
            <w:noWrap w:val="0"/>
            <w:vAlign w:val="center"/>
          </w:tcPr>
          <w:p w14:paraId="27732E8C">
            <w:pPr>
              <w:pStyle w:val="161"/>
              <w:spacing w:line="280" w:lineRule="exact"/>
              <w:rPr>
                <w:rFonts w:ascii="Times New Roman"/>
                <w:szCs w:val="21"/>
                <w:highlight w:val="none"/>
                <w:lang w:val="en-US"/>
              </w:rPr>
            </w:pPr>
            <w:r>
              <w:rPr>
                <w:rFonts w:ascii="Times New Roman"/>
                <w:b w:val="0"/>
                <w:highlight w:val="none"/>
              </w:rPr>
              <w:t>施工人员</w:t>
            </w:r>
          </w:p>
        </w:tc>
        <w:tc>
          <w:tcPr>
            <w:tcW w:w="960" w:type="dxa"/>
            <w:tcBorders>
              <w:tl2br w:val="nil"/>
              <w:tr2bl w:val="nil"/>
            </w:tcBorders>
            <w:noWrap w:val="0"/>
            <w:vAlign w:val="center"/>
          </w:tcPr>
          <w:p w14:paraId="72DEDE26">
            <w:pPr>
              <w:pStyle w:val="161"/>
              <w:spacing w:line="280" w:lineRule="exact"/>
              <w:rPr>
                <w:rFonts w:ascii="Times New Roman"/>
                <w:szCs w:val="21"/>
                <w:highlight w:val="none"/>
              </w:rPr>
            </w:pPr>
            <w:r>
              <w:rPr>
                <w:rFonts w:ascii="Times New Roman"/>
                <w:b w:val="0"/>
                <w:highlight w:val="none"/>
              </w:rPr>
              <w:t>生活污水</w:t>
            </w:r>
          </w:p>
        </w:tc>
        <w:tc>
          <w:tcPr>
            <w:tcW w:w="1554" w:type="dxa"/>
            <w:tcBorders>
              <w:tl2br w:val="nil"/>
              <w:tr2bl w:val="nil"/>
            </w:tcBorders>
            <w:noWrap w:val="0"/>
            <w:vAlign w:val="center"/>
          </w:tcPr>
          <w:p w14:paraId="57DB9217">
            <w:pPr>
              <w:pStyle w:val="161"/>
              <w:spacing w:line="280" w:lineRule="exact"/>
              <w:rPr>
                <w:rFonts w:ascii="Times New Roman"/>
                <w:szCs w:val="21"/>
                <w:highlight w:val="none"/>
                <w:lang w:val="en-US" w:eastAsia="zh-CN" w:bidi="ar"/>
              </w:rPr>
            </w:pPr>
            <w:r>
              <w:rPr>
                <w:rFonts w:ascii="Times New Roman"/>
                <w:b w:val="0"/>
                <w:highlight w:val="none"/>
              </w:rPr>
              <w:t>SS、COD、BOD</w:t>
            </w:r>
            <w:r>
              <w:rPr>
                <w:rFonts w:ascii="Times New Roman"/>
                <w:b w:val="0"/>
                <w:highlight w:val="none"/>
                <w:vertAlign w:val="subscript"/>
              </w:rPr>
              <w:t>5</w:t>
            </w:r>
            <w:r>
              <w:rPr>
                <w:rFonts w:ascii="Times New Roman"/>
                <w:b w:val="0"/>
                <w:highlight w:val="none"/>
              </w:rPr>
              <w:t>、氨氮等</w:t>
            </w:r>
          </w:p>
        </w:tc>
        <w:tc>
          <w:tcPr>
            <w:tcW w:w="4587" w:type="dxa"/>
            <w:tcBorders>
              <w:tl2br w:val="nil"/>
              <w:tr2bl w:val="nil"/>
            </w:tcBorders>
            <w:noWrap w:val="0"/>
            <w:vAlign w:val="center"/>
          </w:tcPr>
          <w:p w14:paraId="7595306C">
            <w:pPr>
              <w:pStyle w:val="161"/>
              <w:spacing w:line="280" w:lineRule="exact"/>
              <w:rPr>
                <w:rFonts w:hint="eastAsia" w:ascii="Times New Roman" w:eastAsia="宋体"/>
                <w:szCs w:val="21"/>
                <w:highlight w:val="none"/>
                <w:lang w:val="en-US" w:eastAsia="zh-CN" w:bidi="ar"/>
              </w:rPr>
            </w:pPr>
            <w:r>
              <w:rPr>
                <w:rFonts w:ascii="Times New Roman"/>
                <w:b w:val="0"/>
                <w:highlight w:val="none"/>
              </w:rPr>
              <w:t>施工场地洒水降尘</w:t>
            </w:r>
            <w:r>
              <w:rPr>
                <w:rFonts w:hint="eastAsia"/>
                <w:b w:val="0"/>
                <w:highlight w:val="none"/>
                <w:lang w:eastAsia="zh-CN"/>
              </w:rPr>
              <w:t>。</w:t>
            </w:r>
          </w:p>
        </w:tc>
      </w:tr>
      <w:tr w14:paraId="7A11C7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restart"/>
            <w:tcBorders>
              <w:tl2br w:val="nil"/>
              <w:tr2bl w:val="nil"/>
            </w:tcBorders>
            <w:noWrap w:val="0"/>
            <w:vAlign w:val="center"/>
          </w:tcPr>
          <w:p w14:paraId="4B83958E">
            <w:pPr>
              <w:pStyle w:val="161"/>
              <w:spacing w:line="280" w:lineRule="exact"/>
              <w:rPr>
                <w:rFonts w:ascii="Times New Roman"/>
                <w:szCs w:val="21"/>
                <w:highlight w:val="none"/>
              </w:rPr>
            </w:pPr>
            <w:r>
              <w:rPr>
                <w:rFonts w:ascii="Times New Roman"/>
                <w:b w:val="0"/>
                <w:bCs/>
                <w:highlight w:val="none"/>
              </w:rPr>
              <w:t>噪声</w:t>
            </w:r>
          </w:p>
        </w:tc>
        <w:tc>
          <w:tcPr>
            <w:tcW w:w="987" w:type="dxa"/>
            <w:tcBorders>
              <w:tl2br w:val="nil"/>
              <w:tr2bl w:val="nil"/>
            </w:tcBorders>
            <w:noWrap w:val="0"/>
            <w:vAlign w:val="center"/>
          </w:tcPr>
          <w:p w14:paraId="534EA0D1">
            <w:pPr>
              <w:pStyle w:val="161"/>
              <w:spacing w:line="280" w:lineRule="exact"/>
              <w:rPr>
                <w:rFonts w:ascii="Times New Roman"/>
                <w:szCs w:val="21"/>
                <w:highlight w:val="none"/>
                <w:lang w:val="en-US"/>
              </w:rPr>
            </w:pPr>
            <w:r>
              <w:rPr>
                <w:rFonts w:ascii="Times New Roman"/>
                <w:b w:val="0"/>
                <w:highlight w:val="none"/>
              </w:rPr>
              <w:t>工程施工</w:t>
            </w:r>
          </w:p>
        </w:tc>
        <w:tc>
          <w:tcPr>
            <w:tcW w:w="960" w:type="dxa"/>
            <w:tcBorders>
              <w:tl2br w:val="nil"/>
              <w:tr2bl w:val="nil"/>
            </w:tcBorders>
            <w:noWrap w:val="0"/>
            <w:vAlign w:val="center"/>
          </w:tcPr>
          <w:p w14:paraId="609E1E79">
            <w:pPr>
              <w:pStyle w:val="161"/>
              <w:spacing w:line="280" w:lineRule="exact"/>
              <w:rPr>
                <w:rFonts w:ascii="Times New Roman"/>
                <w:szCs w:val="21"/>
                <w:highlight w:val="none"/>
              </w:rPr>
            </w:pPr>
            <w:r>
              <w:rPr>
                <w:rFonts w:ascii="Times New Roman"/>
                <w:b w:val="0"/>
                <w:highlight w:val="none"/>
              </w:rPr>
              <w:t>噪声</w:t>
            </w:r>
          </w:p>
        </w:tc>
        <w:tc>
          <w:tcPr>
            <w:tcW w:w="1554" w:type="dxa"/>
            <w:tcBorders>
              <w:tl2br w:val="nil"/>
              <w:tr2bl w:val="nil"/>
            </w:tcBorders>
            <w:noWrap w:val="0"/>
            <w:vAlign w:val="center"/>
          </w:tcPr>
          <w:p w14:paraId="6DD20C0D">
            <w:pPr>
              <w:pStyle w:val="161"/>
              <w:spacing w:line="280" w:lineRule="exact"/>
              <w:rPr>
                <w:rFonts w:ascii="Times New Roman"/>
                <w:szCs w:val="21"/>
                <w:highlight w:val="none"/>
                <w:lang w:val="en-US" w:eastAsia="zh-CN" w:bidi="ar"/>
              </w:rPr>
            </w:pPr>
            <w:r>
              <w:rPr>
                <w:rFonts w:ascii="Times New Roman"/>
                <w:b w:val="0"/>
                <w:highlight w:val="none"/>
              </w:rPr>
              <w:t>Leq(A)</w:t>
            </w:r>
          </w:p>
        </w:tc>
        <w:tc>
          <w:tcPr>
            <w:tcW w:w="4587" w:type="dxa"/>
            <w:tcBorders>
              <w:tl2br w:val="nil"/>
              <w:tr2bl w:val="nil"/>
            </w:tcBorders>
            <w:noWrap w:val="0"/>
            <w:vAlign w:val="center"/>
          </w:tcPr>
          <w:p w14:paraId="6F71CC15">
            <w:pPr>
              <w:pStyle w:val="161"/>
              <w:spacing w:line="280" w:lineRule="exact"/>
              <w:rPr>
                <w:rFonts w:hint="eastAsia" w:ascii="Times New Roman" w:eastAsia="宋体"/>
                <w:szCs w:val="21"/>
                <w:highlight w:val="none"/>
                <w:lang w:val="en-US" w:eastAsia="zh-CN" w:bidi="ar"/>
              </w:rPr>
            </w:pPr>
            <w:r>
              <w:rPr>
                <w:rFonts w:ascii="Times New Roman"/>
                <w:b w:val="0"/>
                <w:highlight w:val="none"/>
              </w:rPr>
              <w:t>选用低噪声设备、规范设备操作、加强施工管理</w:t>
            </w:r>
            <w:r>
              <w:rPr>
                <w:rFonts w:hint="eastAsia"/>
                <w:b w:val="0"/>
                <w:highlight w:val="none"/>
                <w:lang w:eastAsia="zh-CN"/>
              </w:rPr>
              <w:t>。</w:t>
            </w:r>
          </w:p>
        </w:tc>
      </w:tr>
      <w:tr w14:paraId="53059B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continue"/>
            <w:tcBorders>
              <w:tl2br w:val="nil"/>
              <w:tr2bl w:val="nil"/>
            </w:tcBorders>
            <w:noWrap w:val="0"/>
            <w:vAlign w:val="center"/>
          </w:tcPr>
          <w:p w14:paraId="27287C65">
            <w:pPr>
              <w:pStyle w:val="161"/>
              <w:spacing w:line="280" w:lineRule="exact"/>
              <w:rPr>
                <w:rFonts w:ascii="Times New Roman"/>
                <w:szCs w:val="21"/>
                <w:highlight w:val="none"/>
              </w:rPr>
            </w:pPr>
          </w:p>
        </w:tc>
        <w:tc>
          <w:tcPr>
            <w:tcW w:w="987" w:type="dxa"/>
            <w:tcBorders>
              <w:tl2br w:val="nil"/>
              <w:tr2bl w:val="nil"/>
            </w:tcBorders>
            <w:noWrap w:val="0"/>
            <w:vAlign w:val="center"/>
          </w:tcPr>
          <w:p w14:paraId="17AAA428">
            <w:pPr>
              <w:pStyle w:val="161"/>
              <w:spacing w:line="280" w:lineRule="exact"/>
              <w:rPr>
                <w:rFonts w:ascii="Times New Roman"/>
                <w:szCs w:val="21"/>
                <w:highlight w:val="none"/>
                <w:lang w:val="en-US" w:eastAsia="zh-CN"/>
              </w:rPr>
            </w:pPr>
            <w:r>
              <w:rPr>
                <w:rFonts w:ascii="Times New Roman"/>
                <w:b w:val="0"/>
                <w:highlight w:val="none"/>
              </w:rPr>
              <w:t>运输车辆</w:t>
            </w:r>
          </w:p>
        </w:tc>
        <w:tc>
          <w:tcPr>
            <w:tcW w:w="960" w:type="dxa"/>
            <w:tcBorders>
              <w:tl2br w:val="nil"/>
              <w:tr2bl w:val="nil"/>
            </w:tcBorders>
            <w:noWrap w:val="0"/>
            <w:vAlign w:val="center"/>
          </w:tcPr>
          <w:p w14:paraId="2DABDC9D">
            <w:pPr>
              <w:pStyle w:val="161"/>
              <w:spacing w:line="280" w:lineRule="exact"/>
              <w:rPr>
                <w:rFonts w:ascii="Times New Roman"/>
                <w:szCs w:val="21"/>
                <w:highlight w:val="none"/>
              </w:rPr>
            </w:pPr>
            <w:r>
              <w:rPr>
                <w:rFonts w:ascii="Times New Roman"/>
                <w:b w:val="0"/>
                <w:highlight w:val="none"/>
              </w:rPr>
              <w:t>噪声</w:t>
            </w:r>
          </w:p>
        </w:tc>
        <w:tc>
          <w:tcPr>
            <w:tcW w:w="1554" w:type="dxa"/>
            <w:tcBorders>
              <w:tl2br w:val="nil"/>
              <w:tr2bl w:val="nil"/>
            </w:tcBorders>
            <w:noWrap w:val="0"/>
            <w:vAlign w:val="center"/>
          </w:tcPr>
          <w:p w14:paraId="2BC72C0E">
            <w:pPr>
              <w:pStyle w:val="161"/>
              <w:spacing w:line="280" w:lineRule="exact"/>
              <w:rPr>
                <w:rFonts w:ascii="Times New Roman"/>
                <w:szCs w:val="21"/>
                <w:highlight w:val="none"/>
                <w:lang w:val="en-US" w:eastAsia="zh-CN" w:bidi="ar"/>
              </w:rPr>
            </w:pPr>
            <w:r>
              <w:rPr>
                <w:rFonts w:ascii="Times New Roman"/>
                <w:b w:val="0"/>
                <w:highlight w:val="none"/>
              </w:rPr>
              <w:t>Leq(A)</w:t>
            </w:r>
          </w:p>
        </w:tc>
        <w:tc>
          <w:tcPr>
            <w:tcW w:w="4587" w:type="dxa"/>
            <w:tcBorders>
              <w:tl2br w:val="nil"/>
              <w:tr2bl w:val="nil"/>
            </w:tcBorders>
            <w:noWrap w:val="0"/>
            <w:vAlign w:val="center"/>
          </w:tcPr>
          <w:p w14:paraId="7773CE51">
            <w:pPr>
              <w:pStyle w:val="161"/>
              <w:spacing w:line="280" w:lineRule="exact"/>
              <w:rPr>
                <w:rFonts w:hint="eastAsia" w:ascii="Times New Roman" w:eastAsia="宋体"/>
                <w:szCs w:val="21"/>
                <w:highlight w:val="none"/>
                <w:lang w:eastAsia="zh-CN"/>
              </w:rPr>
            </w:pPr>
            <w:r>
              <w:rPr>
                <w:rFonts w:ascii="Times New Roman"/>
                <w:b w:val="0"/>
                <w:highlight w:val="none"/>
              </w:rPr>
              <w:t>减速慢行，禁止鸣笛</w:t>
            </w:r>
            <w:r>
              <w:rPr>
                <w:rFonts w:hint="eastAsia"/>
                <w:b w:val="0"/>
                <w:highlight w:val="none"/>
                <w:lang w:eastAsia="zh-CN"/>
              </w:rPr>
              <w:t>。</w:t>
            </w:r>
          </w:p>
        </w:tc>
      </w:tr>
      <w:tr w14:paraId="2C4113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restart"/>
            <w:tcBorders>
              <w:tl2br w:val="nil"/>
              <w:tr2bl w:val="nil"/>
            </w:tcBorders>
            <w:noWrap w:val="0"/>
            <w:vAlign w:val="center"/>
          </w:tcPr>
          <w:p w14:paraId="45AD551D">
            <w:pPr>
              <w:pStyle w:val="161"/>
              <w:spacing w:line="280" w:lineRule="exact"/>
              <w:rPr>
                <w:rFonts w:ascii="Times New Roman"/>
                <w:szCs w:val="21"/>
                <w:highlight w:val="none"/>
              </w:rPr>
            </w:pPr>
            <w:r>
              <w:rPr>
                <w:rFonts w:ascii="Times New Roman"/>
                <w:b w:val="0"/>
                <w:bCs/>
                <w:highlight w:val="none"/>
              </w:rPr>
              <w:t>固体废物</w:t>
            </w:r>
          </w:p>
        </w:tc>
        <w:tc>
          <w:tcPr>
            <w:tcW w:w="987" w:type="dxa"/>
            <w:vMerge w:val="restart"/>
            <w:tcBorders>
              <w:tl2br w:val="nil"/>
              <w:tr2bl w:val="nil"/>
            </w:tcBorders>
            <w:noWrap w:val="0"/>
            <w:vAlign w:val="center"/>
          </w:tcPr>
          <w:p w14:paraId="2FB46D80">
            <w:pPr>
              <w:pStyle w:val="161"/>
              <w:spacing w:line="280" w:lineRule="exact"/>
              <w:rPr>
                <w:rFonts w:hint="eastAsia" w:ascii="Times New Roman"/>
                <w:szCs w:val="21"/>
                <w:highlight w:val="none"/>
                <w:lang w:val="en-US" w:eastAsia="zh-CN"/>
              </w:rPr>
            </w:pPr>
            <w:r>
              <w:rPr>
                <w:rFonts w:ascii="Times New Roman"/>
                <w:b w:val="0"/>
                <w:highlight w:val="none"/>
              </w:rPr>
              <w:t>工程施工</w:t>
            </w:r>
          </w:p>
        </w:tc>
        <w:tc>
          <w:tcPr>
            <w:tcW w:w="960" w:type="dxa"/>
            <w:tcBorders>
              <w:tl2br w:val="nil"/>
              <w:tr2bl w:val="nil"/>
            </w:tcBorders>
            <w:shd w:val="clear" w:color="auto" w:fill="auto"/>
            <w:noWrap w:val="0"/>
            <w:vAlign w:val="center"/>
          </w:tcPr>
          <w:p w14:paraId="5D4C0612">
            <w:pPr>
              <w:snapToGrid w:val="0"/>
              <w:spacing w:line="240" w:lineRule="auto"/>
              <w:jc w:val="center"/>
              <w:rPr>
                <w:rFonts w:ascii="Times New Roman" w:hAnsi="Times New Roman" w:eastAsia="宋体" w:cs="Times New Roman"/>
                <w:snapToGrid w:val="0"/>
                <w:kern w:val="2"/>
                <w:sz w:val="21"/>
                <w:szCs w:val="21"/>
                <w:highlight w:val="none"/>
                <w:lang w:val="en-US" w:eastAsia="zh-CN" w:bidi="ar-SA"/>
              </w:rPr>
            </w:pPr>
            <w:r>
              <w:rPr>
                <w:rFonts w:ascii="Times New Roman" w:eastAsia="宋体"/>
                <w:snapToGrid w:val="0"/>
                <w:sz w:val="21"/>
                <w:szCs w:val="21"/>
                <w:highlight w:val="none"/>
              </w:rPr>
              <w:t>剥离的表土</w:t>
            </w:r>
          </w:p>
        </w:tc>
        <w:tc>
          <w:tcPr>
            <w:tcW w:w="1554" w:type="dxa"/>
            <w:tcBorders>
              <w:tl2br w:val="nil"/>
              <w:tr2bl w:val="nil"/>
            </w:tcBorders>
            <w:shd w:val="clear" w:color="auto" w:fill="auto"/>
            <w:noWrap w:val="0"/>
            <w:vAlign w:val="center"/>
          </w:tcPr>
          <w:p w14:paraId="768513F9">
            <w:pPr>
              <w:topLinePunct/>
              <w:adjustRightInd w:val="0"/>
              <w:spacing w:line="240" w:lineRule="auto"/>
              <w:jc w:val="center"/>
              <w:textAlignment w:val="center"/>
              <w:rPr>
                <w:rFonts w:hint="default" w:ascii="Times New Roman" w:hAnsi="Times New Roman" w:eastAsia="宋体" w:cs="Times New Roman"/>
                <w:kern w:val="2"/>
                <w:sz w:val="21"/>
                <w:szCs w:val="21"/>
                <w:highlight w:val="none"/>
                <w:lang w:val="en-US" w:eastAsia="zh-CN" w:bidi="ar-SA"/>
              </w:rPr>
            </w:pPr>
            <w:r>
              <w:rPr>
                <w:rFonts w:hint="eastAsia" w:ascii="Times New Roman" w:cs="Times New Roman"/>
                <w:kern w:val="2"/>
                <w:sz w:val="21"/>
                <w:szCs w:val="21"/>
                <w:highlight w:val="none"/>
                <w:lang w:val="en-US" w:eastAsia="zh-CN" w:bidi="ar-SA"/>
              </w:rPr>
              <w:t>表土</w:t>
            </w:r>
          </w:p>
        </w:tc>
        <w:tc>
          <w:tcPr>
            <w:tcW w:w="4587" w:type="dxa"/>
            <w:tcBorders>
              <w:tl2br w:val="nil"/>
              <w:tr2bl w:val="nil"/>
            </w:tcBorders>
            <w:shd w:val="clear" w:color="auto" w:fill="auto"/>
            <w:noWrap w:val="0"/>
            <w:vAlign w:val="center"/>
          </w:tcPr>
          <w:p w14:paraId="474BCA92">
            <w:pPr>
              <w:snapToGrid w:val="0"/>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color w:val="auto"/>
                <w:szCs w:val="21"/>
                <w:highlight w:val="none"/>
              </w:rPr>
              <w:t>贮存于本项目排土场</w:t>
            </w:r>
            <w:r>
              <w:rPr>
                <w:rFonts w:hint="default" w:ascii="Times New Roman" w:hAnsi="Times New Roman" w:eastAsia="宋体" w:cs="Times New Roman"/>
                <w:b w:val="0"/>
                <w:bCs/>
                <w:color w:val="auto"/>
                <w:szCs w:val="21"/>
                <w:highlight w:val="none"/>
                <w:lang w:val="en-US" w:eastAsia="zh-CN"/>
              </w:rPr>
              <w:t>占地</w:t>
            </w:r>
            <w:r>
              <w:rPr>
                <w:rFonts w:hint="default" w:ascii="Times New Roman" w:hAnsi="Times New Roman" w:eastAsia="宋体" w:cs="Times New Roman"/>
                <w:b w:val="0"/>
                <w:bCs/>
                <w:color w:val="auto"/>
                <w:szCs w:val="21"/>
                <w:highlight w:val="none"/>
              </w:rPr>
              <w:t>内，</w:t>
            </w:r>
            <w:r>
              <w:rPr>
                <w:rFonts w:hint="default" w:ascii="Times New Roman" w:hAnsi="Times New Roman" w:eastAsia="宋体" w:cs="Times New Roman"/>
                <w:b w:val="0"/>
                <w:bCs/>
                <w:color w:val="auto"/>
                <w:szCs w:val="21"/>
                <w:highlight w:val="none"/>
                <w:lang w:val="en-US" w:eastAsia="zh-CN"/>
              </w:rPr>
              <w:t>单独</w:t>
            </w:r>
            <w:r>
              <w:rPr>
                <w:rFonts w:hint="default" w:ascii="Times New Roman" w:hAnsi="Times New Roman" w:eastAsia="宋体" w:cs="Times New Roman"/>
                <w:b w:val="0"/>
                <w:bCs/>
                <w:color w:val="auto"/>
                <w:szCs w:val="21"/>
                <w:highlight w:val="none"/>
              </w:rPr>
              <w:t>堆存，表层进行遮盖，防止流失</w:t>
            </w:r>
            <w:r>
              <w:rPr>
                <w:rFonts w:hint="default" w:ascii="Times New Roman" w:hAnsi="Times New Roman" w:eastAsia="宋体" w:cs="Times New Roman"/>
                <w:b w:val="0"/>
                <w:bCs/>
                <w:color w:val="auto"/>
                <w:szCs w:val="21"/>
                <w:highlight w:val="none"/>
                <w:lang w:eastAsia="zh-CN"/>
              </w:rPr>
              <w:t>。</w:t>
            </w:r>
          </w:p>
        </w:tc>
      </w:tr>
      <w:tr w14:paraId="7EC46F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continue"/>
            <w:tcBorders>
              <w:tl2br w:val="nil"/>
              <w:tr2bl w:val="nil"/>
            </w:tcBorders>
            <w:noWrap w:val="0"/>
            <w:vAlign w:val="center"/>
          </w:tcPr>
          <w:p w14:paraId="70526C4F">
            <w:pPr>
              <w:pStyle w:val="161"/>
              <w:spacing w:line="280" w:lineRule="exact"/>
              <w:rPr>
                <w:rFonts w:ascii="Times New Roman"/>
                <w:b w:val="0"/>
                <w:bCs/>
                <w:highlight w:val="none"/>
              </w:rPr>
            </w:pPr>
          </w:p>
        </w:tc>
        <w:tc>
          <w:tcPr>
            <w:tcW w:w="987" w:type="dxa"/>
            <w:vMerge w:val="continue"/>
            <w:tcBorders>
              <w:tl2br w:val="nil"/>
              <w:tr2bl w:val="nil"/>
            </w:tcBorders>
            <w:noWrap w:val="0"/>
            <w:vAlign w:val="center"/>
          </w:tcPr>
          <w:p w14:paraId="79FFE8BE">
            <w:pPr>
              <w:pStyle w:val="161"/>
              <w:spacing w:line="280" w:lineRule="exact"/>
              <w:rPr>
                <w:rFonts w:ascii="Times New Roman"/>
                <w:b w:val="0"/>
                <w:highlight w:val="none"/>
              </w:rPr>
            </w:pPr>
          </w:p>
        </w:tc>
        <w:tc>
          <w:tcPr>
            <w:tcW w:w="960" w:type="dxa"/>
            <w:tcBorders>
              <w:tl2br w:val="nil"/>
              <w:tr2bl w:val="nil"/>
            </w:tcBorders>
            <w:shd w:val="clear" w:color="auto" w:fill="auto"/>
            <w:noWrap w:val="0"/>
            <w:vAlign w:val="center"/>
          </w:tcPr>
          <w:p w14:paraId="6BDECDF1">
            <w:pPr>
              <w:pStyle w:val="161"/>
              <w:spacing w:line="280" w:lineRule="exact"/>
              <w:rPr>
                <w:rFonts w:ascii="Times New Roman" w:hAnsi="Times New Roman" w:eastAsia="宋体" w:cs="Times New Roman"/>
                <w:kern w:val="2"/>
                <w:sz w:val="21"/>
                <w:szCs w:val="21"/>
                <w:highlight w:val="none"/>
                <w:lang w:val="en-US" w:eastAsia="zh-CN" w:bidi="ar-SA"/>
              </w:rPr>
            </w:pPr>
            <w:r>
              <w:rPr>
                <w:rFonts w:ascii="Times New Roman" w:eastAsia="宋体"/>
                <w:b w:val="0"/>
                <w:highlight w:val="none"/>
                <w:lang w:val="en-US" w:eastAsia="zh-CN"/>
              </w:rPr>
              <w:t>废弃土石方</w:t>
            </w:r>
          </w:p>
        </w:tc>
        <w:tc>
          <w:tcPr>
            <w:tcW w:w="1554" w:type="dxa"/>
            <w:tcBorders>
              <w:tl2br w:val="nil"/>
              <w:tr2bl w:val="nil"/>
            </w:tcBorders>
            <w:shd w:val="clear" w:color="auto" w:fill="auto"/>
            <w:noWrap w:val="0"/>
            <w:vAlign w:val="center"/>
          </w:tcPr>
          <w:p w14:paraId="36E23758">
            <w:pPr>
              <w:pStyle w:val="161"/>
              <w:spacing w:line="280" w:lineRule="exact"/>
              <w:rPr>
                <w:rFonts w:ascii="Times New Roman" w:hAnsi="Times New Roman" w:eastAsia="宋体" w:cs="Times New Roman"/>
                <w:kern w:val="2"/>
                <w:sz w:val="21"/>
                <w:szCs w:val="21"/>
                <w:highlight w:val="none"/>
                <w:lang w:val="en-US" w:eastAsia="zh-CN" w:bidi="ar"/>
              </w:rPr>
            </w:pPr>
            <w:r>
              <w:rPr>
                <w:rFonts w:ascii="Times New Roman" w:eastAsia="宋体"/>
                <w:b w:val="0"/>
                <w:highlight w:val="none"/>
                <w:lang w:val="en-US" w:eastAsia="zh-CN"/>
              </w:rPr>
              <w:t>废弃土石方</w:t>
            </w:r>
          </w:p>
        </w:tc>
        <w:tc>
          <w:tcPr>
            <w:tcW w:w="4587" w:type="dxa"/>
            <w:tcBorders>
              <w:tl2br w:val="nil"/>
              <w:tr2bl w:val="nil"/>
            </w:tcBorders>
            <w:shd w:val="clear" w:color="auto" w:fill="auto"/>
            <w:noWrap w:val="0"/>
            <w:vAlign w:val="center"/>
          </w:tcPr>
          <w:p w14:paraId="0837D832">
            <w:pPr>
              <w:pStyle w:val="161"/>
              <w:spacing w:line="280" w:lineRule="exact"/>
              <w:rPr>
                <w:rFonts w:hint="eastAsia" w:ascii="Times New Roman" w:hAnsi="Times New Roman" w:eastAsia="宋体" w:cs="Times New Roman"/>
                <w:kern w:val="2"/>
                <w:sz w:val="21"/>
                <w:szCs w:val="21"/>
                <w:highlight w:val="none"/>
                <w:lang w:val="en-US" w:eastAsia="zh-CN" w:bidi="ar-SA"/>
              </w:rPr>
            </w:pPr>
            <w:r>
              <w:rPr>
                <w:rFonts w:ascii="Times New Roman"/>
                <w:b w:val="0"/>
                <w:bCs/>
                <w:szCs w:val="21"/>
                <w:highlight w:val="none"/>
              </w:rPr>
              <w:t>用于场地整理、</w:t>
            </w:r>
            <w:r>
              <w:rPr>
                <w:rFonts w:hint="eastAsia" w:ascii="Times New Roman"/>
                <w:b w:val="0"/>
                <w:bCs/>
                <w:szCs w:val="21"/>
                <w:highlight w:val="none"/>
                <w:lang w:val="en-US" w:eastAsia="zh-CN"/>
              </w:rPr>
              <w:t>挡石坝建设</w:t>
            </w:r>
            <w:r>
              <w:rPr>
                <w:rFonts w:ascii="Times New Roman"/>
                <w:b w:val="0"/>
                <w:bCs/>
                <w:szCs w:val="21"/>
                <w:highlight w:val="none"/>
              </w:rPr>
              <w:t>等</w:t>
            </w:r>
            <w:r>
              <w:rPr>
                <w:rFonts w:hint="eastAsia"/>
                <w:b w:val="0"/>
                <w:bCs/>
                <w:szCs w:val="21"/>
                <w:highlight w:val="none"/>
                <w:lang w:eastAsia="zh-CN"/>
              </w:rPr>
              <w:t>。</w:t>
            </w:r>
          </w:p>
        </w:tc>
      </w:tr>
      <w:tr w14:paraId="1B0C04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dxa"/>
            <w:vMerge w:val="continue"/>
            <w:tcBorders>
              <w:tl2br w:val="nil"/>
              <w:tr2bl w:val="nil"/>
            </w:tcBorders>
            <w:noWrap w:val="0"/>
            <w:vAlign w:val="center"/>
          </w:tcPr>
          <w:p w14:paraId="11E54B8B">
            <w:pPr>
              <w:pStyle w:val="161"/>
              <w:spacing w:line="280" w:lineRule="exact"/>
              <w:rPr>
                <w:rFonts w:ascii="Times New Roman"/>
                <w:szCs w:val="21"/>
                <w:highlight w:val="none"/>
              </w:rPr>
            </w:pPr>
          </w:p>
        </w:tc>
        <w:tc>
          <w:tcPr>
            <w:tcW w:w="987" w:type="dxa"/>
            <w:tcBorders>
              <w:tl2br w:val="nil"/>
              <w:tr2bl w:val="nil"/>
            </w:tcBorders>
            <w:noWrap w:val="0"/>
            <w:vAlign w:val="center"/>
          </w:tcPr>
          <w:p w14:paraId="784E0D81">
            <w:pPr>
              <w:pStyle w:val="161"/>
              <w:spacing w:line="280" w:lineRule="exact"/>
              <w:rPr>
                <w:rFonts w:ascii="Times New Roman"/>
                <w:bCs/>
                <w:szCs w:val="21"/>
                <w:highlight w:val="none"/>
                <w:lang w:val="en-US"/>
              </w:rPr>
            </w:pPr>
            <w:r>
              <w:rPr>
                <w:rFonts w:ascii="Times New Roman"/>
                <w:b w:val="0"/>
                <w:highlight w:val="none"/>
              </w:rPr>
              <w:t>施工人员</w:t>
            </w:r>
          </w:p>
        </w:tc>
        <w:tc>
          <w:tcPr>
            <w:tcW w:w="960" w:type="dxa"/>
            <w:tcBorders>
              <w:tl2br w:val="nil"/>
              <w:tr2bl w:val="nil"/>
            </w:tcBorders>
            <w:noWrap w:val="0"/>
            <w:vAlign w:val="center"/>
          </w:tcPr>
          <w:p w14:paraId="4BB39B75">
            <w:pPr>
              <w:pStyle w:val="161"/>
              <w:spacing w:line="280" w:lineRule="exact"/>
              <w:rPr>
                <w:rFonts w:ascii="Times New Roman"/>
                <w:szCs w:val="21"/>
                <w:highlight w:val="none"/>
              </w:rPr>
            </w:pPr>
            <w:r>
              <w:rPr>
                <w:rFonts w:ascii="Times New Roman"/>
                <w:b w:val="0"/>
                <w:highlight w:val="none"/>
              </w:rPr>
              <w:t>生活垃圾</w:t>
            </w:r>
          </w:p>
        </w:tc>
        <w:tc>
          <w:tcPr>
            <w:tcW w:w="1554" w:type="dxa"/>
            <w:tcBorders>
              <w:tl2br w:val="nil"/>
              <w:tr2bl w:val="nil"/>
            </w:tcBorders>
            <w:noWrap w:val="0"/>
            <w:vAlign w:val="center"/>
          </w:tcPr>
          <w:p w14:paraId="06BFDC57">
            <w:pPr>
              <w:pStyle w:val="161"/>
              <w:spacing w:line="280" w:lineRule="exact"/>
              <w:rPr>
                <w:rFonts w:ascii="Times New Roman"/>
                <w:szCs w:val="21"/>
                <w:highlight w:val="none"/>
                <w:lang w:val="en-US" w:eastAsia="zh-CN" w:bidi="ar"/>
              </w:rPr>
            </w:pPr>
            <w:r>
              <w:rPr>
                <w:rFonts w:ascii="Times New Roman"/>
                <w:b w:val="0"/>
                <w:highlight w:val="none"/>
              </w:rPr>
              <w:t>生活垃圾</w:t>
            </w:r>
          </w:p>
        </w:tc>
        <w:tc>
          <w:tcPr>
            <w:tcW w:w="4587" w:type="dxa"/>
            <w:tcBorders>
              <w:tl2br w:val="nil"/>
              <w:tr2bl w:val="nil"/>
            </w:tcBorders>
            <w:noWrap w:val="0"/>
            <w:vAlign w:val="center"/>
          </w:tcPr>
          <w:p w14:paraId="656E3403">
            <w:pPr>
              <w:pStyle w:val="161"/>
              <w:spacing w:line="280" w:lineRule="exact"/>
              <w:rPr>
                <w:rFonts w:ascii="Times New Roman"/>
                <w:szCs w:val="21"/>
                <w:highlight w:val="none"/>
              </w:rPr>
            </w:pPr>
            <w:r>
              <w:rPr>
                <w:rFonts w:hint="default" w:ascii="Times New Roman" w:hAnsi="Times New Roman" w:cs="Times New Roman"/>
                <w:highlight w:val="none"/>
              </w:rPr>
              <w:t>集中收集，</w:t>
            </w:r>
            <w:r>
              <w:rPr>
                <w:rFonts w:hint="default" w:ascii="Times New Roman" w:hAnsi="Times New Roman" w:cs="Times New Roman"/>
                <w:kern w:val="0"/>
                <w:szCs w:val="21"/>
                <w:highlight w:val="none"/>
                <w:lang w:val="en-US" w:eastAsia="zh-CN"/>
              </w:rPr>
              <w:t>定期</w:t>
            </w:r>
            <w:r>
              <w:rPr>
                <w:rFonts w:hint="eastAsia" w:ascii="Times New Roman" w:hAnsi="Times New Roman" w:cs="Times New Roman"/>
                <w:kern w:val="0"/>
                <w:szCs w:val="21"/>
                <w:highlight w:val="none"/>
                <w:lang w:val="en-US" w:eastAsia="zh-CN"/>
              </w:rPr>
              <w:t>由当地环卫部门清运</w:t>
            </w:r>
            <w:r>
              <w:rPr>
                <w:rFonts w:ascii="Times New Roman" w:eastAsia="宋体"/>
                <w:b w:val="0"/>
                <w:szCs w:val="21"/>
                <w:highlight w:val="none"/>
                <w:lang w:val="en-US" w:eastAsia="zh-CN"/>
              </w:rPr>
              <w:t>。</w:t>
            </w:r>
          </w:p>
        </w:tc>
      </w:tr>
    </w:tbl>
    <w:p w14:paraId="3F06B68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w:t>
      </w:r>
      <w:r>
        <w:rPr>
          <w:rFonts w:hint="eastAsia" w:ascii="Times New Roman" w:hAnsi="Times New Roman" w:cs="Times New Roman"/>
          <w:b/>
          <w:sz w:val="24"/>
          <w:szCs w:val="24"/>
          <w:highlight w:val="none"/>
          <w:lang w:val="en-US" w:eastAsia="zh-CN"/>
        </w:rPr>
        <w:t>.8.2生产运行阶段生产工艺流程</w:t>
      </w:r>
    </w:p>
    <w:p w14:paraId="193413A4">
      <w:pPr>
        <w:autoSpaceDE w:val="0"/>
        <w:autoSpaceDN w:val="0"/>
        <w:adjustRightInd w:val="0"/>
        <w:spacing w:line="360" w:lineRule="auto"/>
        <w:ind w:firstLine="482" w:firstLineChars="200"/>
        <w:rPr>
          <w:rFonts w:hint="default" w:ascii="Times New Roman" w:hAnsi="Times New Roman" w:cs="Times New Roman"/>
          <w:b/>
          <w:bCs/>
          <w:color w:val="000000"/>
          <w:kern w:val="0"/>
          <w:sz w:val="24"/>
          <w:highlight w:val="none"/>
          <w:lang w:val="en-US" w:eastAsia="zh-CN"/>
        </w:rPr>
      </w:pPr>
      <w:r>
        <w:rPr>
          <w:rFonts w:hint="eastAsia" w:cs="Times New Roman"/>
          <w:b/>
          <w:bCs/>
          <w:color w:val="000000"/>
          <w:kern w:val="0"/>
          <w:sz w:val="24"/>
          <w:highlight w:val="none"/>
          <w:lang w:val="en-US" w:eastAsia="zh-CN"/>
        </w:rPr>
        <w:t>（1）排土工艺</w:t>
      </w:r>
    </w:p>
    <w:p w14:paraId="0C313806">
      <w:pPr>
        <w:autoSpaceDE w:val="0"/>
        <w:autoSpaceDN w:val="0"/>
        <w:adjustRightInd w:val="0"/>
        <w:spacing w:line="360" w:lineRule="auto"/>
        <w:ind w:firstLine="480" w:firstLineChars="200"/>
        <w:rPr>
          <w:rFonts w:hint="eastAsia" w:ascii="Times New Roman" w:hAnsi="Times New Roman" w:eastAsia="宋体" w:cs="Times New Roman"/>
          <w:color w:val="000000"/>
          <w:kern w:val="0"/>
          <w:sz w:val="24"/>
          <w:highlight w:val="none"/>
          <w:lang w:eastAsia="zh-CN"/>
        </w:rPr>
      </w:pPr>
      <w:r>
        <w:rPr>
          <w:rFonts w:hint="default" w:ascii="Times New Roman" w:hAnsi="Times New Roman" w:cs="Times New Roman"/>
          <w:color w:val="000000"/>
          <w:kern w:val="0"/>
          <w:sz w:val="24"/>
          <w:highlight w:val="none"/>
        </w:rPr>
        <w:t>在废石排弃前应对挡石坝堆筑区域进行清表，并将尾矿库堆积坝外坡面植被清除。设计排土场顶标高808.0m，排土过程中分690.0m、705.0m、720.0m、735.0m、750.0m、765.0m、780.0m、795.0m、808.0m共计9个平台，先由690.0m平台排放，不实行多台阶同时排放。排土场底部、各平台边坡排放力学性质良好的废石，排土过程中应尽量保证细颗粒堆积至沟内侧，粗颗粒堆积至沟外侧</w:t>
      </w:r>
      <w:r>
        <w:rPr>
          <w:rFonts w:hint="eastAsia" w:cs="Times New Roman"/>
          <w:color w:val="000000"/>
          <w:kern w:val="0"/>
          <w:sz w:val="24"/>
          <w:highlight w:val="none"/>
          <w:lang w:eastAsia="zh-CN"/>
        </w:rPr>
        <w:t>。</w:t>
      </w:r>
    </w:p>
    <w:p w14:paraId="1D306F2F">
      <w:pPr>
        <w:autoSpaceDE w:val="0"/>
        <w:autoSpaceDN w:val="0"/>
        <w:adjustRightInd w:val="0"/>
        <w:spacing w:line="360" w:lineRule="auto"/>
        <w:ind w:firstLine="482" w:firstLineChars="200"/>
        <w:rPr>
          <w:rFonts w:hint="eastAsia" w:ascii="Times New Roman" w:hAnsi="Times New Roman" w:eastAsia="宋体" w:cs="Times New Roman"/>
          <w:b/>
          <w:bCs/>
          <w:color w:val="000000"/>
          <w:kern w:val="0"/>
          <w:sz w:val="24"/>
          <w:highlight w:val="none"/>
          <w:lang w:eastAsia="zh-CN"/>
        </w:rPr>
      </w:pPr>
      <w:r>
        <w:rPr>
          <w:rFonts w:hint="eastAsia" w:cs="Times New Roman"/>
          <w:b/>
          <w:bCs/>
          <w:color w:val="000000"/>
          <w:kern w:val="0"/>
          <w:sz w:val="24"/>
          <w:highlight w:val="none"/>
          <w:lang w:eastAsia="zh-CN"/>
        </w:rPr>
        <w:t>（</w:t>
      </w:r>
      <w:r>
        <w:rPr>
          <w:rFonts w:hint="eastAsia" w:cs="Times New Roman"/>
          <w:b/>
          <w:bCs/>
          <w:color w:val="000000"/>
          <w:kern w:val="0"/>
          <w:sz w:val="24"/>
          <w:highlight w:val="none"/>
          <w:lang w:val="en-US" w:eastAsia="zh-CN"/>
        </w:rPr>
        <w:t>2</w:t>
      </w:r>
      <w:r>
        <w:rPr>
          <w:rFonts w:hint="eastAsia" w:cs="Times New Roman"/>
          <w:b/>
          <w:bCs/>
          <w:color w:val="000000"/>
          <w:kern w:val="0"/>
          <w:sz w:val="24"/>
          <w:highlight w:val="none"/>
          <w:lang w:eastAsia="zh-CN"/>
        </w:rPr>
        <w:t>）最终边坡角</w:t>
      </w:r>
    </w:p>
    <w:p w14:paraId="4C9A2F82">
      <w:pPr>
        <w:autoSpaceDE w:val="0"/>
        <w:autoSpaceDN w:val="0"/>
        <w:adjustRightInd w:val="0"/>
        <w:spacing w:line="360" w:lineRule="auto"/>
        <w:ind w:firstLine="480" w:firstLineChars="200"/>
        <w:rPr>
          <w:rFonts w:hint="default" w:ascii="Times New Roman" w:hAnsi="Times New Roman" w:eastAsia="宋体" w:cs="Times New Roman"/>
          <w:color w:val="000000"/>
          <w:kern w:val="0"/>
          <w:sz w:val="24"/>
          <w:highlight w:val="none"/>
          <w:lang w:val="en-US" w:eastAsia="zh-CN"/>
        </w:rPr>
      </w:pPr>
      <w:r>
        <w:rPr>
          <w:rFonts w:hint="default" w:ascii="Times New Roman" w:hAnsi="Times New Roman" w:cs="Times New Roman"/>
          <w:color w:val="000000"/>
          <w:kern w:val="0"/>
          <w:sz w:val="24"/>
          <w:highlight w:val="none"/>
        </w:rPr>
        <w:t>要求严格按照设计堆存顺序进行排土作业，企业不得私自变更排土顺序。排放时堆场外坡阶段坡比为1：1.5，形成堆积坡角33.7°；最后一阶阶段坡比为1：3.0，形成堆积坡角18.4°。阶段坡比均小于其自然安息角34°，在每隔15.0m高差设置22.5m宽平台，最终形成堆积坡角18.4°。</w:t>
      </w:r>
    </w:p>
    <w:p w14:paraId="566B7E98">
      <w:pPr>
        <w:autoSpaceDE w:val="0"/>
        <w:autoSpaceDN w:val="0"/>
        <w:adjustRightInd w:val="0"/>
        <w:spacing w:line="360" w:lineRule="auto"/>
        <w:ind w:firstLine="482" w:firstLineChars="200"/>
        <w:rPr>
          <w:rFonts w:hint="default" w:ascii="Times New Roman" w:hAnsi="Times New Roman" w:eastAsia="宋体" w:cs="Times New Roman"/>
          <w:b/>
          <w:bCs/>
          <w:color w:val="000000"/>
          <w:kern w:val="0"/>
          <w:sz w:val="24"/>
          <w:highlight w:val="none"/>
          <w:lang w:val="en-US" w:eastAsia="zh-CN"/>
        </w:rPr>
      </w:pPr>
      <w:r>
        <w:rPr>
          <w:rFonts w:hint="eastAsia" w:cs="Times New Roman"/>
          <w:b/>
          <w:bCs/>
          <w:color w:val="000000"/>
          <w:kern w:val="0"/>
          <w:sz w:val="24"/>
          <w:highlight w:val="none"/>
          <w:lang w:eastAsia="zh-CN"/>
        </w:rPr>
        <w:t>（</w:t>
      </w:r>
      <w:r>
        <w:rPr>
          <w:rFonts w:hint="eastAsia" w:cs="Times New Roman"/>
          <w:b/>
          <w:bCs/>
          <w:color w:val="000000"/>
          <w:kern w:val="0"/>
          <w:sz w:val="24"/>
          <w:highlight w:val="none"/>
          <w:lang w:val="en-US" w:eastAsia="zh-CN"/>
        </w:rPr>
        <w:t>3</w:t>
      </w:r>
      <w:r>
        <w:rPr>
          <w:rFonts w:hint="eastAsia" w:cs="Times New Roman"/>
          <w:b/>
          <w:bCs/>
          <w:color w:val="000000"/>
          <w:kern w:val="0"/>
          <w:sz w:val="24"/>
          <w:highlight w:val="none"/>
          <w:lang w:eastAsia="zh-CN"/>
        </w:rPr>
        <w:t>）</w:t>
      </w:r>
      <w:r>
        <w:rPr>
          <w:rFonts w:hint="eastAsia" w:cs="Times New Roman"/>
          <w:b/>
          <w:bCs/>
          <w:color w:val="000000"/>
          <w:kern w:val="0"/>
          <w:sz w:val="24"/>
          <w:highlight w:val="none"/>
          <w:lang w:val="en-US" w:eastAsia="zh-CN"/>
        </w:rPr>
        <w:t>排土作业过程</w:t>
      </w:r>
    </w:p>
    <w:p w14:paraId="116937D6">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default"/>
          <w:sz w:val="24"/>
          <w:szCs w:val="24"/>
          <w:highlight w:val="none"/>
        </w:rPr>
        <w:t>采用汽车-推土机排土方式，自下而上的顺序分层排土作业，排土堆置方式为覆盖式，单台阶排土高度不大于15.0m，下一个台阶排满后再排置上一个台阶，不实行多台阶同时作业，要求每一平台排放要保持平整，排土线采用由沟里侧向沟外侧推进。排土作业中，采用碾压机械及重载车辆对废石进行碾压</w:t>
      </w:r>
      <w:r>
        <w:rPr>
          <w:rFonts w:hint="eastAsia"/>
          <w:sz w:val="24"/>
          <w:szCs w:val="24"/>
          <w:highlight w:val="none"/>
          <w:lang w:eastAsia="zh-CN"/>
        </w:rPr>
        <w:t>。雨天应停止排放作业，雨后及时检查和处理边坡，确保安全后方可再排放作业。</w:t>
      </w:r>
    </w:p>
    <w:p w14:paraId="6B874B46">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具体工艺流程如下：</w:t>
      </w:r>
    </w:p>
    <w:p w14:paraId="7CE63412">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eastAsia" w:cs="Times New Roman"/>
          <w:color w:val="000000"/>
          <w:kern w:val="0"/>
          <w:sz w:val="24"/>
          <w:highlight w:val="none"/>
          <w:lang w:val="en-US" w:eastAsia="zh-CN"/>
        </w:rPr>
        <w:t>①</w:t>
      </w:r>
      <w:r>
        <w:rPr>
          <w:rFonts w:hint="default" w:ascii="Times New Roman" w:hAnsi="Times New Roman" w:cs="Times New Roman"/>
          <w:color w:val="000000"/>
          <w:kern w:val="0"/>
          <w:sz w:val="24"/>
          <w:highlight w:val="none"/>
        </w:rPr>
        <w:t>废石运输</w:t>
      </w:r>
    </w:p>
    <w:p w14:paraId="4691D3A9">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废石由汽车进行转运至排土场作业平台，采用汽车运输时应覆盖篷布，严禁敞开式运输；为防止物料撒落路面引起二次扬尘，车辆严禁超载，运输道路定时洒水抑尘；</w:t>
      </w:r>
    </w:p>
    <w:p w14:paraId="33358B5D">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eastAsia" w:cs="Times New Roman"/>
          <w:color w:val="000000"/>
          <w:kern w:val="0"/>
          <w:sz w:val="24"/>
          <w:highlight w:val="none"/>
          <w:lang w:val="en-US" w:eastAsia="zh-CN"/>
        </w:rPr>
        <w:t>②</w:t>
      </w:r>
      <w:r>
        <w:rPr>
          <w:rFonts w:hint="default" w:ascii="Times New Roman" w:hAnsi="Times New Roman" w:cs="Times New Roman"/>
          <w:color w:val="000000"/>
          <w:kern w:val="0"/>
          <w:sz w:val="24"/>
          <w:highlight w:val="none"/>
        </w:rPr>
        <w:t>倾倒、摊铺、压实</w:t>
      </w:r>
    </w:p>
    <w:p w14:paraId="24F6C12B">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废石运至作业平台后在现场人员的指挥下运送至指定位置有组织倾倒，倾倒后废石用推土机摊平，然后压实。倾倒、摊铺、压实过程中均采取洒水抑尘措施。</w:t>
      </w:r>
    </w:p>
    <w:p w14:paraId="25EEE4DA">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eastAsia" w:cs="Times New Roman"/>
          <w:color w:val="000000"/>
          <w:kern w:val="0"/>
          <w:sz w:val="24"/>
          <w:highlight w:val="none"/>
          <w:lang w:val="en-US" w:eastAsia="zh-CN"/>
        </w:rPr>
        <w:t>③</w:t>
      </w:r>
      <w:r>
        <w:rPr>
          <w:rFonts w:hint="default" w:ascii="Times New Roman" w:hAnsi="Times New Roman" w:cs="Times New Roman"/>
          <w:color w:val="000000"/>
          <w:kern w:val="0"/>
          <w:sz w:val="24"/>
          <w:highlight w:val="none"/>
        </w:rPr>
        <w:t>复垦</w:t>
      </w:r>
    </w:p>
    <w:p w14:paraId="07FB03DC">
      <w:pPr>
        <w:autoSpaceDE w:val="0"/>
        <w:autoSpaceDN w:val="0"/>
        <w:adjustRightInd w:val="0"/>
        <w:spacing w:line="360" w:lineRule="auto"/>
        <w:ind w:firstLine="480" w:firstLineChars="200"/>
        <w:rPr>
          <w:rFonts w:hint="eastAsia" w:ascii="Times New Roman" w:hAnsi="Times New Roman" w:eastAsia="宋体" w:cs="Times New Roman"/>
          <w:color w:val="000000"/>
          <w:kern w:val="0"/>
          <w:sz w:val="24"/>
          <w:highlight w:val="none"/>
          <w:lang w:eastAsia="zh-CN"/>
        </w:rPr>
      </w:pPr>
      <w:r>
        <w:rPr>
          <w:rFonts w:hint="default" w:ascii="Times New Roman" w:hAnsi="Times New Roman" w:cs="Times New Roman"/>
          <w:color w:val="000000"/>
          <w:kern w:val="0"/>
          <w:sz w:val="24"/>
          <w:highlight w:val="none"/>
        </w:rPr>
        <w:t>对排土场最终平台及坡面进行植被绿化。生产期内，对排土已到位的平台宜在生产过程中先进行复垦。对于复垦绿化区域，先覆盖不小于</w:t>
      </w:r>
      <w:r>
        <w:rPr>
          <w:rFonts w:hint="eastAsia" w:cs="Times New Roman"/>
          <w:color w:val="000000"/>
          <w:kern w:val="0"/>
          <w:sz w:val="24"/>
          <w:highlight w:val="none"/>
          <w:lang w:eastAsia="zh-CN"/>
        </w:rPr>
        <w:t>40cm</w:t>
      </w:r>
      <w:r>
        <w:rPr>
          <w:rFonts w:hint="default" w:ascii="Times New Roman" w:hAnsi="Times New Roman" w:cs="Times New Roman"/>
          <w:color w:val="000000"/>
          <w:kern w:val="0"/>
          <w:sz w:val="24"/>
          <w:highlight w:val="none"/>
        </w:rPr>
        <w:t>的山皮土，再进行植草、撒种绿化，绿化宜优先采用当地耐旱植物</w:t>
      </w:r>
      <w:r>
        <w:rPr>
          <w:rFonts w:hint="eastAsia" w:cs="Times New Roman"/>
          <w:color w:val="000000"/>
          <w:kern w:val="0"/>
          <w:sz w:val="24"/>
          <w:highlight w:val="none"/>
          <w:lang w:eastAsia="zh-CN"/>
        </w:rPr>
        <w:t>。</w:t>
      </w:r>
    </w:p>
    <w:p w14:paraId="0D5E98D4">
      <w:pPr>
        <w:autoSpaceDE w:val="0"/>
        <w:autoSpaceDN w:val="0"/>
        <w:adjustRightInd w:val="0"/>
        <w:spacing w:line="360" w:lineRule="auto"/>
        <w:ind w:firstLine="480" w:firstLineChars="200"/>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本项目</w:t>
      </w:r>
      <w:r>
        <w:rPr>
          <w:rFonts w:hint="eastAsia" w:ascii="Times New Roman" w:hAnsi="Times New Roman" w:cs="Times New Roman"/>
          <w:color w:val="000000"/>
          <w:kern w:val="0"/>
          <w:sz w:val="24"/>
          <w:highlight w:val="none"/>
          <w:lang w:val="en-US" w:eastAsia="zh-CN"/>
        </w:rPr>
        <w:t>生产运行阶段</w:t>
      </w:r>
      <w:r>
        <w:rPr>
          <w:rFonts w:hint="default" w:ascii="Times New Roman" w:hAnsi="Times New Roman" w:cs="Times New Roman"/>
          <w:color w:val="000000"/>
          <w:kern w:val="0"/>
          <w:sz w:val="24"/>
          <w:highlight w:val="none"/>
        </w:rPr>
        <w:t>工艺流程及产排污节点见</w:t>
      </w:r>
      <w:r>
        <w:rPr>
          <w:rFonts w:hint="eastAsia" w:ascii="Times New Roman" w:hAnsi="Times New Roman" w:cs="Times New Roman"/>
          <w:color w:val="000000"/>
          <w:kern w:val="0"/>
          <w:sz w:val="24"/>
          <w:highlight w:val="none"/>
          <w:lang w:val="en-US" w:eastAsia="zh-CN"/>
        </w:rPr>
        <w:t>下图、下表</w:t>
      </w:r>
      <w:r>
        <w:rPr>
          <w:rFonts w:hint="default" w:ascii="Times New Roman" w:hAnsi="Times New Roman" w:cs="Times New Roman"/>
          <w:color w:val="000000"/>
          <w:kern w:val="0"/>
          <w:sz w:val="24"/>
          <w:highlight w:val="none"/>
        </w:rPr>
        <w:t>。</w:t>
      </w:r>
    </w:p>
    <w:p w14:paraId="336F1F20">
      <w:pPr>
        <w:autoSpaceDE w:val="0"/>
        <w:autoSpaceDN w:val="0"/>
        <w:adjustRightInd w:val="0"/>
        <w:spacing w:line="360" w:lineRule="auto"/>
        <w:rPr>
          <w:rFonts w:hint="default" w:ascii="Times New Roman" w:hAnsi="Times New Roman" w:cs="Times New Roman"/>
          <w:color w:val="000000"/>
          <w:highlight w:val="none"/>
        </w:rPr>
      </w:pPr>
      <w:r>
        <w:rPr>
          <w:rFonts w:ascii="Times New Roman"/>
          <w:color w:val="auto"/>
          <w:sz w:val="24"/>
          <w:highlight w:val="none"/>
        </w:rPr>
        <mc:AlternateContent>
          <mc:Choice Requires="wpg">
            <w:drawing>
              <wp:inline distT="0" distB="0" distL="114300" distR="114300">
                <wp:extent cx="4688840" cy="1945640"/>
                <wp:effectExtent l="0" t="0" r="5080" b="0"/>
                <wp:docPr id="70" name="组合 70"/>
                <wp:cNvGraphicFramePr/>
                <a:graphic xmlns:a="http://schemas.openxmlformats.org/drawingml/2006/main">
                  <a:graphicData uri="http://schemas.microsoft.com/office/word/2010/wordprocessingGroup">
                    <wpg:wgp>
                      <wpg:cNvGrpSpPr/>
                      <wpg:grpSpPr>
                        <a:xfrm>
                          <a:off x="0" y="0"/>
                          <a:ext cx="4688840" cy="1945927"/>
                          <a:chOff x="1947" y="1230587"/>
                          <a:chExt cx="7384" cy="3218"/>
                        </a:xfrm>
                      </wpg:grpSpPr>
                      <wps:wsp>
                        <wps:cNvPr id="1" name="矩形 1"/>
                        <wps:cNvSpPr/>
                        <wps:spPr>
                          <a:xfrm>
                            <a:off x="4966" y="1231241"/>
                            <a:ext cx="4365" cy="1108"/>
                          </a:xfrm>
                          <a:prstGeom prst="rect">
                            <a:avLst/>
                          </a:prstGeom>
                          <a:noFill/>
                          <a:ln w="9525" cap="flat" cmpd="sng">
                            <a:solidFill>
                              <a:srgbClr val="000000"/>
                            </a:solidFill>
                            <a:prstDash val="dashDot"/>
                            <a:miter/>
                            <a:headEnd type="none" w="med" len="med"/>
                            <a:tailEnd type="none" w="med" len="med"/>
                          </a:ln>
                        </wps:spPr>
                        <wps:txbx>
                          <w:txbxContent>
                            <w:p w14:paraId="42A2F115">
                              <w:pPr>
                                <w:jc w:val="center"/>
                              </w:pPr>
                            </w:p>
                          </w:txbxContent>
                        </wps:txbx>
                        <wps:bodyPr lIns="0" tIns="45720" rIns="0" bIns="45720" upright="1"/>
                      </wps:wsp>
                      <wps:wsp>
                        <wps:cNvPr id="2" name="矩形 2"/>
                        <wps:cNvSpPr/>
                        <wps:spPr>
                          <a:xfrm>
                            <a:off x="1947" y="1231403"/>
                            <a:ext cx="952" cy="447"/>
                          </a:xfrm>
                          <a:prstGeom prst="rect">
                            <a:avLst/>
                          </a:prstGeom>
                          <a:noFill/>
                          <a:ln>
                            <a:noFill/>
                          </a:ln>
                        </wps:spPr>
                        <wps:txbx>
                          <w:txbxContent>
                            <w:p w14:paraId="095AD270">
                              <w:pPr>
                                <w:adjustRightInd w:val="0"/>
                                <w:snapToGrid w:val="0"/>
                                <w:ind w:firstLine="105" w:firstLineChars="50"/>
                                <w:jc w:val="center"/>
                                <w:rPr>
                                  <w:rFonts w:hAnsi="宋体"/>
                                  <w:sz w:val="21"/>
                                  <w:szCs w:val="21"/>
                                </w:rPr>
                              </w:pPr>
                              <w:r>
                                <w:rPr>
                                  <w:rFonts w:hint="eastAsia" w:hAnsi="宋体"/>
                                  <w:sz w:val="21"/>
                                  <w:szCs w:val="21"/>
                                </w:rPr>
                                <w:t>废石</w:t>
                              </w:r>
                            </w:p>
                            <w:p w14:paraId="069FBA21">
                              <w:pPr>
                                <w:adjustRightInd w:val="0"/>
                                <w:snapToGrid w:val="0"/>
                                <w:rPr>
                                  <w:sz w:val="21"/>
                                  <w:szCs w:val="21"/>
                                </w:rPr>
                              </w:pPr>
                            </w:p>
                          </w:txbxContent>
                        </wps:txbx>
                        <wps:bodyPr lIns="0" tIns="45720" rIns="0" bIns="45720" upright="1"/>
                      </wps:wsp>
                      <wps:wsp>
                        <wps:cNvPr id="3" name="直接连接符 3"/>
                        <wps:cNvCnPr/>
                        <wps:spPr>
                          <a:xfrm>
                            <a:off x="2885" y="1231654"/>
                            <a:ext cx="687" cy="0"/>
                          </a:xfrm>
                          <a:prstGeom prst="line">
                            <a:avLst/>
                          </a:prstGeom>
                          <a:ln w="9525" cap="flat" cmpd="sng">
                            <a:solidFill>
                              <a:srgbClr val="000000"/>
                            </a:solidFill>
                            <a:prstDash val="solid"/>
                            <a:headEnd type="none" w="med" len="med"/>
                            <a:tailEnd type="triangle" w="med" len="med"/>
                          </a:ln>
                        </wps:spPr>
                        <wps:bodyPr upright="1"/>
                      </wps:wsp>
                      <wps:wsp>
                        <wps:cNvPr id="4" name="矩形 4"/>
                        <wps:cNvSpPr/>
                        <wps:spPr>
                          <a:xfrm>
                            <a:off x="3572" y="1231433"/>
                            <a:ext cx="99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ED5978D">
                              <w:pPr>
                                <w:jc w:val="center"/>
                                <w:rPr>
                                  <w:rFonts w:hint="eastAsia"/>
                                  <w:sz w:val="21"/>
                                  <w:szCs w:val="21"/>
                                </w:rPr>
                              </w:pPr>
                              <w:r>
                                <w:rPr>
                                  <w:rFonts w:hint="eastAsia" w:hAnsi="宋体"/>
                                  <w:sz w:val="21"/>
                                  <w:szCs w:val="21"/>
                                </w:rPr>
                                <w:t>运输车辆</w:t>
                              </w:r>
                            </w:p>
                          </w:txbxContent>
                        </wps:txbx>
                        <wps:bodyPr lIns="0" tIns="45720" rIns="0" bIns="45720" upright="1"/>
                      </wps:wsp>
                      <wps:wsp>
                        <wps:cNvPr id="5" name="直接连接符 5"/>
                        <wps:cNvCnPr/>
                        <wps:spPr>
                          <a:xfrm>
                            <a:off x="4564" y="1231654"/>
                            <a:ext cx="687" cy="0"/>
                          </a:xfrm>
                          <a:prstGeom prst="line">
                            <a:avLst/>
                          </a:prstGeom>
                          <a:ln w="9525" cap="flat" cmpd="sng">
                            <a:solidFill>
                              <a:srgbClr val="000000"/>
                            </a:solidFill>
                            <a:prstDash val="solid"/>
                            <a:headEnd type="none" w="med" len="med"/>
                            <a:tailEnd type="triangle" w="med" len="med"/>
                          </a:ln>
                        </wps:spPr>
                        <wps:bodyPr upright="1"/>
                      </wps:wsp>
                      <wps:wsp>
                        <wps:cNvPr id="6" name="矩形 6"/>
                        <wps:cNvSpPr/>
                        <wps:spPr>
                          <a:xfrm>
                            <a:off x="5251" y="1231433"/>
                            <a:ext cx="2096"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4695AB3">
                              <w:pPr>
                                <w:jc w:val="center"/>
                                <w:rPr>
                                  <w:sz w:val="21"/>
                                  <w:szCs w:val="21"/>
                                </w:rPr>
                              </w:pPr>
                              <w:r>
                                <w:rPr>
                                  <w:rFonts w:hint="eastAsia" w:ascii="Times New Roman"/>
                                  <w:sz w:val="21"/>
                                  <w:szCs w:val="21"/>
                                </w:rPr>
                                <w:t>倾倒、摊铺、压实</w:t>
                              </w:r>
                            </w:p>
                          </w:txbxContent>
                        </wps:txbx>
                        <wps:bodyPr lIns="0" tIns="45720" rIns="0" bIns="45720" upright="1"/>
                      </wps:wsp>
                      <wps:wsp>
                        <wps:cNvPr id="7" name="直接连接符 7"/>
                        <wps:cNvCnPr/>
                        <wps:spPr>
                          <a:xfrm>
                            <a:off x="7347" y="1231654"/>
                            <a:ext cx="687" cy="0"/>
                          </a:xfrm>
                          <a:prstGeom prst="line">
                            <a:avLst/>
                          </a:prstGeom>
                          <a:ln w="9525" cap="flat" cmpd="sng">
                            <a:solidFill>
                              <a:srgbClr val="000000"/>
                            </a:solidFill>
                            <a:prstDash val="solid"/>
                            <a:headEnd type="none" w="med" len="med"/>
                            <a:tailEnd type="triangle" w="med" len="med"/>
                          </a:ln>
                        </wps:spPr>
                        <wps:bodyPr upright="1"/>
                      </wps:wsp>
                      <wps:wsp>
                        <wps:cNvPr id="8" name="矩形 8"/>
                        <wps:cNvSpPr/>
                        <wps:spPr>
                          <a:xfrm>
                            <a:off x="8034" y="1231433"/>
                            <a:ext cx="1021"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349D66">
                              <w:pPr>
                                <w:jc w:val="center"/>
                                <w:rPr>
                                  <w:rFonts w:hint="eastAsia" w:hAnsi="宋体"/>
                                  <w:sz w:val="21"/>
                                  <w:szCs w:val="21"/>
                                </w:rPr>
                              </w:pPr>
                              <w:r>
                                <w:rPr>
                                  <w:rFonts w:hint="eastAsia" w:hAnsi="宋体"/>
                                  <w:sz w:val="21"/>
                                  <w:szCs w:val="21"/>
                                </w:rPr>
                                <w:t>覆盖</w:t>
                              </w:r>
                            </w:p>
                            <w:p w14:paraId="0F76200F">
                              <w:pPr>
                                <w:rPr>
                                  <w:sz w:val="21"/>
                                  <w:szCs w:val="21"/>
                                </w:rPr>
                              </w:pPr>
                            </w:p>
                          </w:txbxContent>
                        </wps:txbx>
                        <wps:bodyPr lIns="0" tIns="45720" rIns="0" bIns="45720" upright="1"/>
                      </wps:wsp>
                      <wps:wsp>
                        <wps:cNvPr id="9" name="矩形 9"/>
                        <wps:cNvSpPr/>
                        <wps:spPr>
                          <a:xfrm>
                            <a:off x="3606" y="1231068"/>
                            <a:ext cx="954" cy="418"/>
                          </a:xfrm>
                          <a:prstGeom prst="rect">
                            <a:avLst/>
                          </a:prstGeom>
                          <a:noFill/>
                          <a:ln>
                            <a:noFill/>
                          </a:ln>
                        </wps:spPr>
                        <wps:txbx>
                          <w:txbxContent>
                            <w:p w14:paraId="50D2A101">
                              <w:pPr>
                                <w:adjustRightInd w:val="0"/>
                                <w:snapToGrid w:val="0"/>
                                <w:ind w:firstLine="105" w:firstLineChars="50"/>
                                <w:rPr>
                                  <w:rFonts w:ascii="Times New Roman"/>
                                  <w:sz w:val="21"/>
                                  <w:szCs w:val="21"/>
                                </w:rPr>
                              </w:pPr>
                              <w:r>
                                <w:rPr>
                                  <w:rFonts w:ascii="Times New Roman"/>
                                  <w:sz w:val="21"/>
                                  <w:szCs w:val="21"/>
                                </w:rPr>
                                <w:t>G1、N1</w:t>
                              </w:r>
                            </w:p>
                            <w:p w14:paraId="0AC973C2">
                              <w:pPr>
                                <w:adjustRightInd w:val="0"/>
                                <w:snapToGrid w:val="0"/>
                                <w:rPr>
                                  <w:sz w:val="21"/>
                                  <w:szCs w:val="21"/>
                                </w:rPr>
                              </w:pPr>
                            </w:p>
                          </w:txbxContent>
                        </wps:txbx>
                        <wps:bodyPr lIns="0" tIns="45720" rIns="0" bIns="45720" upright="1"/>
                      </wps:wsp>
                      <wps:wsp>
                        <wps:cNvPr id="10" name="矩形 10"/>
                        <wps:cNvSpPr/>
                        <wps:spPr>
                          <a:xfrm>
                            <a:off x="5740" y="1232795"/>
                            <a:ext cx="889"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B79EDCF">
                              <w:pPr>
                                <w:jc w:val="center"/>
                                <w:rPr>
                                  <w:rFonts w:hint="eastAsia"/>
                                  <w:sz w:val="21"/>
                                  <w:szCs w:val="21"/>
                                </w:rPr>
                              </w:pPr>
                              <w:r>
                                <w:rPr>
                                  <w:rFonts w:hint="eastAsia" w:hAnsi="宋体"/>
                                  <w:sz w:val="21"/>
                                  <w:szCs w:val="21"/>
                                </w:rPr>
                                <w:t>封场</w:t>
                              </w:r>
                            </w:p>
                          </w:txbxContent>
                        </wps:txbx>
                        <wps:bodyPr lIns="0" tIns="45720" rIns="0" bIns="45720" upright="1"/>
                      </wps:wsp>
                      <wps:wsp>
                        <wps:cNvPr id="11" name="直接连接符 11"/>
                        <wps:cNvCnPr/>
                        <wps:spPr>
                          <a:xfrm flipH="1" flipV="1">
                            <a:off x="6166" y="1232345"/>
                            <a:ext cx="12" cy="482"/>
                          </a:xfrm>
                          <a:prstGeom prst="line">
                            <a:avLst/>
                          </a:prstGeom>
                          <a:ln w="9525" cap="flat" cmpd="sng">
                            <a:solidFill>
                              <a:srgbClr val="000000"/>
                            </a:solidFill>
                            <a:prstDash val="solid"/>
                            <a:headEnd type="none" w="med" len="med"/>
                            <a:tailEnd type="triangle" w="med" len="med"/>
                          </a:ln>
                        </wps:spPr>
                        <wps:bodyPr upright="1"/>
                      </wps:wsp>
                      <wps:wsp>
                        <wps:cNvPr id="12" name="矩形 12"/>
                        <wps:cNvSpPr/>
                        <wps:spPr>
                          <a:xfrm>
                            <a:off x="7486" y="1233387"/>
                            <a:ext cx="1227" cy="418"/>
                          </a:xfrm>
                          <a:prstGeom prst="rect">
                            <a:avLst/>
                          </a:prstGeom>
                          <a:noFill/>
                          <a:ln>
                            <a:noFill/>
                          </a:ln>
                        </wps:spPr>
                        <wps:txbx>
                          <w:txbxContent>
                            <w:p w14:paraId="6EEED8C2">
                              <w:pPr>
                                <w:adjustRightInd w:val="0"/>
                                <w:snapToGrid w:val="0"/>
                                <w:ind w:firstLine="105" w:firstLineChars="50"/>
                                <w:rPr>
                                  <w:rFonts w:hint="eastAsia" w:hAnsi="宋体"/>
                                  <w:sz w:val="21"/>
                                  <w:szCs w:val="21"/>
                                </w:rPr>
                              </w:pPr>
                              <w:r>
                                <w:rPr>
                                  <w:rFonts w:hint="eastAsia" w:hAnsi="宋体"/>
                                  <w:sz w:val="21"/>
                                  <w:szCs w:val="21"/>
                                </w:rPr>
                                <w:t>直接排放</w:t>
                              </w:r>
                            </w:p>
                            <w:p w14:paraId="77B90C67">
                              <w:pPr>
                                <w:adjustRightInd w:val="0"/>
                                <w:snapToGrid w:val="0"/>
                                <w:rPr>
                                  <w:sz w:val="21"/>
                                  <w:szCs w:val="21"/>
                                </w:rPr>
                              </w:pPr>
                            </w:p>
                          </w:txbxContent>
                        </wps:txbx>
                        <wps:bodyPr lIns="0" tIns="45720" rIns="0" bIns="45720" upright="1"/>
                      </wps:wsp>
                      <wps:wsp>
                        <wps:cNvPr id="13" name="矩形 13"/>
                        <wps:cNvSpPr/>
                        <wps:spPr>
                          <a:xfrm>
                            <a:off x="5573" y="1230771"/>
                            <a:ext cx="1253" cy="418"/>
                          </a:xfrm>
                          <a:prstGeom prst="rect">
                            <a:avLst/>
                          </a:prstGeom>
                          <a:noFill/>
                          <a:ln>
                            <a:noFill/>
                          </a:ln>
                        </wps:spPr>
                        <wps:txbx>
                          <w:txbxContent>
                            <w:p w14:paraId="6E67EA4A">
                              <w:pPr>
                                <w:adjustRightInd w:val="0"/>
                                <w:snapToGrid w:val="0"/>
                                <w:ind w:firstLine="105" w:firstLineChars="50"/>
                                <w:rPr>
                                  <w:rFonts w:ascii="Times New Roman"/>
                                  <w:sz w:val="21"/>
                                  <w:szCs w:val="21"/>
                                </w:rPr>
                              </w:pPr>
                              <w:r>
                                <w:rPr>
                                  <w:rFonts w:ascii="Times New Roman"/>
                                  <w:sz w:val="21"/>
                                  <w:szCs w:val="21"/>
                                </w:rPr>
                                <w:t>G</w:t>
                              </w:r>
                              <w:r>
                                <w:rPr>
                                  <w:rFonts w:hint="eastAsia"/>
                                  <w:sz w:val="21"/>
                                  <w:szCs w:val="21"/>
                                  <w:lang w:val="en-US" w:eastAsia="zh-CN"/>
                                </w:rPr>
                                <w:t>2</w:t>
                              </w:r>
                              <w:r>
                                <w:rPr>
                                  <w:rFonts w:ascii="Times New Roman"/>
                                  <w:sz w:val="21"/>
                                  <w:szCs w:val="21"/>
                                </w:rPr>
                                <w:t>、N</w:t>
                              </w:r>
                              <w:r>
                                <w:rPr>
                                  <w:rFonts w:hint="eastAsia" w:ascii="Times New Roman"/>
                                  <w:sz w:val="21"/>
                                  <w:szCs w:val="21"/>
                                  <w:lang w:val="en-US" w:eastAsia="zh-CN"/>
                                </w:rPr>
                                <w:t>3</w:t>
                              </w:r>
                              <w:r>
                                <w:rPr>
                                  <w:rFonts w:ascii="Times New Roman"/>
                                  <w:sz w:val="21"/>
                                  <w:szCs w:val="21"/>
                                </w:rPr>
                                <w:t>、W1</w:t>
                              </w:r>
                            </w:p>
                            <w:p w14:paraId="69E87AF8">
                              <w:pPr>
                                <w:adjustRightInd w:val="0"/>
                                <w:snapToGrid w:val="0"/>
                                <w:rPr>
                                  <w:sz w:val="21"/>
                                  <w:szCs w:val="21"/>
                                </w:rPr>
                              </w:pPr>
                            </w:p>
                          </w:txbxContent>
                        </wps:txbx>
                        <wps:bodyPr lIns="0" tIns="45720" rIns="0" bIns="45720" upright="1"/>
                      </wps:wsp>
                      <wps:wsp>
                        <wps:cNvPr id="14" name="矩形 14"/>
                        <wps:cNvSpPr/>
                        <wps:spPr>
                          <a:xfrm>
                            <a:off x="6241" y="1232423"/>
                            <a:ext cx="569" cy="418"/>
                          </a:xfrm>
                          <a:prstGeom prst="rect">
                            <a:avLst/>
                          </a:prstGeom>
                          <a:noFill/>
                          <a:ln>
                            <a:noFill/>
                          </a:ln>
                        </wps:spPr>
                        <wps:txbx>
                          <w:txbxContent>
                            <w:p w14:paraId="07A9D3EC">
                              <w:pPr>
                                <w:adjustRightInd w:val="0"/>
                                <w:snapToGrid w:val="0"/>
                                <w:ind w:firstLine="105" w:firstLineChars="50"/>
                                <w:rPr>
                                  <w:rFonts w:hint="eastAsia" w:ascii="Times New Roman" w:eastAsia="宋体"/>
                                  <w:sz w:val="21"/>
                                  <w:szCs w:val="21"/>
                                  <w:lang w:eastAsia="zh-CN"/>
                                </w:rPr>
                              </w:pPr>
                              <w:r>
                                <w:rPr>
                                  <w:rFonts w:hint="eastAsia" w:ascii="Times New Roman"/>
                                  <w:sz w:val="21"/>
                                  <w:szCs w:val="21"/>
                                </w:rPr>
                                <w:t>G</w:t>
                              </w:r>
                              <w:r>
                                <w:rPr>
                                  <w:rFonts w:hint="eastAsia"/>
                                  <w:sz w:val="21"/>
                                  <w:szCs w:val="21"/>
                                  <w:lang w:val="en-US" w:eastAsia="zh-CN"/>
                                </w:rPr>
                                <w:t>3</w:t>
                              </w:r>
                            </w:p>
                            <w:p w14:paraId="0CB12ACC">
                              <w:pPr>
                                <w:adjustRightInd w:val="0"/>
                                <w:snapToGrid w:val="0"/>
                                <w:rPr>
                                  <w:sz w:val="21"/>
                                  <w:szCs w:val="21"/>
                                </w:rPr>
                              </w:pPr>
                            </w:p>
                          </w:txbxContent>
                        </wps:txbx>
                        <wps:bodyPr lIns="0" tIns="45720" rIns="0" bIns="45720" upright="1"/>
                      </wps:wsp>
                      <wps:wsp>
                        <wps:cNvPr id="15" name="矩形 15"/>
                        <wps:cNvSpPr/>
                        <wps:spPr>
                          <a:xfrm>
                            <a:off x="7647" y="1230587"/>
                            <a:ext cx="821" cy="418"/>
                          </a:xfrm>
                          <a:prstGeom prst="rect">
                            <a:avLst/>
                          </a:prstGeom>
                          <a:noFill/>
                          <a:ln>
                            <a:noFill/>
                          </a:ln>
                        </wps:spPr>
                        <wps:txbx>
                          <w:txbxContent>
                            <w:p w14:paraId="6E2800A4">
                              <w:pPr>
                                <w:adjustRightInd w:val="0"/>
                                <w:snapToGrid w:val="0"/>
                                <w:ind w:firstLine="105" w:firstLineChars="50"/>
                                <w:rPr>
                                  <w:rFonts w:ascii="Times New Roman"/>
                                  <w:sz w:val="21"/>
                                  <w:szCs w:val="21"/>
                                </w:rPr>
                              </w:pPr>
                              <w:r>
                                <w:rPr>
                                  <w:rFonts w:hint="eastAsia" w:ascii="Times New Roman"/>
                                  <w:sz w:val="21"/>
                                  <w:szCs w:val="21"/>
                                </w:rPr>
                                <w:t>降雨</w:t>
                              </w:r>
                            </w:p>
                            <w:p w14:paraId="3AE19637">
                              <w:pPr>
                                <w:adjustRightInd w:val="0"/>
                                <w:snapToGrid w:val="0"/>
                                <w:rPr>
                                  <w:sz w:val="21"/>
                                  <w:szCs w:val="21"/>
                                </w:rPr>
                              </w:pPr>
                            </w:p>
                          </w:txbxContent>
                        </wps:txbx>
                        <wps:bodyPr lIns="0" tIns="45720" rIns="0" bIns="45720" upright="1"/>
                      </wps:wsp>
                      <wps:wsp>
                        <wps:cNvPr id="16" name="矩形 16"/>
                        <wps:cNvSpPr/>
                        <wps:spPr>
                          <a:xfrm>
                            <a:off x="6630" y="1231911"/>
                            <a:ext cx="1021" cy="418"/>
                          </a:xfrm>
                          <a:prstGeom prst="rect">
                            <a:avLst/>
                          </a:prstGeom>
                          <a:noFill/>
                          <a:ln>
                            <a:noFill/>
                          </a:ln>
                        </wps:spPr>
                        <wps:txbx>
                          <w:txbxContent>
                            <w:p w14:paraId="412F494A">
                              <w:pPr>
                                <w:adjustRightInd w:val="0"/>
                                <w:snapToGrid w:val="0"/>
                                <w:ind w:firstLine="105" w:firstLineChars="50"/>
                                <w:rPr>
                                  <w:rFonts w:ascii="Times New Roman"/>
                                  <w:sz w:val="21"/>
                                  <w:szCs w:val="21"/>
                                </w:rPr>
                              </w:pPr>
                              <w:r>
                                <w:rPr>
                                  <w:rFonts w:hint="eastAsia" w:ascii="Times New Roman"/>
                                  <w:sz w:val="21"/>
                                  <w:szCs w:val="21"/>
                                </w:rPr>
                                <w:t>排土场</w:t>
                              </w:r>
                            </w:p>
                            <w:p w14:paraId="0EF5470C">
                              <w:pPr>
                                <w:adjustRightInd w:val="0"/>
                                <w:snapToGrid w:val="0"/>
                                <w:rPr>
                                  <w:sz w:val="21"/>
                                  <w:szCs w:val="21"/>
                                </w:rPr>
                              </w:pPr>
                            </w:p>
                          </w:txbxContent>
                        </wps:txbx>
                        <wps:bodyPr lIns="0" tIns="45720" rIns="0" bIns="45720" upright="1"/>
                      </wps:wsp>
                      <wps:wsp>
                        <wps:cNvPr id="17" name="直接连接符 17"/>
                        <wps:cNvCnPr/>
                        <wps:spPr>
                          <a:xfrm>
                            <a:off x="8017" y="1230957"/>
                            <a:ext cx="0" cy="298"/>
                          </a:xfrm>
                          <a:prstGeom prst="line">
                            <a:avLst/>
                          </a:prstGeom>
                          <a:ln w="9525" cap="flat" cmpd="sng">
                            <a:solidFill>
                              <a:srgbClr val="000000"/>
                            </a:solidFill>
                            <a:prstDash val="dash"/>
                            <a:headEnd type="none" w="med" len="med"/>
                            <a:tailEnd type="triangle" w="med" len="med"/>
                          </a:ln>
                        </wps:spPr>
                        <wps:bodyPr upright="1"/>
                      </wps:wsp>
                      <wps:wsp>
                        <wps:cNvPr id="18" name="矩形 18"/>
                        <wps:cNvSpPr/>
                        <wps:spPr>
                          <a:xfrm>
                            <a:off x="7597" y="1232756"/>
                            <a:ext cx="889"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C7F8CB">
                              <w:pPr>
                                <w:jc w:val="center"/>
                                <w:rPr>
                                  <w:rFonts w:hint="eastAsia"/>
                                  <w:sz w:val="21"/>
                                  <w:szCs w:val="21"/>
                                </w:rPr>
                              </w:pPr>
                              <w:r>
                                <w:rPr>
                                  <w:rFonts w:hint="eastAsia" w:hAnsi="宋体"/>
                                  <w:sz w:val="21"/>
                                  <w:szCs w:val="21"/>
                                </w:rPr>
                                <w:t>截洪沟</w:t>
                              </w:r>
                            </w:p>
                          </w:txbxContent>
                        </wps:txbx>
                        <wps:bodyPr lIns="0" tIns="45720" rIns="0" bIns="45720" upright="1"/>
                      </wps:wsp>
                      <wps:wsp>
                        <wps:cNvPr id="19" name="直接连接符 19"/>
                        <wps:cNvCnPr/>
                        <wps:spPr>
                          <a:xfrm>
                            <a:off x="7992" y="1232357"/>
                            <a:ext cx="4" cy="451"/>
                          </a:xfrm>
                          <a:prstGeom prst="line">
                            <a:avLst/>
                          </a:prstGeom>
                          <a:ln w="9525" cap="flat" cmpd="sng">
                            <a:solidFill>
                              <a:srgbClr val="000000"/>
                            </a:solidFill>
                            <a:prstDash val="solid"/>
                            <a:headEnd type="none" w="med" len="med"/>
                            <a:tailEnd type="triangle" w="med" len="med"/>
                          </a:ln>
                        </wps:spPr>
                        <wps:bodyPr upright="1"/>
                      </wps:wsp>
                      <wps:wsp>
                        <wps:cNvPr id="20" name="直接连接符 20"/>
                        <wps:cNvCnPr/>
                        <wps:spPr>
                          <a:xfrm>
                            <a:off x="8032" y="1233204"/>
                            <a:ext cx="0" cy="284"/>
                          </a:xfrm>
                          <a:prstGeom prst="line">
                            <a:avLst/>
                          </a:prstGeom>
                          <a:ln w="9525" cap="flat" cmpd="sng">
                            <a:solidFill>
                              <a:srgbClr val="000000"/>
                            </a:solidFill>
                            <a:prstDash val="solid"/>
                            <a:headEnd type="none" w="med" len="med"/>
                            <a:tailEnd type="triangle" w="med" len="med"/>
                          </a:ln>
                        </wps:spPr>
                        <wps:bodyPr upright="1"/>
                      </wps:wsp>
                      <wps:wsp>
                        <wps:cNvPr id="21" name="矩形 21"/>
                        <wps:cNvSpPr/>
                        <wps:spPr>
                          <a:xfrm>
                            <a:off x="8103" y="1232381"/>
                            <a:ext cx="894" cy="418"/>
                          </a:xfrm>
                          <a:prstGeom prst="rect">
                            <a:avLst/>
                          </a:prstGeom>
                          <a:noFill/>
                          <a:ln>
                            <a:noFill/>
                          </a:ln>
                        </wps:spPr>
                        <wps:txbx>
                          <w:txbxContent>
                            <w:p w14:paraId="4BCC5F11">
                              <w:pPr>
                                <w:adjustRightInd w:val="0"/>
                                <w:snapToGrid w:val="0"/>
                                <w:rPr>
                                  <w:sz w:val="21"/>
                                  <w:szCs w:val="21"/>
                                </w:rPr>
                              </w:pPr>
                              <w:r>
                                <w:rPr>
                                  <w:rFonts w:hint="eastAsia" w:hAnsi="宋体"/>
                                  <w:sz w:val="21"/>
                                  <w:szCs w:val="21"/>
                                </w:rPr>
                                <w:t>雨水</w:t>
                              </w:r>
                            </w:p>
                          </w:txbxContent>
                        </wps:txbx>
                        <wps:bodyPr lIns="0" tIns="45720" rIns="0" bIns="45720" upright="1"/>
                      </wps:wsp>
                    </wpg:wgp>
                  </a:graphicData>
                </a:graphic>
              </wp:inline>
            </w:drawing>
          </mc:Choice>
          <mc:Fallback>
            <w:pict>
              <v:group id="_x0000_s1026" o:spid="_x0000_s1026" o:spt="203" style="height:153.2pt;width:369.2pt;" coordorigin="1947,1230587" coordsize="7384,3218" o:gfxdata="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">
                <o:lock v:ext="edit" aspectratio="f"/>
                <v:rect id="_x0000_s1026" o:spid="_x0000_s1026" o:spt="1" style="position:absolute;left:4966;top:1231241;height:1108;width:4365;" filled="f" stroked="t" coordsize="21600,21600" o:gfxdata="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xsG+8AAAA&#10;2gAAAA8AAAAAAAAAAQAgAAAAIgAAAGRycy9kb3ducmV2LnhtbFBLAQIUABQAAAAIAIdO4kAzLwWe&#10;OwAAADkAAAAQAAAAAAAAAAEAIAAAAAsBAABkcnMvc2hhcGV4bWwueG1sUEsFBgAAAAAGAAYAWwEA&#10;ALUDAAAAAA==&#10;">
                  <v:fill on="f" focussize="0,0"/>
                  <v:stroke color="#000000" joinstyle="miter" dashstyle="dashDot"/>
                  <v:imagedata o:title=""/>
                  <o:lock v:ext="edit" aspectratio="f"/>
                  <v:textbox inset="0mm,1.27mm,0mm,1.27mm">
                    <w:txbxContent>
                      <w:p w14:paraId="42A2F115">
                        <w:pPr>
                          <w:jc w:val="center"/>
                        </w:pPr>
                      </w:p>
                    </w:txbxContent>
                  </v:textbox>
                </v:rect>
                <v:rect id="_x0000_s1026" o:spid="_x0000_s1026" o:spt="1" style="position:absolute;left:1947;top:1231403;height:447;width:952;" filled="f" stroked="f" coordsize="21600,21600" o:gfxdata="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V8j6vQAA&#10;ANoAAAAPAAAAAAAAAAEAIAAAACIAAABkcnMvZG93bnJldi54bWxQSwECFAAUAAAACACHTuJAMy8F&#10;njsAAAA5AAAAEAAAAAAAAAABACAAAAAMAQAAZHJzL3NoYXBleG1sLnhtbFBLBQYAAAAABgAGAFsB&#10;AAC2AwAAAAA=&#10;">
                  <v:fill on="f" focussize="0,0"/>
                  <v:stroke on="f"/>
                  <v:imagedata o:title=""/>
                  <o:lock v:ext="edit" aspectratio="f"/>
                  <v:textbox inset="0mm,1.27mm,0mm,1.27mm">
                    <w:txbxContent>
                      <w:p w14:paraId="095AD270">
                        <w:pPr>
                          <w:adjustRightInd w:val="0"/>
                          <w:snapToGrid w:val="0"/>
                          <w:ind w:firstLine="105" w:firstLineChars="50"/>
                          <w:jc w:val="center"/>
                          <w:rPr>
                            <w:rFonts w:hAnsi="宋体"/>
                            <w:sz w:val="21"/>
                            <w:szCs w:val="21"/>
                          </w:rPr>
                        </w:pPr>
                        <w:r>
                          <w:rPr>
                            <w:rFonts w:hint="eastAsia" w:hAnsi="宋体"/>
                            <w:sz w:val="21"/>
                            <w:szCs w:val="21"/>
                          </w:rPr>
                          <w:t>废石</w:t>
                        </w:r>
                      </w:p>
                      <w:p w14:paraId="069FBA21">
                        <w:pPr>
                          <w:adjustRightInd w:val="0"/>
                          <w:snapToGrid w:val="0"/>
                          <w:rPr>
                            <w:sz w:val="21"/>
                            <w:szCs w:val="21"/>
                          </w:rPr>
                        </w:pPr>
                      </w:p>
                    </w:txbxContent>
                  </v:textbox>
                </v:rect>
                <v:line id="_x0000_s1026" o:spid="_x0000_s1026" o:spt="20" style="position:absolute;left:2885;top:1231654;height:0;width:687;" filled="f" stroked="t" coordsize="21600,21600" o:gfxdata="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tzD8r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_x0000_s1026" o:spid="_x0000_s1026" o:spt="1" style="position:absolute;left:3572;top:1231433;height:468;width:992;" fillcolor="#FFFFFF" filled="t" stroked="t" coordsize="21600,21600" o:gfxdata="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zMbEugAAANo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0mm,1.27mm,0mm,1.27mm">
                    <w:txbxContent>
                      <w:p w14:paraId="1ED5978D">
                        <w:pPr>
                          <w:jc w:val="center"/>
                          <w:rPr>
                            <w:rFonts w:hint="eastAsia"/>
                            <w:sz w:val="21"/>
                            <w:szCs w:val="21"/>
                          </w:rPr>
                        </w:pPr>
                        <w:r>
                          <w:rPr>
                            <w:rFonts w:hint="eastAsia" w:hAnsi="宋体"/>
                            <w:sz w:val="21"/>
                            <w:szCs w:val="21"/>
                          </w:rPr>
                          <w:t>运输车辆</w:t>
                        </w:r>
                      </w:p>
                    </w:txbxContent>
                  </v:textbox>
                </v:rect>
                <v:line id="_x0000_s1026" o:spid="_x0000_s1026" o:spt="20" style="position:absolute;left:4564;top:1231654;height:0;width:687;" filled="f" stroked="t" coordsize="21600,21600" o:gfxdata="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n+Hb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_x0000_s1026" o:spid="_x0000_s1026" o:spt="1" style="position:absolute;left:5251;top:1231433;height:468;width:2096;" fillcolor="#FFFFFF" filled="t" stroked="t" coordsize="21600,21600" o:gfxdata="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lL9KL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1.27mm,0mm,1.27mm">
                    <w:txbxContent>
                      <w:p w14:paraId="04695AB3">
                        <w:pPr>
                          <w:jc w:val="center"/>
                          <w:rPr>
                            <w:sz w:val="21"/>
                            <w:szCs w:val="21"/>
                          </w:rPr>
                        </w:pPr>
                        <w:r>
                          <w:rPr>
                            <w:rFonts w:hint="eastAsia" w:ascii="Times New Roman"/>
                            <w:sz w:val="21"/>
                            <w:szCs w:val="21"/>
                          </w:rPr>
                          <w:t>倾倒、摊铺、压实</w:t>
                        </w:r>
                      </w:p>
                    </w:txbxContent>
                  </v:textbox>
                </v:rect>
                <v:line id="_x0000_s1026" o:spid="_x0000_s1026" o:spt="20" style="position:absolute;left:7347;top:1231654;height:0;width:687;" filled="f" stroked="t" coordsize="21600,21600" o:gfxdata="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fF8b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_x0000_s1026" o:spid="_x0000_s1026" o:spt="1" style="position:absolute;left:8034;top:1231433;height:468;width:1021;" fillcolor="#FFFFFF" filled="t" stroked="t" coordsize="21600,21600" o:gfxdata="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EgczBtwAAANoAAAAP&#10;AAAAAAAAAAEAIAAAACIAAABkcnMvZG93bnJldi54bWxQSwECFAAUAAAACACHTuJAMy8FnjsAAAA5&#10;AAAAEAAAAAAAAAABACAAAAAGAQAAZHJzL3NoYXBleG1sLnhtbFBLBQYAAAAABgAGAFsBAACwAwAA&#10;AAA=&#10;">
                  <v:fill on="t" focussize="0,0"/>
                  <v:stroke color="#000000" joinstyle="miter"/>
                  <v:imagedata o:title=""/>
                  <o:lock v:ext="edit" aspectratio="f"/>
                  <v:textbox inset="0mm,1.27mm,0mm,1.27mm">
                    <w:txbxContent>
                      <w:p w14:paraId="4C349D66">
                        <w:pPr>
                          <w:jc w:val="center"/>
                          <w:rPr>
                            <w:rFonts w:hint="eastAsia" w:hAnsi="宋体"/>
                            <w:sz w:val="21"/>
                            <w:szCs w:val="21"/>
                          </w:rPr>
                        </w:pPr>
                        <w:r>
                          <w:rPr>
                            <w:rFonts w:hint="eastAsia" w:hAnsi="宋体"/>
                            <w:sz w:val="21"/>
                            <w:szCs w:val="21"/>
                          </w:rPr>
                          <w:t>覆盖</w:t>
                        </w:r>
                      </w:p>
                      <w:p w14:paraId="0F76200F">
                        <w:pPr>
                          <w:rPr>
                            <w:sz w:val="21"/>
                            <w:szCs w:val="21"/>
                          </w:rPr>
                        </w:pPr>
                      </w:p>
                    </w:txbxContent>
                  </v:textbox>
                </v:rect>
                <v:rect id="_x0000_s1026" o:spid="_x0000_s1026" o:spt="1" style="position:absolute;left:3606;top:1231068;height:418;width:954;" filled="f" stroked="f" coordsize="21600,21600" o:gfxdata="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81qLvQAA&#10;ANoAAAAPAAAAAAAAAAEAIAAAACIAAABkcnMvZG93bnJldi54bWxQSwECFAAUAAAACACHTuJAMy8F&#10;njsAAAA5AAAAEAAAAAAAAAABACAAAAAMAQAAZHJzL3NoYXBleG1sLnhtbFBLBQYAAAAABgAGAFsB&#10;AAC2AwAAAAA=&#10;">
                  <v:fill on="f" focussize="0,0"/>
                  <v:stroke on="f"/>
                  <v:imagedata o:title=""/>
                  <o:lock v:ext="edit" aspectratio="f"/>
                  <v:textbox inset="0mm,1.27mm,0mm,1.27mm">
                    <w:txbxContent>
                      <w:p w14:paraId="50D2A101">
                        <w:pPr>
                          <w:adjustRightInd w:val="0"/>
                          <w:snapToGrid w:val="0"/>
                          <w:ind w:firstLine="105" w:firstLineChars="50"/>
                          <w:rPr>
                            <w:rFonts w:ascii="Times New Roman"/>
                            <w:sz w:val="21"/>
                            <w:szCs w:val="21"/>
                          </w:rPr>
                        </w:pPr>
                        <w:r>
                          <w:rPr>
                            <w:rFonts w:ascii="Times New Roman"/>
                            <w:sz w:val="21"/>
                            <w:szCs w:val="21"/>
                          </w:rPr>
                          <w:t>G1、N1</w:t>
                        </w:r>
                      </w:p>
                      <w:p w14:paraId="0AC973C2">
                        <w:pPr>
                          <w:adjustRightInd w:val="0"/>
                          <w:snapToGrid w:val="0"/>
                          <w:rPr>
                            <w:sz w:val="21"/>
                            <w:szCs w:val="21"/>
                          </w:rPr>
                        </w:pPr>
                      </w:p>
                    </w:txbxContent>
                  </v:textbox>
                </v:rect>
                <v:rect id="_x0000_s1026" o:spid="_x0000_s1026" o:spt="1" style="position:absolute;left:5740;top:1232795;height:466;width:889;" fillcolor="#FFFFFF" filled="t" stroked="t" coordsize="21600,21600" o:gfxdata="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NYZpm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1.27mm,0mm,1.27mm">
                    <w:txbxContent>
                      <w:p w14:paraId="3B79EDCF">
                        <w:pPr>
                          <w:jc w:val="center"/>
                          <w:rPr>
                            <w:rFonts w:hint="eastAsia"/>
                            <w:sz w:val="21"/>
                            <w:szCs w:val="21"/>
                          </w:rPr>
                        </w:pPr>
                        <w:r>
                          <w:rPr>
                            <w:rFonts w:hint="eastAsia" w:hAnsi="宋体"/>
                            <w:sz w:val="21"/>
                            <w:szCs w:val="21"/>
                          </w:rPr>
                          <w:t>封场</w:t>
                        </w:r>
                      </w:p>
                    </w:txbxContent>
                  </v:textbox>
                </v:rect>
                <v:line id="_x0000_s1026" o:spid="_x0000_s1026" o:spt="20" style="position:absolute;left:6166;top:1232345;flip:x y;height:482;width:12;" filled="f" stroked="t" coordsize="21600,21600" o:gfxdata="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4FA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rect id="_x0000_s1026" o:spid="_x0000_s1026" o:spt="1" style="position:absolute;left:7486;top:1233387;height:418;width:1227;" filled="f" stroked="f" coordsize="21600,21600" o:gfxdata="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yrr3bsAAADb&#10;AAAADwAAAAAAAAABACAAAAAiAAAAZHJzL2Rvd25yZXYueG1sUEsBAhQAFAAAAAgAh07iQDMvBZ47&#10;AAAAOQAAABAAAAAAAAAAAQAgAAAACgEAAGRycy9zaGFwZXhtbC54bWxQSwUGAAAAAAYABgBbAQAA&#10;tAMAAAAA&#10;">
                  <v:fill on="f" focussize="0,0"/>
                  <v:stroke on="f"/>
                  <v:imagedata o:title=""/>
                  <o:lock v:ext="edit" aspectratio="f"/>
                  <v:textbox inset="0mm,1.27mm,0mm,1.27mm">
                    <w:txbxContent>
                      <w:p w14:paraId="6EEED8C2">
                        <w:pPr>
                          <w:adjustRightInd w:val="0"/>
                          <w:snapToGrid w:val="0"/>
                          <w:ind w:firstLine="105" w:firstLineChars="50"/>
                          <w:rPr>
                            <w:rFonts w:hint="eastAsia" w:hAnsi="宋体"/>
                            <w:sz w:val="21"/>
                            <w:szCs w:val="21"/>
                          </w:rPr>
                        </w:pPr>
                        <w:r>
                          <w:rPr>
                            <w:rFonts w:hint="eastAsia" w:hAnsi="宋体"/>
                            <w:sz w:val="21"/>
                            <w:szCs w:val="21"/>
                          </w:rPr>
                          <w:t>直接排放</w:t>
                        </w:r>
                      </w:p>
                      <w:p w14:paraId="77B90C67">
                        <w:pPr>
                          <w:adjustRightInd w:val="0"/>
                          <w:snapToGrid w:val="0"/>
                          <w:rPr>
                            <w:sz w:val="21"/>
                            <w:szCs w:val="21"/>
                          </w:rPr>
                        </w:pPr>
                      </w:p>
                    </w:txbxContent>
                  </v:textbox>
                </v:rect>
                <v:rect id="_x0000_s1026" o:spid="_x0000_s1026" o:spt="1" style="position:absolute;left:5573;top:1230771;height:418;width:1253;" filled="f" stroked="f" coordsize="21600,21600" o:gfxdata="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Zk5GugAAANsA&#10;AAAPAAAAAAAAAAEAIAAAACIAAABkcnMvZG93bnJldi54bWxQSwECFAAUAAAACACHTuJAMy8FnjsA&#10;AAA5AAAAEAAAAAAAAAABACAAAAAJAQAAZHJzL3NoYXBleG1sLnhtbFBLBQYAAAAABgAGAFsBAACz&#10;AwAAAAA=&#10;">
                  <v:fill on="f" focussize="0,0"/>
                  <v:stroke on="f"/>
                  <v:imagedata o:title=""/>
                  <o:lock v:ext="edit" aspectratio="f"/>
                  <v:textbox inset="0mm,1.27mm,0mm,1.27mm">
                    <w:txbxContent>
                      <w:p w14:paraId="6E67EA4A">
                        <w:pPr>
                          <w:adjustRightInd w:val="0"/>
                          <w:snapToGrid w:val="0"/>
                          <w:ind w:firstLine="105" w:firstLineChars="50"/>
                          <w:rPr>
                            <w:rFonts w:ascii="Times New Roman"/>
                            <w:sz w:val="21"/>
                            <w:szCs w:val="21"/>
                          </w:rPr>
                        </w:pPr>
                        <w:r>
                          <w:rPr>
                            <w:rFonts w:ascii="Times New Roman"/>
                            <w:sz w:val="21"/>
                            <w:szCs w:val="21"/>
                          </w:rPr>
                          <w:t>G</w:t>
                        </w:r>
                        <w:r>
                          <w:rPr>
                            <w:rFonts w:hint="eastAsia"/>
                            <w:sz w:val="21"/>
                            <w:szCs w:val="21"/>
                            <w:lang w:val="en-US" w:eastAsia="zh-CN"/>
                          </w:rPr>
                          <w:t>2</w:t>
                        </w:r>
                        <w:r>
                          <w:rPr>
                            <w:rFonts w:ascii="Times New Roman"/>
                            <w:sz w:val="21"/>
                            <w:szCs w:val="21"/>
                          </w:rPr>
                          <w:t>、N</w:t>
                        </w:r>
                        <w:r>
                          <w:rPr>
                            <w:rFonts w:hint="eastAsia" w:ascii="Times New Roman"/>
                            <w:sz w:val="21"/>
                            <w:szCs w:val="21"/>
                            <w:lang w:val="en-US" w:eastAsia="zh-CN"/>
                          </w:rPr>
                          <w:t>3</w:t>
                        </w:r>
                        <w:r>
                          <w:rPr>
                            <w:rFonts w:ascii="Times New Roman"/>
                            <w:sz w:val="21"/>
                            <w:szCs w:val="21"/>
                          </w:rPr>
                          <w:t>、W1</w:t>
                        </w:r>
                      </w:p>
                      <w:p w14:paraId="69E87AF8">
                        <w:pPr>
                          <w:adjustRightInd w:val="0"/>
                          <w:snapToGrid w:val="0"/>
                          <w:rPr>
                            <w:sz w:val="21"/>
                            <w:szCs w:val="21"/>
                          </w:rPr>
                        </w:pPr>
                      </w:p>
                    </w:txbxContent>
                  </v:textbox>
                </v:rect>
                <v:rect id="_x0000_s1026" o:spid="_x0000_s1026" o:spt="1" style="position:absolute;left:6241;top:1232423;height:418;width:569;" filled="f" stroked="f" coordsize="21600,21600" o:gfxdata="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j9YyugAAANsA&#10;AAAPAAAAAAAAAAEAIAAAACIAAABkcnMvZG93bnJldi54bWxQSwECFAAUAAAACACHTuJAMy8FnjsA&#10;AAA5AAAAEAAAAAAAAAABACAAAAAJAQAAZHJzL3NoYXBleG1sLnhtbFBLBQYAAAAABgAGAFsBAACz&#10;AwAAAAA=&#10;">
                  <v:fill on="f" focussize="0,0"/>
                  <v:stroke on="f"/>
                  <v:imagedata o:title=""/>
                  <o:lock v:ext="edit" aspectratio="f"/>
                  <v:textbox inset="0mm,1.27mm,0mm,1.27mm">
                    <w:txbxContent>
                      <w:p w14:paraId="07A9D3EC">
                        <w:pPr>
                          <w:adjustRightInd w:val="0"/>
                          <w:snapToGrid w:val="0"/>
                          <w:ind w:firstLine="105" w:firstLineChars="50"/>
                          <w:rPr>
                            <w:rFonts w:hint="eastAsia" w:ascii="Times New Roman" w:eastAsia="宋体"/>
                            <w:sz w:val="21"/>
                            <w:szCs w:val="21"/>
                            <w:lang w:eastAsia="zh-CN"/>
                          </w:rPr>
                        </w:pPr>
                        <w:r>
                          <w:rPr>
                            <w:rFonts w:hint="eastAsia" w:ascii="Times New Roman"/>
                            <w:sz w:val="21"/>
                            <w:szCs w:val="21"/>
                          </w:rPr>
                          <w:t>G</w:t>
                        </w:r>
                        <w:r>
                          <w:rPr>
                            <w:rFonts w:hint="eastAsia"/>
                            <w:sz w:val="21"/>
                            <w:szCs w:val="21"/>
                            <w:lang w:val="en-US" w:eastAsia="zh-CN"/>
                          </w:rPr>
                          <w:t>3</w:t>
                        </w:r>
                      </w:p>
                      <w:p w14:paraId="0CB12ACC">
                        <w:pPr>
                          <w:adjustRightInd w:val="0"/>
                          <w:snapToGrid w:val="0"/>
                          <w:rPr>
                            <w:sz w:val="21"/>
                            <w:szCs w:val="21"/>
                          </w:rPr>
                        </w:pPr>
                      </w:p>
                    </w:txbxContent>
                  </v:textbox>
                </v:rect>
                <v:rect id="_x0000_s1026" o:spid="_x0000_s1026" o:spt="1" style="position:absolute;left:7647;top:1230587;height:418;width:821;" filled="f" stroked="f" coordsize="21600,21600" o:gfxdata="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w3OpugAAANsA&#10;AAAPAAAAAAAAAAEAIAAAACIAAABkcnMvZG93bnJldi54bWxQSwECFAAUAAAACACHTuJAMy8FnjsA&#10;AAA5AAAAEAAAAAAAAAABACAAAAAJAQAAZHJzL3NoYXBleG1sLnhtbFBLBQYAAAAABgAGAFsBAACz&#10;AwAAAAA=&#10;">
                  <v:fill on="f" focussize="0,0"/>
                  <v:stroke on="f"/>
                  <v:imagedata o:title=""/>
                  <o:lock v:ext="edit" aspectratio="f"/>
                  <v:textbox inset="0mm,1.27mm,0mm,1.27mm">
                    <w:txbxContent>
                      <w:p w14:paraId="6E2800A4">
                        <w:pPr>
                          <w:adjustRightInd w:val="0"/>
                          <w:snapToGrid w:val="0"/>
                          <w:ind w:firstLine="105" w:firstLineChars="50"/>
                          <w:rPr>
                            <w:rFonts w:ascii="Times New Roman"/>
                            <w:sz w:val="21"/>
                            <w:szCs w:val="21"/>
                          </w:rPr>
                        </w:pPr>
                        <w:r>
                          <w:rPr>
                            <w:rFonts w:hint="eastAsia" w:ascii="Times New Roman"/>
                            <w:sz w:val="21"/>
                            <w:szCs w:val="21"/>
                          </w:rPr>
                          <w:t>降雨</w:t>
                        </w:r>
                      </w:p>
                      <w:p w14:paraId="3AE19637">
                        <w:pPr>
                          <w:adjustRightInd w:val="0"/>
                          <w:snapToGrid w:val="0"/>
                          <w:rPr>
                            <w:sz w:val="21"/>
                            <w:szCs w:val="21"/>
                          </w:rPr>
                        </w:pPr>
                      </w:p>
                    </w:txbxContent>
                  </v:textbox>
                </v:rect>
                <v:rect id="_x0000_s1026" o:spid="_x0000_s1026" o:spt="1" style="position:absolute;left:6630;top:1231911;height:418;width:1021;" filled="f" stroked="f" coordsize="21600,21600" o:gfxdata="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Ht3rsAAADb&#10;AAAADwAAAAAAAAABACAAAAAiAAAAZHJzL2Rvd25yZXYueG1sUEsBAhQAFAAAAAgAh07iQDMvBZ47&#10;AAAAOQAAABAAAAAAAAAAAQAgAAAACgEAAGRycy9zaGFwZXhtbC54bWxQSwUGAAAAAAYABgBbAQAA&#10;tAMAAAAA&#10;">
                  <v:fill on="f" focussize="0,0"/>
                  <v:stroke on="f"/>
                  <v:imagedata o:title=""/>
                  <o:lock v:ext="edit" aspectratio="f"/>
                  <v:textbox inset="0mm,1.27mm,0mm,1.27mm">
                    <w:txbxContent>
                      <w:p w14:paraId="412F494A">
                        <w:pPr>
                          <w:adjustRightInd w:val="0"/>
                          <w:snapToGrid w:val="0"/>
                          <w:ind w:firstLine="105" w:firstLineChars="50"/>
                          <w:rPr>
                            <w:rFonts w:ascii="Times New Roman"/>
                            <w:sz w:val="21"/>
                            <w:szCs w:val="21"/>
                          </w:rPr>
                        </w:pPr>
                        <w:r>
                          <w:rPr>
                            <w:rFonts w:hint="eastAsia" w:ascii="Times New Roman"/>
                            <w:sz w:val="21"/>
                            <w:szCs w:val="21"/>
                          </w:rPr>
                          <w:t>排土场</w:t>
                        </w:r>
                      </w:p>
                      <w:p w14:paraId="0EF5470C">
                        <w:pPr>
                          <w:adjustRightInd w:val="0"/>
                          <w:snapToGrid w:val="0"/>
                          <w:rPr>
                            <w:sz w:val="21"/>
                            <w:szCs w:val="21"/>
                          </w:rPr>
                        </w:pPr>
                      </w:p>
                    </w:txbxContent>
                  </v:textbox>
                </v:rect>
                <v:line id="_x0000_s1026" o:spid="_x0000_s1026" o:spt="20" style="position:absolute;left:8017;top:1230957;height:298;width:0;" filled="f" stroked="t" coordsize="21600,21600" o:gfxdata="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V4bBb4A&#10;AADb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line>
                <v:rect id="_x0000_s1026" o:spid="_x0000_s1026" o:spt="1" style="position:absolute;left:7597;top:1232756;height:466;width:889;" fillcolor="#FFFFFF" filled="t" stroked="t" coordsize="21600,21600" o:gfxdata="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0uap+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1.27mm,0mm,1.27mm">
                    <w:txbxContent>
                      <w:p w14:paraId="53C7F8CB">
                        <w:pPr>
                          <w:jc w:val="center"/>
                          <w:rPr>
                            <w:rFonts w:hint="eastAsia"/>
                            <w:sz w:val="21"/>
                            <w:szCs w:val="21"/>
                          </w:rPr>
                        </w:pPr>
                        <w:r>
                          <w:rPr>
                            <w:rFonts w:hint="eastAsia" w:hAnsi="宋体"/>
                            <w:sz w:val="21"/>
                            <w:szCs w:val="21"/>
                          </w:rPr>
                          <w:t>截洪沟</w:t>
                        </w:r>
                      </w:p>
                    </w:txbxContent>
                  </v:textbox>
                </v:rect>
                <v:line id="_x0000_s1026" o:spid="_x0000_s1026" o:spt="20" style="position:absolute;left:7992;top:1232357;height:451;width:4;" filled="f" stroked="t" coordsize="21600,21600" o:gfxdata="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k1U2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8032;top:1233204;height:284;width:0;" filled="f" stroked="t" coordsize="21600,21600" o:gfxdata="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FNha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rect id="_x0000_s1026" o:spid="_x0000_s1026" o:spt="1" style="position:absolute;left:8103;top:1232381;height:418;width:894;" filled="f" stroked="f" coordsize="21600,21600" o:gfxdata="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mUvxe8AAAA&#10;2wAAAA8AAAAAAAAAAQAgAAAAIgAAAGRycy9kb3ducmV2LnhtbFBLAQIUABQAAAAIAIdO4kAzLwWe&#10;OwAAADkAAAAQAAAAAAAAAAEAIAAAAAsBAABkcnMvc2hhcGV4bWwueG1sUEsFBgAAAAAGAAYAWwEA&#10;ALUDAAAAAA==&#10;">
                  <v:fill on="f" focussize="0,0"/>
                  <v:stroke on="f"/>
                  <v:imagedata o:title=""/>
                  <o:lock v:ext="edit" aspectratio="f"/>
                  <v:textbox inset="0mm,1.27mm,0mm,1.27mm">
                    <w:txbxContent>
                      <w:p w14:paraId="4BCC5F11">
                        <w:pPr>
                          <w:adjustRightInd w:val="0"/>
                          <w:snapToGrid w:val="0"/>
                          <w:rPr>
                            <w:sz w:val="21"/>
                            <w:szCs w:val="21"/>
                          </w:rPr>
                        </w:pPr>
                        <w:r>
                          <w:rPr>
                            <w:rFonts w:hint="eastAsia" w:hAnsi="宋体"/>
                            <w:sz w:val="21"/>
                            <w:szCs w:val="21"/>
                          </w:rPr>
                          <w:t>雨水</w:t>
                        </w:r>
                      </w:p>
                    </w:txbxContent>
                  </v:textbox>
                </v:rect>
                <w10:wrap type="none"/>
                <w10:anchorlock/>
              </v:group>
            </w:pict>
          </mc:Fallback>
        </mc:AlternateContent>
      </w:r>
    </w:p>
    <w:p w14:paraId="3E1F6D0A">
      <w:pPr>
        <w:autoSpaceDE w:val="0"/>
        <w:autoSpaceDN w:val="0"/>
        <w:adjustRightInd w:val="0"/>
        <w:spacing w:line="360" w:lineRule="auto"/>
        <w:jc w:val="center"/>
        <w:rPr>
          <w:rFonts w:hint="default" w:ascii="Times New Roman" w:hAnsi="Times New Roman" w:cs="Times New Roman"/>
          <w:b/>
          <w:bCs/>
          <w:color w:val="000000"/>
          <w:highlight w:val="none"/>
        </w:rPr>
      </w:pPr>
      <w:r>
        <w:rPr>
          <w:rFonts w:hint="eastAsia" w:ascii="Times New Roman" w:hAnsi="Times New Roman" w:cs="Times New Roman"/>
          <w:b/>
          <w:bCs/>
          <w:color w:val="000000"/>
          <w:highlight w:val="none"/>
          <w:lang w:val="en-US" w:eastAsia="zh-CN"/>
        </w:rPr>
        <w:t>图例：</w:t>
      </w:r>
      <w:r>
        <w:rPr>
          <w:rFonts w:hint="default" w:ascii="Times New Roman" w:hAnsi="Times New Roman" w:cs="Times New Roman"/>
          <w:b/>
          <w:bCs/>
          <w:color w:val="000000"/>
          <w:highlight w:val="none"/>
        </w:rPr>
        <w:t>G：废气；N：噪声；W：废水</w:t>
      </w:r>
    </w:p>
    <w:p w14:paraId="099BA122">
      <w:pPr>
        <w:keepNext w:val="0"/>
        <w:keepLines w:val="0"/>
        <w:pageBreakBefore w:val="0"/>
        <w:widowControl/>
        <w:numPr>
          <w:ilvl w:val="0"/>
          <w:numId w:val="21"/>
        </w:numPr>
        <w:kinsoku/>
        <w:wordWrap/>
        <w:overflowPunct/>
        <w:topLinePunct w:val="0"/>
        <w:autoSpaceDE/>
        <w:autoSpaceDN/>
        <w:bidi w:val="0"/>
        <w:adjustRightInd/>
        <w:snapToGrid/>
        <w:spacing w:line="360" w:lineRule="auto"/>
        <w:ind w:left="420" w:leftChars="0" w:hanging="420" w:firstLineChars="0"/>
        <w:jc w:val="center"/>
        <w:textAlignment w:val="auto"/>
        <w:rPr>
          <w:rStyle w:val="66"/>
          <w:rFonts w:hint="default" w:ascii="Times New Roman" w:hAnsi="Times New Roman" w:cs="Times New Roman"/>
          <w:color w:val="auto"/>
          <w:highlight w:val="none"/>
        </w:rPr>
      </w:pPr>
      <w:r>
        <w:rPr>
          <w:rStyle w:val="66"/>
          <w:rFonts w:hint="default" w:ascii="Times New Roman" w:hAnsi="Times New Roman" w:cs="Times New Roman"/>
          <w:color w:val="auto"/>
          <w:highlight w:val="none"/>
        </w:rPr>
        <w:t>项目</w:t>
      </w:r>
      <w:r>
        <w:rPr>
          <w:rStyle w:val="66"/>
          <w:rFonts w:hint="eastAsia" w:ascii="Times New Roman" w:hAnsi="Times New Roman" w:cs="Times New Roman"/>
          <w:color w:val="000000"/>
          <w:highlight w:val="none"/>
          <w:lang w:val="en-US" w:eastAsia="zh-CN"/>
        </w:rPr>
        <w:t>生产运行阶段</w:t>
      </w:r>
      <w:r>
        <w:rPr>
          <w:rStyle w:val="66"/>
          <w:rFonts w:hint="default" w:ascii="Times New Roman" w:hAnsi="Times New Roman" w:cs="Times New Roman"/>
          <w:color w:val="auto"/>
          <w:highlight w:val="none"/>
        </w:rPr>
        <w:t>工艺流程及产排污节点图</w:t>
      </w:r>
    </w:p>
    <w:p w14:paraId="0D575615">
      <w:pPr>
        <w:numPr>
          <w:ilvl w:val="0"/>
          <w:numId w:val="20"/>
        </w:numPr>
        <w:adjustRightInd w:val="0"/>
        <w:snapToGrid w:val="0"/>
        <w:jc w:val="center"/>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本项目</w:t>
      </w:r>
      <w:r>
        <w:rPr>
          <w:rStyle w:val="66"/>
          <w:rFonts w:hint="eastAsia" w:ascii="Times New Roman" w:hAnsi="Times New Roman" w:cs="Times New Roman"/>
          <w:color w:val="000000"/>
          <w:highlight w:val="none"/>
          <w:lang w:val="en-US" w:eastAsia="zh-CN"/>
        </w:rPr>
        <w:t>生产运行阶段</w:t>
      </w:r>
      <w:r>
        <w:rPr>
          <w:rStyle w:val="66"/>
          <w:rFonts w:hint="default" w:ascii="Times New Roman" w:hAnsi="Times New Roman" w:cs="Times New Roman"/>
          <w:color w:val="000000"/>
          <w:highlight w:val="none"/>
        </w:rPr>
        <w:t>主要排污节点一览表</w:t>
      </w:r>
    </w:p>
    <w:tbl>
      <w:tblPr>
        <w:tblStyle w:val="58"/>
        <w:tblW w:w="513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572"/>
        <w:gridCol w:w="573"/>
        <w:gridCol w:w="873"/>
        <w:gridCol w:w="872"/>
        <w:gridCol w:w="1054"/>
        <w:gridCol w:w="1118"/>
        <w:gridCol w:w="3481"/>
      </w:tblGrid>
      <w:tr w14:paraId="15C4BA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tcBorders>
              <w:tl2br w:val="nil"/>
              <w:tr2bl w:val="nil"/>
            </w:tcBorders>
            <w:noWrap w:val="0"/>
            <w:vAlign w:val="center"/>
          </w:tcPr>
          <w:p w14:paraId="333F5440">
            <w:pPr>
              <w:pStyle w:val="174"/>
              <w:adjustRightInd w:val="0"/>
              <w:snapToGrid w:val="0"/>
              <w:rPr>
                <w:b/>
                <w:bCs/>
                <w:color w:val="auto"/>
                <w:szCs w:val="21"/>
                <w:highlight w:val="none"/>
              </w:rPr>
            </w:pPr>
            <w:r>
              <w:rPr>
                <w:b/>
                <w:bCs/>
                <w:color w:val="auto"/>
                <w:szCs w:val="21"/>
                <w:highlight w:val="none"/>
              </w:rPr>
              <w:t>类型</w:t>
            </w:r>
          </w:p>
        </w:tc>
        <w:tc>
          <w:tcPr>
            <w:tcW w:w="335" w:type="pct"/>
            <w:tcBorders>
              <w:tl2br w:val="nil"/>
              <w:tr2bl w:val="nil"/>
            </w:tcBorders>
            <w:noWrap w:val="0"/>
            <w:vAlign w:val="center"/>
          </w:tcPr>
          <w:p w14:paraId="3AE96B07">
            <w:pPr>
              <w:pStyle w:val="174"/>
              <w:adjustRightInd w:val="0"/>
              <w:snapToGrid w:val="0"/>
              <w:rPr>
                <w:b/>
                <w:bCs/>
                <w:color w:val="auto"/>
                <w:szCs w:val="21"/>
                <w:highlight w:val="none"/>
              </w:rPr>
            </w:pPr>
            <w:r>
              <w:rPr>
                <w:b/>
                <w:bCs/>
                <w:color w:val="auto"/>
                <w:szCs w:val="21"/>
                <w:highlight w:val="none"/>
              </w:rPr>
              <w:t>序号</w:t>
            </w:r>
          </w:p>
        </w:tc>
        <w:tc>
          <w:tcPr>
            <w:tcW w:w="511" w:type="pct"/>
            <w:tcBorders>
              <w:tl2br w:val="nil"/>
              <w:tr2bl w:val="nil"/>
            </w:tcBorders>
            <w:noWrap w:val="0"/>
            <w:vAlign w:val="center"/>
          </w:tcPr>
          <w:p w14:paraId="5F173757">
            <w:pPr>
              <w:pStyle w:val="174"/>
              <w:adjustRightInd w:val="0"/>
              <w:snapToGrid w:val="0"/>
              <w:rPr>
                <w:rFonts w:hint="eastAsia" w:eastAsia="宋体"/>
                <w:b/>
                <w:bCs/>
                <w:color w:val="auto"/>
                <w:szCs w:val="21"/>
                <w:highlight w:val="none"/>
                <w:lang w:val="en-US" w:eastAsia="zh-CN"/>
              </w:rPr>
            </w:pPr>
            <w:r>
              <w:rPr>
                <w:rFonts w:hint="eastAsia"/>
                <w:b/>
                <w:bCs/>
                <w:color w:val="auto"/>
                <w:szCs w:val="21"/>
                <w:highlight w:val="none"/>
                <w:lang w:val="en-US" w:eastAsia="zh-CN"/>
              </w:rPr>
              <w:t>排放源</w:t>
            </w:r>
          </w:p>
        </w:tc>
        <w:tc>
          <w:tcPr>
            <w:tcW w:w="510" w:type="pct"/>
            <w:tcBorders>
              <w:tl2br w:val="nil"/>
              <w:tr2bl w:val="nil"/>
            </w:tcBorders>
            <w:noWrap w:val="0"/>
            <w:vAlign w:val="center"/>
          </w:tcPr>
          <w:p w14:paraId="2FA42EED">
            <w:pPr>
              <w:pStyle w:val="174"/>
              <w:adjustRightInd w:val="0"/>
              <w:snapToGrid w:val="0"/>
              <w:rPr>
                <w:rFonts w:hint="eastAsia" w:eastAsia="宋体"/>
                <w:b/>
                <w:bCs/>
                <w:color w:val="auto"/>
                <w:szCs w:val="21"/>
                <w:highlight w:val="none"/>
                <w:lang w:val="en-US" w:eastAsia="zh-CN"/>
              </w:rPr>
            </w:pPr>
            <w:r>
              <w:rPr>
                <w:rFonts w:hint="eastAsia"/>
                <w:b/>
                <w:bCs/>
                <w:color w:val="auto"/>
                <w:szCs w:val="21"/>
                <w:highlight w:val="none"/>
                <w:lang w:val="en-US" w:eastAsia="zh-CN"/>
              </w:rPr>
              <w:t>污染物</w:t>
            </w:r>
          </w:p>
        </w:tc>
        <w:tc>
          <w:tcPr>
            <w:tcW w:w="617" w:type="pct"/>
            <w:tcBorders>
              <w:tl2br w:val="nil"/>
              <w:tr2bl w:val="nil"/>
            </w:tcBorders>
            <w:noWrap w:val="0"/>
            <w:vAlign w:val="center"/>
          </w:tcPr>
          <w:p w14:paraId="36F102B3">
            <w:pPr>
              <w:pStyle w:val="174"/>
              <w:adjustRightInd w:val="0"/>
              <w:snapToGrid w:val="0"/>
              <w:rPr>
                <w:rFonts w:hint="default" w:eastAsia="宋体"/>
                <w:b/>
                <w:bCs/>
                <w:color w:val="auto"/>
                <w:szCs w:val="21"/>
                <w:highlight w:val="none"/>
                <w:lang w:val="en-US" w:eastAsia="zh-CN"/>
              </w:rPr>
            </w:pPr>
            <w:r>
              <w:rPr>
                <w:rFonts w:hint="eastAsia"/>
                <w:b/>
                <w:bCs/>
                <w:color w:val="auto"/>
                <w:szCs w:val="21"/>
                <w:highlight w:val="none"/>
                <w:lang w:val="en-US" w:eastAsia="zh-CN"/>
              </w:rPr>
              <w:t>污染因子</w:t>
            </w:r>
          </w:p>
        </w:tc>
        <w:tc>
          <w:tcPr>
            <w:tcW w:w="654" w:type="pct"/>
            <w:tcBorders>
              <w:tl2br w:val="nil"/>
              <w:tr2bl w:val="nil"/>
            </w:tcBorders>
            <w:noWrap w:val="0"/>
            <w:vAlign w:val="center"/>
          </w:tcPr>
          <w:p w14:paraId="776D8CFC">
            <w:pPr>
              <w:pStyle w:val="174"/>
              <w:adjustRightInd w:val="0"/>
              <w:snapToGrid w:val="0"/>
              <w:rPr>
                <w:rFonts w:ascii="Times New Roman" w:hAnsi="Times New Roman" w:eastAsia="宋体" w:cs="Times New Roman"/>
                <w:b/>
                <w:bCs/>
                <w:color w:val="auto"/>
                <w:kern w:val="2"/>
                <w:sz w:val="21"/>
                <w:szCs w:val="21"/>
                <w:highlight w:val="none"/>
                <w:lang w:val="en-US" w:eastAsia="zh-CN" w:bidi="ar-SA"/>
              </w:rPr>
            </w:pPr>
            <w:r>
              <w:rPr>
                <w:rFonts w:hint="eastAsia"/>
                <w:b/>
                <w:bCs/>
                <w:color w:val="auto"/>
                <w:szCs w:val="21"/>
                <w:highlight w:val="none"/>
                <w:lang w:val="en-US" w:eastAsia="zh-CN"/>
              </w:rPr>
              <w:t>产生</w:t>
            </w:r>
            <w:r>
              <w:rPr>
                <w:b/>
                <w:bCs/>
                <w:color w:val="auto"/>
                <w:szCs w:val="21"/>
                <w:highlight w:val="none"/>
              </w:rPr>
              <w:t>特征</w:t>
            </w:r>
          </w:p>
        </w:tc>
        <w:tc>
          <w:tcPr>
            <w:tcW w:w="2037" w:type="pct"/>
            <w:tcBorders>
              <w:tl2br w:val="nil"/>
              <w:tr2bl w:val="nil"/>
            </w:tcBorders>
            <w:noWrap w:val="0"/>
            <w:vAlign w:val="center"/>
          </w:tcPr>
          <w:p w14:paraId="7A82A392">
            <w:pPr>
              <w:pStyle w:val="174"/>
              <w:adjustRightInd w:val="0"/>
              <w:snapToGrid w:val="0"/>
              <w:rPr>
                <w:b/>
                <w:bCs/>
                <w:color w:val="auto"/>
                <w:szCs w:val="21"/>
                <w:highlight w:val="none"/>
              </w:rPr>
            </w:pPr>
            <w:r>
              <w:rPr>
                <w:b/>
                <w:bCs/>
                <w:color w:val="auto"/>
                <w:szCs w:val="21"/>
                <w:highlight w:val="none"/>
              </w:rPr>
              <w:t>治理措施</w:t>
            </w:r>
          </w:p>
        </w:tc>
      </w:tr>
      <w:tr w14:paraId="60C335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vMerge w:val="restart"/>
            <w:tcBorders>
              <w:tl2br w:val="nil"/>
              <w:tr2bl w:val="nil"/>
            </w:tcBorders>
            <w:noWrap w:val="0"/>
            <w:vAlign w:val="center"/>
          </w:tcPr>
          <w:p w14:paraId="1F3F04A7">
            <w:pPr>
              <w:pStyle w:val="174"/>
              <w:adjustRightInd w:val="0"/>
              <w:snapToGrid w:val="0"/>
              <w:rPr>
                <w:color w:val="auto"/>
                <w:szCs w:val="21"/>
                <w:highlight w:val="none"/>
              </w:rPr>
            </w:pPr>
            <w:r>
              <w:rPr>
                <w:color w:val="auto"/>
                <w:szCs w:val="21"/>
                <w:highlight w:val="none"/>
              </w:rPr>
              <w:t>废气</w:t>
            </w:r>
          </w:p>
        </w:tc>
        <w:tc>
          <w:tcPr>
            <w:tcW w:w="335" w:type="pct"/>
            <w:tcBorders>
              <w:tl2br w:val="nil"/>
              <w:tr2bl w:val="nil"/>
            </w:tcBorders>
            <w:noWrap w:val="0"/>
            <w:vAlign w:val="center"/>
          </w:tcPr>
          <w:p w14:paraId="68161DAC">
            <w:pPr>
              <w:pStyle w:val="174"/>
              <w:adjustRightInd w:val="0"/>
              <w:snapToGrid w:val="0"/>
              <w:rPr>
                <w:color w:val="auto"/>
                <w:szCs w:val="21"/>
                <w:highlight w:val="none"/>
              </w:rPr>
            </w:pPr>
            <w:r>
              <w:rPr>
                <w:color w:val="auto"/>
                <w:szCs w:val="21"/>
                <w:highlight w:val="none"/>
              </w:rPr>
              <w:t>G1</w:t>
            </w:r>
          </w:p>
        </w:tc>
        <w:tc>
          <w:tcPr>
            <w:tcW w:w="511" w:type="pct"/>
            <w:tcBorders>
              <w:tl2br w:val="nil"/>
              <w:tr2bl w:val="nil"/>
            </w:tcBorders>
            <w:shd w:val="clear" w:color="auto" w:fill="auto"/>
            <w:noWrap w:val="0"/>
            <w:vAlign w:val="center"/>
          </w:tcPr>
          <w:p w14:paraId="0F7008F3">
            <w:pPr>
              <w:pStyle w:val="174"/>
              <w:adjustRightInd w:val="0"/>
              <w:snapToGrid w:val="0"/>
              <w:rPr>
                <w:rFonts w:ascii="Times New Roman" w:hAnsi="Times New Roman" w:eastAsia="宋体" w:cs="Times New Roman"/>
                <w:color w:val="auto"/>
                <w:kern w:val="2"/>
                <w:sz w:val="21"/>
                <w:szCs w:val="21"/>
                <w:highlight w:val="none"/>
                <w:lang w:val="en-US" w:eastAsia="zh-CN" w:bidi="ar-SA"/>
              </w:rPr>
            </w:pPr>
            <w:r>
              <w:rPr>
                <w:color w:val="auto"/>
                <w:szCs w:val="21"/>
                <w:highlight w:val="none"/>
              </w:rPr>
              <w:t>废石运输</w:t>
            </w:r>
          </w:p>
        </w:tc>
        <w:tc>
          <w:tcPr>
            <w:tcW w:w="510" w:type="pct"/>
            <w:tcBorders>
              <w:tl2br w:val="nil"/>
              <w:tr2bl w:val="nil"/>
            </w:tcBorders>
            <w:shd w:val="clear" w:color="auto" w:fill="auto"/>
            <w:noWrap w:val="0"/>
            <w:vAlign w:val="center"/>
          </w:tcPr>
          <w:p w14:paraId="20E50D29">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运输扬尘</w:t>
            </w:r>
          </w:p>
        </w:tc>
        <w:tc>
          <w:tcPr>
            <w:tcW w:w="617" w:type="pct"/>
            <w:tcBorders>
              <w:tl2br w:val="nil"/>
              <w:tr2bl w:val="nil"/>
            </w:tcBorders>
            <w:shd w:val="clear" w:color="auto" w:fill="auto"/>
            <w:noWrap w:val="0"/>
            <w:vAlign w:val="center"/>
          </w:tcPr>
          <w:p w14:paraId="5A9157A0">
            <w:pPr>
              <w:pStyle w:val="174"/>
              <w:adjustRightInd w:val="0"/>
              <w:snapToGrid w:val="0"/>
              <w:rPr>
                <w:rFonts w:ascii="Times New Roman" w:hAnsi="Times New Roman" w:eastAsia="宋体" w:cs="Times New Roman"/>
                <w:color w:val="auto"/>
                <w:kern w:val="2"/>
                <w:sz w:val="21"/>
                <w:szCs w:val="21"/>
                <w:highlight w:val="none"/>
                <w:lang w:val="en-US" w:eastAsia="zh-CN" w:bidi="ar-SA"/>
              </w:rPr>
            </w:pPr>
            <w:r>
              <w:rPr>
                <w:color w:val="auto"/>
                <w:szCs w:val="21"/>
                <w:highlight w:val="none"/>
              </w:rPr>
              <w:t>颗粒物</w:t>
            </w:r>
          </w:p>
        </w:tc>
        <w:tc>
          <w:tcPr>
            <w:tcW w:w="654" w:type="pct"/>
            <w:tcBorders>
              <w:tl2br w:val="nil"/>
              <w:tr2bl w:val="nil"/>
            </w:tcBorders>
            <w:shd w:val="clear" w:color="auto" w:fill="auto"/>
            <w:noWrap w:val="0"/>
            <w:vAlign w:val="center"/>
          </w:tcPr>
          <w:p w14:paraId="53EE840B">
            <w:pPr>
              <w:pStyle w:val="174"/>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间断</w:t>
            </w:r>
            <w:r>
              <w:rPr>
                <w:color w:val="auto"/>
                <w:szCs w:val="21"/>
                <w:highlight w:val="none"/>
              </w:rPr>
              <w:t>，线源</w:t>
            </w:r>
          </w:p>
        </w:tc>
        <w:tc>
          <w:tcPr>
            <w:tcW w:w="2037" w:type="pct"/>
            <w:tcBorders>
              <w:tl2br w:val="nil"/>
              <w:tr2bl w:val="nil"/>
            </w:tcBorders>
            <w:shd w:val="clear" w:color="auto" w:fill="auto"/>
            <w:noWrap w:val="0"/>
            <w:vAlign w:val="center"/>
          </w:tcPr>
          <w:p w14:paraId="75FD3DA3">
            <w:pPr>
              <w:pStyle w:val="174"/>
              <w:adjustRightInd w:val="0"/>
              <w:snapToGrid w:val="0"/>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运输车辆减速慢行，采用篷布遮盖</w:t>
            </w:r>
            <w:r>
              <w:rPr>
                <w:color w:val="auto"/>
                <w:highlight w:val="none"/>
              </w:rPr>
              <w:t>，进场道路定期洒水降尘</w:t>
            </w:r>
            <w:r>
              <w:rPr>
                <w:rFonts w:hint="eastAsia"/>
                <w:color w:val="auto"/>
                <w:szCs w:val="21"/>
                <w:highlight w:val="none"/>
                <w:lang w:eastAsia="zh-CN"/>
              </w:rPr>
              <w:t>。</w:t>
            </w:r>
          </w:p>
        </w:tc>
      </w:tr>
      <w:tr w14:paraId="387913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vMerge w:val="continue"/>
            <w:tcBorders>
              <w:tl2br w:val="nil"/>
              <w:tr2bl w:val="nil"/>
            </w:tcBorders>
            <w:noWrap w:val="0"/>
            <w:vAlign w:val="center"/>
          </w:tcPr>
          <w:p w14:paraId="2FBACEE5">
            <w:pPr>
              <w:pStyle w:val="174"/>
              <w:adjustRightInd w:val="0"/>
              <w:snapToGrid w:val="0"/>
              <w:rPr>
                <w:color w:val="auto"/>
                <w:szCs w:val="21"/>
                <w:highlight w:val="none"/>
              </w:rPr>
            </w:pPr>
          </w:p>
        </w:tc>
        <w:tc>
          <w:tcPr>
            <w:tcW w:w="335" w:type="pct"/>
            <w:tcBorders>
              <w:tl2br w:val="nil"/>
              <w:tr2bl w:val="nil"/>
            </w:tcBorders>
            <w:shd w:val="clear" w:color="auto" w:fill="auto"/>
            <w:noWrap w:val="0"/>
            <w:vAlign w:val="center"/>
          </w:tcPr>
          <w:p w14:paraId="3F15B6BE">
            <w:pPr>
              <w:pStyle w:val="174"/>
              <w:adjustRightInd w:val="0"/>
              <w:snapToGrid w:val="0"/>
              <w:rPr>
                <w:rFonts w:ascii="Times New Roman" w:hAnsi="Times New Roman" w:eastAsia="宋体" w:cs="Times New Roman"/>
                <w:b w:val="0"/>
                <w:bCs/>
                <w:color w:val="auto"/>
                <w:kern w:val="2"/>
                <w:sz w:val="21"/>
                <w:szCs w:val="24"/>
                <w:highlight w:val="none"/>
                <w:lang w:val="en-US" w:eastAsia="zh-CN" w:bidi="ar-SA"/>
              </w:rPr>
            </w:pPr>
            <w:r>
              <w:rPr>
                <w:color w:val="auto"/>
                <w:szCs w:val="21"/>
                <w:highlight w:val="none"/>
              </w:rPr>
              <w:t>G2</w:t>
            </w:r>
          </w:p>
        </w:tc>
        <w:tc>
          <w:tcPr>
            <w:tcW w:w="511" w:type="pct"/>
            <w:tcBorders>
              <w:tl2br w:val="nil"/>
              <w:tr2bl w:val="nil"/>
            </w:tcBorders>
            <w:noWrap w:val="0"/>
            <w:vAlign w:val="center"/>
          </w:tcPr>
          <w:p w14:paraId="4B6A8941">
            <w:pPr>
              <w:pStyle w:val="174"/>
              <w:adjustRightInd w:val="0"/>
              <w:snapToGrid w:val="0"/>
              <w:rPr>
                <w:color w:val="auto"/>
                <w:szCs w:val="21"/>
                <w:highlight w:val="none"/>
              </w:rPr>
            </w:pPr>
            <w:r>
              <w:rPr>
                <w:color w:val="auto"/>
                <w:szCs w:val="21"/>
                <w:highlight w:val="none"/>
              </w:rPr>
              <w:t>排土作业</w:t>
            </w:r>
          </w:p>
        </w:tc>
        <w:tc>
          <w:tcPr>
            <w:tcW w:w="510" w:type="pct"/>
            <w:tcBorders>
              <w:tl2br w:val="nil"/>
              <w:tr2bl w:val="nil"/>
            </w:tcBorders>
            <w:noWrap w:val="0"/>
            <w:vAlign w:val="center"/>
          </w:tcPr>
          <w:p w14:paraId="3ECEF653">
            <w:pPr>
              <w:pStyle w:val="174"/>
              <w:adjustRightInd w:val="0"/>
              <w:snapToGrid w:val="0"/>
              <w:rPr>
                <w:color w:val="auto"/>
                <w:szCs w:val="21"/>
                <w:highlight w:val="none"/>
              </w:rPr>
            </w:pPr>
            <w:r>
              <w:rPr>
                <w:rFonts w:hint="eastAsia"/>
                <w:color w:val="auto"/>
                <w:szCs w:val="21"/>
                <w:highlight w:val="none"/>
              </w:rPr>
              <w:t>堆存扬尘</w:t>
            </w:r>
          </w:p>
        </w:tc>
        <w:tc>
          <w:tcPr>
            <w:tcW w:w="617" w:type="pct"/>
            <w:tcBorders>
              <w:tl2br w:val="nil"/>
              <w:tr2bl w:val="nil"/>
            </w:tcBorders>
            <w:noWrap w:val="0"/>
            <w:vAlign w:val="center"/>
          </w:tcPr>
          <w:p w14:paraId="1F5EB8A4">
            <w:pPr>
              <w:pStyle w:val="174"/>
              <w:adjustRightInd w:val="0"/>
              <w:snapToGrid w:val="0"/>
              <w:rPr>
                <w:color w:val="auto"/>
                <w:szCs w:val="21"/>
                <w:highlight w:val="none"/>
              </w:rPr>
            </w:pPr>
            <w:r>
              <w:rPr>
                <w:color w:val="auto"/>
                <w:szCs w:val="21"/>
                <w:highlight w:val="none"/>
              </w:rPr>
              <w:t>颗粒物</w:t>
            </w:r>
          </w:p>
        </w:tc>
        <w:tc>
          <w:tcPr>
            <w:tcW w:w="654" w:type="pct"/>
            <w:tcBorders>
              <w:tl2br w:val="nil"/>
              <w:tr2bl w:val="nil"/>
            </w:tcBorders>
            <w:noWrap w:val="0"/>
            <w:vAlign w:val="center"/>
          </w:tcPr>
          <w:p w14:paraId="364E79C8">
            <w:pPr>
              <w:pStyle w:val="174"/>
              <w:adjustRightInd w:val="0"/>
              <w:snapToGrid w:val="0"/>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间断</w:t>
            </w:r>
            <w:r>
              <w:rPr>
                <w:color w:val="auto"/>
                <w:szCs w:val="21"/>
                <w:highlight w:val="none"/>
              </w:rPr>
              <w:t>、面源</w:t>
            </w:r>
          </w:p>
        </w:tc>
        <w:tc>
          <w:tcPr>
            <w:tcW w:w="2037" w:type="pct"/>
            <w:tcBorders>
              <w:tl2br w:val="nil"/>
              <w:tr2bl w:val="nil"/>
            </w:tcBorders>
            <w:noWrap w:val="0"/>
            <w:vAlign w:val="center"/>
          </w:tcPr>
          <w:p w14:paraId="0B67337B">
            <w:pPr>
              <w:pStyle w:val="174"/>
              <w:adjustRightInd w:val="0"/>
              <w:snapToGrid w:val="0"/>
              <w:rPr>
                <w:rFonts w:hint="eastAsia" w:eastAsia="宋体"/>
                <w:color w:val="auto"/>
                <w:szCs w:val="21"/>
                <w:highlight w:val="none"/>
                <w:lang w:eastAsia="zh-CN"/>
              </w:rPr>
            </w:pPr>
            <w:r>
              <w:rPr>
                <w:color w:val="auto"/>
                <w:szCs w:val="21"/>
                <w:highlight w:val="none"/>
              </w:rPr>
              <w:t>在堆置废石过程中，对台阶尚未形成最终堆积面的区域及时进行压实、苫盖；倾卸土石时洒水抑尘</w:t>
            </w:r>
            <w:r>
              <w:rPr>
                <w:rFonts w:hint="eastAsia"/>
                <w:color w:val="auto"/>
                <w:szCs w:val="21"/>
                <w:highlight w:val="none"/>
                <w:lang w:eastAsia="zh-CN"/>
              </w:rPr>
              <w:t>。</w:t>
            </w:r>
          </w:p>
        </w:tc>
      </w:tr>
      <w:tr w14:paraId="184374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vMerge w:val="continue"/>
            <w:tcBorders>
              <w:tl2br w:val="nil"/>
              <w:tr2bl w:val="nil"/>
            </w:tcBorders>
            <w:noWrap w:val="0"/>
            <w:vAlign w:val="center"/>
          </w:tcPr>
          <w:p w14:paraId="61E9E0B1">
            <w:pPr>
              <w:pStyle w:val="174"/>
              <w:adjustRightInd w:val="0"/>
              <w:snapToGrid w:val="0"/>
              <w:rPr>
                <w:color w:val="auto"/>
                <w:szCs w:val="21"/>
                <w:highlight w:val="none"/>
              </w:rPr>
            </w:pPr>
          </w:p>
        </w:tc>
        <w:tc>
          <w:tcPr>
            <w:tcW w:w="335" w:type="pct"/>
            <w:tcBorders>
              <w:tl2br w:val="nil"/>
              <w:tr2bl w:val="nil"/>
            </w:tcBorders>
            <w:noWrap w:val="0"/>
            <w:vAlign w:val="center"/>
          </w:tcPr>
          <w:p w14:paraId="6D1AB1FB">
            <w:pPr>
              <w:pStyle w:val="161"/>
              <w:spacing w:line="260" w:lineRule="exact"/>
              <w:rPr>
                <w:rFonts w:ascii="Times New Roman"/>
                <w:b w:val="0"/>
                <w:bCs/>
                <w:color w:val="auto"/>
                <w:szCs w:val="24"/>
                <w:highlight w:val="none"/>
                <w:lang w:val="en-US" w:eastAsia="zh-CN"/>
              </w:rPr>
            </w:pPr>
            <w:r>
              <w:rPr>
                <w:rFonts w:ascii="Times New Roman"/>
                <w:b w:val="0"/>
                <w:bCs/>
                <w:color w:val="auto"/>
                <w:highlight w:val="none"/>
                <w:lang w:val="en-US" w:eastAsia="zh-CN"/>
              </w:rPr>
              <w:t>G3</w:t>
            </w:r>
          </w:p>
        </w:tc>
        <w:tc>
          <w:tcPr>
            <w:tcW w:w="511" w:type="pct"/>
            <w:tcBorders>
              <w:tl2br w:val="nil"/>
              <w:tr2bl w:val="nil"/>
            </w:tcBorders>
            <w:noWrap w:val="0"/>
            <w:vAlign w:val="center"/>
          </w:tcPr>
          <w:p w14:paraId="676FEE64">
            <w:pPr>
              <w:pStyle w:val="161"/>
              <w:spacing w:line="260" w:lineRule="exact"/>
              <w:rPr>
                <w:rFonts w:ascii="Times New Roman"/>
                <w:b w:val="0"/>
                <w:bCs/>
                <w:color w:val="auto"/>
                <w:szCs w:val="24"/>
                <w:highlight w:val="none"/>
                <w:lang w:val="en-US" w:eastAsia="zh-CN"/>
              </w:rPr>
            </w:pPr>
            <w:r>
              <w:rPr>
                <w:rFonts w:ascii="Times New Roman"/>
                <w:b w:val="0"/>
                <w:bCs/>
                <w:color w:val="auto"/>
                <w:highlight w:val="none"/>
                <w:lang w:val="en-US" w:eastAsia="zh-CN"/>
              </w:rPr>
              <w:t>封场覆土</w:t>
            </w:r>
          </w:p>
        </w:tc>
        <w:tc>
          <w:tcPr>
            <w:tcW w:w="510" w:type="pct"/>
            <w:tcBorders>
              <w:tl2br w:val="nil"/>
              <w:tr2bl w:val="nil"/>
            </w:tcBorders>
            <w:noWrap w:val="0"/>
            <w:vAlign w:val="center"/>
          </w:tcPr>
          <w:p w14:paraId="40F0B62D">
            <w:pPr>
              <w:pStyle w:val="174"/>
              <w:adjustRightInd w:val="0"/>
              <w:snapToGrid w:val="0"/>
              <w:rPr>
                <w:color w:val="auto"/>
                <w:szCs w:val="21"/>
                <w:highlight w:val="none"/>
              </w:rPr>
            </w:pPr>
            <w:r>
              <w:rPr>
                <w:rFonts w:hint="eastAsia"/>
                <w:color w:val="auto"/>
                <w:szCs w:val="21"/>
                <w:highlight w:val="none"/>
              </w:rPr>
              <w:t>封场覆土扬尘</w:t>
            </w:r>
          </w:p>
        </w:tc>
        <w:tc>
          <w:tcPr>
            <w:tcW w:w="617" w:type="pct"/>
            <w:tcBorders>
              <w:tl2br w:val="nil"/>
              <w:tr2bl w:val="nil"/>
            </w:tcBorders>
            <w:noWrap w:val="0"/>
            <w:vAlign w:val="center"/>
          </w:tcPr>
          <w:p w14:paraId="56446371">
            <w:pPr>
              <w:pStyle w:val="174"/>
              <w:adjustRightInd w:val="0"/>
              <w:snapToGrid w:val="0"/>
              <w:rPr>
                <w:color w:val="auto"/>
                <w:szCs w:val="21"/>
                <w:highlight w:val="none"/>
              </w:rPr>
            </w:pPr>
            <w:r>
              <w:rPr>
                <w:color w:val="auto"/>
                <w:szCs w:val="21"/>
                <w:highlight w:val="none"/>
              </w:rPr>
              <w:t>颗粒物</w:t>
            </w:r>
          </w:p>
        </w:tc>
        <w:tc>
          <w:tcPr>
            <w:tcW w:w="654" w:type="pct"/>
            <w:tcBorders>
              <w:tl2br w:val="nil"/>
              <w:tr2bl w:val="nil"/>
            </w:tcBorders>
            <w:noWrap w:val="0"/>
            <w:vAlign w:val="center"/>
          </w:tcPr>
          <w:p w14:paraId="729A567D">
            <w:pPr>
              <w:pStyle w:val="174"/>
              <w:adjustRightInd w:val="0"/>
              <w:snapToGrid w:val="0"/>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间断</w:t>
            </w:r>
          </w:p>
        </w:tc>
        <w:tc>
          <w:tcPr>
            <w:tcW w:w="2037" w:type="pct"/>
            <w:tcBorders>
              <w:tl2br w:val="nil"/>
              <w:tr2bl w:val="nil"/>
            </w:tcBorders>
            <w:noWrap w:val="0"/>
            <w:vAlign w:val="center"/>
          </w:tcPr>
          <w:p w14:paraId="0AFD5B47">
            <w:pPr>
              <w:pStyle w:val="174"/>
              <w:adjustRightInd w:val="0"/>
              <w:snapToGrid w:val="0"/>
              <w:rPr>
                <w:rFonts w:hint="eastAsia" w:eastAsia="宋体"/>
                <w:color w:val="auto"/>
                <w:szCs w:val="21"/>
                <w:highlight w:val="none"/>
                <w:lang w:eastAsia="zh-CN"/>
              </w:rPr>
            </w:pPr>
            <w:r>
              <w:rPr>
                <w:color w:val="auto"/>
                <w:highlight w:val="none"/>
              </w:rPr>
              <w:t>配备洒水车辆降尘</w:t>
            </w:r>
            <w:r>
              <w:rPr>
                <w:rFonts w:hint="eastAsia"/>
                <w:color w:val="auto"/>
                <w:highlight w:val="none"/>
                <w:lang w:eastAsia="zh-CN"/>
              </w:rPr>
              <w:t>。</w:t>
            </w:r>
          </w:p>
        </w:tc>
      </w:tr>
      <w:tr w14:paraId="30CF045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tcBorders>
              <w:tl2br w:val="nil"/>
              <w:tr2bl w:val="nil"/>
            </w:tcBorders>
            <w:noWrap w:val="0"/>
            <w:vAlign w:val="center"/>
          </w:tcPr>
          <w:p w14:paraId="1194723A">
            <w:pPr>
              <w:pStyle w:val="174"/>
              <w:adjustRightInd w:val="0"/>
              <w:snapToGrid w:val="0"/>
              <w:rPr>
                <w:color w:val="auto"/>
                <w:szCs w:val="21"/>
                <w:highlight w:val="none"/>
              </w:rPr>
            </w:pPr>
            <w:r>
              <w:rPr>
                <w:color w:val="auto"/>
                <w:szCs w:val="21"/>
                <w:highlight w:val="none"/>
              </w:rPr>
              <w:t>废水</w:t>
            </w:r>
          </w:p>
        </w:tc>
        <w:tc>
          <w:tcPr>
            <w:tcW w:w="335" w:type="pct"/>
            <w:tcBorders>
              <w:tl2br w:val="nil"/>
              <w:tr2bl w:val="nil"/>
            </w:tcBorders>
            <w:noWrap w:val="0"/>
            <w:vAlign w:val="center"/>
          </w:tcPr>
          <w:p w14:paraId="30ACDD66">
            <w:pPr>
              <w:pStyle w:val="174"/>
              <w:adjustRightInd w:val="0"/>
              <w:snapToGrid w:val="0"/>
              <w:rPr>
                <w:color w:val="auto"/>
                <w:szCs w:val="21"/>
                <w:highlight w:val="none"/>
              </w:rPr>
            </w:pPr>
            <w:r>
              <w:rPr>
                <w:color w:val="auto"/>
                <w:szCs w:val="21"/>
                <w:highlight w:val="none"/>
              </w:rPr>
              <w:t>W1</w:t>
            </w:r>
          </w:p>
        </w:tc>
        <w:tc>
          <w:tcPr>
            <w:tcW w:w="511" w:type="pct"/>
            <w:tcBorders>
              <w:tl2br w:val="nil"/>
              <w:tr2bl w:val="nil"/>
            </w:tcBorders>
            <w:noWrap w:val="0"/>
            <w:vAlign w:val="center"/>
          </w:tcPr>
          <w:p w14:paraId="0692CDB5">
            <w:pPr>
              <w:pStyle w:val="174"/>
              <w:adjustRightInd w:val="0"/>
              <w:snapToGrid w:val="0"/>
              <w:rPr>
                <w:color w:val="auto"/>
                <w:szCs w:val="21"/>
                <w:highlight w:val="none"/>
              </w:rPr>
            </w:pPr>
            <w:r>
              <w:rPr>
                <w:color w:val="auto"/>
                <w:szCs w:val="21"/>
                <w:highlight w:val="none"/>
              </w:rPr>
              <w:t>排土场</w:t>
            </w:r>
          </w:p>
        </w:tc>
        <w:tc>
          <w:tcPr>
            <w:tcW w:w="510" w:type="pct"/>
            <w:tcBorders>
              <w:tl2br w:val="nil"/>
              <w:tr2bl w:val="nil"/>
            </w:tcBorders>
            <w:noWrap w:val="0"/>
            <w:vAlign w:val="center"/>
          </w:tcPr>
          <w:p w14:paraId="5BD20F2E">
            <w:pPr>
              <w:pStyle w:val="174"/>
              <w:adjustRightInd w:val="0"/>
              <w:snapToGrid w:val="0"/>
              <w:rPr>
                <w:color w:val="auto"/>
                <w:szCs w:val="21"/>
                <w:highlight w:val="none"/>
              </w:rPr>
            </w:pPr>
            <w:r>
              <w:rPr>
                <w:color w:val="auto"/>
                <w:highlight w:val="none"/>
              </w:rPr>
              <w:t>淋滤废水</w:t>
            </w:r>
          </w:p>
        </w:tc>
        <w:tc>
          <w:tcPr>
            <w:tcW w:w="617" w:type="pct"/>
            <w:tcBorders>
              <w:tl2br w:val="nil"/>
              <w:tr2bl w:val="nil"/>
            </w:tcBorders>
            <w:noWrap w:val="0"/>
            <w:vAlign w:val="center"/>
          </w:tcPr>
          <w:p w14:paraId="1DEAFB7F">
            <w:pPr>
              <w:pStyle w:val="174"/>
              <w:adjustRightInd w:val="0"/>
              <w:snapToGrid w:val="0"/>
              <w:rPr>
                <w:color w:val="auto"/>
                <w:szCs w:val="21"/>
                <w:highlight w:val="none"/>
              </w:rPr>
            </w:pPr>
            <w:r>
              <w:rPr>
                <w:color w:val="auto"/>
                <w:szCs w:val="21"/>
                <w:highlight w:val="none"/>
              </w:rPr>
              <w:t>SS</w:t>
            </w:r>
          </w:p>
        </w:tc>
        <w:tc>
          <w:tcPr>
            <w:tcW w:w="654" w:type="pct"/>
            <w:tcBorders>
              <w:tl2br w:val="nil"/>
              <w:tr2bl w:val="nil"/>
            </w:tcBorders>
            <w:noWrap w:val="0"/>
            <w:vAlign w:val="center"/>
          </w:tcPr>
          <w:p w14:paraId="20A74FB4">
            <w:pPr>
              <w:pStyle w:val="174"/>
              <w:adjustRightInd w:val="0"/>
              <w:snapToGrid w:val="0"/>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间断</w:t>
            </w:r>
          </w:p>
        </w:tc>
        <w:tc>
          <w:tcPr>
            <w:tcW w:w="2037" w:type="pct"/>
            <w:tcBorders>
              <w:tl2br w:val="nil"/>
              <w:tr2bl w:val="nil"/>
            </w:tcBorders>
            <w:noWrap w:val="0"/>
            <w:vAlign w:val="center"/>
          </w:tcPr>
          <w:p w14:paraId="5D87207E">
            <w:pPr>
              <w:pStyle w:val="174"/>
              <w:adjustRightInd w:val="0"/>
              <w:snapToGrid w:val="0"/>
              <w:rPr>
                <w:rFonts w:hint="eastAsia" w:eastAsia="宋体"/>
                <w:color w:val="auto"/>
                <w:szCs w:val="21"/>
                <w:highlight w:val="none"/>
                <w:lang w:eastAsia="zh-CN"/>
              </w:rPr>
            </w:pPr>
            <w:r>
              <w:rPr>
                <w:rFonts w:hint="eastAsia"/>
                <w:color w:val="auto"/>
                <w:highlight w:val="none"/>
                <w:lang w:eastAsia="zh-CN"/>
              </w:rPr>
              <w:t>淋溶废水回用降尘，不外排</w:t>
            </w:r>
            <w:r>
              <w:rPr>
                <w:rFonts w:hint="eastAsia"/>
                <w:color w:val="auto"/>
                <w:highlight w:val="none"/>
              </w:rPr>
              <w:t>。</w:t>
            </w:r>
          </w:p>
        </w:tc>
      </w:tr>
      <w:tr w14:paraId="369D36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vMerge w:val="restart"/>
            <w:tcBorders>
              <w:tl2br w:val="nil"/>
              <w:tr2bl w:val="nil"/>
            </w:tcBorders>
            <w:noWrap w:val="0"/>
            <w:vAlign w:val="center"/>
          </w:tcPr>
          <w:p w14:paraId="3217E31D">
            <w:pPr>
              <w:pStyle w:val="174"/>
              <w:adjustRightInd w:val="0"/>
              <w:snapToGrid w:val="0"/>
              <w:rPr>
                <w:color w:val="auto"/>
                <w:szCs w:val="21"/>
                <w:highlight w:val="none"/>
              </w:rPr>
            </w:pPr>
            <w:r>
              <w:rPr>
                <w:color w:val="auto"/>
                <w:szCs w:val="21"/>
                <w:highlight w:val="none"/>
              </w:rPr>
              <w:t>噪声</w:t>
            </w:r>
          </w:p>
        </w:tc>
        <w:tc>
          <w:tcPr>
            <w:tcW w:w="335" w:type="pct"/>
            <w:tcBorders>
              <w:tl2br w:val="nil"/>
              <w:tr2bl w:val="nil"/>
            </w:tcBorders>
            <w:noWrap w:val="0"/>
            <w:vAlign w:val="center"/>
          </w:tcPr>
          <w:p w14:paraId="41C0B83F">
            <w:pPr>
              <w:pStyle w:val="174"/>
              <w:adjustRightInd w:val="0"/>
              <w:snapToGrid w:val="0"/>
              <w:rPr>
                <w:color w:val="auto"/>
                <w:szCs w:val="21"/>
                <w:highlight w:val="none"/>
              </w:rPr>
            </w:pPr>
            <w:r>
              <w:rPr>
                <w:color w:val="auto"/>
                <w:szCs w:val="21"/>
                <w:highlight w:val="none"/>
              </w:rPr>
              <w:t>N1</w:t>
            </w:r>
          </w:p>
        </w:tc>
        <w:tc>
          <w:tcPr>
            <w:tcW w:w="511" w:type="pct"/>
            <w:tcBorders>
              <w:tl2br w:val="nil"/>
              <w:tr2bl w:val="nil"/>
            </w:tcBorders>
            <w:noWrap w:val="0"/>
            <w:vAlign w:val="center"/>
          </w:tcPr>
          <w:p w14:paraId="0A0ECDB5">
            <w:pPr>
              <w:pStyle w:val="174"/>
              <w:adjustRightInd w:val="0"/>
              <w:snapToGrid w:val="0"/>
              <w:rPr>
                <w:color w:val="auto"/>
                <w:szCs w:val="21"/>
                <w:highlight w:val="none"/>
              </w:rPr>
            </w:pPr>
            <w:r>
              <w:rPr>
                <w:color w:val="auto"/>
                <w:szCs w:val="21"/>
                <w:highlight w:val="none"/>
              </w:rPr>
              <w:t>废石运输</w:t>
            </w:r>
          </w:p>
        </w:tc>
        <w:tc>
          <w:tcPr>
            <w:tcW w:w="510" w:type="pct"/>
            <w:tcBorders>
              <w:tl2br w:val="nil"/>
              <w:tr2bl w:val="nil"/>
            </w:tcBorders>
            <w:noWrap w:val="0"/>
            <w:vAlign w:val="center"/>
          </w:tcPr>
          <w:p w14:paraId="32730EB0">
            <w:pPr>
              <w:pStyle w:val="174"/>
              <w:adjustRightInd w:val="0"/>
              <w:snapToGrid w:val="0"/>
              <w:rPr>
                <w:rFonts w:hint="default" w:eastAsia="宋体"/>
                <w:color w:val="auto"/>
                <w:szCs w:val="21"/>
                <w:highlight w:val="none"/>
                <w:lang w:val="en-US" w:eastAsia="zh-CN"/>
              </w:rPr>
            </w:pPr>
            <w:r>
              <w:rPr>
                <w:rFonts w:hint="eastAsia"/>
                <w:color w:val="auto"/>
                <w:szCs w:val="21"/>
                <w:highlight w:val="none"/>
                <w:lang w:val="en-US" w:eastAsia="zh-CN"/>
              </w:rPr>
              <w:t>运输噪声</w:t>
            </w:r>
          </w:p>
        </w:tc>
        <w:tc>
          <w:tcPr>
            <w:tcW w:w="617" w:type="pct"/>
            <w:vMerge w:val="restart"/>
            <w:tcBorders>
              <w:tl2br w:val="nil"/>
              <w:tr2bl w:val="nil"/>
            </w:tcBorders>
            <w:noWrap w:val="0"/>
            <w:vAlign w:val="center"/>
          </w:tcPr>
          <w:p w14:paraId="38F41154">
            <w:pPr>
              <w:pStyle w:val="174"/>
              <w:adjustRightInd w:val="0"/>
              <w:snapToGrid w:val="0"/>
              <w:rPr>
                <w:color w:val="auto"/>
                <w:szCs w:val="21"/>
                <w:highlight w:val="none"/>
              </w:rPr>
            </w:pPr>
            <w:r>
              <w:rPr>
                <w:rFonts w:hint="default" w:ascii="Times New Roman" w:hAnsi="Times New Roman" w:cs="Times New Roman"/>
                <w:color w:val="auto"/>
                <w:highlight w:val="none"/>
              </w:rPr>
              <w:t>Leq(A)</w:t>
            </w:r>
          </w:p>
        </w:tc>
        <w:tc>
          <w:tcPr>
            <w:tcW w:w="654" w:type="pct"/>
            <w:tcBorders>
              <w:tl2br w:val="nil"/>
              <w:tr2bl w:val="nil"/>
            </w:tcBorders>
            <w:noWrap w:val="0"/>
            <w:vAlign w:val="center"/>
          </w:tcPr>
          <w:p w14:paraId="0F679AC8">
            <w:pPr>
              <w:pStyle w:val="174"/>
              <w:adjustRightInd w:val="0"/>
              <w:snapToGrid w:val="0"/>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间断</w:t>
            </w:r>
          </w:p>
        </w:tc>
        <w:tc>
          <w:tcPr>
            <w:tcW w:w="2037" w:type="pct"/>
            <w:tcBorders>
              <w:tl2br w:val="nil"/>
              <w:tr2bl w:val="nil"/>
            </w:tcBorders>
            <w:noWrap w:val="0"/>
            <w:vAlign w:val="center"/>
          </w:tcPr>
          <w:p w14:paraId="5147AE94">
            <w:pPr>
              <w:pStyle w:val="174"/>
              <w:adjustRightInd w:val="0"/>
              <w:snapToGrid w:val="0"/>
              <w:rPr>
                <w:rFonts w:hint="eastAsia" w:eastAsia="宋体"/>
                <w:color w:val="auto"/>
                <w:szCs w:val="21"/>
                <w:highlight w:val="none"/>
                <w:lang w:eastAsia="zh-CN"/>
              </w:rPr>
            </w:pPr>
            <w:r>
              <w:rPr>
                <w:color w:val="auto"/>
                <w:szCs w:val="21"/>
                <w:highlight w:val="none"/>
              </w:rPr>
              <w:t>车辆减速慢行，限制鸣笛</w:t>
            </w:r>
            <w:r>
              <w:rPr>
                <w:rFonts w:hint="eastAsia"/>
                <w:color w:val="auto"/>
                <w:szCs w:val="21"/>
                <w:highlight w:val="none"/>
                <w:lang w:eastAsia="zh-CN"/>
              </w:rPr>
              <w:t>。</w:t>
            </w:r>
          </w:p>
        </w:tc>
      </w:tr>
      <w:tr w14:paraId="1AA2DD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vMerge w:val="continue"/>
            <w:tcBorders>
              <w:tl2br w:val="nil"/>
              <w:tr2bl w:val="nil"/>
            </w:tcBorders>
            <w:noWrap w:val="0"/>
            <w:vAlign w:val="center"/>
          </w:tcPr>
          <w:p w14:paraId="2026150E">
            <w:pPr>
              <w:pStyle w:val="174"/>
              <w:adjustRightInd w:val="0"/>
              <w:snapToGrid w:val="0"/>
              <w:rPr>
                <w:color w:val="auto"/>
                <w:szCs w:val="21"/>
                <w:highlight w:val="none"/>
              </w:rPr>
            </w:pPr>
          </w:p>
        </w:tc>
        <w:tc>
          <w:tcPr>
            <w:tcW w:w="335" w:type="pct"/>
            <w:tcBorders>
              <w:tl2br w:val="nil"/>
              <w:tr2bl w:val="nil"/>
            </w:tcBorders>
            <w:noWrap w:val="0"/>
            <w:vAlign w:val="center"/>
          </w:tcPr>
          <w:p w14:paraId="0ADD691D">
            <w:pPr>
              <w:pStyle w:val="174"/>
              <w:adjustRightInd w:val="0"/>
              <w:snapToGrid w:val="0"/>
              <w:rPr>
                <w:color w:val="auto"/>
                <w:szCs w:val="21"/>
                <w:highlight w:val="none"/>
              </w:rPr>
            </w:pPr>
            <w:r>
              <w:rPr>
                <w:color w:val="auto"/>
                <w:szCs w:val="21"/>
                <w:highlight w:val="none"/>
              </w:rPr>
              <w:t>N2</w:t>
            </w:r>
          </w:p>
        </w:tc>
        <w:tc>
          <w:tcPr>
            <w:tcW w:w="511" w:type="pct"/>
            <w:tcBorders>
              <w:tl2br w:val="nil"/>
              <w:tr2bl w:val="nil"/>
            </w:tcBorders>
            <w:shd w:val="clear" w:color="auto" w:fill="auto"/>
            <w:noWrap w:val="0"/>
            <w:vAlign w:val="center"/>
          </w:tcPr>
          <w:p w14:paraId="44502AD2">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排土作业</w:t>
            </w:r>
          </w:p>
        </w:tc>
        <w:tc>
          <w:tcPr>
            <w:tcW w:w="510" w:type="pct"/>
            <w:tcBorders>
              <w:tl2br w:val="nil"/>
              <w:tr2bl w:val="nil"/>
            </w:tcBorders>
            <w:shd w:val="clear" w:color="auto" w:fill="auto"/>
            <w:noWrap w:val="0"/>
            <w:vAlign w:val="center"/>
          </w:tcPr>
          <w:p w14:paraId="57647B4A">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设备噪声</w:t>
            </w:r>
          </w:p>
        </w:tc>
        <w:tc>
          <w:tcPr>
            <w:tcW w:w="617" w:type="pct"/>
            <w:vMerge w:val="continue"/>
            <w:tcBorders>
              <w:tl2br w:val="nil"/>
              <w:tr2bl w:val="nil"/>
            </w:tcBorders>
            <w:noWrap w:val="0"/>
            <w:vAlign w:val="center"/>
          </w:tcPr>
          <w:p w14:paraId="19A59945">
            <w:pPr>
              <w:pStyle w:val="174"/>
              <w:adjustRightInd w:val="0"/>
              <w:snapToGrid w:val="0"/>
              <w:rPr>
                <w:rFonts w:hint="default" w:ascii="Times New Roman" w:hAnsi="Times New Roman" w:cs="Times New Roman"/>
                <w:color w:val="auto"/>
                <w:highlight w:val="none"/>
              </w:rPr>
            </w:pPr>
          </w:p>
        </w:tc>
        <w:tc>
          <w:tcPr>
            <w:tcW w:w="654" w:type="pct"/>
            <w:tcBorders>
              <w:tl2br w:val="nil"/>
              <w:tr2bl w:val="nil"/>
            </w:tcBorders>
            <w:shd w:val="clear" w:color="auto" w:fill="auto"/>
            <w:noWrap w:val="0"/>
            <w:vAlign w:val="center"/>
          </w:tcPr>
          <w:p w14:paraId="7A3769CC">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间断</w:t>
            </w:r>
          </w:p>
        </w:tc>
        <w:tc>
          <w:tcPr>
            <w:tcW w:w="2037" w:type="pct"/>
            <w:tcBorders>
              <w:tl2br w:val="nil"/>
              <w:tr2bl w:val="nil"/>
            </w:tcBorders>
            <w:shd w:val="clear" w:color="auto" w:fill="auto"/>
            <w:noWrap w:val="0"/>
            <w:vAlign w:val="center"/>
          </w:tcPr>
          <w:p w14:paraId="0AEEDD00">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color w:val="auto"/>
                <w:highlight w:val="none"/>
              </w:rPr>
              <w:t>采用低噪声设备、加强管理、及时维护保养、排土场周边绿化</w:t>
            </w:r>
            <w:r>
              <w:rPr>
                <w:rFonts w:hint="eastAsia"/>
                <w:color w:val="auto"/>
                <w:highlight w:val="none"/>
                <w:lang w:eastAsia="zh-CN"/>
              </w:rPr>
              <w:t>。</w:t>
            </w:r>
          </w:p>
        </w:tc>
      </w:tr>
      <w:tr w14:paraId="413406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335" w:type="pct"/>
            <w:tcBorders>
              <w:tl2br w:val="nil"/>
              <w:tr2bl w:val="nil"/>
            </w:tcBorders>
            <w:noWrap w:val="0"/>
            <w:vAlign w:val="center"/>
          </w:tcPr>
          <w:p w14:paraId="1E4F757D">
            <w:pPr>
              <w:pStyle w:val="174"/>
              <w:adjustRightInd w:val="0"/>
              <w:snapToGrid w:val="0"/>
              <w:rPr>
                <w:color w:val="auto"/>
                <w:szCs w:val="21"/>
                <w:highlight w:val="none"/>
              </w:rPr>
            </w:pPr>
            <w:r>
              <w:rPr>
                <w:color w:val="auto"/>
                <w:szCs w:val="21"/>
                <w:highlight w:val="none"/>
              </w:rPr>
              <w:t>固废</w:t>
            </w:r>
          </w:p>
        </w:tc>
        <w:tc>
          <w:tcPr>
            <w:tcW w:w="335" w:type="pct"/>
            <w:tcBorders>
              <w:tl2br w:val="nil"/>
              <w:tr2bl w:val="nil"/>
            </w:tcBorders>
            <w:noWrap w:val="0"/>
            <w:vAlign w:val="center"/>
          </w:tcPr>
          <w:p w14:paraId="148880B5">
            <w:pPr>
              <w:pStyle w:val="174"/>
              <w:adjustRightInd w:val="0"/>
              <w:snapToGrid w:val="0"/>
              <w:rPr>
                <w:color w:val="auto"/>
                <w:szCs w:val="21"/>
                <w:highlight w:val="none"/>
              </w:rPr>
            </w:pPr>
            <w:r>
              <w:rPr>
                <w:color w:val="auto"/>
                <w:szCs w:val="21"/>
                <w:highlight w:val="none"/>
              </w:rPr>
              <w:t>S1</w:t>
            </w:r>
          </w:p>
        </w:tc>
        <w:tc>
          <w:tcPr>
            <w:tcW w:w="511" w:type="pct"/>
            <w:tcBorders>
              <w:tl2br w:val="nil"/>
              <w:tr2bl w:val="nil"/>
            </w:tcBorders>
            <w:noWrap w:val="0"/>
            <w:vAlign w:val="center"/>
          </w:tcPr>
          <w:p w14:paraId="0FCE79BF">
            <w:pPr>
              <w:pStyle w:val="174"/>
              <w:adjustRightInd w:val="0"/>
              <w:snapToGrid w:val="0"/>
              <w:rPr>
                <w:color w:val="auto"/>
                <w:kern w:val="2"/>
                <w:szCs w:val="21"/>
                <w:highlight w:val="none"/>
              </w:rPr>
            </w:pPr>
            <w:r>
              <w:rPr>
                <w:color w:val="auto"/>
                <w:szCs w:val="21"/>
                <w:highlight w:val="none"/>
              </w:rPr>
              <w:t>排土作业</w:t>
            </w:r>
          </w:p>
        </w:tc>
        <w:tc>
          <w:tcPr>
            <w:tcW w:w="510" w:type="pct"/>
            <w:tcBorders>
              <w:tl2br w:val="nil"/>
              <w:tr2bl w:val="nil"/>
            </w:tcBorders>
            <w:noWrap w:val="0"/>
            <w:vAlign w:val="center"/>
          </w:tcPr>
          <w:p w14:paraId="52986769">
            <w:pPr>
              <w:pStyle w:val="174"/>
              <w:adjustRightInd w:val="0"/>
              <w:snapToGrid w:val="0"/>
              <w:rPr>
                <w:rFonts w:hint="eastAsia" w:eastAsia="宋体"/>
                <w:color w:val="auto"/>
                <w:kern w:val="2"/>
                <w:szCs w:val="21"/>
                <w:highlight w:val="none"/>
                <w:lang w:val="en-US" w:eastAsia="zh-CN"/>
              </w:rPr>
            </w:pPr>
            <w:r>
              <w:rPr>
                <w:rFonts w:hint="eastAsia"/>
                <w:color w:val="auto"/>
                <w:kern w:val="2"/>
                <w:szCs w:val="21"/>
                <w:highlight w:val="none"/>
                <w:lang w:val="en-US" w:eastAsia="zh-CN"/>
              </w:rPr>
              <w:t>废石</w:t>
            </w:r>
          </w:p>
        </w:tc>
        <w:tc>
          <w:tcPr>
            <w:tcW w:w="617" w:type="pct"/>
            <w:tcBorders>
              <w:tl2br w:val="nil"/>
              <w:tr2bl w:val="nil"/>
            </w:tcBorders>
            <w:noWrap w:val="0"/>
            <w:vAlign w:val="center"/>
          </w:tcPr>
          <w:p w14:paraId="3B2E11C4">
            <w:pPr>
              <w:pStyle w:val="174"/>
              <w:adjustRightInd w:val="0"/>
              <w:snapToGrid w:val="0"/>
              <w:rPr>
                <w:color w:val="auto"/>
                <w:szCs w:val="21"/>
                <w:highlight w:val="none"/>
              </w:rPr>
            </w:pPr>
            <w:r>
              <w:rPr>
                <w:color w:val="auto"/>
                <w:szCs w:val="21"/>
                <w:highlight w:val="none"/>
              </w:rPr>
              <w:t>废石</w:t>
            </w:r>
          </w:p>
        </w:tc>
        <w:tc>
          <w:tcPr>
            <w:tcW w:w="654" w:type="pct"/>
            <w:tcBorders>
              <w:tl2br w:val="nil"/>
              <w:tr2bl w:val="nil"/>
            </w:tcBorders>
            <w:noWrap w:val="0"/>
            <w:vAlign w:val="center"/>
          </w:tcPr>
          <w:p w14:paraId="654B3929">
            <w:pPr>
              <w:pStyle w:val="174"/>
              <w:adjustRightInd w:val="0"/>
              <w:snapToGrid w:val="0"/>
              <w:rPr>
                <w:rFonts w:ascii="Times New Roman" w:hAnsi="Times New Roman" w:eastAsia="宋体" w:cs="Times New Roman"/>
                <w:color w:val="auto"/>
                <w:kern w:val="2"/>
                <w:sz w:val="21"/>
                <w:szCs w:val="21"/>
                <w:highlight w:val="none"/>
                <w:lang w:val="en-US" w:eastAsia="zh-CN" w:bidi="ar-SA"/>
              </w:rPr>
            </w:pPr>
            <w:r>
              <w:rPr>
                <w:color w:val="auto"/>
                <w:szCs w:val="21"/>
                <w:highlight w:val="none"/>
              </w:rPr>
              <w:t>连续</w:t>
            </w:r>
          </w:p>
        </w:tc>
        <w:tc>
          <w:tcPr>
            <w:tcW w:w="2037" w:type="pct"/>
            <w:tcBorders>
              <w:tl2br w:val="nil"/>
              <w:tr2bl w:val="nil"/>
            </w:tcBorders>
            <w:noWrap w:val="0"/>
            <w:vAlign w:val="center"/>
          </w:tcPr>
          <w:p w14:paraId="4B314B7B">
            <w:pPr>
              <w:pStyle w:val="174"/>
              <w:adjustRightInd w:val="0"/>
              <w:snapToGrid w:val="0"/>
              <w:rPr>
                <w:rFonts w:hint="eastAsia" w:eastAsia="宋体"/>
                <w:color w:val="auto"/>
                <w:szCs w:val="21"/>
                <w:highlight w:val="none"/>
                <w:lang w:eastAsia="zh-CN"/>
              </w:rPr>
            </w:pPr>
            <w:r>
              <w:rPr>
                <w:color w:val="auto"/>
                <w:szCs w:val="21"/>
                <w:highlight w:val="none"/>
              </w:rPr>
              <w:t>置于排土场内</w:t>
            </w:r>
            <w:r>
              <w:rPr>
                <w:rFonts w:hint="eastAsia"/>
                <w:color w:val="auto"/>
                <w:szCs w:val="21"/>
                <w:highlight w:val="none"/>
                <w:lang w:eastAsia="zh-CN"/>
              </w:rPr>
              <w:t>。</w:t>
            </w:r>
          </w:p>
        </w:tc>
      </w:tr>
    </w:tbl>
    <w:p w14:paraId="0120A60B">
      <w:pPr>
        <w:pStyle w:val="6"/>
        <w:rPr>
          <w:rFonts w:hint="default" w:ascii="Times New Roman" w:hAnsi="Times New Roman" w:eastAsia="宋体" w:cs="Times New Roman"/>
          <w:b/>
          <w:sz w:val="24"/>
          <w:szCs w:val="24"/>
          <w:highlight w:val="none"/>
          <w:lang w:val="en-US" w:eastAsia="zh-CN"/>
        </w:rPr>
      </w:pPr>
      <w:bookmarkStart w:id="184" w:name="_Toc9663"/>
      <w:r>
        <w:rPr>
          <w:rFonts w:hint="eastAsia" w:ascii="Times New Roman" w:hAnsi="Times New Roman" w:eastAsia="宋体" w:cs="Times New Roman"/>
          <w:b/>
          <w:sz w:val="24"/>
          <w:szCs w:val="24"/>
          <w:highlight w:val="none"/>
          <w:lang w:val="en-US" w:eastAsia="zh-CN"/>
        </w:rPr>
        <w:t>污染</w:t>
      </w:r>
      <w:r>
        <w:rPr>
          <w:rFonts w:hint="default" w:ascii="Times New Roman" w:hAnsi="Times New Roman" w:eastAsia="宋体" w:cs="Times New Roman"/>
          <w:b/>
          <w:sz w:val="24"/>
          <w:szCs w:val="24"/>
          <w:highlight w:val="none"/>
          <w:lang w:val="en-US" w:eastAsia="zh-CN"/>
        </w:rPr>
        <w:t>影响因素分析</w:t>
      </w:r>
      <w:r>
        <w:rPr>
          <w:rFonts w:hint="eastAsia" w:ascii="Times New Roman" w:hAnsi="Times New Roman" w:eastAsia="宋体" w:cs="Times New Roman"/>
          <w:b/>
          <w:sz w:val="24"/>
          <w:szCs w:val="24"/>
          <w:highlight w:val="none"/>
          <w:lang w:val="en-US" w:eastAsia="zh-CN"/>
        </w:rPr>
        <w:t>及源强核算</w:t>
      </w:r>
      <w:bookmarkEnd w:id="184"/>
    </w:p>
    <w:p w14:paraId="49DBEB2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cs="Times New Roman"/>
          <w:b/>
          <w:sz w:val="24"/>
          <w:szCs w:val="24"/>
          <w:highlight w:val="none"/>
          <w:lang w:val="en-US" w:eastAsia="zh-CN"/>
        </w:rPr>
      </w:pPr>
      <w:r>
        <w:rPr>
          <w:rFonts w:hint="eastAsia" w:ascii="Times New Roman" w:hAnsi="Times New Roman" w:cs="Times New Roman"/>
          <w:b/>
          <w:sz w:val="24"/>
          <w:szCs w:val="24"/>
          <w:highlight w:val="none"/>
          <w:lang w:val="en-US" w:eastAsia="zh-CN"/>
        </w:rPr>
        <w:t>3.</w:t>
      </w:r>
      <w:r>
        <w:rPr>
          <w:rFonts w:hint="eastAsia" w:cs="Times New Roman"/>
          <w:b/>
          <w:sz w:val="24"/>
          <w:szCs w:val="24"/>
          <w:highlight w:val="none"/>
          <w:lang w:val="en-US" w:eastAsia="zh-CN"/>
        </w:rPr>
        <w:t>1</w:t>
      </w:r>
      <w:r>
        <w:rPr>
          <w:rFonts w:hint="eastAsia" w:ascii="Times New Roman" w:hAnsi="Times New Roman" w:cs="Times New Roman"/>
          <w:b/>
          <w:sz w:val="24"/>
          <w:szCs w:val="24"/>
          <w:highlight w:val="none"/>
          <w:lang w:val="en-US" w:eastAsia="zh-CN"/>
        </w:rPr>
        <w:t>.9.1</w:t>
      </w:r>
      <w:r>
        <w:rPr>
          <w:rFonts w:hint="default" w:ascii="Times New Roman" w:hAnsi="Times New Roman" w:cs="Times New Roman"/>
          <w:b/>
          <w:sz w:val="24"/>
          <w:szCs w:val="24"/>
          <w:highlight w:val="none"/>
          <w:lang w:val="en-US" w:eastAsia="zh-CN"/>
        </w:rPr>
        <w:t>建设阶段污染影响因素分析</w:t>
      </w:r>
      <w:r>
        <w:rPr>
          <w:rFonts w:hint="eastAsia" w:ascii="Times New Roman" w:hAnsi="Times New Roman" w:cs="Times New Roman"/>
          <w:b/>
          <w:sz w:val="24"/>
          <w:szCs w:val="24"/>
          <w:highlight w:val="none"/>
          <w:lang w:val="en-US" w:eastAsia="zh-CN"/>
        </w:rPr>
        <w:t>及</w:t>
      </w:r>
      <w:r>
        <w:rPr>
          <w:rFonts w:hint="default" w:ascii="Times New Roman" w:hAnsi="Times New Roman" w:cs="Times New Roman"/>
          <w:b/>
          <w:sz w:val="24"/>
          <w:szCs w:val="24"/>
          <w:highlight w:val="none"/>
          <w:lang w:val="en-US" w:eastAsia="zh-CN"/>
        </w:rPr>
        <w:t>源强核算</w:t>
      </w:r>
    </w:p>
    <w:p w14:paraId="4DA28A9A">
      <w:pPr>
        <w:spacing w:line="360" w:lineRule="auto"/>
        <w:ind w:firstLine="480" w:firstLineChars="200"/>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cs="Times New Roman"/>
          <w:color w:val="000000"/>
          <w:kern w:val="0"/>
          <w:sz w:val="24"/>
          <w:szCs w:val="21"/>
          <w:highlight w:val="none"/>
          <w:lang w:val="en-US" w:eastAsia="zh-CN"/>
        </w:rPr>
        <w:t>本项目</w:t>
      </w:r>
      <w:r>
        <w:rPr>
          <w:rFonts w:hint="default" w:ascii="Times New Roman" w:hAnsi="Times New Roman" w:cs="Times New Roman"/>
          <w:color w:val="000000"/>
          <w:kern w:val="0"/>
          <w:sz w:val="24"/>
          <w:szCs w:val="21"/>
          <w:highlight w:val="none"/>
        </w:rPr>
        <w:t>施工过程中将会产生一定量的施工扬尘、施工废水、施工噪声、固体废物</w:t>
      </w:r>
      <w:r>
        <w:rPr>
          <w:rFonts w:hint="eastAsia" w:ascii="Times New Roman" w:hAnsi="Times New Roman" w:cs="Times New Roman"/>
          <w:color w:val="000000"/>
          <w:kern w:val="0"/>
          <w:sz w:val="24"/>
          <w:szCs w:val="21"/>
          <w:highlight w:val="none"/>
          <w:lang w:eastAsia="zh-CN"/>
        </w:rPr>
        <w:t>。</w:t>
      </w:r>
    </w:p>
    <w:p w14:paraId="72BB6AA3">
      <w:pPr>
        <w:pageBreakBefore w:val="0"/>
        <w:widowControl w:val="0"/>
        <w:kinsoku/>
        <w:wordWrap/>
        <w:overflowPunct/>
        <w:topLinePunct w:val="0"/>
        <w:bidi w:val="0"/>
        <w:spacing w:line="360" w:lineRule="auto"/>
        <w:ind w:firstLine="48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废气污染源源强核算</w:t>
      </w:r>
    </w:p>
    <w:p w14:paraId="1FD90BCA">
      <w:pPr>
        <w:keepNext w:val="0"/>
        <w:keepLines w:val="0"/>
        <w:pageBreakBefore w:val="0"/>
        <w:widowControl w:val="0"/>
        <w:kinsoku/>
        <w:wordWrap/>
        <w:overflowPunct/>
        <w:topLinePunct w:val="0"/>
        <w:bidi w:val="0"/>
        <w:spacing w:line="360" w:lineRule="auto"/>
        <w:ind w:firstLine="480" w:firstLineChars="200"/>
        <w:textAlignment w:val="auto"/>
        <w:rPr>
          <w:rFonts w:hint="eastAsia" w:cs="Times New Roman"/>
          <w:color w:val="000000"/>
          <w:kern w:val="0"/>
          <w:sz w:val="24"/>
          <w:szCs w:val="21"/>
          <w:highlight w:val="none"/>
          <w:lang w:val="en-US" w:eastAsia="zh-CN"/>
        </w:rPr>
      </w:pPr>
      <w:r>
        <w:rPr>
          <w:rFonts w:hint="default" w:ascii="Times New Roman" w:hAnsi="Times New Roman" w:eastAsia="宋体" w:cs="Times New Roman"/>
          <w:color w:val="000000"/>
          <w:kern w:val="0"/>
          <w:sz w:val="24"/>
          <w:szCs w:val="21"/>
          <w:highlight w:val="none"/>
          <w:lang w:val="en-US" w:eastAsia="zh-CN"/>
        </w:rPr>
        <w:t>项目建设阶段大气污染物主要为扬尘，主要产生于土地平整、场地清理，土方开挖填埋等过程；物料的装卸、搬运、堆存和使用，以及运输车辆的出入等。扬尘无组织排放浓度为4-6mg/m</w:t>
      </w:r>
      <w:r>
        <w:rPr>
          <w:rFonts w:hint="default" w:ascii="Times New Roman" w:hAnsi="Times New Roman" w:eastAsia="宋体" w:cs="Times New Roman"/>
          <w:color w:val="000000"/>
          <w:kern w:val="0"/>
          <w:sz w:val="24"/>
          <w:szCs w:val="21"/>
          <w:highlight w:val="none"/>
          <w:vertAlign w:val="superscript"/>
          <w:lang w:val="en-US" w:eastAsia="zh-CN"/>
        </w:rPr>
        <w:t>3</w:t>
      </w:r>
      <w:r>
        <w:rPr>
          <w:rFonts w:hint="eastAsia" w:cs="Times New Roman"/>
          <w:color w:val="000000"/>
          <w:kern w:val="0"/>
          <w:sz w:val="24"/>
          <w:szCs w:val="21"/>
          <w:highlight w:val="none"/>
          <w:lang w:val="en-US" w:eastAsia="zh-CN"/>
        </w:rPr>
        <w:t>。</w:t>
      </w:r>
    </w:p>
    <w:p w14:paraId="5F58B223">
      <w:pPr>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000000"/>
          <w:kern w:val="0"/>
          <w:sz w:val="24"/>
          <w:szCs w:val="21"/>
          <w:highlight w:val="none"/>
          <w:lang w:val="en-US" w:eastAsia="zh-CN"/>
        </w:rPr>
        <w:t>为减少扬尘产生量，建设单位积极采取如下控制措施：</w:t>
      </w:r>
      <w:r>
        <w:rPr>
          <w:rFonts w:hint="default" w:ascii="Times New Roman" w:hAnsi="Times New Roman" w:eastAsia="宋体" w:cs="Times New Roman"/>
          <w:color w:val="auto"/>
          <w:sz w:val="24"/>
          <w:szCs w:val="24"/>
          <w:highlight w:val="none"/>
        </w:rPr>
        <w:t>施工场地四周设置围挡、施工场地硬化、及时洒水、多尘物料进行遮盖、运输车辆减速慢行等措施。</w:t>
      </w:r>
      <w:r>
        <w:rPr>
          <w:rFonts w:hint="eastAsia"/>
          <w:color w:val="auto"/>
          <w:sz w:val="24"/>
          <w:szCs w:val="24"/>
          <w:highlight w:val="none"/>
          <w:lang w:eastAsia="zh-CN"/>
        </w:rPr>
        <w:t>严格落实</w:t>
      </w:r>
      <w:r>
        <w:rPr>
          <w:rFonts w:hint="default" w:ascii="Times New Roman" w:hAnsi="Times New Roman" w:cs="Times New Roman"/>
          <w:color w:val="auto"/>
          <w:sz w:val="24"/>
          <w:szCs w:val="24"/>
          <w:highlight w:val="none"/>
        </w:rPr>
        <w:t>《河北省扬尘污染防治办法》、</w:t>
      </w:r>
      <w:r>
        <w:rPr>
          <w:rFonts w:hint="eastAsia"/>
          <w:color w:val="auto"/>
          <w:sz w:val="24"/>
          <w:szCs w:val="24"/>
          <w:highlight w:val="none"/>
          <w:lang w:eastAsia="zh-CN"/>
        </w:rPr>
        <w:t>《河北省2024年建筑施工扬尘污染防治工作方案》</w:t>
      </w:r>
      <w:r>
        <w:rPr>
          <w:rFonts w:hint="default" w:ascii="Times New Roman" w:hAnsi="Times New Roman" w:cs="Times New Roman"/>
          <w:color w:val="auto"/>
          <w:sz w:val="24"/>
          <w:szCs w:val="24"/>
          <w:highlight w:val="none"/>
        </w:rPr>
        <w:t>及《承德市人民政府办公室关于印发承德市建筑施工现场管理暂行办法的通知》（承市政办字[2010]</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150号）</w:t>
      </w:r>
      <w:r>
        <w:rPr>
          <w:rFonts w:hint="eastAsia"/>
          <w:color w:val="auto"/>
          <w:sz w:val="24"/>
          <w:szCs w:val="24"/>
          <w:highlight w:val="none"/>
          <w:lang w:eastAsia="zh-CN"/>
        </w:rPr>
        <w:t>相关要求。</w:t>
      </w:r>
    </w:p>
    <w:p w14:paraId="63A0514F">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eastAsia="宋体" w:cs="Times New Roman"/>
          <w:color w:val="auto"/>
          <w:sz w:val="24"/>
          <w:szCs w:val="24"/>
          <w:highlight w:val="none"/>
        </w:rPr>
        <w:t>通过采取以上措施后，对施工扬尘的总体控制效率&gt;85%，可实现工程施工场地及运输道路外的PM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小时平均浓度与</w:t>
      </w:r>
      <w:r>
        <w:rPr>
          <w:rFonts w:hint="eastAsia" w:cs="Times New Roman"/>
          <w:color w:val="auto"/>
          <w:sz w:val="24"/>
          <w:szCs w:val="24"/>
          <w:highlight w:val="none"/>
          <w:lang w:val="en-US" w:eastAsia="zh-CN"/>
        </w:rPr>
        <w:t>隆化县</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小时平均浓度的差值小于80μg/m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，满足《施工场地扬尘排放标准》（DB13/2934</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2019）表1中扬尘排放浓度限值。</w:t>
      </w:r>
    </w:p>
    <w:p w14:paraId="77E2B4B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kern w:val="0"/>
          <w:sz w:val="24"/>
          <w:szCs w:val="21"/>
          <w:highlight w:val="none"/>
        </w:rPr>
      </w:pPr>
      <w:r>
        <w:rPr>
          <w:rFonts w:hint="eastAsia" w:ascii="Times New Roman" w:hAnsi="Times New Roman" w:cs="Times New Roman"/>
          <w:b/>
          <w:bCs/>
          <w:color w:val="000000"/>
          <w:kern w:val="0"/>
          <w:sz w:val="24"/>
          <w:szCs w:val="21"/>
          <w:highlight w:val="none"/>
          <w:lang w:eastAsia="zh-CN"/>
        </w:rPr>
        <w:t>（</w:t>
      </w:r>
      <w:r>
        <w:rPr>
          <w:rFonts w:hint="eastAsia" w:ascii="Times New Roman" w:hAnsi="Times New Roman" w:cs="Times New Roman"/>
          <w:b/>
          <w:bCs/>
          <w:color w:val="000000"/>
          <w:kern w:val="0"/>
          <w:sz w:val="24"/>
          <w:szCs w:val="21"/>
          <w:highlight w:val="none"/>
          <w:lang w:val="en-US" w:eastAsia="zh-CN"/>
        </w:rPr>
        <w:t>2</w:t>
      </w:r>
      <w:r>
        <w:rPr>
          <w:rFonts w:hint="eastAsia" w:ascii="Times New Roman" w:hAnsi="Times New Roman" w:cs="Times New Roman"/>
          <w:b/>
          <w:bCs/>
          <w:color w:val="000000"/>
          <w:kern w:val="0"/>
          <w:sz w:val="24"/>
          <w:szCs w:val="21"/>
          <w:highlight w:val="none"/>
          <w:lang w:eastAsia="zh-CN"/>
        </w:rPr>
        <w:t>）</w:t>
      </w:r>
      <w:r>
        <w:rPr>
          <w:rFonts w:hint="default" w:ascii="Times New Roman" w:hAnsi="Times New Roman" w:cs="Times New Roman"/>
          <w:b/>
          <w:bCs/>
          <w:color w:val="000000"/>
          <w:kern w:val="0"/>
          <w:sz w:val="24"/>
          <w:szCs w:val="21"/>
          <w:highlight w:val="none"/>
        </w:rPr>
        <w:t>废水主要污染源源强核算</w:t>
      </w:r>
    </w:p>
    <w:p w14:paraId="286EC564">
      <w:pPr>
        <w:topLinePunct/>
        <w:spacing w:line="360" w:lineRule="auto"/>
        <w:ind w:firstLine="480"/>
        <w:textAlignment w:val="center"/>
        <w:rPr>
          <w:rFonts w:hint="default" w:ascii="Times New Roman" w:hAnsi="Times New Roman" w:cs="Times New Roman"/>
          <w:color w:val="000000"/>
          <w:sz w:val="24"/>
          <w:highlight w:val="none"/>
        </w:rPr>
      </w:pPr>
      <w:bookmarkStart w:id="185" w:name="OLE_LINK23"/>
      <w:r>
        <w:rPr>
          <w:rFonts w:hint="default" w:ascii="Times New Roman" w:hAnsi="Times New Roman" w:cs="Times New Roman"/>
          <w:color w:val="000000"/>
          <w:sz w:val="24"/>
          <w:highlight w:val="none"/>
        </w:rPr>
        <w:t>项目建设阶段废水主要为建筑材料搅拌、砂石料冲洗等过程产生的土建施工废水，土建废水产生量极少，其主要污染因子为SS；施工人员产生的生活污水，主要污染因子为SS、COD、BOD</w:t>
      </w:r>
      <w:r>
        <w:rPr>
          <w:rFonts w:hint="default" w:ascii="Times New Roman" w:hAnsi="Times New Roman" w:cs="Times New Roman"/>
          <w:color w:val="000000"/>
          <w:sz w:val="24"/>
          <w:highlight w:val="none"/>
          <w:vertAlign w:val="subscript"/>
        </w:rPr>
        <w:t>5</w:t>
      </w:r>
      <w:r>
        <w:rPr>
          <w:rFonts w:hint="default" w:ascii="Times New Roman" w:hAnsi="Times New Roman" w:cs="Times New Roman"/>
          <w:color w:val="000000"/>
          <w:sz w:val="24"/>
          <w:highlight w:val="none"/>
        </w:rPr>
        <w:t>、氨氮；施工场地雨季地表径流。</w:t>
      </w:r>
    </w:p>
    <w:p w14:paraId="6517C9A3">
      <w:pPr>
        <w:topLinePunct/>
        <w:spacing w:line="360" w:lineRule="auto"/>
        <w:ind w:firstLine="480"/>
        <w:textAlignment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通过在施工场地修建废水沉淀池，将土建施工废水和施工场地雨季地表径流最大限度的收集沉淀后重复利用；施工人员在建设阶段内使用项目现有生活设施，生活污水经简易沉淀后用于洒水降尘。</w:t>
      </w:r>
    </w:p>
    <w:bookmarkEnd w:id="185"/>
    <w:p w14:paraId="643AF41E">
      <w:pPr>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eastAsia" w:cs="Times New Roman"/>
          <w:sz w:val="24"/>
          <w:szCs w:val="24"/>
          <w:highlight w:val="none"/>
          <w:lang w:val="en-US" w:eastAsia="zh-CN"/>
        </w:rPr>
        <w:t>本项目建设阶段</w:t>
      </w:r>
      <w:r>
        <w:rPr>
          <w:rFonts w:hint="default" w:ascii="Times New Roman" w:hAnsi="Times New Roman" w:cs="Times New Roman"/>
          <w:sz w:val="24"/>
          <w:szCs w:val="24"/>
          <w:highlight w:val="none"/>
        </w:rPr>
        <w:t>废水不外排，不会对附近地表水体产生直接影响。</w:t>
      </w:r>
    </w:p>
    <w:p w14:paraId="601969F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kern w:val="0"/>
          <w:sz w:val="24"/>
          <w:szCs w:val="21"/>
          <w:highlight w:val="none"/>
          <w:lang w:eastAsia="zh-CN"/>
        </w:rPr>
      </w:pPr>
      <w:r>
        <w:rPr>
          <w:rFonts w:hint="eastAsia" w:ascii="Times New Roman" w:hAnsi="Times New Roman" w:eastAsia="宋体" w:cs="Times New Roman"/>
          <w:b/>
          <w:bCs/>
          <w:color w:val="000000"/>
          <w:kern w:val="0"/>
          <w:sz w:val="24"/>
          <w:szCs w:val="21"/>
          <w:highlight w:val="none"/>
          <w:lang w:eastAsia="zh-CN"/>
        </w:rPr>
        <w:t>（</w:t>
      </w:r>
      <w:r>
        <w:rPr>
          <w:rFonts w:hint="eastAsia" w:ascii="Times New Roman" w:hAnsi="Times New Roman" w:eastAsia="宋体" w:cs="Times New Roman"/>
          <w:b/>
          <w:bCs/>
          <w:color w:val="000000"/>
          <w:kern w:val="0"/>
          <w:sz w:val="24"/>
          <w:szCs w:val="21"/>
          <w:highlight w:val="none"/>
          <w:lang w:val="en-US" w:eastAsia="zh-CN"/>
        </w:rPr>
        <w:t>3</w:t>
      </w:r>
      <w:r>
        <w:rPr>
          <w:rFonts w:hint="eastAsia" w:ascii="Times New Roman" w:hAnsi="Times New Roman" w:eastAsia="宋体" w:cs="Times New Roman"/>
          <w:b/>
          <w:bCs/>
          <w:color w:val="000000"/>
          <w:kern w:val="0"/>
          <w:sz w:val="24"/>
          <w:szCs w:val="21"/>
          <w:highlight w:val="none"/>
          <w:lang w:eastAsia="zh-CN"/>
        </w:rPr>
        <w:t>）</w:t>
      </w:r>
      <w:r>
        <w:rPr>
          <w:rFonts w:hint="default" w:ascii="Times New Roman" w:hAnsi="Times New Roman" w:eastAsia="宋体" w:cs="Times New Roman"/>
          <w:b/>
          <w:bCs/>
          <w:color w:val="000000"/>
          <w:kern w:val="0"/>
          <w:sz w:val="24"/>
          <w:szCs w:val="21"/>
          <w:highlight w:val="none"/>
          <w:lang w:eastAsia="zh-CN"/>
        </w:rPr>
        <w:t>噪声主要污染源源强核算</w:t>
      </w:r>
    </w:p>
    <w:p w14:paraId="48C0CEDF">
      <w:pPr>
        <w:topLinePunct/>
        <w:spacing w:line="360" w:lineRule="auto"/>
        <w:ind w:firstLine="480"/>
        <w:textAlignment w:val="center"/>
        <w:rPr>
          <w:rFonts w:hint="eastAsia" w:cs="Times New Roman"/>
          <w:sz w:val="24"/>
          <w:szCs w:val="24"/>
          <w:highlight w:val="none"/>
          <w:lang w:eastAsia="zh-CN"/>
        </w:rPr>
      </w:pPr>
      <w:r>
        <w:rPr>
          <w:rFonts w:hint="default" w:ascii="Times New Roman" w:hAnsi="Times New Roman" w:eastAsia="宋体" w:cs="Times New Roman"/>
          <w:sz w:val="24"/>
          <w:szCs w:val="24"/>
          <w:highlight w:val="none"/>
        </w:rPr>
        <w:t>项目</w:t>
      </w:r>
      <w:r>
        <w:rPr>
          <w:rFonts w:hint="eastAsia" w:ascii="Times New Roman" w:hAnsi="Times New Roman" w:eastAsia="宋体" w:cs="Times New Roman"/>
          <w:sz w:val="24"/>
          <w:szCs w:val="24"/>
          <w:highlight w:val="none"/>
          <w:lang w:eastAsia="zh-CN"/>
        </w:rPr>
        <w:t>建设阶段</w:t>
      </w:r>
      <w:r>
        <w:rPr>
          <w:rFonts w:hint="default" w:ascii="Times New Roman" w:hAnsi="Times New Roman" w:eastAsia="宋体" w:cs="Times New Roman"/>
          <w:sz w:val="24"/>
          <w:szCs w:val="24"/>
          <w:highlight w:val="none"/>
        </w:rPr>
        <w:t>产生的噪声包括设备噪声和运输噪声，其中设备噪声主要来源于施工机械运转，源强一般在7</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-9</w:t>
      </w:r>
      <w:r>
        <w:rPr>
          <w:rFonts w:hint="eastAsia" w:cs="Times New Roman"/>
          <w:sz w:val="24"/>
          <w:szCs w:val="24"/>
          <w:highlight w:val="none"/>
          <w:lang w:val="en-US" w:eastAsia="zh-CN"/>
        </w:rPr>
        <w:t>0</w:t>
      </w:r>
      <w:r>
        <w:rPr>
          <w:rFonts w:hint="default" w:ascii="Times New Roman" w:hAnsi="Times New Roman" w:eastAsia="宋体" w:cs="Times New Roman"/>
          <w:sz w:val="24"/>
          <w:szCs w:val="24"/>
          <w:highlight w:val="none"/>
        </w:rPr>
        <w:t>dB（A）；运输噪声源于运输车辆，源强一般</w:t>
      </w:r>
      <w:r>
        <w:rPr>
          <w:rFonts w:hint="eastAsia" w:cs="Times New Roman"/>
          <w:sz w:val="24"/>
          <w:szCs w:val="24"/>
          <w:highlight w:val="none"/>
          <w:lang w:val="en-US" w:eastAsia="zh-CN"/>
        </w:rPr>
        <w:t>为</w:t>
      </w:r>
      <w:r>
        <w:rPr>
          <w:rFonts w:hint="default" w:ascii="Times New Roman" w:hAnsi="Times New Roman" w:eastAsia="宋体" w:cs="Times New Roman"/>
          <w:sz w:val="24"/>
          <w:szCs w:val="24"/>
          <w:highlight w:val="none"/>
        </w:rPr>
        <w:t>85dB（A）</w:t>
      </w:r>
      <w:r>
        <w:rPr>
          <w:rFonts w:hint="eastAsia" w:cs="Times New Roman"/>
          <w:sz w:val="24"/>
          <w:szCs w:val="24"/>
          <w:highlight w:val="none"/>
          <w:lang w:eastAsia="zh-CN"/>
        </w:rPr>
        <w:t>。</w:t>
      </w:r>
    </w:p>
    <w:p w14:paraId="3B32D219">
      <w:pPr>
        <w:numPr>
          <w:ilvl w:val="0"/>
          <w:numId w:val="20"/>
        </w:numPr>
        <w:adjustRightInd w:val="0"/>
        <w:snapToGrid w:val="0"/>
        <w:jc w:val="center"/>
        <w:rPr>
          <w:rStyle w:val="66"/>
          <w:rFonts w:hint="default" w:ascii="Times New Roman" w:hAnsi="Times New Roman" w:eastAsia="宋体" w:cs="Times New Roman"/>
          <w:b/>
          <w:color w:val="000000"/>
          <w:highlight w:val="none"/>
        </w:rPr>
      </w:pPr>
      <w:r>
        <w:rPr>
          <w:rStyle w:val="66"/>
          <w:rFonts w:hint="default" w:ascii="Times New Roman" w:hAnsi="Times New Roman" w:eastAsia="宋体" w:cs="Times New Roman"/>
          <w:b/>
          <w:color w:val="000000"/>
          <w:highlight w:val="none"/>
        </w:rPr>
        <w:t>项目</w:t>
      </w:r>
      <w:r>
        <w:rPr>
          <w:rStyle w:val="66"/>
          <w:rFonts w:hint="eastAsia" w:ascii="Times New Roman" w:hAnsi="Times New Roman" w:eastAsia="宋体" w:cs="Times New Roman"/>
          <w:b/>
          <w:color w:val="000000"/>
          <w:highlight w:val="none"/>
          <w:lang w:val="en-US" w:eastAsia="zh-CN"/>
        </w:rPr>
        <w:t>建设阶段</w:t>
      </w:r>
      <w:r>
        <w:rPr>
          <w:rStyle w:val="66"/>
          <w:rFonts w:hint="default" w:ascii="Times New Roman" w:hAnsi="Times New Roman" w:eastAsia="宋体" w:cs="Times New Roman"/>
          <w:b/>
          <w:color w:val="000000"/>
          <w:highlight w:val="none"/>
          <w:lang w:val="en-US" w:eastAsia="zh-CN"/>
        </w:rPr>
        <w:t>主要机械设备噪声源强</w:t>
      </w:r>
    </w:p>
    <w:tbl>
      <w:tblPr>
        <w:tblStyle w:val="58"/>
        <w:tblW w:w="872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585"/>
        <w:gridCol w:w="3261"/>
        <w:gridCol w:w="3874"/>
      </w:tblGrid>
      <w:tr w14:paraId="01FB38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85" w:type="dxa"/>
            <w:tcBorders>
              <w:tl2br w:val="nil"/>
              <w:tr2bl w:val="nil"/>
            </w:tcBorders>
            <w:noWrap w:val="0"/>
            <w:vAlign w:val="center"/>
          </w:tcPr>
          <w:p w14:paraId="13603C47">
            <w:pPr>
              <w:pStyle w:val="161"/>
              <w:rPr>
                <w:rFonts w:ascii="Times New Roman"/>
                <w:b/>
                <w:bCs w:val="0"/>
                <w:highlight w:val="none"/>
              </w:rPr>
            </w:pPr>
            <w:r>
              <w:rPr>
                <w:rFonts w:ascii="Times New Roman"/>
                <w:b/>
                <w:bCs w:val="0"/>
                <w:highlight w:val="none"/>
              </w:rPr>
              <w:t>序号</w:t>
            </w:r>
          </w:p>
        </w:tc>
        <w:tc>
          <w:tcPr>
            <w:tcW w:w="3261" w:type="dxa"/>
            <w:tcBorders>
              <w:tl2br w:val="nil"/>
              <w:tr2bl w:val="nil"/>
            </w:tcBorders>
            <w:noWrap w:val="0"/>
            <w:vAlign w:val="center"/>
          </w:tcPr>
          <w:p w14:paraId="56F7ACA0">
            <w:pPr>
              <w:pStyle w:val="161"/>
              <w:rPr>
                <w:rFonts w:ascii="Times New Roman"/>
                <w:b/>
                <w:bCs w:val="0"/>
                <w:highlight w:val="none"/>
              </w:rPr>
            </w:pPr>
            <w:r>
              <w:rPr>
                <w:rFonts w:ascii="Times New Roman"/>
                <w:b/>
                <w:bCs w:val="0"/>
                <w:highlight w:val="none"/>
              </w:rPr>
              <w:t>设备名称</w:t>
            </w:r>
          </w:p>
        </w:tc>
        <w:tc>
          <w:tcPr>
            <w:tcW w:w="3874" w:type="dxa"/>
            <w:tcBorders>
              <w:tl2br w:val="nil"/>
              <w:tr2bl w:val="nil"/>
            </w:tcBorders>
            <w:noWrap w:val="0"/>
            <w:vAlign w:val="center"/>
          </w:tcPr>
          <w:p w14:paraId="2DDDC27F">
            <w:pPr>
              <w:pStyle w:val="161"/>
              <w:rPr>
                <w:rFonts w:ascii="Times New Roman"/>
                <w:b/>
                <w:bCs w:val="0"/>
                <w:highlight w:val="none"/>
              </w:rPr>
            </w:pPr>
            <w:r>
              <w:rPr>
                <w:rFonts w:ascii="Times New Roman"/>
                <w:b/>
                <w:bCs w:val="0"/>
                <w:highlight w:val="none"/>
              </w:rPr>
              <w:t>噪声源强dB(A)</w:t>
            </w:r>
          </w:p>
        </w:tc>
      </w:tr>
      <w:tr w14:paraId="495AAD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85" w:type="dxa"/>
            <w:tcBorders>
              <w:tl2br w:val="nil"/>
              <w:tr2bl w:val="nil"/>
            </w:tcBorders>
            <w:noWrap w:val="0"/>
            <w:vAlign w:val="center"/>
          </w:tcPr>
          <w:p w14:paraId="3EA7DBE8">
            <w:pPr>
              <w:pStyle w:val="161"/>
              <w:rPr>
                <w:rFonts w:ascii="Times New Roman"/>
                <w:highlight w:val="none"/>
              </w:rPr>
            </w:pPr>
            <w:r>
              <w:rPr>
                <w:rFonts w:ascii="Times New Roman"/>
                <w:highlight w:val="none"/>
              </w:rPr>
              <w:t>1</w:t>
            </w:r>
          </w:p>
        </w:tc>
        <w:tc>
          <w:tcPr>
            <w:tcW w:w="3261" w:type="dxa"/>
            <w:tcBorders>
              <w:tl2br w:val="nil"/>
              <w:tr2bl w:val="nil"/>
            </w:tcBorders>
            <w:noWrap w:val="0"/>
            <w:vAlign w:val="center"/>
          </w:tcPr>
          <w:p w14:paraId="54DCF342">
            <w:pPr>
              <w:pStyle w:val="161"/>
              <w:rPr>
                <w:rFonts w:ascii="Times New Roman"/>
                <w:b w:val="0"/>
                <w:highlight w:val="none"/>
              </w:rPr>
            </w:pPr>
            <w:r>
              <w:rPr>
                <w:rFonts w:ascii="Times New Roman" w:eastAsia="宋体"/>
                <w:b w:val="0"/>
                <w:highlight w:val="none"/>
                <w:lang w:val="en-US" w:eastAsia="zh-CN"/>
              </w:rPr>
              <w:t>装载机</w:t>
            </w:r>
          </w:p>
        </w:tc>
        <w:tc>
          <w:tcPr>
            <w:tcW w:w="3874" w:type="dxa"/>
            <w:tcBorders>
              <w:tl2br w:val="nil"/>
              <w:tr2bl w:val="nil"/>
            </w:tcBorders>
            <w:noWrap w:val="0"/>
            <w:vAlign w:val="center"/>
          </w:tcPr>
          <w:p w14:paraId="07CEA763">
            <w:pPr>
              <w:pStyle w:val="161"/>
              <w:rPr>
                <w:rFonts w:hint="default" w:ascii="Times New Roman"/>
                <w:b w:val="0"/>
                <w:highlight w:val="none"/>
                <w:lang w:val="en-US"/>
              </w:rPr>
            </w:pPr>
            <w:r>
              <w:rPr>
                <w:rFonts w:hint="eastAsia"/>
                <w:b w:val="0"/>
                <w:highlight w:val="none"/>
                <w:lang w:val="en-US" w:eastAsia="zh-CN"/>
              </w:rPr>
              <w:t>85</w:t>
            </w:r>
          </w:p>
        </w:tc>
      </w:tr>
      <w:tr w14:paraId="160584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85" w:type="dxa"/>
            <w:tcBorders>
              <w:tl2br w:val="nil"/>
              <w:tr2bl w:val="nil"/>
            </w:tcBorders>
            <w:noWrap w:val="0"/>
            <w:vAlign w:val="center"/>
          </w:tcPr>
          <w:p w14:paraId="62CFD573">
            <w:pPr>
              <w:pStyle w:val="161"/>
              <w:rPr>
                <w:rFonts w:ascii="Times New Roman"/>
                <w:highlight w:val="none"/>
              </w:rPr>
            </w:pPr>
            <w:r>
              <w:rPr>
                <w:rFonts w:ascii="Times New Roman"/>
                <w:highlight w:val="none"/>
              </w:rPr>
              <w:t>2</w:t>
            </w:r>
          </w:p>
        </w:tc>
        <w:tc>
          <w:tcPr>
            <w:tcW w:w="3261" w:type="dxa"/>
            <w:tcBorders>
              <w:tl2br w:val="nil"/>
              <w:tr2bl w:val="nil"/>
            </w:tcBorders>
            <w:noWrap w:val="0"/>
            <w:vAlign w:val="center"/>
          </w:tcPr>
          <w:p w14:paraId="748910B1">
            <w:pPr>
              <w:pStyle w:val="161"/>
              <w:rPr>
                <w:rFonts w:ascii="Times New Roman"/>
                <w:b w:val="0"/>
                <w:highlight w:val="none"/>
              </w:rPr>
            </w:pPr>
            <w:r>
              <w:rPr>
                <w:rFonts w:ascii="Times New Roman"/>
                <w:b w:val="0"/>
                <w:highlight w:val="none"/>
              </w:rPr>
              <w:t>挖掘机</w:t>
            </w:r>
          </w:p>
        </w:tc>
        <w:tc>
          <w:tcPr>
            <w:tcW w:w="3874" w:type="dxa"/>
            <w:tcBorders>
              <w:tl2br w:val="nil"/>
              <w:tr2bl w:val="nil"/>
            </w:tcBorders>
            <w:noWrap w:val="0"/>
            <w:vAlign w:val="center"/>
          </w:tcPr>
          <w:p w14:paraId="2A0C2C83">
            <w:pPr>
              <w:pStyle w:val="161"/>
              <w:rPr>
                <w:rFonts w:hint="default" w:ascii="Times New Roman"/>
                <w:b w:val="0"/>
                <w:highlight w:val="none"/>
                <w:lang w:val="en-US"/>
              </w:rPr>
            </w:pPr>
            <w:r>
              <w:rPr>
                <w:rFonts w:hint="eastAsia"/>
                <w:b w:val="0"/>
                <w:highlight w:val="none"/>
                <w:lang w:val="en-US" w:eastAsia="zh-CN"/>
              </w:rPr>
              <w:t>75</w:t>
            </w:r>
          </w:p>
        </w:tc>
      </w:tr>
      <w:tr w14:paraId="3D8829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85" w:type="dxa"/>
            <w:tcBorders>
              <w:tl2br w:val="nil"/>
              <w:tr2bl w:val="nil"/>
            </w:tcBorders>
            <w:noWrap w:val="0"/>
            <w:vAlign w:val="center"/>
          </w:tcPr>
          <w:p w14:paraId="1F1E133D">
            <w:pPr>
              <w:pStyle w:val="161"/>
              <w:rPr>
                <w:rFonts w:ascii="Times New Roman"/>
                <w:highlight w:val="none"/>
              </w:rPr>
            </w:pPr>
            <w:r>
              <w:rPr>
                <w:rFonts w:ascii="Times New Roman"/>
                <w:highlight w:val="none"/>
              </w:rPr>
              <w:t>3</w:t>
            </w:r>
          </w:p>
        </w:tc>
        <w:tc>
          <w:tcPr>
            <w:tcW w:w="3261" w:type="dxa"/>
            <w:tcBorders>
              <w:tl2br w:val="nil"/>
              <w:tr2bl w:val="nil"/>
            </w:tcBorders>
            <w:noWrap w:val="0"/>
            <w:vAlign w:val="center"/>
          </w:tcPr>
          <w:p w14:paraId="135C0408">
            <w:pPr>
              <w:pStyle w:val="161"/>
              <w:rPr>
                <w:rFonts w:ascii="Times New Roman"/>
                <w:b w:val="0"/>
                <w:highlight w:val="none"/>
              </w:rPr>
            </w:pPr>
            <w:r>
              <w:rPr>
                <w:rFonts w:ascii="Times New Roman" w:eastAsia="宋体"/>
                <w:b w:val="0"/>
                <w:highlight w:val="none"/>
                <w:lang w:val="en-US" w:eastAsia="zh-CN"/>
              </w:rPr>
              <w:t>推土机</w:t>
            </w:r>
          </w:p>
        </w:tc>
        <w:tc>
          <w:tcPr>
            <w:tcW w:w="3874" w:type="dxa"/>
            <w:tcBorders>
              <w:tl2br w:val="nil"/>
              <w:tr2bl w:val="nil"/>
            </w:tcBorders>
            <w:noWrap w:val="0"/>
            <w:vAlign w:val="center"/>
          </w:tcPr>
          <w:p w14:paraId="48E2C17C">
            <w:pPr>
              <w:pStyle w:val="161"/>
              <w:rPr>
                <w:rFonts w:ascii="Times New Roman"/>
                <w:b w:val="0"/>
                <w:highlight w:val="none"/>
              </w:rPr>
            </w:pPr>
            <w:r>
              <w:rPr>
                <w:rFonts w:ascii="Times New Roman" w:eastAsia="宋体"/>
                <w:b w:val="0"/>
                <w:highlight w:val="none"/>
                <w:lang w:val="en-US" w:eastAsia="zh-CN"/>
              </w:rPr>
              <w:t>85</w:t>
            </w:r>
          </w:p>
        </w:tc>
      </w:tr>
      <w:tr w14:paraId="3AF41F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85" w:type="dxa"/>
            <w:tcBorders>
              <w:tl2br w:val="nil"/>
              <w:tr2bl w:val="nil"/>
            </w:tcBorders>
            <w:noWrap w:val="0"/>
            <w:vAlign w:val="center"/>
          </w:tcPr>
          <w:p w14:paraId="69C32B56">
            <w:pPr>
              <w:pStyle w:val="161"/>
              <w:rPr>
                <w:rFonts w:ascii="Times New Roman"/>
                <w:highlight w:val="none"/>
              </w:rPr>
            </w:pPr>
            <w:r>
              <w:rPr>
                <w:rFonts w:ascii="Times New Roman"/>
                <w:highlight w:val="none"/>
              </w:rPr>
              <w:t>4</w:t>
            </w:r>
          </w:p>
        </w:tc>
        <w:tc>
          <w:tcPr>
            <w:tcW w:w="3261" w:type="dxa"/>
            <w:tcBorders>
              <w:tl2br w:val="nil"/>
              <w:tr2bl w:val="nil"/>
            </w:tcBorders>
            <w:noWrap w:val="0"/>
            <w:vAlign w:val="center"/>
          </w:tcPr>
          <w:p w14:paraId="652BB70D">
            <w:pPr>
              <w:pStyle w:val="161"/>
              <w:rPr>
                <w:rFonts w:ascii="Times New Roman"/>
                <w:b w:val="0"/>
                <w:highlight w:val="none"/>
              </w:rPr>
            </w:pPr>
            <w:r>
              <w:rPr>
                <w:rFonts w:ascii="Times New Roman"/>
                <w:b w:val="0"/>
                <w:highlight w:val="none"/>
              </w:rPr>
              <w:t>夯土机</w:t>
            </w:r>
          </w:p>
        </w:tc>
        <w:tc>
          <w:tcPr>
            <w:tcW w:w="3874" w:type="dxa"/>
            <w:tcBorders>
              <w:tl2br w:val="nil"/>
              <w:tr2bl w:val="nil"/>
            </w:tcBorders>
            <w:noWrap w:val="0"/>
            <w:vAlign w:val="center"/>
          </w:tcPr>
          <w:p w14:paraId="2D5B0C36">
            <w:pPr>
              <w:pStyle w:val="161"/>
              <w:rPr>
                <w:rFonts w:hint="default" w:ascii="Times New Roman"/>
                <w:b w:val="0"/>
                <w:highlight w:val="none"/>
                <w:lang w:val="en-US"/>
              </w:rPr>
            </w:pPr>
            <w:r>
              <w:rPr>
                <w:rFonts w:hint="eastAsia"/>
                <w:b w:val="0"/>
                <w:highlight w:val="none"/>
                <w:lang w:val="en-US" w:eastAsia="zh-CN"/>
              </w:rPr>
              <w:t>90</w:t>
            </w:r>
          </w:p>
        </w:tc>
      </w:tr>
      <w:tr w14:paraId="585DA1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85" w:type="dxa"/>
            <w:tcBorders>
              <w:tl2br w:val="nil"/>
              <w:tr2bl w:val="nil"/>
            </w:tcBorders>
            <w:noWrap w:val="0"/>
            <w:vAlign w:val="center"/>
          </w:tcPr>
          <w:p w14:paraId="019C5A90">
            <w:pPr>
              <w:pStyle w:val="161"/>
              <w:rPr>
                <w:rFonts w:ascii="Times New Roman"/>
                <w:highlight w:val="none"/>
              </w:rPr>
            </w:pPr>
            <w:r>
              <w:rPr>
                <w:rFonts w:ascii="Times New Roman"/>
                <w:highlight w:val="none"/>
              </w:rPr>
              <w:t>5</w:t>
            </w:r>
          </w:p>
        </w:tc>
        <w:tc>
          <w:tcPr>
            <w:tcW w:w="3261" w:type="dxa"/>
            <w:tcBorders>
              <w:tl2br w:val="nil"/>
              <w:tr2bl w:val="nil"/>
            </w:tcBorders>
            <w:noWrap w:val="0"/>
            <w:vAlign w:val="center"/>
          </w:tcPr>
          <w:p w14:paraId="756F7115">
            <w:pPr>
              <w:pStyle w:val="161"/>
              <w:rPr>
                <w:rFonts w:ascii="Times New Roman"/>
                <w:b w:val="0"/>
                <w:highlight w:val="none"/>
              </w:rPr>
            </w:pPr>
            <w:r>
              <w:rPr>
                <w:rFonts w:ascii="Times New Roman" w:eastAsia="宋体"/>
                <w:b w:val="0"/>
                <w:highlight w:val="none"/>
                <w:lang w:val="en-US" w:eastAsia="zh-CN"/>
              </w:rPr>
              <w:t>运输车辆</w:t>
            </w:r>
          </w:p>
        </w:tc>
        <w:tc>
          <w:tcPr>
            <w:tcW w:w="3874" w:type="dxa"/>
            <w:tcBorders>
              <w:tl2br w:val="nil"/>
              <w:tr2bl w:val="nil"/>
            </w:tcBorders>
            <w:noWrap w:val="0"/>
            <w:vAlign w:val="center"/>
          </w:tcPr>
          <w:p w14:paraId="35F7E4BC">
            <w:pPr>
              <w:pStyle w:val="161"/>
              <w:rPr>
                <w:rFonts w:ascii="Times New Roman"/>
                <w:b w:val="0"/>
                <w:highlight w:val="none"/>
              </w:rPr>
            </w:pPr>
            <w:r>
              <w:rPr>
                <w:rFonts w:ascii="Times New Roman" w:eastAsia="宋体"/>
                <w:b w:val="0"/>
                <w:highlight w:val="none"/>
                <w:lang w:val="en-US" w:eastAsia="zh-CN"/>
              </w:rPr>
              <w:t>85</w:t>
            </w:r>
          </w:p>
        </w:tc>
      </w:tr>
    </w:tbl>
    <w:p w14:paraId="503C7527">
      <w:pPr>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通过选用低噪声设备，规范设备操作，加强设备养护，晚22:00-早06:00禁止施工。采取以上措施后，施工场界噪声排放满足《建筑施工场界环境噪声排放标准》（GB12523-2011）的要求，与本项目施工场地最近的村落为距排土场东南侧厂界292m处的山环村居民，项目施工产生的噪声在村庄处的贡献值较小。建设阶段机械噪声对周边居民影响较小</w:t>
      </w:r>
      <w:r>
        <w:rPr>
          <w:rFonts w:hint="default" w:ascii="Times New Roman" w:hAnsi="Times New Roman" w:cs="Times New Roman"/>
          <w:color w:val="000000"/>
          <w:sz w:val="24"/>
          <w:highlight w:val="none"/>
        </w:rPr>
        <w:t>。</w:t>
      </w:r>
    </w:p>
    <w:p w14:paraId="49206E1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kern w:val="0"/>
          <w:sz w:val="24"/>
          <w:szCs w:val="21"/>
          <w:highlight w:val="none"/>
          <w:lang w:eastAsia="zh-CN"/>
        </w:rPr>
      </w:pPr>
      <w:r>
        <w:rPr>
          <w:rFonts w:hint="eastAsia" w:ascii="Times New Roman" w:hAnsi="Times New Roman" w:eastAsia="宋体" w:cs="Times New Roman"/>
          <w:b/>
          <w:bCs/>
          <w:color w:val="000000"/>
          <w:kern w:val="0"/>
          <w:sz w:val="24"/>
          <w:szCs w:val="21"/>
          <w:highlight w:val="none"/>
          <w:lang w:eastAsia="zh-CN"/>
        </w:rPr>
        <w:t>（</w:t>
      </w:r>
      <w:r>
        <w:rPr>
          <w:rFonts w:hint="eastAsia" w:ascii="Times New Roman" w:hAnsi="Times New Roman" w:eastAsia="宋体" w:cs="Times New Roman"/>
          <w:b/>
          <w:bCs/>
          <w:color w:val="000000"/>
          <w:kern w:val="0"/>
          <w:sz w:val="24"/>
          <w:szCs w:val="21"/>
          <w:highlight w:val="none"/>
          <w:lang w:val="en-US" w:eastAsia="zh-CN"/>
        </w:rPr>
        <w:t>4</w:t>
      </w:r>
      <w:r>
        <w:rPr>
          <w:rFonts w:hint="eastAsia" w:ascii="Times New Roman" w:hAnsi="Times New Roman" w:eastAsia="宋体" w:cs="Times New Roman"/>
          <w:b/>
          <w:bCs/>
          <w:color w:val="000000"/>
          <w:kern w:val="0"/>
          <w:sz w:val="24"/>
          <w:szCs w:val="21"/>
          <w:highlight w:val="none"/>
          <w:lang w:eastAsia="zh-CN"/>
        </w:rPr>
        <w:t>）</w:t>
      </w:r>
      <w:r>
        <w:rPr>
          <w:rFonts w:hint="default" w:ascii="Times New Roman" w:hAnsi="Times New Roman" w:eastAsia="宋体" w:cs="Times New Roman"/>
          <w:b/>
          <w:bCs/>
          <w:color w:val="000000"/>
          <w:kern w:val="0"/>
          <w:sz w:val="24"/>
          <w:szCs w:val="21"/>
          <w:highlight w:val="none"/>
          <w:lang w:eastAsia="zh-CN"/>
        </w:rPr>
        <w:t>固体废物主要污染源源强核算</w:t>
      </w:r>
    </w:p>
    <w:p w14:paraId="6A3890CC">
      <w:pPr>
        <w:pageBreakBefore w:val="0"/>
        <w:widowControl w:val="0"/>
        <w:kinsoku/>
        <w:wordWrap/>
        <w:overflowPunct/>
        <w:topLinePunct w:val="0"/>
        <w:bidi w:val="0"/>
        <w:spacing w:line="360" w:lineRule="auto"/>
        <w:ind w:firstLine="480" w:firstLineChars="200"/>
        <w:textAlignment w:val="auto"/>
        <w:rPr>
          <w:rFonts w:hint="eastAsia" w:cs="Times New Roman"/>
          <w:sz w:val="24"/>
          <w:szCs w:val="24"/>
          <w:highlight w:val="none"/>
          <w:lang w:val="en-US" w:eastAsia="zh-CN"/>
        </w:rPr>
      </w:pPr>
      <w:r>
        <w:rPr>
          <w:rFonts w:hint="eastAsia" w:cs="Times New Roman"/>
          <w:sz w:val="24"/>
          <w:szCs w:val="24"/>
          <w:highlight w:val="none"/>
          <w:lang w:val="en-US" w:eastAsia="zh-CN"/>
        </w:rPr>
        <w:t>项目建设阶段固体废物主要为剥离表土、废石、清除尾砂和生活垃圾。</w:t>
      </w:r>
    </w:p>
    <w:p w14:paraId="7B7BDE20">
      <w:pPr>
        <w:pageBreakBefore w:val="0"/>
        <w:widowControl w:val="0"/>
        <w:kinsoku/>
        <w:wordWrap/>
        <w:overflowPunct/>
        <w:topLinePunct w:val="0"/>
        <w:bidi w:val="0"/>
        <w:spacing w:line="360" w:lineRule="auto"/>
        <w:ind w:firstLine="480" w:firstLineChars="200"/>
        <w:textAlignment w:val="auto"/>
        <w:rPr>
          <w:rFonts w:hint="default" w:cs="Times New Roman"/>
          <w:sz w:val="24"/>
          <w:szCs w:val="24"/>
          <w:highlight w:val="none"/>
          <w:lang w:val="en-US" w:eastAsia="zh-CN"/>
        </w:rPr>
      </w:pPr>
      <w:r>
        <w:rPr>
          <w:rFonts w:hint="eastAsia" w:ascii="Times New Roman" w:hAnsi="Times New Roman" w:cs="Times New Roman"/>
          <w:sz w:val="24"/>
          <w:szCs w:val="22"/>
          <w:highlight w:val="none"/>
          <w:lang w:val="en-US" w:eastAsia="zh-CN"/>
        </w:rPr>
        <w:t>项目在已闭库尾矿库上建设，已进行生态恢复。排土场占地范围尾矿库未堆存区域，</w:t>
      </w:r>
      <w:r>
        <w:rPr>
          <w:rFonts w:hint="eastAsia" w:cs="Times New Roman"/>
          <w:sz w:val="24"/>
          <w:szCs w:val="24"/>
          <w:highlight w:val="none"/>
          <w:lang w:val="en-US" w:eastAsia="zh-CN"/>
        </w:rPr>
        <w:t>排土场建设前需剥离表土、清除废石，表土、废石产生量分别为4870</w:t>
      </w:r>
      <w:r>
        <w:rPr>
          <w:rFonts w:hint="eastAsia" w:cs="Times New Roman"/>
          <w:color w:val="auto"/>
          <w:sz w:val="24"/>
          <w:szCs w:val="24"/>
          <w:highlight w:val="none"/>
          <w:lang w:val="en-US" w:eastAsia="zh-CN"/>
        </w:rPr>
        <w:t>m</w:t>
      </w:r>
      <w:r>
        <w:rPr>
          <w:rFonts w:hint="eastAsia" w:cs="Times New Roman"/>
          <w:color w:val="auto"/>
          <w:sz w:val="24"/>
          <w:szCs w:val="24"/>
          <w:highlight w:val="none"/>
          <w:vertAlign w:val="superscript"/>
          <w:lang w:val="en-US" w:eastAsia="zh-CN"/>
        </w:rPr>
        <w:t>3</w:t>
      </w:r>
      <w:r>
        <w:rPr>
          <w:rFonts w:hint="eastAsia" w:cs="Times New Roman"/>
          <w:sz w:val="24"/>
          <w:szCs w:val="24"/>
          <w:highlight w:val="none"/>
          <w:lang w:val="en-US" w:eastAsia="zh-CN"/>
        </w:rPr>
        <w:t>、10530</w:t>
      </w:r>
      <w:r>
        <w:rPr>
          <w:rFonts w:hint="eastAsia" w:cs="Times New Roman"/>
          <w:color w:val="auto"/>
          <w:sz w:val="24"/>
          <w:szCs w:val="24"/>
          <w:highlight w:val="none"/>
          <w:lang w:val="en-US" w:eastAsia="zh-CN"/>
        </w:rPr>
        <w:t>m</w:t>
      </w:r>
      <w:r>
        <w:rPr>
          <w:rFonts w:hint="eastAsia" w:cs="Times New Roman"/>
          <w:color w:val="auto"/>
          <w:sz w:val="24"/>
          <w:szCs w:val="24"/>
          <w:highlight w:val="none"/>
          <w:vertAlign w:val="superscript"/>
          <w:lang w:val="en-US" w:eastAsia="zh-CN"/>
        </w:rPr>
        <w:t>3</w:t>
      </w:r>
      <w:r>
        <w:rPr>
          <w:rFonts w:hint="eastAsia" w:cs="Times New Roman"/>
          <w:sz w:val="24"/>
          <w:szCs w:val="24"/>
          <w:highlight w:val="none"/>
          <w:lang w:val="en-US" w:eastAsia="zh-CN"/>
        </w:rPr>
        <w:t>，土石方总量为15400</w:t>
      </w:r>
      <w:r>
        <w:rPr>
          <w:rFonts w:hint="eastAsia" w:cs="Times New Roman"/>
          <w:color w:val="auto"/>
          <w:sz w:val="24"/>
          <w:szCs w:val="24"/>
          <w:highlight w:val="none"/>
          <w:lang w:val="en-US" w:eastAsia="zh-CN"/>
        </w:rPr>
        <w:t>m</w:t>
      </w:r>
      <w:r>
        <w:rPr>
          <w:rFonts w:hint="eastAsia" w:cs="Times New Roman"/>
          <w:color w:val="auto"/>
          <w:sz w:val="24"/>
          <w:szCs w:val="24"/>
          <w:highlight w:val="none"/>
          <w:vertAlign w:val="superscript"/>
          <w:lang w:val="en-US" w:eastAsia="zh-CN"/>
        </w:rPr>
        <w:t>3</w:t>
      </w:r>
      <w:r>
        <w:rPr>
          <w:rFonts w:hint="eastAsia" w:cs="Times New Roman"/>
          <w:sz w:val="24"/>
          <w:szCs w:val="24"/>
          <w:highlight w:val="none"/>
          <w:lang w:val="en-US" w:eastAsia="zh-CN"/>
        </w:rPr>
        <w:t>。剥离的表土贮存于本项目排土场内，表土堆场四周建设围堰，表层进行遮盖，防止流失，备用于排土场阶段性绿化和生态恢复工程；废石用于场地整理、挡石坝建设等。</w:t>
      </w:r>
    </w:p>
    <w:p w14:paraId="1C162767">
      <w:pPr>
        <w:pageBreakBefore w:val="0"/>
        <w:widowControl w:val="0"/>
        <w:kinsoku/>
        <w:wordWrap/>
        <w:overflowPunct/>
        <w:topLinePunct w:val="0"/>
        <w:bidi w:val="0"/>
        <w:spacing w:line="360" w:lineRule="auto"/>
        <w:ind w:firstLine="480" w:firstLineChars="200"/>
        <w:textAlignment w:val="auto"/>
        <w:rPr>
          <w:rFonts w:hint="default" w:cs="Times New Roman"/>
          <w:sz w:val="24"/>
          <w:szCs w:val="24"/>
          <w:highlight w:val="none"/>
          <w:lang w:val="en-US" w:eastAsia="zh-CN"/>
        </w:rPr>
      </w:pPr>
      <w:r>
        <w:rPr>
          <w:rFonts w:hint="eastAsia" w:cs="Times New Roman"/>
          <w:sz w:val="24"/>
          <w:szCs w:val="24"/>
          <w:highlight w:val="none"/>
          <w:lang w:val="en-US" w:eastAsia="zh-CN"/>
        </w:rPr>
        <w:t>建设阶段土石方平衡见下表。</w:t>
      </w:r>
    </w:p>
    <w:p w14:paraId="35C7FAAF">
      <w:pPr>
        <w:numPr>
          <w:ilvl w:val="0"/>
          <w:numId w:val="20"/>
        </w:numPr>
        <w:adjustRightInd w:val="0"/>
        <w:snapToGrid w:val="0"/>
        <w:jc w:val="center"/>
        <w:rPr>
          <w:b/>
          <w:bCs w:val="0"/>
          <w:spacing w:val="2"/>
          <w:sz w:val="21"/>
          <w:szCs w:val="21"/>
          <w:highlight w:val="none"/>
        </w:rPr>
      </w:pPr>
      <w:r>
        <w:rPr>
          <w:rFonts w:hint="eastAsia"/>
          <w:b/>
          <w:bCs w:val="0"/>
          <w:spacing w:val="2"/>
          <w:sz w:val="21"/>
          <w:szCs w:val="21"/>
          <w:highlight w:val="none"/>
          <w:lang w:val="en-US" w:eastAsia="zh-CN"/>
        </w:rPr>
        <w:t>土石方平衡表  单位：</w:t>
      </w:r>
      <w:r>
        <w:rPr>
          <w:rFonts w:hint="eastAsia" w:cs="Times New Roman"/>
          <w:b/>
          <w:bCs w:val="0"/>
          <w:color w:val="auto"/>
          <w:sz w:val="21"/>
          <w:szCs w:val="21"/>
          <w:highlight w:val="none"/>
          <w:lang w:val="en-US" w:eastAsia="zh-CN"/>
        </w:rPr>
        <w:t>m</w:t>
      </w:r>
      <w:r>
        <w:rPr>
          <w:rFonts w:hint="eastAsia" w:cs="Times New Roman"/>
          <w:b/>
          <w:bCs w:val="0"/>
          <w:color w:val="auto"/>
          <w:sz w:val="21"/>
          <w:szCs w:val="21"/>
          <w:highlight w:val="none"/>
          <w:vertAlign w:val="superscript"/>
          <w:lang w:val="en-US" w:eastAsia="zh-CN"/>
        </w:rPr>
        <w:t>3</w:t>
      </w:r>
    </w:p>
    <w:tbl>
      <w:tblPr>
        <w:tblStyle w:val="5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774"/>
        <w:gridCol w:w="2289"/>
        <w:gridCol w:w="2106"/>
        <w:gridCol w:w="2356"/>
      </w:tblGrid>
      <w:tr w14:paraId="0EE33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2" w:hRule="atLeast"/>
        </w:trPr>
        <w:tc>
          <w:tcPr>
            <w:tcW w:w="1040" w:type="pct"/>
            <w:tcBorders>
              <w:top w:val="single" w:color="000000" w:sz="4" w:space="0"/>
              <w:left w:val="single" w:color="000000" w:sz="4" w:space="0"/>
              <w:bottom w:val="single" w:color="000000" w:sz="4" w:space="0"/>
              <w:right w:val="single" w:color="000000" w:sz="4" w:space="0"/>
            </w:tcBorders>
            <w:noWrap w:val="0"/>
            <w:vAlign w:val="center"/>
          </w:tcPr>
          <w:p w14:paraId="5532C724">
            <w:pPr>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Times New Roman" w:hAnsi="Times New Roman" w:eastAsia="宋体" w:cs="Times New Roman"/>
                <w:b/>
                <w:bCs/>
                <w:i w:val="0"/>
                <w:iCs w:val="0"/>
                <w:color w:val="auto"/>
                <w:sz w:val="21"/>
                <w:szCs w:val="21"/>
                <w:highlight w:val="none"/>
                <w:u w:val="none"/>
                <w:lang w:val="en-US" w:eastAsia="zh-CN"/>
              </w:rPr>
              <w:t>项目</w:t>
            </w:r>
          </w:p>
        </w:tc>
        <w:tc>
          <w:tcPr>
            <w:tcW w:w="1342" w:type="pct"/>
            <w:tcBorders>
              <w:top w:val="single" w:color="000000" w:sz="4" w:space="0"/>
              <w:left w:val="single" w:color="000000" w:sz="4" w:space="0"/>
              <w:bottom w:val="single" w:color="000000" w:sz="4" w:space="0"/>
              <w:right w:val="single" w:color="000000" w:sz="4" w:space="0"/>
            </w:tcBorders>
            <w:noWrap w:val="0"/>
            <w:vAlign w:val="center"/>
          </w:tcPr>
          <w:p w14:paraId="11AE65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土方</w:t>
            </w:r>
          </w:p>
        </w:tc>
        <w:tc>
          <w:tcPr>
            <w:tcW w:w="1235" w:type="pct"/>
            <w:tcBorders>
              <w:top w:val="single" w:color="000000" w:sz="4" w:space="0"/>
              <w:left w:val="single" w:color="000000" w:sz="4" w:space="0"/>
              <w:bottom w:val="single" w:color="000000" w:sz="4" w:space="0"/>
              <w:right w:val="single" w:color="000000" w:sz="4" w:space="0"/>
            </w:tcBorders>
            <w:noWrap w:val="0"/>
            <w:vAlign w:val="center"/>
          </w:tcPr>
          <w:p w14:paraId="2EBCE0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石方</w:t>
            </w:r>
          </w:p>
        </w:tc>
        <w:tc>
          <w:tcPr>
            <w:tcW w:w="138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DA12B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r>
              <w:rPr>
                <w:rFonts w:hint="default" w:ascii="Times New Roman" w:hAnsi="Times New Roman" w:eastAsia="宋体" w:cs="Times New Roman"/>
                <w:b/>
                <w:bCs/>
                <w:i w:val="0"/>
                <w:iCs w:val="0"/>
                <w:color w:val="auto"/>
                <w:kern w:val="0"/>
                <w:sz w:val="21"/>
                <w:szCs w:val="21"/>
                <w:highlight w:val="none"/>
                <w:u w:val="none"/>
                <w:lang w:val="en-US" w:eastAsia="zh-CN" w:bidi="ar"/>
              </w:rPr>
              <w:t>总量</w:t>
            </w:r>
          </w:p>
        </w:tc>
      </w:tr>
      <w:tr w14:paraId="7EE5E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trPr>
        <w:tc>
          <w:tcPr>
            <w:tcW w:w="1040" w:type="pct"/>
            <w:tcBorders>
              <w:top w:val="single" w:color="000000" w:sz="4" w:space="0"/>
              <w:left w:val="single" w:color="000000" w:sz="4" w:space="0"/>
              <w:bottom w:val="single" w:color="000000" w:sz="4" w:space="0"/>
              <w:right w:val="single" w:color="000000" w:sz="4" w:space="0"/>
            </w:tcBorders>
            <w:noWrap w:val="0"/>
            <w:vAlign w:val="center"/>
          </w:tcPr>
          <w:p w14:paraId="4D0416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挖方</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1418E8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4870</w:t>
            </w:r>
          </w:p>
        </w:tc>
        <w:tc>
          <w:tcPr>
            <w:tcW w:w="1235" w:type="pct"/>
            <w:tcBorders>
              <w:top w:val="single" w:color="000000" w:sz="4" w:space="0"/>
              <w:left w:val="single" w:color="000000" w:sz="4" w:space="0"/>
              <w:bottom w:val="single" w:color="000000" w:sz="4" w:space="0"/>
              <w:right w:val="single" w:color="000000" w:sz="4" w:space="0"/>
            </w:tcBorders>
            <w:noWrap/>
            <w:vAlign w:val="center"/>
          </w:tcPr>
          <w:p w14:paraId="44D15A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10530</w:t>
            </w:r>
          </w:p>
        </w:tc>
        <w:tc>
          <w:tcPr>
            <w:tcW w:w="1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BA1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kern w:val="2"/>
                <w:sz w:val="21"/>
                <w:szCs w:val="21"/>
                <w:highlight w:val="none"/>
                <w:u w:val="none"/>
                <w:lang w:val="en-US" w:eastAsia="zh-CN" w:bidi="ar-SA"/>
              </w:rPr>
              <w:t>15400</w:t>
            </w:r>
          </w:p>
        </w:tc>
      </w:tr>
      <w:tr w14:paraId="314376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trPr>
        <w:tc>
          <w:tcPr>
            <w:tcW w:w="1040" w:type="pct"/>
            <w:tcBorders>
              <w:top w:val="single" w:color="000000" w:sz="4" w:space="0"/>
              <w:left w:val="single" w:color="000000" w:sz="4" w:space="0"/>
              <w:bottom w:val="single" w:color="000000" w:sz="4" w:space="0"/>
              <w:right w:val="single" w:color="000000" w:sz="4" w:space="0"/>
            </w:tcBorders>
            <w:noWrap w:val="0"/>
            <w:vAlign w:val="center"/>
          </w:tcPr>
          <w:p w14:paraId="237420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填方</w:t>
            </w:r>
          </w:p>
        </w:tc>
        <w:tc>
          <w:tcPr>
            <w:tcW w:w="1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1BB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kern w:val="2"/>
                <w:sz w:val="21"/>
                <w:szCs w:val="21"/>
                <w:highlight w:val="none"/>
                <w:u w:val="none"/>
                <w:lang w:val="en-US" w:eastAsia="zh-CN" w:bidi="ar-SA"/>
              </w:rPr>
              <w:t>4870</w:t>
            </w:r>
          </w:p>
        </w:tc>
        <w:tc>
          <w:tcPr>
            <w:tcW w:w="12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BE2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kern w:val="2"/>
                <w:sz w:val="21"/>
                <w:szCs w:val="21"/>
                <w:highlight w:val="none"/>
                <w:u w:val="none"/>
                <w:lang w:val="en-US" w:eastAsia="zh-CN" w:bidi="ar-SA"/>
              </w:rPr>
              <w:t>10530</w:t>
            </w:r>
          </w:p>
        </w:tc>
        <w:tc>
          <w:tcPr>
            <w:tcW w:w="1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E12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Times New Roman"/>
                <w:i w:val="0"/>
                <w:iCs w:val="0"/>
                <w:color w:val="auto"/>
                <w:kern w:val="2"/>
                <w:sz w:val="21"/>
                <w:szCs w:val="21"/>
                <w:highlight w:val="none"/>
                <w:u w:val="none"/>
                <w:lang w:val="en-US" w:eastAsia="zh-CN" w:bidi="ar-SA"/>
              </w:rPr>
              <w:t>15400</w:t>
            </w:r>
          </w:p>
        </w:tc>
      </w:tr>
      <w:tr w14:paraId="0E3E67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trPr>
        <w:tc>
          <w:tcPr>
            <w:tcW w:w="1040" w:type="pct"/>
            <w:tcBorders>
              <w:top w:val="single" w:color="000000" w:sz="4" w:space="0"/>
              <w:left w:val="single" w:color="000000" w:sz="4" w:space="0"/>
              <w:bottom w:val="single" w:color="000000" w:sz="4" w:space="0"/>
              <w:right w:val="single" w:color="000000" w:sz="4" w:space="0"/>
            </w:tcBorders>
            <w:noWrap w:val="0"/>
            <w:vAlign w:val="center"/>
          </w:tcPr>
          <w:p w14:paraId="4F8BE4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弃方</w:t>
            </w:r>
          </w:p>
        </w:tc>
        <w:tc>
          <w:tcPr>
            <w:tcW w:w="1342" w:type="pct"/>
            <w:tcBorders>
              <w:top w:val="single" w:color="000000" w:sz="4" w:space="0"/>
              <w:left w:val="single" w:color="000000" w:sz="4" w:space="0"/>
              <w:bottom w:val="single" w:color="000000" w:sz="4" w:space="0"/>
              <w:right w:val="single" w:color="000000" w:sz="4" w:space="0"/>
            </w:tcBorders>
            <w:noWrap/>
            <w:vAlign w:val="center"/>
          </w:tcPr>
          <w:p w14:paraId="37B54E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235" w:type="pct"/>
            <w:tcBorders>
              <w:top w:val="single" w:color="000000" w:sz="4" w:space="0"/>
              <w:left w:val="single" w:color="000000" w:sz="4" w:space="0"/>
              <w:bottom w:val="single" w:color="000000" w:sz="4" w:space="0"/>
              <w:right w:val="single" w:color="000000" w:sz="4" w:space="0"/>
            </w:tcBorders>
            <w:noWrap/>
            <w:vAlign w:val="center"/>
          </w:tcPr>
          <w:p w14:paraId="0145A18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381" w:type="pct"/>
            <w:tcBorders>
              <w:top w:val="single" w:color="000000" w:sz="4" w:space="0"/>
              <w:left w:val="single" w:color="000000" w:sz="4" w:space="0"/>
              <w:bottom w:val="single" w:color="000000" w:sz="4" w:space="0"/>
              <w:right w:val="single" w:color="000000" w:sz="4" w:space="0"/>
            </w:tcBorders>
            <w:noWrap/>
            <w:vAlign w:val="center"/>
          </w:tcPr>
          <w:p w14:paraId="49FD5A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r>
    </w:tbl>
    <w:p w14:paraId="12464F59">
      <w:pPr>
        <w:pageBreakBefore w:val="0"/>
        <w:widowControl w:val="0"/>
        <w:kinsoku/>
        <w:wordWrap/>
        <w:overflowPunct/>
        <w:topLinePunct w:val="0"/>
        <w:bidi w:val="0"/>
        <w:spacing w:line="360" w:lineRule="auto"/>
        <w:ind w:firstLine="480" w:firstLineChars="200"/>
        <w:textAlignment w:val="auto"/>
        <w:rPr>
          <w:rFonts w:hint="eastAsia" w:cs="Times New Roman"/>
          <w:sz w:val="24"/>
          <w:szCs w:val="24"/>
          <w:highlight w:val="none"/>
          <w:lang w:val="en-US" w:eastAsia="zh-CN"/>
        </w:rPr>
      </w:pPr>
      <w:r>
        <w:rPr>
          <w:rFonts w:hint="eastAsia" w:cs="Times New Roman"/>
          <w:sz w:val="24"/>
          <w:szCs w:val="24"/>
          <w:highlight w:val="none"/>
          <w:lang w:val="en-US" w:eastAsia="zh-CN"/>
        </w:rPr>
        <w:t>生活垃圾集中收集于固定的垃圾收集点，定期交由当地环卫部门处置。</w:t>
      </w:r>
    </w:p>
    <w:p w14:paraId="07A8FC97">
      <w:pPr>
        <w:pageBreakBefore w:val="0"/>
        <w:widowControl w:val="0"/>
        <w:kinsoku/>
        <w:wordWrap/>
        <w:overflowPunct/>
        <w:topLinePunct w:val="0"/>
        <w:bidi w:val="0"/>
        <w:spacing w:line="360" w:lineRule="auto"/>
        <w:ind w:firstLine="480" w:firstLineChars="200"/>
        <w:textAlignment w:val="auto"/>
        <w:rPr>
          <w:rFonts w:hint="eastAsia" w:ascii="Times New Roman" w:hAnsi="Times New Roman" w:cs="Times New Roman"/>
          <w:color w:val="000000"/>
          <w:kern w:val="0"/>
          <w:sz w:val="24"/>
          <w:szCs w:val="21"/>
          <w:highlight w:val="none"/>
          <w:lang w:eastAsia="zh-CN"/>
        </w:rPr>
      </w:pPr>
      <w:r>
        <w:rPr>
          <w:rFonts w:hint="eastAsia" w:cs="Times New Roman"/>
          <w:sz w:val="24"/>
          <w:szCs w:val="24"/>
          <w:highlight w:val="none"/>
          <w:lang w:val="en-US" w:eastAsia="zh-CN"/>
        </w:rPr>
        <w:t>项目建设阶段固体废物最大限度的实现资源化利用，少量无回用价值的合理处置，不排入外环境。对区域环境影响较小</w:t>
      </w:r>
      <w:r>
        <w:rPr>
          <w:rFonts w:hint="eastAsia" w:ascii="Times New Roman" w:hAnsi="Times New Roman" w:cs="Times New Roman"/>
          <w:color w:val="000000"/>
          <w:kern w:val="0"/>
          <w:sz w:val="24"/>
          <w:szCs w:val="21"/>
          <w:highlight w:val="none"/>
          <w:lang w:eastAsia="zh-CN"/>
        </w:rPr>
        <w:t>。</w:t>
      </w:r>
    </w:p>
    <w:p w14:paraId="29DD5A4C">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bookmarkStart w:id="186" w:name="_Toc9543"/>
      <w:r>
        <w:rPr>
          <w:rFonts w:hint="eastAsia" w:ascii="Times New Roman" w:hAnsi="Times New Roman" w:eastAsia="宋体" w:cs="Times New Roman"/>
          <w:b/>
          <w:sz w:val="24"/>
          <w:szCs w:val="24"/>
          <w:highlight w:val="none"/>
          <w:lang w:val="en-US" w:eastAsia="zh-CN"/>
        </w:rPr>
        <w:t>3.</w:t>
      </w:r>
      <w:r>
        <w:rPr>
          <w:rFonts w:hint="eastAsia" w:cs="Times New Roman"/>
          <w:b/>
          <w:sz w:val="24"/>
          <w:szCs w:val="24"/>
          <w:highlight w:val="none"/>
          <w:lang w:val="en-US" w:eastAsia="zh-CN"/>
        </w:rPr>
        <w:t>1.9</w:t>
      </w:r>
      <w:r>
        <w:rPr>
          <w:rFonts w:hint="eastAsia" w:ascii="Times New Roman" w:hAnsi="Times New Roman" w:eastAsia="宋体" w:cs="Times New Roman"/>
          <w:b/>
          <w:sz w:val="24"/>
          <w:szCs w:val="24"/>
          <w:highlight w:val="none"/>
          <w:lang w:val="en-US" w:eastAsia="zh-CN"/>
        </w:rPr>
        <w:t>.</w:t>
      </w:r>
      <w:r>
        <w:rPr>
          <w:rFonts w:hint="eastAsia" w:ascii="Times New Roman" w:hAnsi="Times New Roman" w:cs="Times New Roman"/>
          <w:b/>
          <w:sz w:val="24"/>
          <w:szCs w:val="24"/>
          <w:highlight w:val="none"/>
          <w:lang w:val="en-US" w:eastAsia="zh-CN"/>
        </w:rPr>
        <w:t>2</w:t>
      </w:r>
      <w:r>
        <w:rPr>
          <w:rFonts w:hint="default" w:ascii="Times New Roman" w:hAnsi="Times New Roman" w:eastAsia="宋体" w:cs="Times New Roman"/>
          <w:b/>
          <w:sz w:val="24"/>
          <w:szCs w:val="24"/>
          <w:highlight w:val="none"/>
          <w:lang w:val="en-US" w:eastAsia="zh-CN"/>
        </w:rPr>
        <w:t>生产运行阶段</w:t>
      </w:r>
      <w:bookmarkEnd w:id="186"/>
      <w:r>
        <w:rPr>
          <w:rFonts w:hint="default" w:ascii="Times New Roman" w:hAnsi="Times New Roman" w:eastAsia="宋体" w:cs="Times New Roman"/>
          <w:b/>
          <w:sz w:val="24"/>
          <w:szCs w:val="24"/>
          <w:highlight w:val="none"/>
          <w:lang w:val="en-US" w:eastAsia="zh-CN"/>
        </w:rPr>
        <w:t>污染影响因素分析</w:t>
      </w:r>
      <w:r>
        <w:rPr>
          <w:rFonts w:hint="eastAsia" w:ascii="Times New Roman" w:hAnsi="Times New Roman" w:eastAsia="宋体" w:cs="Times New Roman"/>
          <w:b/>
          <w:sz w:val="24"/>
          <w:szCs w:val="24"/>
          <w:highlight w:val="none"/>
          <w:lang w:val="en-US" w:eastAsia="zh-CN"/>
        </w:rPr>
        <w:t>及</w:t>
      </w:r>
      <w:r>
        <w:rPr>
          <w:rFonts w:hint="default" w:ascii="Times New Roman" w:hAnsi="Times New Roman" w:eastAsia="宋体" w:cs="Times New Roman"/>
          <w:b/>
          <w:sz w:val="24"/>
          <w:szCs w:val="24"/>
          <w:highlight w:val="none"/>
          <w:lang w:val="en-US" w:eastAsia="zh-CN"/>
        </w:rPr>
        <w:t>源强核算</w:t>
      </w:r>
    </w:p>
    <w:p w14:paraId="5D8FA00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3"/>
        <w:rPr>
          <w:rFonts w:hint="default" w:ascii="Times New Roman" w:hAnsi="Times New Roman" w:eastAsia="宋体" w:cs="Times New Roman"/>
          <w:b/>
          <w:sz w:val="24"/>
          <w:szCs w:val="24"/>
          <w:highlight w:val="none"/>
          <w:lang w:val="en-US" w:eastAsia="zh-CN"/>
        </w:rPr>
      </w:pPr>
      <w:r>
        <w:rPr>
          <w:rFonts w:hint="eastAsia" w:cs="Times New Roman"/>
          <w:b/>
          <w:sz w:val="24"/>
          <w:szCs w:val="24"/>
          <w:highlight w:val="none"/>
          <w:lang w:val="en-US" w:eastAsia="zh-CN"/>
        </w:rPr>
        <w:t>（1）</w:t>
      </w:r>
      <w:r>
        <w:rPr>
          <w:rFonts w:hint="default" w:ascii="Times New Roman" w:hAnsi="Times New Roman" w:eastAsia="宋体" w:cs="Times New Roman"/>
          <w:b/>
          <w:sz w:val="24"/>
          <w:szCs w:val="24"/>
          <w:highlight w:val="none"/>
          <w:lang w:val="en-US" w:eastAsia="zh-CN"/>
        </w:rPr>
        <w:t>大气污染源强核算</w:t>
      </w:r>
    </w:p>
    <w:p w14:paraId="3F15E7D8">
      <w:pPr>
        <w:autoSpaceDE w:val="0"/>
        <w:autoSpaceDN w:val="0"/>
        <w:adjustRightInd w:val="0"/>
        <w:spacing w:line="360" w:lineRule="auto"/>
        <w:ind w:firstLine="480" w:firstLineChars="200"/>
        <w:rPr>
          <w:rFonts w:hint="default" w:ascii="Times New Roman" w:hAnsi="Times New Roman" w:cs="Times New Roman"/>
          <w:color w:val="auto"/>
          <w:sz w:val="24"/>
          <w:highlight w:val="none"/>
        </w:rPr>
      </w:pPr>
      <w:r>
        <w:rPr>
          <w:rFonts w:ascii="Times New Roman" w:hAnsi="Times New Roman"/>
          <w:color w:val="auto"/>
          <w:sz w:val="24"/>
          <w:szCs w:val="32"/>
          <w:highlight w:val="none"/>
        </w:rPr>
        <w:t>项目生产运行阶段废气为</w:t>
      </w:r>
      <w:r>
        <w:rPr>
          <w:rFonts w:hint="eastAsia" w:cs="Times New Roman"/>
          <w:color w:val="auto"/>
          <w:kern w:val="0"/>
          <w:sz w:val="24"/>
          <w:szCs w:val="21"/>
          <w:highlight w:val="none"/>
          <w:lang w:val="en-US" w:eastAsia="zh-CN"/>
        </w:rPr>
        <w:t>运输扬尘、堆存扬尘、封场覆土扬尘</w:t>
      </w:r>
      <w:r>
        <w:rPr>
          <w:rFonts w:hint="eastAsia" w:ascii="Times New Roman" w:hAnsi="Times New Roman" w:cs="Times New Roman"/>
          <w:color w:val="auto"/>
          <w:kern w:val="0"/>
          <w:sz w:val="24"/>
          <w:szCs w:val="21"/>
          <w:highlight w:val="none"/>
          <w:lang w:val="en-US" w:eastAsia="zh-CN"/>
        </w:rPr>
        <w:t>，污染因子为TSP、PM</w:t>
      </w:r>
      <w:r>
        <w:rPr>
          <w:rFonts w:hint="eastAsia" w:ascii="Times New Roman" w:hAnsi="Times New Roman" w:cs="Times New Roman"/>
          <w:color w:val="auto"/>
          <w:kern w:val="0"/>
          <w:sz w:val="24"/>
          <w:szCs w:val="21"/>
          <w:highlight w:val="none"/>
          <w:vertAlign w:val="subscript"/>
          <w:lang w:val="en-US" w:eastAsia="zh-CN"/>
        </w:rPr>
        <w:t>10</w:t>
      </w:r>
      <w:r>
        <w:rPr>
          <w:rFonts w:hint="default" w:ascii="Times New Roman" w:hAnsi="Times New Roman" w:cs="Times New Roman"/>
          <w:color w:val="auto"/>
          <w:kern w:val="0"/>
          <w:sz w:val="24"/>
          <w:szCs w:val="21"/>
          <w:highlight w:val="none"/>
        </w:rPr>
        <w:t>。</w:t>
      </w:r>
    </w:p>
    <w:p w14:paraId="7CA8035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highlight w:val="none"/>
          <w:lang w:val="en-US" w:eastAsia="zh-CN"/>
        </w:rPr>
      </w:pPr>
      <w:bookmarkStart w:id="187" w:name="_Toc15189"/>
      <w:r>
        <w:rPr>
          <w:rFonts w:hint="eastAsia"/>
          <w:b/>
          <w:bCs/>
          <w:sz w:val="24"/>
          <w:szCs w:val="24"/>
          <w:highlight w:val="none"/>
          <w:lang w:val="en-US" w:eastAsia="zh-CN"/>
        </w:rPr>
        <w:t>①</w:t>
      </w:r>
      <w:bookmarkEnd w:id="187"/>
      <w:r>
        <w:rPr>
          <w:rFonts w:hint="eastAsia" w:ascii="Times New Roman" w:hAnsi="Times New Roman" w:eastAsia="宋体" w:cs="Times New Roman"/>
          <w:b/>
          <w:bCs/>
          <w:sz w:val="24"/>
          <w:szCs w:val="24"/>
          <w:highlight w:val="none"/>
          <w:lang w:val="en-US" w:eastAsia="zh-CN"/>
        </w:rPr>
        <w:t>运输扬尘</w:t>
      </w:r>
    </w:p>
    <w:p w14:paraId="161F8D3E">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sz w:val="24"/>
          <w:szCs w:val="24"/>
          <w:highlight w:val="none"/>
        </w:rPr>
      </w:pPr>
      <w:r>
        <w:rPr>
          <w:rFonts w:hint="eastAsia" w:ascii="Times New Roman" w:eastAsia="宋体"/>
          <w:sz w:val="24"/>
          <w:szCs w:val="24"/>
          <w:highlight w:val="none"/>
        </w:rPr>
        <w:t>采区至排土场依托利用承围支线至选厂，选厂至排土场依托利用尾矿库现有1条进场公路</w:t>
      </w:r>
      <w:r>
        <w:rPr>
          <w:rFonts w:hint="eastAsia"/>
          <w:sz w:val="24"/>
          <w:szCs w:val="24"/>
          <w:highlight w:val="none"/>
          <w:lang w:eastAsia="zh-CN"/>
        </w:rPr>
        <w:t>，</w:t>
      </w:r>
      <w:r>
        <w:rPr>
          <w:rFonts w:hint="eastAsia" w:ascii="Times New Roman" w:eastAsia="宋体"/>
          <w:sz w:val="24"/>
          <w:szCs w:val="24"/>
          <w:highlight w:val="none"/>
        </w:rPr>
        <w:t>本次新建运输道路总长1646m</w:t>
      </w:r>
      <w:r>
        <w:rPr>
          <w:rFonts w:ascii="Times New Roman" w:eastAsia="宋体"/>
          <w:sz w:val="24"/>
          <w:szCs w:val="24"/>
          <w:highlight w:val="none"/>
        </w:rPr>
        <w:t>，路宽</w:t>
      </w:r>
      <w:r>
        <w:rPr>
          <w:rFonts w:hint="eastAsia"/>
          <w:sz w:val="24"/>
          <w:szCs w:val="24"/>
          <w:highlight w:val="none"/>
          <w:lang w:val="en-US" w:eastAsia="zh-CN"/>
        </w:rPr>
        <w:t>6.5</w:t>
      </w:r>
      <w:r>
        <w:rPr>
          <w:rFonts w:ascii="Times New Roman" w:eastAsia="宋体"/>
          <w:sz w:val="24"/>
          <w:szCs w:val="24"/>
          <w:highlight w:val="none"/>
        </w:rPr>
        <w:t>m。此道路为排土设备、运输车辆及工作人员进出场的道路。道路扬尘主要为：路面表层干化浮土在车轮的冲击、碾压和尾气排气筒的冲击下激起的二次扬尘。</w:t>
      </w:r>
    </w:p>
    <w:p w14:paraId="37E89DB5">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运输道路扬尘按照下列公式计算，运输车辆重量按50t/车计，车速按</w:t>
      </w:r>
      <w:r>
        <w:rPr>
          <w:rFonts w:hint="eastAsia" w:ascii="Times New Roman" w:eastAsia="宋体"/>
          <w:sz w:val="24"/>
          <w:szCs w:val="24"/>
          <w:highlight w:val="none"/>
        </w:rPr>
        <w:t>2</w:t>
      </w:r>
      <w:r>
        <w:rPr>
          <w:rFonts w:ascii="Times New Roman" w:eastAsia="宋体"/>
          <w:sz w:val="24"/>
          <w:szCs w:val="24"/>
          <w:highlight w:val="none"/>
        </w:rPr>
        <w:t>0km/h计，P按0.003kg/m</w:t>
      </w:r>
      <w:r>
        <w:rPr>
          <w:rFonts w:ascii="Times New Roman" w:eastAsia="宋体"/>
          <w:sz w:val="24"/>
          <w:szCs w:val="24"/>
          <w:highlight w:val="none"/>
          <w:vertAlign w:val="superscript"/>
        </w:rPr>
        <w:t>2</w:t>
      </w:r>
      <w:r>
        <w:rPr>
          <w:rFonts w:ascii="Times New Roman" w:eastAsia="宋体"/>
          <w:sz w:val="24"/>
          <w:szCs w:val="24"/>
          <w:highlight w:val="none"/>
        </w:rPr>
        <w:t>计：</w:t>
      </w:r>
    </w:p>
    <w:p w14:paraId="2B393891">
      <w:pPr>
        <w:keepNext w:val="0"/>
        <w:keepLines w:val="0"/>
        <w:pageBreakBefore w:val="0"/>
        <w:widowControl w:val="0"/>
        <w:kinsoku/>
        <w:wordWrap/>
        <w:overflowPunct/>
        <w:topLinePunct w:val="0"/>
        <w:bidi w:val="0"/>
        <w:adjustRightInd w:val="0"/>
        <w:snapToGrid w:val="0"/>
        <w:spacing w:line="360" w:lineRule="auto"/>
        <w:ind w:firstLine="480" w:firstLineChars="200"/>
        <w:jc w:val="center"/>
        <w:textAlignment w:val="auto"/>
        <w:rPr>
          <w:rFonts w:ascii="Times New Roman"/>
          <w:sz w:val="24"/>
          <w:szCs w:val="24"/>
          <w:highlight w:val="none"/>
        </w:rPr>
      </w:pPr>
      <w:r>
        <w:rPr>
          <w:rFonts w:ascii="Times New Roman" w:eastAsia="宋体"/>
          <w:sz w:val="24"/>
          <w:szCs w:val="24"/>
          <w:highlight w:val="none"/>
        </w:rPr>
        <w:t>Qi=0.0097V×W</w:t>
      </w:r>
      <w:r>
        <w:rPr>
          <w:rFonts w:ascii="Times New Roman" w:eastAsia="宋体"/>
          <w:sz w:val="24"/>
          <w:szCs w:val="24"/>
          <w:highlight w:val="none"/>
          <w:vertAlign w:val="superscript"/>
        </w:rPr>
        <w:t>0.85</w:t>
      </w:r>
      <w:r>
        <w:rPr>
          <w:rFonts w:ascii="Times New Roman" w:eastAsia="宋体"/>
          <w:sz w:val="24"/>
          <w:szCs w:val="24"/>
          <w:highlight w:val="none"/>
        </w:rPr>
        <w:t>×P</w:t>
      </w:r>
      <w:r>
        <w:rPr>
          <w:rFonts w:ascii="Times New Roman" w:eastAsia="宋体"/>
          <w:sz w:val="24"/>
          <w:szCs w:val="24"/>
          <w:highlight w:val="none"/>
          <w:vertAlign w:val="superscript"/>
        </w:rPr>
        <w:t>0.72</w:t>
      </w:r>
    </w:p>
    <w:p w14:paraId="0E365D4C">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式中：Qi：每辆汽车行驶扬尘量，kg/km·辆；</w:t>
      </w:r>
    </w:p>
    <w:p w14:paraId="1A91C8E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V：汽车速度，km/h；</w:t>
      </w:r>
    </w:p>
    <w:p w14:paraId="200F5B7C">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W：汽车载重量，t；</w:t>
      </w:r>
    </w:p>
    <w:p w14:paraId="5C23A288">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P：道路表面粉尘量，kg/m</w:t>
      </w:r>
      <w:r>
        <w:rPr>
          <w:rFonts w:ascii="Times New Roman" w:eastAsia="宋体"/>
          <w:sz w:val="24"/>
          <w:szCs w:val="24"/>
          <w:highlight w:val="none"/>
          <w:vertAlign w:val="superscript"/>
        </w:rPr>
        <w:t>2</w:t>
      </w:r>
    </w:p>
    <w:p w14:paraId="7040355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经计算得每辆汽车行驶扬尘量为：0.</w:t>
      </w:r>
      <w:r>
        <w:rPr>
          <w:rFonts w:hint="eastAsia" w:ascii="Times New Roman" w:eastAsia="宋体"/>
          <w:sz w:val="24"/>
          <w:szCs w:val="24"/>
          <w:highlight w:val="none"/>
        </w:rPr>
        <w:t>082</w:t>
      </w:r>
      <w:r>
        <w:rPr>
          <w:rFonts w:ascii="Times New Roman" w:eastAsia="宋体"/>
          <w:sz w:val="24"/>
          <w:szCs w:val="24"/>
          <w:highlight w:val="none"/>
        </w:rPr>
        <w:t>kg/km·辆，本项目路长</w:t>
      </w:r>
      <w:r>
        <w:rPr>
          <w:rFonts w:hint="eastAsia"/>
          <w:sz w:val="24"/>
          <w:szCs w:val="24"/>
          <w:highlight w:val="none"/>
          <w:lang w:val="en-US" w:eastAsia="zh-CN"/>
        </w:rPr>
        <w:t>1646</w:t>
      </w:r>
      <w:r>
        <w:rPr>
          <w:rFonts w:ascii="Times New Roman" w:eastAsia="宋体"/>
          <w:sz w:val="24"/>
          <w:szCs w:val="24"/>
          <w:highlight w:val="none"/>
        </w:rPr>
        <w:t>m，每天</w:t>
      </w:r>
      <w:r>
        <w:rPr>
          <w:rFonts w:hint="eastAsia"/>
          <w:sz w:val="24"/>
          <w:szCs w:val="24"/>
          <w:highlight w:val="none"/>
          <w:lang w:val="en-US" w:eastAsia="zh-CN"/>
        </w:rPr>
        <w:t>往返共64</w:t>
      </w:r>
      <w:r>
        <w:rPr>
          <w:rFonts w:ascii="Times New Roman" w:eastAsia="宋体"/>
          <w:sz w:val="24"/>
          <w:szCs w:val="24"/>
          <w:highlight w:val="none"/>
        </w:rPr>
        <w:t>车次，则运输扬尘为</w:t>
      </w:r>
      <w:r>
        <w:rPr>
          <w:rFonts w:hint="eastAsia"/>
          <w:sz w:val="24"/>
          <w:szCs w:val="24"/>
          <w:highlight w:val="none"/>
          <w:lang w:val="en-US" w:eastAsia="zh-CN"/>
        </w:rPr>
        <w:t>8.65</w:t>
      </w:r>
      <w:r>
        <w:rPr>
          <w:rFonts w:ascii="Times New Roman" w:eastAsia="宋体"/>
          <w:sz w:val="24"/>
          <w:szCs w:val="24"/>
          <w:highlight w:val="none"/>
        </w:rPr>
        <w:t>kg/d，即为</w:t>
      </w:r>
      <w:r>
        <w:rPr>
          <w:rFonts w:hint="eastAsia"/>
          <w:sz w:val="24"/>
          <w:szCs w:val="24"/>
          <w:highlight w:val="none"/>
          <w:lang w:val="en-US" w:eastAsia="zh-CN"/>
        </w:rPr>
        <w:t>2.856</w:t>
      </w:r>
      <w:r>
        <w:rPr>
          <w:rFonts w:ascii="Times New Roman" w:eastAsia="宋体"/>
          <w:sz w:val="24"/>
          <w:szCs w:val="24"/>
          <w:highlight w:val="none"/>
        </w:rPr>
        <w:t>t/a。</w:t>
      </w:r>
    </w:p>
    <w:p w14:paraId="22315C30">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ascii="Times New Roman" w:eastAsia="宋体"/>
          <w:sz w:val="24"/>
          <w:szCs w:val="24"/>
          <w:highlight w:val="none"/>
        </w:rPr>
        <w:t>运输过程的主要污染为沿路抛洒和道路扬尘。因此，建设单位拟采取以下治理措施：</w:t>
      </w:r>
      <w:r>
        <w:rPr>
          <w:rFonts w:hint="eastAsia" w:ascii="Times New Roman" w:eastAsia="宋体"/>
          <w:sz w:val="24"/>
          <w:szCs w:val="24"/>
          <w:highlight w:val="none"/>
        </w:rPr>
        <w:t>①</w:t>
      </w:r>
      <w:r>
        <w:rPr>
          <w:rFonts w:ascii="Times New Roman" w:eastAsia="宋体"/>
          <w:sz w:val="24"/>
          <w:szCs w:val="24"/>
          <w:highlight w:val="none"/>
        </w:rPr>
        <w:t>运输车辆采取苫盖，限制汽车超载，避免车辆沿路抛洒；</w:t>
      </w:r>
      <w:r>
        <w:rPr>
          <w:rFonts w:hint="eastAsia" w:ascii="Times New Roman" w:eastAsia="宋体"/>
          <w:sz w:val="24"/>
          <w:szCs w:val="24"/>
          <w:highlight w:val="none"/>
        </w:rPr>
        <w:t>②</w:t>
      </w:r>
      <w:r>
        <w:rPr>
          <w:rFonts w:ascii="Times New Roman" w:eastAsia="宋体"/>
          <w:sz w:val="24"/>
          <w:szCs w:val="24"/>
          <w:highlight w:val="none"/>
        </w:rPr>
        <w:t>对厂内道路进行清扫和洒水，保持路面的湿度和清洁度；</w:t>
      </w:r>
      <w:r>
        <w:rPr>
          <w:rFonts w:hint="eastAsia" w:ascii="Times New Roman" w:eastAsia="宋体"/>
          <w:sz w:val="24"/>
          <w:szCs w:val="24"/>
          <w:highlight w:val="none"/>
        </w:rPr>
        <w:t>③</w:t>
      </w:r>
      <w:r>
        <w:rPr>
          <w:rFonts w:ascii="Times New Roman" w:eastAsia="宋体"/>
          <w:sz w:val="24"/>
          <w:szCs w:val="24"/>
          <w:highlight w:val="none"/>
        </w:rPr>
        <w:t>对场区进出口道路两侧进行绿化并将道路硬化，减少起尘量。采取以上措施后，除尘效率一般在</w:t>
      </w:r>
      <w:r>
        <w:rPr>
          <w:rFonts w:hint="eastAsia"/>
          <w:sz w:val="24"/>
          <w:szCs w:val="24"/>
          <w:highlight w:val="none"/>
          <w:lang w:val="en-US" w:eastAsia="zh-CN"/>
        </w:rPr>
        <w:t>7</w:t>
      </w:r>
      <w:r>
        <w:rPr>
          <w:rFonts w:hint="eastAsia" w:ascii="Times New Roman" w:eastAsia="宋体"/>
          <w:sz w:val="24"/>
          <w:szCs w:val="24"/>
          <w:highlight w:val="none"/>
        </w:rPr>
        <w:t>5</w:t>
      </w:r>
      <w:r>
        <w:rPr>
          <w:rFonts w:ascii="Times New Roman" w:eastAsia="宋体"/>
          <w:sz w:val="24"/>
          <w:szCs w:val="24"/>
          <w:highlight w:val="none"/>
        </w:rPr>
        <w:t>%以上，采取措施后</w:t>
      </w:r>
      <w:r>
        <w:rPr>
          <w:rFonts w:hint="eastAsia"/>
          <w:sz w:val="24"/>
          <w:szCs w:val="24"/>
          <w:highlight w:val="none"/>
          <w:lang w:val="en-US" w:eastAsia="zh-CN"/>
        </w:rPr>
        <w:t>扬尘排放量为0.714</w:t>
      </w:r>
      <w:r>
        <w:rPr>
          <w:rFonts w:ascii="Times New Roman" w:eastAsia="宋体"/>
          <w:sz w:val="24"/>
          <w:szCs w:val="24"/>
          <w:highlight w:val="none"/>
        </w:rPr>
        <w:t>t/a。</w:t>
      </w:r>
    </w:p>
    <w:p w14:paraId="2D70057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sz w:val="24"/>
          <w:szCs w:val="24"/>
          <w:highlight w:val="none"/>
          <w:lang w:val="en-US" w:eastAsia="zh-CN"/>
        </w:rPr>
      </w:pPr>
      <w:r>
        <w:rPr>
          <w:rFonts w:hint="eastAsia" w:cs="Times New Roman"/>
          <w:b/>
          <w:bCs/>
          <w:sz w:val="24"/>
          <w:szCs w:val="24"/>
          <w:highlight w:val="none"/>
          <w:lang w:val="en-US" w:eastAsia="zh-CN"/>
        </w:rPr>
        <w:t>②</w:t>
      </w:r>
      <w:r>
        <w:rPr>
          <w:rFonts w:hint="eastAsia"/>
          <w:b/>
          <w:bCs/>
          <w:sz w:val="24"/>
          <w:szCs w:val="24"/>
          <w:highlight w:val="none"/>
          <w:lang w:val="en-US" w:eastAsia="zh-CN"/>
        </w:rPr>
        <w:t>堆场扬尘</w:t>
      </w:r>
    </w:p>
    <w:p w14:paraId="1D16C445">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bookmarkStart w:id="188" w:name="_Toc14958"/>
      <w:r>
        <w:rPr>
          <w:rFonts w:hint="eastAsia" w:ascii="Times New Roman" w:hAnsi="Times New Roman" w:eastAsia="宋体" w:cs="Times New Roman"/>
          <w:color w:val="auto"/>
          <w:sz w:val="24"/>
          <w:szCs w:val="24"/>
          <w:highlight w:val="none"/>
          <w:lang w:val="en-US" w:eastAsia="zh-CN"/>
        </w:rPr>
        <w:t>堆场扬尘</w:t>
      </w:r>
      <w:r>
        <w:rPr>
          <w:rFonts w:hint="default" w:ascii="Times New Roman" w:hAnsi="Times New Roman" w:eastAsia="宋体" w:cs="Times New Roman"/>
          <w:color w:val="auto"/>
          <w:sz w:val="24"/>
          <w:szCs w:val="24"/>
          <w:highlight w:val="none"/>
        </w:rPr>
        <w:t>根据《关于发布&lt;排放源统计调查产排污核算方法和系数手册&gt;的公告》</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生态环境部2021年第24号公告</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中《固体物料堆存颗粒物产排污核算系数手册》</w:t>
      </w:r>
      <w:r>
        <w:rPr>
          <w:rFonts w:hint="eastAsia" w:ascii="Times New Roman" w:hAnsi="Times New Roman" w:eastAsia="宋体" w:cs="Times New Roman"/>
          <w:color w:val="auto"/>
          <w:sz w:val="24"/>
          <w:szCs w:val="24"/>
          <w:highlight w:val="none"/>
          <w:lang w:val="en-US" w:eastAsia="zh-CN"/>
        </w:rPr>
        <w:t>核算。</w:t>
      </w:r>
    </w:p>
    <w:p w14:paraId="5C7A5D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1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颗粒物产生量核算公式：</w:t>
      </w:r>
    </w:p>
    <w:p w14:paraId="4A2D88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P=ZC</w:t>
      </w:r>
      <w:r>
        <w:rPr>
          <w:rFonts w:hint="default" w:ascii="Times New Roman" w:hAnsi="Times New Roman" w:cs="Times New Roman"/>
          <w:color w:val="auto"/>
          <w:sz w:val="24"/>
          <w:szCs w:val="24"/>
          <w:highlight w:val="none"/>
          <w:vertAlign w:val="subscript"/>
        </w:rPr>
        <w:t>y</w:t>
      </w:r>
      <w:r>
        <w:rPr>
          <w:rFonts w:hint="default" w:ascii="Times New Roman" w:hAnsi="Times New Roman" w:cs="Times New Roman"/>
          <w:color w:val="auto"/>
          <w:sz w:val="24"/>
          <w:szCs w:val="24"/>
          <w:highlight w:val="none"/>
        </w:rPr>
        <w:t>+FC</w:t>
      </w:r>
      <w:r>
        <w:rPr>
          <w:rFonts w:hint="default" w:ascii="Times New Roman" w:hAnsi="Times New Roman" w:cs="Times New Roman"/>
          <w:color w:val="auto"/>
          <w:sz w:val="24"/>
          <w:szCs w:val="24"/>
          <w:highlight w:val="none"/>
          <w:vertAlign w:val="subscript"/>
        </w:rPr>
        <w:t>y</w:t>
      </w:r>
      <w:r>
        <w:rPr>
          <w:rFonts w:hint="default" w:ascii="Times New Roman" w:hAnsi="Times New Roman" w:cs="Times New Roman"/>
          <w:color w:val="auto"/>
          <w:sz w:val="24"/>
          <w:szCs w:val="24"/>
          <w:highlight w:val="none"/>
        </w:rPr>
        <w:t>=｛N</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+2×E</w:t>
      </w:r>
      <w:r>
        <w:rPr>
          <w:rFonts w:hint="default" w:ascii="Times New Roman" w:hAnsi="Times New Roman" w:cs="Times New Roman"/>
          <w:color w:val="auto"/>
          <w:sz w:val="24"/>
          <w:szCs w:val="24"/>
          <w:highlight w:val="none"/>
          <w:vertAlign w:val="subscript"/>
        </w:rPr>
        <w:t>f</w:t>
      </w:r>
      <w:r>
        <w:rPr>
          <w:rFonts w:hint="default" w:ascii="Times New Roman" w:hAnsi="Times New Roman" w:cs="Times New Roman"/>
          <w:color w:val="auto"/>
          <w:sz w:val="24"/>
          <w:szCs w:val="24"/>
          <w:highlight w:val="none"/>
        </w:rPr>
        <w:t>×S｝×10</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p>
    <w:p w14:paraId="21AFC65D">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式中：P—指颗粒物产生量</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单位：t</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1AD19F33">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ZC</w:t>
      </w:r>
      <w:r>
        <w:rPr>
          <w:rFonts w:hint="default" w:ascii="Times New Roman" w:hAnsi="Times New Roman" w:cs="Times New Roman"/>
          <w:color w:val="auto"/>
          <w:sz w:val="24"/>
          <w:szCs w:val="24"/>
          <w:highlight w:val="none"/>
          <w:vertAlign w:val="subscript"/>
        </w:rPr>
        <w:t>y</w:t>
      </w:r>
      <w:r>
        <w:rPr>
          <w:rFonts w:hint="default" w:ascii="Times New Roman" w:hAnsi="Times New Roman" w:cs="Times New Roman"/>
          <w:color w:val="auto"/>
          <w:sz w:val="24"/>
          <w:szCs w:val="24"/>
          <w:highlight w:val="none"/>
        </w:rPr>
        <w:t>—指装卸扬尘产生量</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单位：吨</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44DDCB9B">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FC</w:t>
      </w:r>
      <w:r>
        <w:rPr>
          <w:rFonts w:hint="default" w:ascii="Times New Roman" w:hAnsi="Times New Roman" w:cs="Times New Roman"/>
          <w:color w:val="auto"/>
          <w:sz w:val="24"/>
          <w:szCs w:val="24"/>
          <w:highlight w:val="none"/>
          <w:vertAlign w:val="subscript"/>
        </w:rPr>
        <w:t>y</w:t>
      </w:r>
      <w:r>
        <w:rPr>
          <w:rFonts w:hint="default" w:ascii="Times New Roman" w:hAnsi="Times New Roman" w:cs="Times New Roman"/>
          <w:color w:val="auto"/>
          <w:sz w:val="24"/>
          <w:szCs w:val="24"/>
          <w:highlight w:val="none"/>
        </w:rPr>
        <w:t>—指风蚀扬尘产生量</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单位：吨</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294B97FE">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—指年物料运载车次</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单位：车</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7CDF068A">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D—指单车平均运载量</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单位：吨/车</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289E2462">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—指装卸扬尘概化系数</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单位：千克/吨</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，a指各省风速概化系数</w:t>
      </w:r>
      <w:r>
        <w:rPr>
          <w:rFonts w:hint="default" w:ascii="Times New Roman" w:hAnsi="Times New Roman" w:cs="Times New Roman"/>
          <w:bCs/>
          <w:color w:val="000000"/>
          <w:highlight w:val="none"/>
        </w:rPr>
        <w:t>，河北省取0.001</w:t>
      </w:r>
      <w:r>
        <w:rPr>
          <w:rFonts w:hint="default" w:ascii="Times New Roman" w:hAnsi="Times New Roman" w:cs="Times New Roman"/>
          <w:color w:val="auto"/>
          <w:sz w:val="24"/>
          <w:szCs w:val="24"/>
          <w:highlight w:val="none"/>
        </w:rPr>
        <w:t>。b指物料含水率概化系数</w:t>
      </w:r>
      <w:r>
        <w:rPr>
          <w:rFonts w:hint="default" w:ascii="Times New Roman" w:hAnsi="Times New Roman" w:cs="Times New Roman"/>
          <w:bCs/>
          <w:color w:val="000000"/>
          <w:highlight w:val="none"/>
        </w:rPr>
        <w:t>，</w:t>
      </w:r>
      <w:r>
        <w:rPr>
          <w:rFonts w:hint="default" w:ascii="Times New Roman" w:hAnsi="Times New Roman" w:cs="Times New Roman"/>
          <w:bCs/>
          <w:color w:val="000000"/>
          <w:highlight w:val="none"/>
          <w:lang w:val="en-US" w:eastAsia="zh-CN"/>
        </w:rPr>
        <w:t>参考块矿的</w:t>
      </w:r>
      <w:r>
        <w:rPr>
          <w:rFonts w:hint="default" w:ascii="Times New Roman" w:hAnsi="Times New Roman" w:cs="Times New Roman"/>
          <w:bCs/>
          <w:color w:val="000000"/>
          <w:highlight w:val="none"/>
        </w:rPr>
        <w:t>概化系数，取0.0</w:t>
      </w:r>
      <w:r>
        <w:rPr>
          <w:rFonts w:hint="default" w:ascii="Times New Roman" w:hAnsi="Times New Roman" w:cs="Times New Roman"/>
          <w:bCs/>
          <w:color w:val="000000"/>
          <w:highlight w:val="none"/>
          <w:lang w:val="en-US" w:eastAsia="zh-CN"/>
        </w:rPr>
        <w:t>064</w:t>
      </w:r>
      <w:r>
        <w:rPr>
          <w:rFonts w:hint="eastAsia" w:ascii="Times New Roman" w:hAnsi="Times New Roman" w:cs="Times New Roman"/>
          <w:bCs/>
          <w:color w:val="000000"/>
          <w:highlight w:val="none"/>
          <w:lang w:val="en-US" w:eastAsia="zh-CN"/>
        </w:rPr>
        <w:t>。</w:t>
      </w:r>
    </w:p>
    <w:p w14:paraId="55EF473B">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E</w:t>
      </w:r>
      <w:r>
        <w:rPr>
          <w:rFonts w:hint="default" w:ascii="Times New Roman" w:hAnsi="Times New Roman" w:cs="Times New Roman"/>
          <w:color w:val="auto"/>
          <w:sz w:val="24"/>
          <w:szCs w:val="24"/>
          <w:highlight w:val="none"/>
          <w:vertAlign w:val="subscript"/>
        </w:rPr>
        <w:t>f</w:t>
      </w:r>
      <w:r>
        <w:rPr>
          <w:rFonts w:hint="default" w:ascii="Times New Roman" w:hAnsi="Times New Roman" w:cs="Times New Roman"/>
          <w:color w:val="auto"/>
          <w:sz w:val="24"/>
          <w:szCs w:val="24"/>
          <w:highlight w:val="none"/>
        </w:rPr>
        <w:t>—指堆场风蚀扬尘概化系数</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单位：千克/平方米</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，参考块矿的风蚀概化系数，取值0。</w:t>
      </w:r>
    </w:p>
    <w:p w14:paraId="59A8A01B">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S—指堆场占地面积</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单位：平方米</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171D3EF6">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项目废石设计堆存量为</w:t>
      </w:r>
      <w:r>
        <w:rPr>
          <w:rFonts w:hint="eastAsia" w:cs="Times New Roman"/>
          <w:color w:val="auto"/>
          <w:sz w:val="24"/>
          <w:highlight w:val="none"/>
          <w:lang w:val="en-US" w:eastAsia="zh-CN"/>
        </w:rPr>
        <w:t>130.5万m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w:t>
      </w:r>
      <w:r>
        <w:rPr>
          <w:rFonts w:hint="eastAsia" w:cs="Times New Roman"/>
          <w:color w:val="auto"/>
          <w:sz w:val="24"/>
          <w:szCs w:val="24"/>
          <w:highlight w:val="none"/>
          <w:lang w:val="en-US" w:eastAsia="zh-CN"/>
        </w:rPr>
        <w:t>，废石密度按1.5</w:t>
      </w:r>
      <w:r>
        <w:rPr>
          <w:rFonts w:hint="eastAsia" w:cs="Times New Roman"/>
          <w:color w:val="auto"/>
          <w:sz w:val="24"/>
          <w:highlight w:val="none"/>
          <w:lang w:val="en-US" w:eastAsia="zh-CN"/>
        </w:rPr>
        <w:t>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/t计</w:t>
      </w:r>
      <w:r>
        <w:rPr>
          <w:rFonts w:hint="eastAsia" w:cs="Times New Roman"/>
          <w:color w:val="auto"/>
          <w:sz w:val="24"/>
          <w:szCs w:val="24"/>
          <w:highlight w:val="none"/>
          <w:lang w:val="en-US" w:eastAsia="zh-CN"/>
        </w:rPr>
        <w:t>，废石堆存量为195.8</w:t>
      </w:r>
      <w:r>
        <w:rPr>
          <w:rFonts w:hint="eastAsia" w:cs="Times New Roman"/>
          <w:color w:val="auto"/>
          <w:sz w:val="24"/>
          <w:highlight w:val="none"/>
          <w:lang w:val="en-US" w:eastAsia="zh-CN"/>
        </w:rPr>
        <w:t>万t/a</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单车平均运载量</w:t>
      </w:r>
      <w:r>
        <w:rPr>
          <w:rFonts w:hint="eastAsia" w:cs="Times New Roman"/>
          <w:color w:val="auto"/>
          <w:sz w:val="24"/>
          <w:szCs w:val="24"/>
          <w:highlight w:val="none"/>
          <w:lang w:val="en-US" w:eastAsia="zh-CN"/>
        </w:rPr>
        <w:t>为50t，</w:t>
      </w:r>
      <w:r>
        <w:rPr>
          <w:rFonts w:hint="eastAsia" w:ascii="Times New Roman" w:hAnsi="Times New Roman" w:eastAsia="宋体" w:cs="Times New Roman"/>
          <w:color w:val="auto"/>
          <w:sz w:val="24"/>
          <w:szCs w:val="24"/>
          <w:highlight w:val="none"/>
          <w:lang w:val="en-US" w:eastAsia="zh-CN"/>
        </w:rPr>
        <w:t>经计算，颗粒物产生量为</w:t>
      </w:r>
      <w:r>
        <w:rPr>
          <w:rFonts w:hint="eastAsia" w:cs="Times New Roman"/>
          <w:color w:val="auto"/>
          <w:sz w:val="24"/>
          <w:szCs w:val="24"/>
          <w:highlight w:val="none"/>
          <w:lang w:val="en-US" w:eastAsia="zh-CN"/>
        </w:rPr>
        <w:t>611.719</w:t>
      </w:r>
      <w:r>
        <w:rPr>
          <w:rFonts w:hint="eastAsia" w:ascii="Times New Roman" w:hAnsi="Times New Roman" w:eastAsia="宋体" w:cs="Times New Roman"/>
          <w:color w:val="auto"/>
          <w:sz w:val="24"/>
          <w:szCs w:val="24"/>
          <w:highlight w:val="none"/>
          <w:lang w:val="en-US" w:eastAsia="zh-CN"/>
        </w:rPr>
        <w:t>t/a。</w:t>
      </w:r>
    </w:p>
    <w:p w14:paraId="71F4375E">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2 \* GB3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②</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颗粒物排放量核算公式：</w:t>
      </w:r>
    </w:p>
    <w:p w14:paraId="0E6579F0">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U</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=P×(1-C</w:t>
      </w:r>
      <w:r>
        <w:rPr>
          <w:rFonts w:hint="default" w:ascii="Times New Roman" w:hAnsi="Times New Roman" w:cs="Times New Roman"/>
          <w:color w:val="auto"/>
          <w:sz w:val="24"/>
          <w:szCs w:val="24"/>
          <w:highlight w:val="none"/>
          <w:vertAlign w:val="subscript"/>
        </w:rPr>
        <w:t>m</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1-T</w:t>
      </w:r>
      <w:r>
        <w:rPr>
          <w:rFonts w:hint="default" w:ascii="Times New Roman" w:hAnsi="Times New Roman" w:cs="Times New Roman"/>
          <w:color w:val="auto"/>
          <w:sz w:val="24"/>
          <w:szCs w:val="24"/>
          <w:highlight w:val="none"/>
          <w:vertAlign w:val="subscript"/>
        </w:rPr>
        <w:t>m</w:t>
      </w:r>
      <w:r>
        <w:rPr>
          <w:rFonts w:hint="default" w:ascii="Times New Roman" w:hAnsi="Times New Roman" w:cs="Times New Roman"/>
          <w:color w:val="auto"/>
          <w:sz w:val="24"/>
          <w:szCs w:val="24"/>
          <w:highlight w:val="none"/>
          <w:lang w:eastAsia="zh-CN"/>
        </w:rPr>
        <w:t>)</w:t>
      </w:r>
    </w:p>
    <w:p w14:paraId="61514DD1">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式中：P—指颗粒物产生量</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单位：吨</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1A0141D1">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U</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—指颗粒物排放量</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单位：吨</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17F6C616">
      <w:pPr>
        <w:pStyle w:val="23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vertAlign w:val="subscript"/>
        </w:rPr>
        <w:t>m</w:t>
      </w:r>
      <w:r>
        <w:rPr>
          <w:rFonts w:hint="default" w:ascii="Times New Roman" w:hAnsi="Times New Roman" w:cs="Times New Roman"/>
          <w:color w:val="auto"/>
          <w:sz w:val="24"/>
          <w:szCs w:val="24"/>
          <w:highlight w:val="none"/>
        </w:rPr>
        <w:t>—指颗粒物控制措施控制效率</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330DB170">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default" w:ascii="Times New Roman" w:hAnsi="Times New Roman" w:cs="Times New Roman"/>
          <w:color w:val="auto"/>
          <w:sz w:val="24"/>
          <w:szCs w:val="24"/>
          <w:highlight w:val="none"/>
        </w:rPr>
        <w:t>Tm—指堆场类型控制效率</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单位：%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4D63E237">
      <w:pPr>
        <w:numPr>
          <w:ilvl w:val="0"/>
          <w:numId w:val="20"/>
        </w:numPr>
        <w:adjustRightInd w:val="0"/>
        <w:snapToGrid w:val="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粉尘控制措施控制效率</w:t>
      </w:r>
    </w:p>
    <w:tbl>
      <w:tblPr>
        <w:tblStyle w:val="5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35"/>
        <w:gridCol w:w="3850"/>
        <w:gridCol w:w="2843"/>
      </w:tblGrid>
      <w:tr w14:paraId="6A5D97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76" w:type="pct"/>
            <w:tcBorders>
              <w:tl2br w:val="nil"/>
              <w:tr2bl w:val="nil"/>
            </w:tcBorders>
            <w:noWrap w:val="0"/>
            <w:vAlign w:val="center"/>
          </w:tcPr>
          <w:p w14:paraId="133E4161">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257" w:type="pct"/>
            <w:tcBorders>
              <w:tl2br w:val="nil"/>
              <w:tr2bl w:val="nil"/>
            </w:tcBorders>
            <w:noWrap w:val="0"/>
            <w:vAlign w:val="center"/>
          </w:tcPr>
          <w:p w14:paraId="7612C5F4">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控制措施</w:t>
            </w:r>
          </w:p>
        </w:tc>
        <w:tc>
          <w:tcPr>
            <w:tcW w:w="1667" w:type="pct"/>
            <w:tcBorders>
              <w:tl2br w:val="nil"/>
              <w:tr2bl w:val="nil"/>
            </w:tcBorders>
            <w:noWrap w:val="0"/>
            <w:vAlign w:val="center"/>
          </w:tcPr>
          <w:p w14:paraId="6653C2E1">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控制效率</w:t>
            </w:r>
          </w:p>
        </w:tc>
      </w:tr>
      <w:tr w14:paraId="0F2C7E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76" w:type="pct"/>
            <w:tcBorders>
              <w:tl2br w:val="nil"/>
              <w:tr2bl w:val="nil"/>
            </w:tcBorders>
            <w:noWrap w:val="0"/>
            <w:vAlign w:val="center"/>
          </w:tcPr>
          <w:p w14:paraId="4EE46857">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257" w:type="pct"/>
            <w:tcBorders>
              <w:tl2br w:val="nil"/>
              <w:tr2bl w:val="nil"/>
            </w:tcBorders>
            <w:noWrap w:val="0"/>
            <w:vAlign w:val="center"/>
          </w:tcPr>
          <w:p w14:paraId="5837B7B5">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洒水</w:t>
            </w:r>
          </w:p>
        </w:tc>
        <w:tc>
          <w:tcPr>
            <w:tcW w:w="1667" w:type="pct"/>
            <w:tcBorders>
              <w:tl2br w:val="nil"/>
              <w:tr2bl w:val="nil"/>
            </w:tcBorders>
            <w:noWrap w:val="0"/>
            <w:vAlign w:val="center"/>
          </w:tcPr>
          <w:p w14:paraId="2DDF5DC3">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74%</w:t>
            </w:r>
          </w:p>
        </w:tc>
      </w:tr>
      <w:tr w14:paraId="57D8E7E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76" w:type="pct"/>
            <w:tcBorders>
              <w:tl2br w:val="nil"/>
              <w:tr2bl w:val="nil"/>
            </w:tcBorders>
            <w:noWrap w:val="0"/>
            <w:vAlign w:val="center"/>
          </w:tcPr>
          <w:p w14:paraId="0C37F2AA">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257" w:type="pct"/>
            <w:tcBorders>
              <w:tl2br w:val="nil"/>
              <w:tr2bl w:val="nil"/>
            </w:tcBorders>
            <w:noWrap w:val="0"/>
            <w:vAlign w:val="center"/>
          </w:tcPr>
          <w:p w14:paraId="190FAE36">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围挡</w:t>
            </w:r>
          </w:p>
        </w:tc>
        <w:tc>
          <w:tcPr>
            <w:tcW w:w="1667" w:type="pct"/>
            <w:tcBorders>
              <w:tl2br w:val="nil"/>
              <w:tr2bl w:val="nil"/>
            </w:tcBorders>
            <w:noWrap w:val="0"/>
            <w:vAlign w:val="center"/>
          </w:tcPr>
          <w:p w14:paraId="2536848F">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14:paraId="7A6FD0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76" w:type="pct"/>
            <w:tcBorders>
              <w:tl2br w:val="nil"/>
              <w:tr2bl w:val="nil"/>
            </w:tcBorders>
            <w:noWrap w:val="0"/>
            <w:vAlign w:val="center"/>
          </w:tcPr>
          <w:p w14:paraId="19925FBF">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257" w:type="pct"/>
            <w:tcBorders>
              <w:tl2br w:val="nil"/>
              <w:tr2bl w:val="nil"/>
            </w:tcBorders>
            <w:noWrap w:val="0"/>
            <w:vAlign w:val="center"/>
          </w:tcPr>
          <w:p w14:paraId="6782F2E0">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化学剂</w:t>
            </w:r>
          </w:p>
        </w:tc>
        <w:tc>
          <w:tcPr>
            <w:tcW w:w="1667" w:type="pct"/>
            <w:tcBorders>
              <w:tl2br w:val="nil"/>
              <w:tr2bl w:val="nil"/>
            </w:tcBorders>
            <w:noWrap w:val="0"/>
            <w:vAlign w:val="center"/>
          </w:tcPr>
          <w:p w14:paraId="43A0C86B">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88%</w:t>
            </w:r>
          </w:p>
        </w:tc>
      </w:tr>
      <w:tr w14:paraId="13AAFF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76" w:type="pct"/>
            <w:tcBorders>
              <w:tl2br w:val="nil"/>
              <w:tr2bl w:val="nil"/>
            </w:tcBorders>
            <w:noWrap w:val="0"/>
            <w:vAlign w:val="center"/>
          </w:tcPr>
          <w:p w14:paraId="727316D9">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2257" w:type="pct"/>
            <w:tcBorders>
              <w:tl2br w:val="nil"/>
              <w:tr2bl w:val="nil"/>
            </w:tcBorders>
            <w:noWrap w:val="0"/>
            <w:vAlign w:val="center"/>
          </w:tcPr>
          <w:p w14:paraId="54B1571E">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编织覆盖</w:t>
            </w:r>
          </w:p>
        </w:tc>
        <w:tc>
          <w:tcPr>
            <w:tcW w:w="1667" w:type="pct"/>
            <w:tcBorders>
              <w:tl2br w:val="nil"/>
              <w:tr2bl w:val="nil"/>
            </w:tcBorders>
            <w:noWrap w:val="0"/>
            <w:vAlign w:val="center"/>
          </w:tcPr>
          <w:p w14:paraId="374FB187">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86%</w:t>
            </w:r>
          </w:p>
        </w:tc>
      </w:tr>
      <w:tr w14:paraId="223ECB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76" w:type="pct"/>
            <w:tcBorders>
              <w:tl2br w:val="nil"/>
              <w:tr2bl w:val="nil"/>
            </w:tcBorders>
            <w:noWrap w:val="0"/>
            <w:vAlign w:val="center"/>
          </w:tcPr>
          <w:p w14:paraId="6E78D883">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2257" w:type="pct"/>
            <w:tcBorders>
              <w:tl2br w:val="nil"/>
              <w:tr2bl w:val="nil"/>
            </w:tcBorders>
            <w:noWrap w:val="0"/>
            <w:vAlign w:val="center"/>
          </w:tcPr>
          <w:p w14:paraId="35281AF1">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出入车辆冲洗</w:t>
            </w:r>
          </w:p>
        </w:tc>
        <w:tc>
          <w:tcPr>
            <w:tcW w:w="1667" w:type="pct"/>
            <w:tcBorders>
              <w:tl2br w:val="nil"/>
              <w:tr2bl w:val="nil"/>
            </w:tcBorders>
            <w:noWrap w:val="0"/>
            <w:vAlign w:val="center"/>
          </w:tcPr>
          <w:p w14:paraId="583C71A3">
            <w:pPr>
              <w:pStyle w:val="23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78%</w:t>
            </w:r>
          </w:p>
        </w:tc>
      </w:tr>
    </w:tbl>
    <w:p w14:paraId="41075135">
      <w:pPr>
        <w:numPr>
          <w:ilvl w:val="0"/>
          <w:numId w:val="20"/>
        </w:numPr>
        <w:adjustRightInd w:val="0"/>
        <w:snapToGrid w:val="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堆场类型控制效率</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5"/>
        <w:gridCol w:w="3850"/>
        <w:gridCol w:w="2843"/>
      </w:tblGrid>
      <w:tr w14:paraId="148E1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6" w:type="pct"/>
            <w:tcBorders>
              <w:top w:val="single" w:color="auto" w:sz="2" w:space="0"/>
              <w:left w:val="single" w:color="auto" w:sz="2" w:space="0"/>
              <w:bottom w:val="single" w:color="auto" w:sz="2" w:space="0"/>
              <w:right w:val="single" w:color="auto" w:sz="2" w:space="0"/>
            </w:tcBorders>
            <w:noWrap w:val="0"/>
            <w:vAlign w:val="center"/>
          </w:tcPr>
          <w:p w14:paraId="6F10B313">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257" w:type="pct"/>
            <w:tcBorders>
              <w:top w:val="single" w:color="auto" w:sz="2" w:space="0"/>
              <w:left w:val="single" w:color="auto" w:sz="2" w:space="0"/>
              <w:bottom w:val="single" w:color="auto" w:sz="2" w:space="0"/>
              <w:right w:val="single" w:color="auto" w:sz="2" w:space="0"/>
            </w:tcBorders>
            <w:noWrap w:val="0"/>
            <w:vAlign w:val="center"/>
          </w:tcPr>
          <w:p w14:paraId="60FF40FD">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堆场类型</w:t>
            </w:r>
          </w:p>
        </w:tc>
        <w:tc>
          <w:tcPr>
            <w:tcW w:w="1667" w:type="pct"/>
            <w:tcBorders>
              <w:top w:val="single" w:color="auto" w:sz="2" w:space="0"/>
              <w:left w:val="single" w:color="auto" w:sz="2" w:space="0"/>
              <w:bottom w:val="single" w:color="auto" w:sz="2" w:space="0"/>
              <w:right w:val="single" w:color="auto" w:sz="2" w:space="0"/>
            </w:tcBorders>
            <w:noWrap w:val="0"/>
            <w:vAlign w:val="center"/>
          </w:tcPr>
          <w:p w14:paraId="1F0A3A03">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控制效率</w:t>
            </w:r>
          </w:p>
        </w:tc>
      </w:tr>
      <w:tr w14:paraId="23B85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6" w:type="pct"/>
            <w:tcBorders>
              <w:top w:val="single" w:color="auto" w:sz="2" w:space="0"/>
              <w:left w:val="single" w:color="auto" w:sz="2" w:space="0"/>
              <w:bottom w:val="single" w:color="auto" w:sz="2" w:space="0"/>
              <w:right w:val="single" w:color="auto" w:sz="2" w:space="0"/>
            </w:tcBorders>
            <w:noWrap w:val="0"/>
            <w:vAlign w:val="center"/>
          </w:tcPr>
          <w:p w14:paraId="73026687">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257" w:type="pct"/>
            <w:tcBorders>
              <w:top w:val="single" w:color="auto" w:sz="2" w:space="0"/>
              <w:left w:val="single" w:color="auto" w:sz="2" w:space="0"/>
              <w:bottom w:val="single" w:color="auto" w:sz="2" w:space="0"/>
              <w:right w:val="single" w:color="auto" w:sz="2" w:space="0"/>
            </w:tcBorders>
            <w:noWrap w:val="0"/>
            <w:vAlign w:val="center"/>
          </w:tcPr>
          <w:p w14:paraId="376BBD57">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敞开式</w:t>
            </w:r>
          </w:p>
        </w:tc>
        <w:tc>
          <w:tcPr>
            <w:tcW w:w="1667" w:type="pct"/>
            <w:tcBorders>
              <w:top w:val="single" w:color="auto" w:sz="2" w:space="0"/>
              <w:left w:val="single" w:color="auto" w:sz="2" w:space="0"/>
              <w:bottom w:val="single" w:color="auto" w:sz="2" w:space="0"/>
              <w:right w:val="single" w:color="auto" w:sz="2" w:space="0"/>
            </w:tcBorders>
            <w:noWrap w:val="0"/>
            <w:vAlign w:val="center"/>
          </w:tcPr>
          <w:p w14:paraId="55B87650">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36CC2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6" w:type="pct"/>
            <w:tcBorders>
              <w:top w:val="single" w:color="auto" w:sz="2" w:space="0"/>
              <w:left w:val="single" w:color="auto" w:sz="2" w:space="0"/>
              <w:bottom w:val="single" w:color="auto" w:sz="2" w:space="0"/>
              <w:right w:val="single" w:color="auto" w:sz="2" w:space="0"/>
            </w:tcBorders>
            <w:noWrap w:val="0"/>
            <w:vAlign w:val="center"/>
          </w:tcPr>
          <w:p w14:paraId="6C30D3B5">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257" w:type="pct"/>
            <w:tcBorders>
              <w:top w:val="single" w:color="auto" w:sz="2" w:space="0"/>
              <w:left w:val="single" w:color="auto" w:sz="2" w:space="0"/>
              <w:bottom w:val="single" w:color="auto" w:sz="2" w:space="0"/>
              <w:right w:val="single" w:color="auto" w:sz="2" w:space="0"/>
            </w:tcBorders>
            <w:noWrap w:val="0"/>
            <w:vAlign w:val="center"/>
          </w:tcPr>
          <w:p w14:paraId="1FF8C898">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密闭式</w:t>
            </w:r>
          </w:p>
        </w:tc>
        <w:tc>
          <w:tcPr>
            <w:tcW w:w="1667" w:type="pct"/>
            <w:tcBorders>
              <w:top w:val="single" w:color="auto" w:sz="2" w:space="0"/>
              <w:left w:val="single" w:color="auto" w:sz="2" w:space="0"/>
              <w:bottom w:val="single" w:color="auto" w:sz="2" w:space="0"/>
              <w:right w:val="single" w:color="auto" w:sz="2" w:space="0"/>
            </w:tcBorders>
            <w:noWrap w:val="0"/>
            <w:vAlign w:val="center"/>
          </w:tcPr>
          <w:p w14:paraId="60F224FC">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99%</w:t>
            </w:r>
          </w:p>
        </w:tc>
      </w:tr>
      <w:tr w14:paraId="19BEB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6" w:type="pct"/>
            <w:tcBorders>
              <w:top w:val="single" w:color="auto" w:sz="2" w:space="0"/>
              <w:left w:val="single" w:color="auto" w:sz="2" w:space="0"/>
              <w:bottom w:val="single" w:color="auto" w:sz="2" w:space="0"/>
              <w:right w:val="single" w:color="auto" w:sz="2" w:space="0"/>
            </w:tcBorders>
            <w:noWrap w:val="0"/>
            <w:vAlign w:val="center"/>
          </w:tcPr>
          <w:p w14:paraId="72869C56">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257" w:type="pct"/>
            <w:tcBorders>
              <w:top w:val="single" w:color="auto" w:sz="2" w:space="0"/>
              <w:left w:val="single" w:color="auto" w:sz="2" w:space="0"/>
              <w:bottom w:val="single" w:color="auto" w:sz="2" w:space="0"/>
              <w:right w:val="single" w:color="auto" w:sz="2" w:space="0"/>
            </w:tcBorders>
            <w:noWrap w:val="0"/>
            <w:vAlign w:val="center"/>
          </w:tcPr>
          <w:p w14:paraId="1F8635F5">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半敞开式</w:t>
            </w:r>
          </w:p>
        </w:tc>
        <w:tc>
          <w:tcPr>
            <w:tcW w:w="1667" w:type="pct"/>
            <w:tcBorders>
              <w:top w:val="single" w:color="auto" w:sz="2" w:space="0"/>
              <w:left w:val="single" w:color="auto" w:sz="2" w:space="0"/>
              <w:bottom w:val="single" w:color="auto" w:sz="2" w:space="0"/>
              <w:right w:val="single" w:color="auto" w:sz="2" w:space="0"/>
            </w:tcBorders>
            <w:noWrap w:val="0"/>
            <w:vAlign w:val="center"/>
          </w:tcPr>
          <w:p w14:paraId="4ADE6FB8">
            <w:pPr>
              <w:pStyle w:val="231"/>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bl>
    <w:p w14:paraId="6B14A449">
      <w:pPr>
        <w:autoSpaceDE w:val="0"/>
        <w:autoSpaceDN w:val="0"/>
        <w:adjustRightInd w:val="0"/>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eastAsia="宋体" w:cs="Times New Roman"/>
          <w:color w:val="auto"/>
          <w:sz w:val="24"/>
          <w:szCs w:val="24"/>
          <w:highlight w:val="none"/>
          <w:lang w:val="en-US" w:eastAsia="zh-CN"/>
        </w:rPr>
        <w:t>在堆置废石过程中，对台阶尚未形成最终堆积面的区域及时进行压实、苫盖；倾卸土石时洒水抑尘</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000000"/>
          <w:sz w:val="24"/>
          <w:szCs w:val="24"/>
          <w:highlight w:val="none"/>
          <w:lang w:val="en-US" w:eastAsia="zh-CN"/>
        </w:rPr>
        <w:t>结合项目实际抑尘情况，</w:t>
      </w:r>
      <w:r>
        <w:rPr>
          <w:rFonts w:hint="eastAsia" w:ascii="Times New Roman" w:hAnsi="Times New Roman" w:cs="Times New Roman"/>
          <w:color w:val="000000"/>
          <w:sz w:val="24"/>
          <w:szCs w:val="24"/>
          <w:highlight w:val="none"/>
          <w:lang w:val="en-US" w:eastAsia="zh-CN"/>
        </w:rPr>
        <w:t>降尘效率取值</w:t>
      </w:r>
      <w:r>
        <w:rPr>
          <w:rFonts w:hint="eastAsia" w:cs="Times New Roman"/>
          <w:color w:val="000000"/>
          <w:sz w:val="24"/>
          <w:szCs w:val="24"/>
          <w:highlight w:val="none"/>
          <w:lang w:val="en-US" w:eastAsia="zh-CN"/>
        </w:rPr>
        <w:t>85</w:t>
      </w:r>
      <w:r>
        <w:rPr>
          <w:rFonts w:hint="eastAsia" w:ascii="Times New Roman" w:hAnsi="Times New Roman" w:cs="Times New Roman"/>
          <w:color w:val="000000"/>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。经计算，颗粒物排放量为</w:t>
      </w:r>
      <w:r>
        <w:rPr>
          <w:rFonts w:hint="eastAsia" w:cs="Times New Roman"/>
          <w:color w:val="auto"/>
          <w:sz w:val="24"/>
          <w:szCs w:val="24"/>
          <w:highlight w:val="none"/>
          <w:lang w:val="en-US" w:eastAsia="zh-CN"/>
        </w:rPr>
        <w:t>91.758</w:t>
      </w:r>
      <w:r>
        <w:rPr>
          <w:rFonts w:hint="eastAsia" w:ascii="Times New Roman" w:hAnsi="Times New Roman" w:eastAsia="宋体" w:cs="Times New Roman"/>
          <w:color w:val="auto"/>
          <w:sz w:val="24"/>
          <w:szCs w:val="24"/>
          <w:highlight w:val="none"/>
          <w:lang w:val="en-US" w:eastAsia="zh-CN"/>
        </w:rPr>
        <w:t>t/a。</w:t>
      </w:r>
      <w:bookmarkEnd w:id="188"/>
      <w:r>
        <w:rPr>
          <w:rFonts w:hint="default" w:ascii="Times New Roman" w:hAnsi="Times New Roman" w:cs="Times New Roman"/>
          <w:color w:val="000000"/>
          <w:kern w:val="0"/>
          <w:sz w:val="24"/>
          <w:szCs w:val="32"/>
          <w:highlight w:val="none"/>
          <w:lang w:val="en-US" w:eastAsia="zh-CN"/>
        </w:rPr>
        <w:t>固体物料堆</w:t>
      </w:r>
      <w:r>
        <w:rPr>
          <w:rFonts w:hint="default" w:ascii="Times New Roman" w:hAnsi="Times New Roman" w:cs="Times New Roman"/>
          <w:color w:val="000000"/>
          <w:sz w:val="24"/>
          <w:szCs w:val="24"/>
          <w:highlight w:val="none"/>
          <w:lang w:val="en-US" w:eastAsia="zh-CN"/>
        </w:rPr>
        <w:t>场</w:t>
      </w:r>
      <w:r>
        <w:rPr>
          <w:rFonts w:hint="default" w:ascii="Times New Roman" w:hAnsi="Times New Roman" w:cs="Times New Roman"/>
          <w:color w:val="000000"/>
          <w:kern w:val="0"/>
          <w:sz w:val="24"/>
          <w:szCs w:val="32"/>
          <w:highlight w:val="none"/>
          <w:lang w:val="en-US" w:eastAsia="zh-CN"/>
        </w:rPr>
        <w:t>颗粒物中</w:t>
      </w:r>
      <w:r>
        <w:rPr>
          <w:rFonts w:hint="default" w:ascii="Times New Roman" w:hAnsi="Times New Roman" w:eastAsia="宋体" w:cs="Times New Roman"/>
          <w:color w:val="000000"/>
          <w:kern w:val="0"/>
          <w:sz w:val="24"/>
          <w:szCs w:val="32"/>
          <w:highlight w:val="none"/>
          <w:lang w:val="en-US" w:eastAsia="zh-CN"/>
        </w:rPr>
        <w:t>TSP、PM</w:t>
      </w:r>
      <w:r>
        <w:rPr>
          <w:rFonts w:hint="default" w:ascii="Times New Roman" w:hAnsi="Times New Roman" w:eastAsia="宋体" w:cs="Times New Roman"/>
          <w:color w:val="000000"/>
          <w:kern w:val="0"/>
          <w:sz w:val="24"/>
          <w:szCs w:val="32"/>
          <w:highlight w:val="none"/>
          <w:vertAlign w:val="subscript"/>
          <w:lang w:val="en-US" w:eastAsia="zh-CN"/>
        </w:rPr>
        <w:t>10</w:t>
      </w:r>
      <w:r>
        <w:rPr>
          <w:rFonts w:hint="default" w:ascii="Times New Roman" w:hAnsi="Times New Roman" w:eastAsia="宋体" w:cs="Times New Roman"/>
          <w:color w:val="000000"/>
          <w:kern w:val="0"/>
          <w:sz w:val="24"/>
          <w:szCs w:val="32"/>
          <w:highlight w:val="none"/>
          <w:lang w:val="en-US" w:eastAsia="zh-CN"/>
        </w:rPr>
        <w:t>的产生、排放量参考《扬尘源颗粒物排放清单编制技术指南》施工扬尘源中粒径系数进行计算（参考粒径系数：TSP为1、PM</w:t>
      </w:r>
      <w:r>
        <w:rPr>
          <w:rFonts w:hint="default" w:ascii="Times New Roman" w:hAnsi="Times New Roman" w:eastAsia="宋体" w:cs="Times New Roman"/>
          <w:color w:val="000000"/>
          <w:kern w:val="0"/>
          <w:sz w:val="24"/>
          <w:szCs w:val="32"/>
          <w:highlight w:val="none"/>
          <w:vertAlign w:val="subscript"/>
          <w:lang w:val="en-US" w:eastAsia="zh-CN"/>
        </w:rPr>
        <w:t>10</w:t>
      </w:r>
      <w:r>
        <w:rPr>
          <w:rFonts w:hint="default" w:ascii="Times New Roman" w:hAnsi="Times New Roman" w:eastAsia="宋体" w:cs="Times New Roman"/>
          <w:color w:val="000000"/>
          <w:kern w:val="0"/>
          <w:sz w:val="24"/>
          <w:szCs w:val="32"/>
          <w:highlight w:val="none"/>
          <w:lang w:val="en-US" w:eastAsia="zh-CN"/>
        </w:rPr>
        <w:t>为0.49</w:t>
      </w:r>
      <w:r>
        <w:rPr>
          <w:rFonts w:hint="eastAsia" w:ascii="Times New Roman" w:hAnsi="Times New Roman" w:eastAsia="宋体" w:cs="Times New Roman"/>
          <w:color w:val="000000"/>
          <w:kern w:val="0"/>
          <w:sz w:val="24"/>
          <w:szCs w:val="32"/>
          <w:highlight w:val="none"/>
          <w:lang w:val="en-US" w:eastAsia="zh-CN"/>
        </w:rPr>
        <w:t>，</w:t>
      </w:r>
      <w:r>
        <w:rPr>
          <w:rFonts w:hint="eastAsia" w:ascii="Times New Roman" w:hAnsi="Times New Roman" w:cs="Times New Roman"/>
          <w:color w:val="auto"/>
          <w:sz w:val="24"/>
          <w:highlight w:val="none"/>
          <w:lang w:val="en-US" w:eastAsia="zh-CN"/>
        </w:rPr>
        <w:t>则排土场扬尘颗粒物中TSP、PM</w:t>
      </w:r>
      <w:r>
        <w:rPr>
          <w:rFonts w:hint="eastAsia" w:ascii="Times New Roman" w:hAnsi="Times New Roman" w:cs="Times New Roman"/>
          <w:color w:val="auto"/>
          <w:sz w:val="24"/>
          <w:highlight w:val="none"/>
          <w:vertAlign w:val="subscript"/>
          <w:lang w:val="en-US" w:eastAsia="zh-CN"/>
        </w:rPr>
        <w:t>10</w:t>
      </w:r>
      <w:r>
        <w:rPr>
          <w:rFonts w:hint="eastAsia" w:ascii="Times New Roman" w:hAnsi="Times New Roman" w:cs="Times New Roman"/>
          <w:color w:val="auto"/>
          <w:sz w:val="24"/>
          <w:highlight w:val="none"/>
          <w:lang w:val="en-US" w:eastAsia="zh-CN"/>
        </w:rPr>
        <w:t>排放</w:t>
      </w:r>
      <w:r>
        <w:rPr>
          <w:rFonts w:hint="eastAsia" w:cs="Times New Roman"/>
          <w:color w:val="auto"/>
          <w:sz w:val="24"/>
          <w:highlight w:val="none"/>
          <w:lang w:val="en-US" w:eastAsia="zh-CN"/>
        </w:rPr>
        <w:t>量分别为</w:t>
      </w:r>
      <w:r>
        <w:rPr>
          <w:rFonts w:hint="eastAsia" w:ascii="Times New Roman" w:hAnsi="Times New Roman" w:cs="Times New Roman"/>
          <w:color w:val="auto"/>
          <w:sz w:val="24"/>
          <w:highlight w:val="none"/>
          <w:lang w:val="en-US" w:eastAsia="zh-CN"/>
        </w:rPr>
        <w:t>：</w:t>
      </w:r>
      <w:r>
        <w:rPr>
          <w:rFonts w:hint="eastAsia" w:cs="Times New Roman"/>
          <w:color w:val="auto"/>
          <w:sz w:val="24"/>
          <w:szCs w:val="24"/>
          <w:highlight w:val="none"/>
          <w:lang w:val="en-US" w:eastAsia="zh-CN"/>
        </w:rPr>
        <w:t>91.758</w:t>
      </w:r>
      <w:r>
        <w:rPr>
          <w:rFonts w:hint="eastAsia" w:ascii="Times New Roman" w:hAnsi="Times New Roman" w:eastAsia="宋体" w:cs="Times New Roman"/>
          <w:color w:val="auto"/>
          <w:sz w:val="24"/>
          <w:szCs w:val="24"/>
          <w:highlight w:val="none"/>
          <w:lang w:val="en-US" w:eastAsia="zh-CN"/>
        </w:rPr>
        <w:t>t/a</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44.961</w:t>
      </w:r>
      <w:r>
        <w:rPr>
          <w:rFonts w:hint="eastAsia" w:ascii="Times New Roman" w:hAnsi="Times New Roman" w:eastAsia="宋体" w:cs="Times New Roman"/>
          <w:color w:val="auto"/>
          <w:sz w:val="24"/>
          <w:szCs w:val="24"/>
          <w:highlight w:val="none"/>
          <w:lang w:val="en-US" w:eastAsia="zh-CN"/>
        </w:rPr>
        <w:t>t/a</w:t>
      </w:r>
      <w:r>
        <w:rPr>
          <w:rFonts w:hint="eastAsia" w:ascii="Times New Roman" w:hAnsi="Times New Roman" w:cs="Times New Roman"/>
          <w:color w:val="auto"/>
          <w:sz w:val="24"/>
          <w:highlight w:val="none"/>
          <w:lang w:val="en-US" w:eastAsia="zh-CN"/>
        </w:rPr>
        <w:t>。</w:t>
      </w:r>
    </w:p>
    <w:p w14:paraId="5D1E1AF6">
      <w:pPr>
        <w:keepNext w:val="0"/>
        <w:keepLines w:val="0"/>
        <w:pageBreakBefore w:val="0"/>
        <w:kinsoku/>
        <w:wordWrap/>
        <w:overflowPunct/>
        <w:topLinePunct w:val="0"/>
        <w:autoSpaceDN/>
        <w:bidi w:val="0"/>
        <w:spacing w:line="360" w:lineRule="auto"/>
        <w:ind w:left="0" w:leftChars="0" w:firstLine="482" w:firstLineChars="200"/>
        <w:textAlignment w:val="auto"/>
        <w:rPr>
          <w:rFonts w:ascii="Times New Roman"/>
          <w:b/>
          <w:sz w:val="24"/>
          <w:szCs w:val="24"/>
          <w:highlight w:val="none"/>
        </w:rPr>
      </w:pPr>
      <w:r>
        <w:rPr>
          <w:rFonts w:hint="eastAsia"/>
          <w:b/>
          <w:bCs/>
          <w:sz w:val="24"/>
          <w:szCs w:val="24"/>
          <w:highlight w:val="none"/>
          <w:lang w:val="en-US" w:eastAsia="zh-CN"/>
        </w:rPr>
        <w:t>③</w:t>
      </w:r>
      <w:r>
        <w:rPr>
          <w:rFonts w:ascii="Times New Roman" w:eastAsia="宋体"/>
          <w:b/>
          <w:sz w:val="24"/>
          <w:szCs w:val="24"/>
          <w:highlight w:val="none"/>
        </w:rPr>
        <w:t>封场覆土扬尘</w:t>
      </w:r>
    </w:p>
    <w:p w14:paraId="0B392D41">
      <w:pPr>
        <w:keepNext w:val="0"/>
        <w:keepLines w:val="0"/>
        <w:pageBreakBefore w:val="0"/>
        <w:kinsoku/>
        <w:wordWrap/>
        <w:overflowPunct/>
        <w:topLinePunct w:val="0"/>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lang w:val="en-US" w:eastAsia="zh-CN"/>
        </w:rPr>
      </w:pPr>
      <w:r>
        <w:rPr>
          <w:rFonts w:hint="default" w:ascii="Times New Roman" w:hAnsi="Times New Roman" w:cs="Times New Roman"/>
          <w:color w:val="000000"/>
          <w:kern w:val="0"/>
          <w:sz w:val="24"/>
          <w:szCs w:val="24"/>
          <w:highlight w:val="none"/>
          <w:lang w:val="en-US" w:eastAsia="zh-CN"/>
        </w:rPr>
        <w:t>根据中华人民共和国生态环境部2021年6月11日发布的《关于发布“排放源统计调查产排污核算方法和系数手册”的公告》（公告2021年第24号），固体物料堆存颗粒物产排污核算系数手册中指出工业企业固体物料堆存颗粒物包括装卸扬尘和风蚀扬尘，颗粒物产生量核算公式如下：</w:t>
      </w:r>
    </w:p>
    <w:p w14:paraId="7A3F6F17">
      <w:pPr>
        <w:keepNext w:val="0"/>
        <w:keepLines w:val="0"/>
        <w:pageBreakBefore w:val="0"/>
        <w:widowControl w:val="0"/>
        <w:kinsoku/>
        <w:wordWrap/>
        <w:overflowPunct/>
        <w:topLinePunct w:val="0"/>
        <w:autoSpaceDE w:val="0"/>
        <w:autoSpaceDN/>
        <w:bidi w:val="0"/>
        <w:adjustRightInd/>
        <w:snapToGrid/>
        <w:spacing w:line="360" w:lineRule="auto"/>
        <w:ind w:firstLine="480"/>
        <w:textAlignment w:val="auto"/>
        <w:rPr>
          <w:rFonts w:hint="default" w:ascii="Times New Roman" w:hAnsi="Times New Roman" w:cs="Times New Roman"/>
          <w:color w:val="000000"/>
          <w:kern w:val="0"/>
          <w:sz w:val="24"/>
          <w:szCs w:val="24"/>
          <w:highlight w:val="none"/>
          <w:lang w:val="en-US" w:eastAsia="zh-CN"/>
        </w:rPr>
      </w:pPr>
      <w:r>
        <w:rPr>
          <w:rFonts w:hint="default" w:ascii="Times New Roman" w:hAnsi="Times New Roman" w:cs="Times New Roman"/>
          <w:color w:val="000000"/>
          <w:sz w:val="24"/>
          <w:szCs w:val="24"/>
          <w:highlight w:val="none"/>
        </w:rPr>
        <w:t>P=ZCy+FCy</w:t>
      </w:r>
    </w:p>
    <w:p w14:paraId="06A378A2">
      <w:pPr>
        <w:keepNext w:val="0"/>
        <w:keepLines w:val="0"/>
        <w:pageBreakBefore w:val="0"/>
        <w:widowControl w:val="0"/>
        <w:kinsoku/>
        <w:wordWrap/>
        <w:overflowPunct/>
        <w:topLinePunct w:val="0"/>
        <w:autoSpaceDN/>
        <w:bidi w:val="0"/>
        <w:adjustRightInd/>
        <w:snapToGrid/>
        <w:spacing w:line="360" w:lineRule="auto"/>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式中：P——颗粒物产生量，t/a；</w:t>
      </w:r>
    </w:p>
    <w:p w14:paraId="64E66737">
      <w:pPr>
        <w:keepNext w:val="0"/>
        <w:keepLines w:val="0"/>
        <w:pageBreakBefore w:val="0"/>
        <w:widowControl w:val="0"/>
        <w:kinsoku/>
        <w:wordWrap/>
        <w:overflowPunct/>
        <w:topLinePunct w:val="0"/>
        <w:autoSpaceDN/>
        <w:bidi w:val="0"/>
        <w:adjustRightInd/>
        <w:snapToGrid/>
        <w:spacing w:line="360" w:lineRule="auto"/>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 xml:space="preserve">      ZCy——装卸扬尘产生量，t/a；</w:t>
      </w:r>
    </w:p>
    <w:p w14:paraId="6B46375A">
      <w:pPr>
        <w:keepNext w:val="0"/>
        <w:keepLines w:val="0"/>
        <w:pageBreakBefore w:val="0"/>
        <w:widowControl w:val="0"/>
        <w:kinsoku/>
        <w:wordWrap/>
        <w:overflowPunct/>
        <w:topLinePunct w:val="0"/>
        <w:autoSpaceDN/>
        <w:bidi w:val="0"/>
        <w:adjustRightInd/>
        <w:snapToGrid/>
        <w:spacing w:line="360" w:lineRule="auto"/>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 xml:space="preserve">      FCy——风蚀扬尘产生量，t/a；</w:t>
      </w:r>
    </w:p>
    <w:p w14:paraId="3DFBEAF0">
      <w:pPr>
        <w:keepNext w:val="0"/>
        <w:keepLines w:val="0"/>
        <w:pageBreakBefore w:val="0"/>
        <w:widowControl w:val="0"/>
        <w:kinsoku/>
        <w:wordWrap/>
        <w:overflowPunct/>
        <w:topLinePunct w:val="0"/>
        <w:autoSpaceDE w:val="0"/>
        <w:autoSpaceDN/>
        <w:bidi w:val="0"/>
        <w:adjustRightInd/>
        <w:snapToGrid/>
        <w:spacing w:line="360" w:lineRule="auto"/>
        <w:ind w:firstLine="480"/>
        <w:textAlignment w:val="auto"/>
        <w:rPr>
          <w:rFonts w:hint="default" w:ascii="Times New Roman" w:hAnsi="Times New Roman" w:cs="Times New Roman"/>
          <w:color w:val="000000"/>
          <w:kern w:val="0"/>
          <w:sz w:val="24"/>
          <w:szCs w:val="24"/>
          <w:highlight w:val="none"/>
          <w:lang w:val="en-US" w:eastAsia="zh-CN"/>
        </w:rPr>
      </w:pPr>
      <w:r>
        <w:rPr>
          <w:rFonts w:hint="eastAsia" w:ascii="Times New Roman" w:hAnsi="Times New Roman" w:cs="Times New Roman"/>
          <w:color w:val="000000"/>
          <w:sz w:val="24"/>
          <w:szCs w:val="24"/>
          <w:highlight w:val="none"/>
          <w:lang w:val="en-US" w:eastAsia="zh-CN"/>
        </w:rPr>
        <w:t>排土场</w:t>
      </w:r>
      <w:r>
        <w:rPr>
          <w:rFonts w:hint="default" w:ascii="Times New Roman" w:hAnsi="Times New Roman" w:cs="Times New Roman"/>
          <w:color w:val="000000"/>
          <w:sz w:val="24"/>
          <w:szCs w:val="24"/>
          <w:highlight w:val="none"/>
          <w:lang w:val="en-US" w:eastAsia="zh-CN"/>
        </w:rPr>
        <w:t>场区</w:t>
      </w:r>
      <w:r>
        <w:rPr>
          <w:rFonts w:hint="default" w:ascii="Times New Roman" w:hAnsi="Times New Roman" w:cs="Times New Roman"/>
          <w:color w:val="000000"/>
          <w:sz w:val="24"/>
          <w:szCs w:val="24"/>
          <w:highlight w:val="none"/>
        </w:rPr>
        <w:t>覆土绿化</w:t>
      </w:r>
      <w:r>
        <w:rPr>
          <w:rFonts w:hint="default" w:ascii="Times New Roman" w:hAnsi="Times New Roman" w:cs="Times New Roman"/>
          <w:color w:val="000000"/>
          <w:sz w:val="24"/>
          <w:szCs w:val="24"/>
          <w:highlight w:val="none"/>
          <w:lang w:val="en-US" w:eastAsia="zh-CN"/>
        </w:rPr>
        <w:t>过程为装卸过程</w:t>
      </w:r>
      <w:r>
        <w:rPr>
          <w:rFonts w:hint="default" w:ascii="Times New Roman" w:hAnsi="Times New Roman" w:cs="Times New Roman"/>
          <w:bCs/>
          <w:color w:val="000000"/>
          <w:sz w:val="24"/>
          <w:szCs w:val="24"/>
          <w:highlight w:val="none"/>
        </w:rPr>
        <w:t>，可不考虑风蚀扬尘（</w:t>
      </w:r>
      <w:r>
        <w:rPr>
          <w:rFonts w:hint="default" w:ascii="Times New Roman" w:hAnsi="Times New Roman" w:cs="Times New Roman"/>
          <w:color w:val="000000"/>
          <w:sz w:val="24"/>
          <w:szCs w:val="24"/>
          <w:highlight w:val="none"/>
        </w:rPr>
        <w:t>即风蚀扬尘产生量为0</w:t>
      </w:r>
      <w:r>
        <w:rPr>
          <w:rFonts w:hint="default" w:ascii="Times New Roman" w:hAnsi="Times New Roman" w:cs="Times New Roman"/>
          <w:bCs/>
          <w:color w:val="000000"/>
          <w:sz w:val="24"/>
          <w:szCs w:val="24"/>
          <w:highlight w:val="none"/>
        </w:rPr>
        <w:t>），本次计算</w:t>
      </w:r>
      <w:r>
        <w:rPr>
          <w:rFonts w:hint="default" w:ascii="Times New Roman" w:hAnsi="Times New Roman" w:cs="Times New Roman"/>
          <w:color w:val="000000"/>
          <w:sz w:val="24"/>
          <w:szCs w:val="24"/>
          <w:highlight w:val="none"/>
        </w:rPr>
        <w:t>覆土绿化</w:t>
      </w:r>
      <w:r>
        <w:rPr>
          <w:rFonts w:hint="default" w:ascii="Times New Roman" w:hAnsi="Times New Roman" w:cs="Times New Roman"/>
          <w:color w:val="000000"/>
          <w:sz w:val="24"/>
          <w:szCs w:val="24"/>
          <w:highlight w:val="none"/>
          <w:lang w:val="en-US" w:eastAsia="zh-CN"/>
        </w:rPr>
        <w:t>过程</w:t>
      </w:r>
      <w:r>
        <w:rPr>
          <w:rFonts w:hint="default" w:ascii="Times New Roman" w:hAnsi="Times New Roman" w:cs="Times New Roman"/>
          <w:bCs/>
          <w:color w:val="000000"/>
          <w:sz w:val="24"/>
          <w:szCs w:val="24"/>
          <w:highlight w:val="none"/>
        </w:rPr>
        <w:t>仅考虑装卸扬尘。</w:t>
      </w:r>
    </w:p>
    <w:p w14:paraId="59E20A20">
      <w:pPr>
        <w:keepNext w:val="0"/>
        <w:keepLines w:val="0"/>
        <w:pageBreakBefore w:val="0"/>
        <w:kinsoku/>
        <w:wordWrap/>
        <w:overflowPunct/>
        <w:topLinePunct w:val="0"/>
        <w:autoSpaceDN/>
        <w:bidi w:val="0"/>
        <w:adjustRightInd/>
        <w:snapToGrid/>
        <w:spacing w:line="360" w:lineRule="auto"/>
        <w:ind w:left="0" w:leftChars="0" w:firstLine="482"/>
        <w:textAlignment w:val="auto"/>
        <w:rPr>
          <w:rFonts w:hint="default" w:ascii="Times New Roman" w:hAnsi="Times New Roman" w:cs="Times New Roman"/>
          <w:b w:val="0"/>
          <w:bCs w:val="0"/>
          <w:color w:val="000000"/>
          <w:sz w:val="24"/>
          <w:szCs w:val="24"/>
          <w:highlight w:val="none"/>
        </w:rPr>
      </w:pPr>
      <w:r>
        <w:rPr>
          <w:rFonts w:hint="default" w:ascii="Times New Roman" w:hAnsi="Times New Roman" w:cs="Times New Roman"/>
          <w:b w:val="0"/>
          <w:bCs w:val="0"/>
          <w:color w:val="000000"/>
          <w:sz w:val="24"/>
          <w:szCs w:val="24"/>
          <w:highlight w:val="none"/>
        </w:rPr>
        <w:t>装卸扬尘产生量计算公式如下：</w:t>
      </w:r>
    </w:p>
    <w:p w14:paraId="32B7641D">
      <w:pPr>
        <w:keepNext w:val="0"/>
        <w:keepLines w:val="0"/>
        <w:pageBreakBefore w:val="0"/>
        <w:widowControl/>
        <w:kinsoku/>
        <w:wordWrap/>
        <w:overflowPunct/>
        <w:topLinePunct w:val="0"/>
        <w:autoSpaceDN/>
        <w:bidi w:val="0"/>
        <w:adjustRightInd/>
        <w:snapToGrid/>
        <w:spacing w:line="360" w:lineRule="auto"/>
        <w:ind w:left="0" w:leftChars="0" w:firstLine="0" w:firstLineChars="0"/>
        <w:jc w:val="center"/>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ZCy=Nc×D×（a/b）×10</w:t>
      </w:r>
      <w:r>
        <w:rPr>
          <w:rFonts w:hint="default" w:ascii="Times New Roman" w:hAnsi="Times New Roman" w:cs="Times New Roman"/>
          <w:color w:val="000000"/>
          <w:kern w:val="0"/>
          <w:sz w:val="24"/>
          <w:szCs w:val="24"/>
          <w:highlight w:val="none"/>
          <w:vertAlign w:val="superscript"/>
        </w:rPr>
        <w:t>-3</w:t>
      </w:r>
    </w:p>
    <w:p w14:paraId="55A9B03E">
      <w:pPr>
        <w:pStyle w:val="57"/>
        <w:keepNext w:val="0"/>
        <w:keepLines w:val="0"/>
        <w:pageBreakBefore w:val="0"/>
        <w:kinsoku/>
        <w:wordWrap/>
        <w:overflowPunct/>
        <w:topLinePunct w:val="0"/>
        <w:autoSpaceDN/>
        <w:bidi w:val="0"/>
        <w:adjustRightInd/>
        <w:snapToGrid/>
        <w:spacing w:after="0" w:line="360" w:lineRule="auto"/>
        <w:ind w:left="0" w:leftChars="0" w:firstLine="48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式中：ZCy——装卸扬尘产生量，t/a；</w:t>
      </w:r>
    </w:p>
    <w:p w14:paraId="41180B32">
      <w:pPr>
        <w:pStyle w:val="57"/>
        <w:keepNext w:val="0"/>
        <w:keepLines w:val="0"/>
        <w:pageBreakBefore w:val="0"/>
        <w:kinsoku/>
        <w:wordWrap/>
        <w:overflowPunct/>
        <w:topLinePunct w:val="0"/>
        <w:autoSpaceDN/>
        <w:bidi w:val="0"/>
        <w:adjustRightInd/>
        <w:snapToGrid/>
        <w:spacing w:after="0" w:line="360" w:lineRule="auto"/>
        <w:ind w:left="0" w:leftChars="0" w:firstLine="48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 xml:space="preserve">      Nc——指年物料运载车次（单位：车）；</w:t>
      </w:r>
    </w:p>
    <w:p w14:paraId="70CCA5A0">
      <w:pPr>
        <w:pStyle w:val="57"/>
        <w:keepNext w:val="0"/>
        <w:keepLines w:val="0"/>
        <w:pageBreakBefore w:val="0"/>
        <w:kinsoku/>
        <w:wordWrap/>
        <w:overflowPunct/>
        <w:topLinePunct w:val="0"/>
        <w:autoSpaceDN/>
        <w:bidi w:val="0"/>
        <w:adjustRightInd/>
        <w:snapToGrid/>
        <w:spacing w:after="0" w:line="360" w:lineRule="auto"/>
        <w:ind w:left="0" w:leftChars="0" w:firstLine="48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 xml:space="preserve">      D——指单车平均运载量（单位：吨/车）；</w:t>
      </w:r>
    </w:p>
    <w:p w14:paraId="12E8A4F5">
      <w:pPr>
        <w:keepNext w:val="0"/>
        <w:keepLines w:val="0"/>
        <w:pageBreakBefore w:val="0"/>
        <w:kinsoku/>
        <w:wordWrap/>
        <w:overflowPunct/>
        <w:topLinePunct w:val="0"/>
        <w:autoSpaceDE w:val="0"/>
        <w:autoSpaceDN/>
        <w:bidi w:val="0"/>
        <w:adjustRightInd/>
        <w:snapToGrid/>
        <w:spacing w:line="360" w:lineRule="auto"/>
        <w:ind w:left="0" w:leftChars="0" w:firstLine="480"/>
        <w:textAlignment w:val="auto"/>
        <w:rPr>
          <w:rFonts w:hint="default" w:ascii="Times New Roman" w:hAnsi="Times New Roman" w:cs="Times New Roman"/>
          <w:bCs/>
          <w:color w:val="000000"/>
          <w:sz w:val="24"/>
          <w:szCs w:val="24"/>
          <w:highlight w:val="none"/>
        </w:rPr>
      </w:pPr>
      <w:r>
        <w:rPr>
          <w:rFonts w:hint="default" w:ascii="Times New Roman" w:hAnsi="Times New Roman" w:cs="Times New Roman"/>
          <w:bCs/>
          <w:color w:val="000000"/>
          <w:sz w:val="24"/>
          <w:szCs w:val="24"/>
          <w:highlight w:val="none"/>
        </w:rPr>
        <w:t xml:space="preserve">      a/b——装卸扬尘概化系数（单位：千克/吨），a指各省风速概化系数，河北省取0.001，b指物料含水率概化系数，项目</w:t>
      </w:r>
      <w:r>
        <w:rPr>
          <w:rFonts w:hint="default" w:ascii="Times New Roman" w:hAnsi="Times New Roman" w:cs="Times New Roman"/>
          <w:color w:val="000000"/>
          <w:sz w:val="24"/>
          <w:szCs w:val="24"/>
          <w:highlight w:val="none"/>
        </w:rPr>
        <w:t>覆土绿化</w:t>
      </w:r>
      <w:r>
        <w:rPr>
          <w:rFonts w:hint="default" w:ascii="Times New Roman" w:hAnsi="Times New Roman" w:cs="Times New Roman"/>
          <w:color w:val="000000"/>
          <w:sz w:val="24"/>
          <w:szCs w:val="24"/>
          <w:highlight w:val="none"/>
          <w:lang w:val="en-US" w:eastAsia="zh-CN"/>
        </w:rPr>
        <w:t>过程的覆土参照</w:t>
      </w:r>
      <w:r>
        <w:rPr>
          <w:rFonts w:hint="default" w:ascii="Times New Roman" w:hAnsi="Times New Roman" w:cs="Times New Roman"/>
          <w:bCs/>
          <w:color w:val="000000"/>
          <w:sz w:val="24"/>
          <w:szCs w:val="24"/>
          <w:highlight w:val="none"/>
        </w:rPr>
        <w:t>表土的概化系数，取0.0151。</w:t>
      </w:r>
    </w:p>
    <w:p w14:paraId="26C0B6CB">
      <w:pPr>
        <w:keepNext w:val="0"/>
        <w:keepLines w:val="0"/>
        <w:pageBreakBefore w:val="0"/>
        <w:kinsoku/>
        <w:wordWrap/>
        <w:overflowPunct/>
        <w:topLinePunct w:val="0"/>
        <w:autoSpaceDN/>
        <w:bidi w:val="0"/>
        <w:adjustRightInd/>
        <w:snapToGrid/>
        <w:spacing w:line="360" w:lineRule="auto"/>
        <w:ind w:left="0" w:leftChars="0" w:firstLine="480" w:firstLineChars="200"/>
        <w:textAlignment w:val="auto"/>
        <w:rPr>
          <w:rFonts w:hint="eastAsia" w:ascii="Times New Roman" w:eastAsia="宋体"/>
          <w:sz w:val="24"/>
          <w:szCs w:val="24"/>
          <w:highlight w:val="none"/>
        </w:rPr>
      </w:pPr>
      <w:r>
        <w:rPr>
          <w:rFonts w:hint="default" w:ascii="Times New Roman" w:hAnsi="Times New Roman" w:cs="Times New Roman"/>
          <w:color w:val="000000"/>
          <w:sz w:val="24"/>
          <w:szCs w:val="24"/>
          <w:highlight w:val="none"/>
        </w:rPr>
        <w:t>本</w:t>
      </w:r>
      <w:r>
        <w:rPr>
          <w:rFonts w:hint="eastAsia" w:ascii="Times New Roman" w:hAnsi="Times New Roman" w:cs="Times New Roman"/>
          <w:color w:val="000000"/>
          <w:sz w:val="24"/>
          <w:szCs w:val="24"/>
          <w:highlight w:val="none"/>
          <w:lang w:val="en-US" w:eastAsia="zh-CN"/>
        </w:rPr>
        <w:t>项目</w:t>
      </w:r>
      <w:r>
        <w:rPr>
          <w:rFonts w:hint="default" w:ascii="Times New Roman" w:hAnsi="Times New Roman" w:cs="Times New Roman"/>
          <w:color w:val="000000"/>
          <w:sz w:val="24"/>
          <w:szCs w:val="24"/>
          <w:highlight w:val="none"/>
          <w:lang w:val="en-US" w:eastAsia="zh-CN"/>
        </w:rPr>
        <w:t>封场</w:t>
      </w:r>
      <w:r>
        <w:rPr>
          <w:rFonts w:hint="default" w:ascii="Times New Roman" w:hAnsi="Times New Roman" w:cs="Times New Roman"/>
          <w:color w:val="000000"/>
          <w:sz w:val="24"/>
          <w:szCs w:val="24"/>
          <w:highlight w:val="none"/>
        </w:rPr>
        <w:t>后覆土绿化，覆土厚度为400mm，</w:t>
      </w:r>
      <w:r>
        <w:rPr>
          <w:rFonts w:hint="default" w:ascii="Times New Roman" w:hAnsi="Times New Roman" w:cs="Times New Roman"/>
          <w:color w:val="000000"/>
          <w:sz w:val="24"/>
          <w:szCs w:val="24"/>
          <w:highlight w:val="none"/>
          <w:lang w:val="en-US" w:eastAsia="zh-CN"/>
        </w:rPr>
        <w:t>填埋场</w:t>
      </w:r>
      <w:r>
        <w:rPr>
          <w:rFonts w:hint="default" w:ascii="Times New Roman" w:hAnsi="Times New Roman" w:cs="Times New Roman"/>
          <w:color w:val="000000"/>
          <w:sz w:val="24"/>
          <w:szCs w:val="24"/>
          <w:highlight w:val="none"/>
        </w:rPr>
        <w:t>覆土绿化面积按</w:t>
      </w:r>
      <w:r>
        <w:rPr>
          <w:rFonts w:hint="default" w:ascii="Times New Roman" w:hAnsi="Times New Roman" w:cs="Times New Roman"/>
          <w:color w:val="000000"/>
          <w:sz w:val="24"/>
          <w:szCs w:val="24"/>
          <w:highlight w:val="none"/>
          <w:lang w:val="en-US" w:eastAsia="zh-CN"/>
        </w:rPr>
        <w:t>填埋场</w:t>
      </w:r>
      <w:r>
        <w:rPr>
          <w:rFonts w:hint="default" w:ascii="Times New Roman" w:hAnsi="Times New Roman" w:cs="Times New Roman"/>
          <w:color w:val="000000"/>
          <w:sz w:val="24"/>
          <w:szCs w:val="24"/>
          <w:highlight w:val="none"/>
        </w:rPr>
        <w:t>总面积1/</w:t>
      </w:r>
      <w:r>
        <w:rPr>
          <w:rFonts w:hint="default" w:ascii="Times New Roman" w:hAnsi="Times New Roman" w:cs="Times New Roman"/>
          <w:color w:val="000000"/>
          <w:sz w:val="24"/>
          <w:szCs w:val="24"/>
          <w:highlight w:val="none"/>
          <w:lang w:val="en-US" w:eastAsia="zh-CN"/>
        </w:rPr>
        <w:t>3</w:t>
      </w:r>
      <w:r>
        <w:rPr>
          <w:rFonts w:hint="default" w:ascii="Times New Roman" w:hAnsi="Times New Roman" w:cs="Times New Roman"/>
          <w:color w:val="000000"/>
          <w:sz w:val="24"/>
          <w:szCs w:val="24"/>
          <w:highlight w:val="none"/>
        </w:rPr>
        <w:t>计算，</w:t>
      </w:r>
      <w:r>
        <w:rPr>
          <w:rFonts w:hint="eastAsia" w:ascii="Times New Roman" w:hAnsi="Times New Roman" w:cs="Times New Roman"/>
          <w:color w:val="000000"/>
          <w:sz w:val="24"/>
          <w:szCs w:val="24"/>
          <w:highlight w:val="none"/>
          <w:lang w:val="en-US" w:eastAsia="zh-CN"/>
        </w:rPr>
        <w:t>即为</w:t>
      </w:r>
      <w:r>
        <w:rPr>
          <w:rFonts w:hint="eastAsia" w:cs="Times New Roman"/>
          <w:color w:val="000000"/>
          <w:sz w:val="24"/>
          <w:szCs w:val="24"/>
          <w:highlight w:val="none"/>
          <w:lang w:val="en-US" w:eastAsia="zh-CN"/>
        </w:rPr>
        <w:t>13h</w:t>
      </w:r>
      <w:r>
        <w:rPr>
          <w:rFonts w:hint="default" w:ascii="Times New Roman" w:hAnsi="Times New Roman" w:cs="Times New Roman"/>
          <w:color w:val="000000"/>
          <w:sz w:val="24"/>
          <w:szCs w:val="24"/>
          <w:highlight w:val="none"/>
        </w:rPr>
        <w:t>m</w:t>
      </w:r>
      <w:r>
        <w:rPr>
          <w:rFonts w:hint="default" w:ascii="Times New Roman" w:hAnsi="Times New Roman" w:cs="Times New Roman"/>
          <w:color w:val="000000"/>
          <w:sz w:val="24"/>
          <w:szCs w:val="24"/>
          <w:highlight w:val="none"/>
          <w:vertAlign w:val="superscript"/>
        </w:rPr>
        <w:t>2</w:t>
      </w:r>
      <w:r>
        <w:rPr>
          <w:rFonts w:hint="default" w:ascii="Times New Roman" w:hAnsi="Times New Roman" w:cs="Times New Roman"/>
          <w:color w:val="000000"/>
          <w:sz w:val="24"/>
          <w:szCs w:val="24"/>
          <w:highlight w:val="none"/>
          <w:vertAlign w:val="baseline"/>
          <w:lang w:eastAsia="zh-CN"/>
        </w:rPr>
        <w:t>，</w:t>
      </w:r>
      <w:r>
        <w:rPr>
          <w:rFonts w:hint="default" w:ascii="Times New Roman" w:hAnsi="Times New Roman" w:cs="Times New Roman"/>
          <w:color w:val="000000"/>
          <w:sz w:val="24"/>
          <w:szCs w:val="24"/>
          <w:highlight w:val="none"/>
          <w:lang w:val="en-US" w:eastAsia="zh-CN"/>
        </w:rPr>
        <w:t>填埋场</w:t>
      </w:r>
      <w:r>
        <w:rPr>
          <w:rFonts w:hint="default" w:ascii="Times New Roman" w:hAnsi="Times New Roman" w:cs="Times New Roman"/>
          <w:color w:val="000000"/>
          <w:sz w:val="24"/>
          <w:szCs w:val="24"/>
          <w:highlight w:val="none"/>
        </w:rPr>
        <w:t>覆土绿化共需表土</w:t>
      </w:r>
      <w:r>
        <w:rPr>
          <w:rFonts w:hint="eastAsia" w:ascii="Times New Roman" w:hAnsi="Times New Roman" w:cs="Times New Roman"/>
          <w:color w:val="000000"/>
          <w:sz w:val="24"/>
          <w:szCs w:val="24"/>
          <w:highlight w:val="none"/>
          <w:lang w:val="en-US" w:eastAsia="zh-CN"/>
        </w:rPr>
        <w:t>33333.3</w:t>
      </w:r>
      <w:r>
        <w:rPr>
          <w:rFonts w:hint="default" w:ascii="Times New Roman" w:hAnsi="Times New Roman" w:cs="Times New Roman"/>
          <w:color w:val="000000"/>
          <w:sz w:val="24"/>
          <w:szCs w:val="24"/>
          <w:highlight w:val="none"/>
        </w:rPr>
        <w:t>m</w:t>
      </w:r>
      <w:r>
        <w:rPr>
          <w:rFonts w:hint="default" w:ascii="Times New Roman" w:hAnsi="Times New Roman" w:cs="Times New Roman"/>
          <w:color w:val="000000"/>
          <w:sz w:val="24"/>
          <w:szCs w:val="24"/>
          <w:highlight w:val="none"/>
          <w:vertAlign w:val="superscript"/>
        </w:rPr>
        <w:t>3</w:t>
      </w:r>
      <w:r>
        <w:rPr>
          <w:rFonts w:hint="default" w:ascii="Times New Roman" w:hAnsi="Times New Roman" w:cs="Times New Roman"/>
          <w:color w:val="000000"/>
          <w:sz w:val="24"/>
          <w:szCs w:val="24"/>
          <w:highlight w:val="none"/>
        </w:rPr>
        <w:t>(核</w:t>
      </w:r>
      <w:r>
        <w:rPr>
          <w:rFonts w:hint="eastAsia" w:cs="Times New Roman"/>
          <w:color w:val="000000"/>
          <w:sz w:val="24"/>
          <w:szCs w:val="24"/>
          <w:highlight w:val="none"/>
          <w:lang w:val="en-US" w:eastAsia="zh-CN"/>
        </w:rPr>
        <w:t>28888.9</w:t>
      </w:r>
      <w:r>
        <w:rPr>
          <w:rFonts w:hint="default" w:ascii="Times New Roman" w:hAnsi="Times New Roman" w:cs="Times New Roman"/>
          <w:color w:val="000000"/>
          <w:sz w:val="24"/>
          <w:szCs w:val="24"/>
          <w:highlight w:val="none"/>
        </w:rPr>
        <w:t>t)。</w:t>
      </w:r>
    </w:p>
    <w:p w14:paraId="6B33E95B">
      <w:pPr>
        <w:numPr>
          <w:ilvl w:val="0"/>
          <w:numId w:val="20"/>
        </w:numPr>
        <w:adjustRightInd w:val="0"/>
        <w:snapToGrid w:val="0"/>
        <w:jc w:val="center"/>
        <w:rPr>
          <w:rFonts w:hint="default" w:ascii="Times New Roman" w:hAnsi="Times New Roman" w:cs="Times New Roman"/>
          <w:b/>
          <w:bCs/>
          <w:color w:val="000000"/>
          <w:kern w:val="0"/>
          <w:sz w:val="21"/>
          <w:szCs w:val="21"/>
          <w:highlight w:val="none"/>
          <w:lang w:val="en-US" w:eastAsia="zh-CN"/>
        </w:rPr>
      </w:pPr>
      <w:r>
        <w:rPr>
          <w:rFonts w:hint="default" w:ascii="Times New Roman" w:hAnsi="Times New Roman" w:cs="Times New Roman"/>
          <w:b/>
          <w:bCs/>
          <w:color w:val="000000"/>
          <w:kern w:val="0"/>
          <w:sz w:val="21"/>
          <w:szCs w:val="21"/>
          <w:highlight w:val="none"/>
          <w:lang w:val="en-US" w:eastAsia="zh-CN"/>
        </w:rPr>
        <w:t>颗粒物产生量参数取值及计算结果</w:t>
      </w:r>
    </w:p>
    <w:tbl>
      <w:tblPr>
        <w:tblStyle w:val="5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6"/>
        <w:gridCol w:w="771"/>
        <w:gridCol w:w="953"/>
        <w:gridCol w:w="2367"/>
        <w:gridCol w:w="1762"/>
        <w:gridCol w:w="1089"/>
      </w:tblGrid>
      <w:tr w14:paraId="48FAE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6" w:type="dxa"/>
            <w:tcBorders>
              <w:top w:val="single" w:color="auto" w:sz="2" w:space="0"/>
              <w:left w:val="single" w:color="auto" w:sz="2" w:space="0"/>
              <w:bottom w:val="single" w:color="auto" w:sz="2" w:space="0"/>
              <w:right w:val="single" w:color="auto" w:sz="2" w:space="0"/>
            </w:tcBorders>
            <w:noWrap w:val="0"/>
            <w:vAlign w:val="center"/>
          </w:tcPr>
          <w:p w14:paraId="0B62F05E">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类别</w:t>
            </w:r>
          </w:p>
        </w:tc>
        <w:tc>
          <w:tcPr>
            <w:tcW w:w="771" w:type="dxa"/>
            <w:tcBorders>
              <w:top w:val="single" w:color="auto" w:sz="2" w:space="0"/>
              <w:left w:val="single" w:color="auto" w:sz="2" w:space="0"/>
              <w:bottom w:val="single" w:color="auto" w:sz="2" w:space="0"/>
              <w:right w:val="single" w:color="auto" w:sz="2" w:space="0"/>
            </w:tcBorders>
            <w:noWrap w:val="0"/>
            <w:vAlign w:val="center"/>
          </w:tcPr>
          <w:p w14:paraId="09B0E8D8">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a</w:t>
            </w:r>
          </w:p>
        </w:tc>
        <w:tc>
          <w:tcPr>
            <w:tcW w:w="953" w:type="dxa"/>
            <w:tcBorders>
              <w:top w:val="single" w:color="auto" w:sz="2" w:space="0"/>
              <w:left w:val="single" w:color="auto" w:sz="2" w:space="0"/>
              <w:bottom w:val="single" w:color="auto" w:sz="2" w:space="0"/>
              <w:right w:val="single" w:color="auto" w:sz="2" w:space="0"/>
            </w:tcBorders>
            <w:noWrap w:val="0"/>
            <w:vAlign w:val="center"/>
          </w:tcPr>
          <w:p w14:paraId="5BB5DC71">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b</w:t>
            </w:r>
          </w:p>
        </w:tc>
        <w:tc>
          <w:tcPr>
            <w:tcW w:w="2367" w:type="dxa"/>
            <w:tcBorders>
              <w:top w:val="single" w:color="auto" w:sz="2" w:space="0"/>
              <w:left w:val="single" w:color="auto" w:sz="2" w:space="0"/>
              <w:bottom w:val="single" w:color="auto" w:sz="2" w:space="0"/>
              <w:right w:val="single" w:color="auto" w:sz="2" w:space="0"/>
            </w:tcBorders>
            <w:noWrap w:val="0"/>
            <w:vAlign w:val="center"/>
          </w:tcPr>
          <w:p w14:paraId="25A6F678">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运输车辆载重（D）t/车</w:t>
            </w:r>
          </w:p>
        </w:tc>
        <w:tc>
          <w:tcPr>
            <w:tcW w:w="1762" w:type="dxa"/>
            <w:tcBorders>
              <w:top w:val="single" w:color="auto" w:sz="2" w:space="0"/>
              <w:left w:val="single" w:color="auto" w:sz="2" w:space="0"/>
              <w:bottom w:val="single" w:color="auto" w:sz="2" w:space="0"/>
              <w:right w:val="single" w:color="auto" w:sz="2" w:space="0"/>
            </w:tcBorders>
            <w:noWrap w:val="0"/>
            <w:vAlign w:val="center"/>
          </w:tcPr>
          <w:p w14:paraId="0DFB012B">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装卸次数（Nc）</w:t>
            </w:r>
          </w:p>
        </w:tc>
        <w:tc>
          <w:tcPr>
            <w:tcW w:w="1089" w:type="dxa"/>
            <w:tcBorders>
              <w:top w:val="single" w:color="auto" w:sz="2" w:space="0"/>
              <w:left w:val="single" w:color="auto" w:sz="2" w:space="0"/>
              <w:bottom w:val="single" w:color="auto" w:sz="2" w:space="0"/>
              <w:right w:val="single" w:color="auto" w:sz="2" w:space="0"/>
            </w:tcBorders>
            <w:noWrap w:val="0"/>
            <w:vAlign w:val="center"/>
          </w:tcPr>
          <w:p w14:paraId="0CDAFC19">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p（t）</w:t>
            </w:r>
          </w:p>
        </w:tc>
      </w:tr>
      <w:tr w14:paraId="125C5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6" w:type="dxa"/>
            <w:tcBorders>
              <w:top w:val="single" w:color="auto" w:sz="2" w:space="0"/>
              <w:left w:val="single" w:color="auto" w:sz="2" w:space="0"/>
              <w:bottom w:val="single" w:color="auto" w:sz="2" w:space="0"/>
              <w:right w:val="single" w:color="auto" w:sz="2" w:space="0"/>
            </w:tcBorders>
            <w:noWrap w:val="0"/>
            <w:vAlign w:val="center"/>
          </w:tcPr>
          <w:p w14:paraId="1E1D49C1">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val="0"/>
                <w:bCs w:val="0"/>
                <w:color w:val="000000"/>
                <w:highlight w:val="none"/>
              </w:rPr>
            </w:pPr>
            <w:r>
              <w:rPr>
                <w:rFonts w:hint="default" w:ascii="Times New Roman" w:hAnsi="Times New Roman" w:eastAsia="宋体" w:cs="Times New Roman"/>
                <w:b w:val="0"/>
                <w:bCs w:val="0"/>
                <w:color w:val="000000"/>
                <w:highlight w:val="none"/>
              </w:rPr>
              <w:t>覆土绿化过程</w:t>
            </w:r>
          </w:p>
        </w:tc>
        <w:tc>
          <w:tcPr>
            <w:tcW w:w="771" w:type="dxa"/>
            <w:tcBorders>
              <w:top w:val="single" w:color="auto" w:sz="2" w:space="0"/>
              <w:left w:val="single" w:color="auto" w:sz="2" w:space="0"/>
              <w:bottom w:val="single" w:color="auto" w:sz="2" w:space="0"/>
              <w:right w:val="single" w:color="auto" w:sz="2" w:space="0"/>
            </w:tcBorders>
            <w:noWrap w:val="0"/>
            <w:vAlign w:val="center"/>
          </w:tcPr>
          <w:p w14:paraId="6C9134C3">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val="0"/>
                <w:bCs w:val="0"/>
                <w:color w:val="000000"/>
                <w:highlight w:val="none"/>
              </w:rPr>
            </w:pPr>
            <w:r>
              <w:rPr>
                <w:rFonts w:hint="default" w:ascii="Times New Roman" w:hAnsi="Times New Roman" w:eastAsia="宋体" w:cs="Times New Roman"/>
                <w:b w:val="0"/>
                <w:bCs w:val="0"/>
                <w:color w:val="000000"/>
                <w:highlight w:val="none"/>
              </w:rPr>
              <w:t>0.001</w:t>
            </w:r>
          </w:p>
        </w:tc>
        <w:tc>
          <w:tcPr>
            <w:tcW w:w="953" w:type="dxa"/>
            <w:tcBorders>
              <w:top w:val="single" w:color="auto" w:sz="2" w:space="0"/>
              <w:left w:val="single" w:color="auto" w:sz="2" w:space="0"/>
              <w:bottom w:val="single" w:color="auto" w:sz="2" w:space="0"/>
              <w:right w:val="single" w:color="auto" w:sz="2" w:space="0"/>
            </w:tcBorders>
            <w:noWrap w:val="0"/>
            <w:vAlign w:val="center"/>
          </w:tcPr>
          <w:p w14:paraId="432A6F59">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val="0"/>
                <w:bCs w:val="0"/>
                <w:color w:val="000000"/>
                <w:highlight w:val="none"/>
              </w:rPr>
            </w:pPr>
            <w:r>
              <w:rPr>
                <w:rFonts w:hint="default" w:ascii="Times New Roman" w:hAnsi="Times New Roman" w:eastAsia="宋体" w:cs="Times New Roman"/>
                <w:b w:val="0"/>
                <w:bCs w:val="0"/>
                <w:color w:val="000000"/>
                <w:highlight w:val="none"/>
              </w:rPr>
              <w:t>0.0151</w:t>
            </w:r>
          </w:p>
        </w:tc>
        <w:tc>
          <w:tcPr>
            <w:tcW w:w="2367" w:type="dxa"/>
            <w:tcBorders>
              <w:top w:val="single" w:color="auto" w:sz="2" w:space="0"/>
              <w:left w:val="single" w:color="auto" w:sz="2" w:space="0"/>
              <w:bottom w:val="single" w:color="auto" w:sz="2" w:space="0"/>
              <w:right w:val="single" w:color="auto" w:sz="2" w:space="0"/>
            </w:tcBorders>
            <w:noWrap w:val="0"/>
            <w:vAlign w:val="center"/>
          </w:tcPr>
          <w:p w14:paraId="0EEC3BC3">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val="0"/>
                <w:bCs w:val="0"/>
                <w:color w:val="000000"/>
                <w:highlight w:val="none"/>
                <w:lang w:val="en-US" w:eastAsia="zh-CN"/>
              </w:rPr>
            </w:pPr>
            <w:r>
              <w:rPr>
                <w:rFonts w:hint="eastAsia" w:ascii="Times New Roman" w:hAnsi="Times New Roman" w:eastAsia="宋体" w:cs="Times New Roman"/>
                <w:b w:val="0"/>
                <w:bCs w:val="0"/>
                <w:color w:val="000000"/>
                <w:highlight w:val="none"/>
                <w:lang w:val="en-US" w:eastAsia="zh-CN"/>
              </w:rPr>
              <w:t>50</w:t>
            </w:r>
          </w:p>
        </w:tc>
        <w:tc>
          <w:tcPr>
            <w:tcW w:w="1762" w:type="dxa"/>
            <w:tcBorders>
              <w:top w:val="single" w:color="auto" w:sz="2" w:space="0"/>
              <w:left w:val="single" w:color="auto" w:sz="2" w:space="0"/>
              <w:bottom w:val="single" w:color="auto" w:sz="2" w:space="0"/>
              <w:right w:val="single" w:color="auto" w:sz="2" w:space="0"/>
            </w:tcBorders>
            <w:noWrap w:val="0"/>
            <w:vAlign w:val="center"/>
          </w:tcPr>
          <w:p w14:paraId="084B1848">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val="0"/>
                <w:bCs w:val="0"/>
                <w:color w:val="000000"/>
                <w:highlight w:val="none"/>
                <w:lang w:val="en-US" w:eastAsia="zh-CN"/>
              </w:rPr>
            </w:pPr>
            <w:r>
              <w:rPr>
                <w:rFonts w:hint="eastAsia" w:ascii="Times New Roman" w:hAnsi="Times New Roman" w:eastAsia="宋体" w:cs="Times New Roman"/>
                <w:b w:val="0"/>
                <w:bCs w:val="0"/>
                <w:color w:val="000000"/>
                <w:highlight w:val="none"/>
                <w:lang w:val="en-US" w:eastAsia="zh-CN"/>
              </w:rPr>
              <w:t>370</w:t>
            </w:r>
          </w:p>
        </w:tc>
        <w:tc>
          <w:tcPr>
            <w:tcW w:w="1089" w:type="dxa"/>
            <w:tcBorders>
              <w:top w:val="single" w:color="auto" w:sz="2" w:space="0"/>
              <w:left w:val="single" w:color="auto" w:sz="2" w:space="0"/>
              <w:bottom w:val="single" w:color="auto" w:sz="2" w:space="0"/>
              <w:right w:val="single" w:color="auto" w:sz="2" w:space="0"/>
            </w:tcBorders>
            <w:noWrap w:val="0"/>
            <w:vAlign w:val="center"/>
          </w:tcPr>
          <w:p w14:paraId="37F3F37B">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val="0"/>
                <w:bCs w:val="0"/>
                <w:color w:val="000000"/>
                <w:highlight w:val="none"/>
                <w:lang w:val="en-US" w:eastAsia="zh-CN"/>
              </w:rPr>
            </w:pPr>
            <w:r>
              <w:rPr>
                <w:rFonts w:hint="eastAsia" w:cs="Times New Roman"/>
                <w:b w:val="0"/>
                <w:bCs w:val="0"/>
                <w:color w:val="000000"/>
                <w:highlight w:val="none"/>
                <w:lang w:val="en-US" w:eastAsia="zh-CN"/>
              </w:rPr>
              <w:t>1.913</w:t>
            </w:r>
          </w:p>
        </w:tc>
      </w:tr>
    </w:tbl>
    <w:p w14:paraId="302076E3">
      <w:pPr>
        <w:keepNext w:val="0"/>
        <w:keepLines w:val="0"/>
        <w:pageBreakBefore w:val="0"/>
        <w:kinsoku/>
        <w:wordWrap/>
        <w:overflowPunct/>
        <w:topLinePunct w:val="0"/>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szCs w:val="24"/>
          <w:highlight w:val="none"/>
        </w:rPr>
        <w:t>颗粒物排放量计算公式如下：</w:t>
      </w:r>
    </w:p>
    <w:p w14:paraId="49BD3B7F">
      <w:pPr>
        <w:keepNext w:val="0"/>
        <w:keepLines w:val="0"/>
        <w:pageBreakBefore w:val="0"/>
        <w:widowControl/>
        <w:kinsoku/>
        <w:wordWrap/>
        <w:overflowPunct/>
        <w:topLinePunct w:val="0"/>
        <w:autoSpaceDN/>
        <w:bidi w:val="0"/>
        <w:adjustRightInd/>
        <w:snapToGrid/>
        <w:spacing w:line="360" w:lineRule="auto"/>
        <w:ind w:left="0" w:leftChars="0" w:firstLine="480" w:firstLineChars="200"/>
        <w:jc w:val="center"/>
        <w:textAlignment w:val="auto"/>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color w:val="000000"/>
          <w:kern w:val="0"/>
          <w:sz w:val="24"/>
          <w:szCs w:val="24"/>
          <w:highlight w:val="none"/>
        </w:rPr>
        <w:t>Uc=P×（1-Cm）×（1-Tm）</w:t>
      </w:r>
    </w:p>
    <w:p w14:paraId="1F0012F9">
      <w:pPr>
        <w:pStyle w:val="57"/>
        <w:keepNext w:val="0"/>
        <w:keepLines w:val="0"/>
        <w:pageBreakBefore w:val="0"/>
        <w:kinsoku/>
        <w:wordWrap/>
        <w:overflowPunct/>
        <w:topLinePunct w:val="0"/>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式中：P——颗粒物产生量，t/a；</w:t>
      </w:r>
    </w:p>
    <w:p w14:paraId="709DB7FB">
      <w:pPr>
        <w:pStyle w:val="57"/>
        <w:keepNext w:val="0"/>
        <w:keepLines w:val="0"/>
        <w:pageBreakBefore w:val="0"/>
        <w:kinsoku/>
        <w:wordWrap/>
        <w:overflowPunct/>
        <w:topLinePunct w:val="0"/>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 xml:space="preserve">      Uc——颗粒物排放量，t/a；</w:t>
      </w:r>
    </w:p>
    <w:p w14:paraId="4CD27484">
      <w:pPr>
        <w:pStyle w:val="57"/>
        <w:keepNext w:val="0"/>
        <w:keepLines w:val="0"/>
        <w:pageBreakBefore w:val="0"/>
        <w:kinsoku/>
        <w:wordWrap/>
        <w:overflowPunct/>
        <w:topLinePunct w:val="0"/>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 xml:space="preserve">      Cm——颗粒物控制措施控制效率，</w:t>
      </w:r>
      <w:r>
        <w:rPr>
          <w:rFonts w:hint="default" w:ascii="Times New Roman" w:hAnsi="Times New Roman" w:eastAsia="宋体" w:cs="Times New Roman"/>
          <w:color w:val="000000"/>
          <w:sz w:val="24"/>
          <w:szCs w:val="24"/>
          <w:highlight w:val="none"/>
          <w:lang w:val="en-US" w:eastAsia="zh-CN"/>
        </w:rPr>
        <w:t>取值0.74</w:t>
      </w:r>
      <w:r>
        <w:rPr>
          <w:rFonts w:hint="default" w:ascii="Times New Roman" w:hAnsi="Times New Roman" w:eastAsia="宋体" w:cs="Times New Roman"/>
          <w:color w:val="000000"/>
          <w:sz w:val="24"/>
          <w:szCs w:val="24"/>
          <w:highlight w:val="none"/>
        </w:rPr>
        <w:t>；</w:t>
      </w:r>
    </w:p>
    <w:p w14:paraId="6128044A">
      <w:pPr>
        <w:keepNext w:val="0"/>
        <w:keepLines w:val="0"/>
        <w:pageBreakBefore w:val="0"/>
        <w:kinsoku/>
        <w:wordWrap/>
        <w:overflowPunct/>
        <w:topLinePunct w:val="0"/>
        <w:autoSpaceDE w:val="0"/>
        <w:autoSpaceDN/>
        <w:bidi w:val="0"/>
        <w:adjustRightInd/>
        <w:snapToGrid/>
        <w:spacing w:line="360" w:lineRule="auto"/>
        <w:ind w:left="0" w:leftChars="0" w:firstLine="480" w:firstLineChars="200"/>
        <w:textAlignment w:val="auto"/>
        <w:rPr>
          <w:rFonts w:hint="eastAsia"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rPr>
        <w:t xml:space="preserve">      Tm——堆场类型控制效率，%</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val="en-US" w:eastAsia="zh-CN"/>
        </w:rPr>
        <w:t>取值0</w:t>
      </w:r>
      <w:r>
        <w:rPr>
          <w:rFonts w:hint="eastAsia" w:cs="Times New Roman"/>
          <w:color w:val="000000"/>
          <w:sz w:val="24"/>
          <w:szCs w:val="24"/>
          <w:highlight w:val="none"/>
          <w:lang w:val="en-US" w:eastAsia="zh-CN"/>
        </w:rPr>
        <w:t>。</w:t>
      </w:r>
    </w:p>
    <w:p w14:paraId="52DD5AD6">
      <w:pPr>
        <w:numPr>
          <w:ilvl w:val="0"/>
          <w:numId w:val="20"/>
        </w:numPr>
        <w:adjustRightInd w:val="0"/>
        <w:snapToGrid w:val="0"/>
        <w:jc w:val="center"/>
        <w:rPr>
          <w:rFonts w:hint="default" w:ascii="Times New Roman" w:hAnsi="Times New Roman" w:cs="Times New Roman"/>
          <w:b/>
          <w:color w:val="000000"/>
          <w:spacing w:val="9"/>
          <w:sz w:val="21"/>
          <w:szCs w:val="21"/>
          <w:highlight w:val="none"/>
        </w:rPr>
      </w:pPr>
      <w:r>
        <w:rPr>
          <w:rFonts w:hint="default" w:ascii="Times New Roman" w:hAnsi="Times New Roman" w:cs="Times New Roman"/>
          <w:b/>
          <w:color w:val="000000"/>
          <w:spacing w:val="9"/>
          <w:sz w:val="21"/>
          <w:szCs w:val="21"/>
          <w:highlight w:val="none"/>
          <w:lang w:val="en-US" w:eastAsia="zh-CN"/>
        </w:rPr>
        <w:t>覆土绿化过程颗粒物排放量一览表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8"/>
        <w:gridCol w:w="1855"/>
        <w:gridCol w:w="1474"/>
        <w:gridCol w:w="1556"/>
        <w:gridCol w:w="1625"/>
      </w:tblGrid>
      <w:tr w14:paraId="06ACD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3" w:type="pct"/>
            <w:tcBorders>
              <w:top w:val="single" w:color="auto" w:sz="2" w:space="0"/>
              <w:left w:val="single" w:color="auto" w:sz="2" w:space="0"/>
              <w:bottom w:val="single" w:color="auto" w:sz="2" w:space="0"/>
              <w:right w:val="single" w:color="auto" w:sz="2" w:space="0"/>
            </w:tcBorders>
            <w:noWrap w:val="0"/>
            <w:vAlign w:val="center"/>
          </w:tcPr>
          <w:p w14:paraId="7D655BA3">
            <w:pPr>
              <w:pStyle w:val="161"/>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类别</w:t>
            </w:r>
          </w:p>
        </w:tc>
        <w:tc>
          <w:tcPr>
            <w:tcW w:w="1087" w:type="pct"/>
            <w:tcBorders>
              <w:top w:val="single" w:color="auto" w:sz="2" w:space="0"/>
              <w:left w:val="single" w:color="auto" w:sz="2" w:space="0"/>
              <w:bottom w:val="single" w:color="auto" w:sz="2" w:space="0"/>
              <w:right w:val="single" w:color="auto" w:sz="2" w:space="0"/>
            </w:tcBorders>
            <w:noWrap w:val="0"/>
            <w:vAlign w:val="center"/>
          </w:tcPr>
          <w:p w14:paraId="4CCBD655">
            <w:pPr>
              <w:pStyle w:val="161"/>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p（t）</w:t>
            </w:r>
          </w:p>
        </w:tc>
        <w:tc>
          <w:tcPr>
            <w:tcW w:w="864" w:type="pct"/>
            <w:tcBorders>
              <w:top w:val="single" w:color="auto" w:sz="2" w:space="0"/>
              <w:left w:val="single" w:color="auto" w:sz="2" w:space="0"/>
              <w:bottom w:val="single" w:color="auto" w:sz="2" w:space="0"/>
              <w:right w:val="single" w:color="auto" w:sz="2" w:space="0"/>
            </w:tcBorders>
            <w:noWrap w:val="0"/>
            <w:vAlign w:val="center"/>
          </w:tcPr>
          <w:p w14:paraId="3DF812BD">
            <w:pPr>
              <w:pStyle w:val="161"/>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Cm（%）</w:t>
            </w:r>
          </w:p>
        </w:tc>
        <w:tc>
          <w:tcPr>
            <w:tcW w:w="912" w:type="pct"/>
            <w:tcBorders>
              <w:top w:val="single" w:color="auto" w:sz="2" w:space="0"/>
              <w:left w:val="single" w:color="auto" w:sz="2" w:space="0"/>
              <w:bottom w:val="single" w:color="auto" w:sz="2" w:space="0"/>
              <w:right w:val="single" w:color="auto" w:sz="2" w:space="0"/>
            </w:tcBorders>
            <w:noWrap w:val="0"/>
            <w:vAlign w:val="center"/>
          </w:tcPr>
          <w:p w14:paraId="0CA3C629">
            <w:pPr>
              <w:pStyle w:val="161"/>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Tm（%）</w:t>
            </w:r>
          </w:p>
        </w:tc>
        <w:tc>
          <w:tcPr>
            <w:tcW w:w="952" w:type="pct"/>
            <w:tcBorders>
              <w:top w:val="single" w:color="auto" w:sz="2" w:space="0"/>
              <w:left w:val="single" w:color="auto" w:sz="2" w:space="0"/>
              <w:bottom w:val="single" w:color="auto" w:sz="2" w:space="0"/>
              <w:right w:val="single" w:color="auto" w:sz="2" w:space="0"/>
            </w:tcBorders>
            <w:noWrap w:val="0"/>
            <w:vAlign w:val="center"/>
          </w:tcPr>
          <w:p w14:paraId="3F69B473">
            <w:pPr>
              <w:pStyle w:val="161"/>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Uc（t）</w:t>
            </w:r>
          </w:p>
        </w:tc>
      </w:tr>
      <w:tr w14:paraId="67BE1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3" w:type="pct"/>
            <w:tcBorders>
              <w:top w:val="single" w:color="auto" w:sz="2" w:space="0"/>
              <w:left w:val="single" w:color="auto" w:sz="2" w:space="0"/>
              <w:bottom w:val="single" w:color="auto" w:sz="2" w:space="0"/>
              <w:right w:val="single" w:color="auto" w:sz="2" w:space="0"/>
            </w:tcBorders>
            <w:noWrap w:val="0"/>
            <w:vAlign w:val="center"/>
          </w:tcPr>
          <w:p w14:paraId="1E87BC6A">
            <w:pPr>
              <w:pStyle w:val="161"/>
              <w:ind w:firstLine="0" w:firstLineChars="0"/>
              <w:rPr>
                <w:rFonts w:hint="default" w:ascii="Times New Roman" w:hAnsi="Times New Roman" w:cs="Times New Roman"/>
                <w:bCs/>
                <w:color w:val="000000"/>
                <w:highlight w:val="none"/>
              </w:rPr>
            </w:pPr>
            <w:r>
              <w:rPr>
                <w:rFonts w:hint="default" w:ascii="Times New Roman" w:hAnsi="Times New Roman" w:eastAsia="宋体" w:cs="Times New Roman"/>
                <w:b w:val="0"/>
                <w:bCs w:val="0"/>
                <w:color w:val="000000"/>
                <w:highlight w:val="none"/>
              </w:rPr>
              <w:t>覆土绿化过程</w:t>
            </w:r>
          </w:p>
        </w:tc>
        <w:tc>
          <w:tcPr>
            <w:tcW w:w="1087" w:type="pct"/>
            <w:tcBorders>
              <w:top w:val="single" w:color="auto" w:sz="2" w:space="0"/>
              <w:left w:val="single" w:color="auto" w:sz="2" w:space="0"/>
              <w:bottom w:val="single" w:color="auto" w:sz="2" w:space="0"/>
              <w:right w:val="single" w:color="auto" w:sz="2" w:space="0"/>
            </w:tcBorders>
            <w:noWrap w:val="0"/>
            <w:vAlign w:val="center"/>
          </w:tcPr>
          <w:p w14:paraId="375D22EF">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cs="Times New Roman"/>
                <w:b w:val="0"/>
                <w:bCs w:val="0"/>
                <w:color w:val="000000"/>
                <w:highlight w:val="none"/>
                <w:lang w:val="en-US"/>
              </w:rPr>
            </w:pPr>
            <w:r>
              <w:rPr>
                <w:rFonts w:hint="eastAsia" w:cs="Times New Roman"/>
                <w:b w:val="0"/>
                <w:bCs w:val="0"/>
                <w:color w:val="000000"/>
                <w:highlight w:val="none"/>
                <w:lang w:val="en-US" w:eastAsia="zh-CN"/>
              </w:rPr>
              <w:t>1.913</w:t>
            </w:r>
          </w:p>
        </w:tc>
        <w:tc>
          <w:tcPr>
            <w:tcW w:w="864" w:type="pct"/>
            <w:tcBorders>
              <w:top w:val="single" w:color="auto" w:sz="2" w:space="0"/>
              <w:left w:val="single" w:color="auto" w:sz="2" w:space="0"/>
              <w:bottom w:val="single" w:color="auto" w:sz="2" w:space="0"/>
              <w:right w:val="single" w:color="auto" w:sz="2" w:space="0"/>
            </w:tcBorders>
            <w:noWrap w:val="0"/>
            <w:vAlign w:val="center"/>
          </w:tcPr>
          <w:p w14:paraId="18226885">
            <w:pPr>
              <w:pStyle w:val="161"/>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74</w:t>
            </w:r>
          </w:p>
        </w:tc>
        <w:tc>
          <w:tcPr>
            <w:tcW w:w="912" w:type="pct"/>
            <w:tcBorders>
              <w:top w:val="single" w:color="auto" w:sz="2" w:space="0"/>
              <w:left w:val="single" w:color="auto" w:sz="2" w:space="0"/>
              <w:bottom w:val="single" w:color="auto" w:sz="2" w:space="0"/>
              <w:right w:val="single" w:color="auto" w:sz="2" w:space="0"/>
            </w:tcBorders>
            <w:noWrap w:val="0"/>
            <w:vAlign w:val="center"/>
          </w:tcPr>
          <w:p w14:paraId="76F78A49">
            <w:pPr>
              <w:pStyle w:val="161"/>
              <w:rPr>
                <w:rFonts w:hint="default" w:ascii="Times New Roman" w:hAnsi="Times New Roman" w:eastAsia="宋体" w:cs="Times New Roman"/>
                <w:b w:val="0"/>
                <w:bCs w:val="0"/>
                <w:color w:val="000000"/>
                <w:highlight w:val="none"/>
                <w:lang w:eastAsia="zh-CN"/>
              </w:rPr>
            </w:pPr>
            <w:r>
              <w:rPr>
                <w:rFonts w:hint="default" w:ascii="Times New Roman" w:hAnsi="Times New Roman" w:cs="Times New Roman"/>
                <w:b w:val="0"/>
                <w:bCs w:val="0"/>
                <w:color w:val="000000"/>
                <w:highlight w:val="none"/>
                <w:lang w:val="en-US" w:eastAsia="zh-CN"/>
              </w:rPr>
              <w:t>0</w:t>
            </w:r>
          </w:p>
        </w:tc>
        <w:tc>
          <w:tcPr>
            <w:tcW w:w="952" w:type="pct"/>
            <w:tcBorders>
              <w:top w:val="single" w:color="auto" w:sz="2" w:space="0"/>
              <w:left w:val="single" w:color="auto" w:sz="2" w:space="0"/>
              <w:bottom w:val="single" w:color="auto" w:sz="2" w:space="0"/>
              <w:right w:val="single" w:color="auto" w:sz="2" w:space="0"/>
            </w:tcBorders>
            <w:noWrap w:val="0"/>
            <w:vAlign w:val="center"/>
          </w:tcPr>
          <w:p w14:paraId="0C9B8E6E">
            <w:pPr>
              <w:pStyle w:val="161"/>
              <w:rPr>
                <w:rFonts w:hint="default" w:ascii="Times New Roman" w:hAnsi="Times New Roman" w:eastAsia="宋体" w:cs="Times New Roman"/>
                <w:b w:val="0"/>
                <w:bCs w:val="0"/>
                <w:color w:val="000000"/>
                <w:highlight w:val="none"/>
                <w:lang w:val="en-US" w:eastAsia="zh-CN"/>
              </w:rPr>
            </w:pPr>
            <w:r>
              <w:rPr>
                <w:rFonts w:hint="eastAsia" w:cs="Times New Roman"/>
                <w:b w:val="0"/>
                <w:bCs w:val="0"/>
                <w:color w:val="000000"/>
                <w:highlight w:val="none"/>
                <w:lang w:val="en-US" w:eastAsia="zh-CN"/>
              </w:rPr>
              <w:t>0.497</w:t>
            </w:r>
          </w:p>
        </w:tc>
      </w:tr>
    </w:tbl>
    <w:p w14:paraId="3857E80E">
      <w:pPr>
        <w:adjustRightInd w:val="0"/>
        <w:spacing w:line="360" w:lineRule="auto"/>
        <w:ind w:firstLine="480" w:firstLineChars="200"/>
        <w:rPr>
          <w:rFonts w:hint="eastAsia" w:cs="Times New Roman"/>
          <w:b/>
          <w:bCs/>
          <w:color w:val="auto"/>
          <w:sz w:val="24"/>
          <w:szCs w:val="24"/>
          <w:highlight w:val="none"/>
          <w:lang w:val="en-US" w:eastAsia="zh-CN"/>
        </w:rPr>
      </w:pPr>
      <w:r>
        <w:rPr>
          <w:rFonts w:hint="default" w:ascii="Times New Roman" w:hAnsi="Times New Roman" w:cs="Times New Roman"/>
          <w:color w:val="000000"/>
          <w:kern w:val="0"/>
          <w:sz w:val="24"/>
          <w:szCs w:val="24"/>
          <w:highlight w:val="none"/>
          <w:lang w:val="en-US" w:eastAsia="zh-CN"/>
        </w:rPr>
        <w:t>经计算，</w:t>
      </w:r>
      <w:r>
        <w:rPr>
          <w:rFonts w:hint="eastAsia" w:ascii="Times New Roman" w:hAnsi="Times New Roman" w:cs="Times New Roman"/>
          <w:color w:val="000000"/>
          <w:kern w:val="0"/>
          <w:sz w:val="24"/>
          <w:szCs w:val="24"/>
          <w:highlight w:val="none"/>
          <w:lang w:val="en-US" w:eastAsia="zh-CN"/>
        </w:rPr>
        <w:t>项目</w:t>
      </w:r>
      <w:r>
        <w:rPr>
          <w:rFonts w:hint="default" w:ascii="Times New Roman" w:hAnsi="Times New Roman" w:cs="Times New Roman"/>
          <w:color w:val="000000"/>
          <w:kern w:val="0"/>
          <w:sz w:val="24"/>
          <w:szCs w:val="24"/>
          <w:highlight w:val="none"/>
          <w:lang w:val="en-US" w:eastAsia="zh-CN"/>
        </w:rPr>
        <w:t>服务期满后覆土绿化过程颗粒物排放量为</w:t>
      </w:r>
      <w:r>
        <w:rPr>
          <w:rFonts w:hint="eastAsia" w:cs="Times New Roman"/>
          <w:color w:val="000000"/>
          <w:kern w:val="0"/>
          <w:sz w:val="24"/>
          <w:szCs w:val="24"/>
          <w:highlight w:val="none"/>
          <w:lang w:val="en-US" w:eastAsia="zh-CN"/>
        </w:rPr>
        <w:t>0.497</w:t>
      </w:r>
      <w:r>
        <w:rPr>
          <w:rFonts w:hint="default" w:ascii="Times New Roman" w:hAnsi="Times New Roman" w:cs="Times New Roman"/>
          <w:color w:val="000000"/>
          <w:kern w:val="0"/>
          <w:sz w:val="24"/>
          <w:szCs w:val="24"/>
          <w:highlight w:val="none"/>
          <w:lang w:val="en-US" w:eastAsia="zh-CN"/>
        </w:rPr>
        <w:t>t/a</w:t>
      </w:r>
      <w:r>
        <w:rPr>
          <w:rFonts w:hint="default" w:ascii="Times New Roman" w:hAnsi="Times New Roman" w:cs="Times New Roman"/>
          <w:color w:val="000000"/>
          <w:sz w:val="24"/>
          <w:szCs w:val="24"/>
          <w:highlight w:val="none"/>
        </w:rPr>
        <w:t>。</w:t>
      </w:r>
      <w:r>
        <w:rPr>
          <w:rFonts w:hint="eastAsia" w:ascii="Times New Roman" w:hAnsi="Times New Roman" w:cs="Times New Roman"/>
          <w:color w:val="auto"/>
          <w:sz w:val="24"/>
          <w:highlight w:val="none"/>
          <w:lang w:val="en-US" w:eastAsia="zh-CN"/>
        </w:rPr>
        <w:t>TSP、PM</w:t>
      </w:r>
      <w:r>
        <w:rPr>
          <w:rFonts w:hint="eastAsia" w:ascii="Times New Roman" w:hAnsi="Times New Roman" w:cs="Times New Roman"/>
          <w:color w:val="auto"/>
          <w:sz w:val="24"/>
          <w:highlight w:val="none"/>
          <w:vertAlign w:val="subscript"/>
          <w:lang w:val="en-US" w:eastAsia="zh-CN"/>
        </w:rPr>
        <w:t>10</w:t>
      </w:r>
      <w:r>
        <w:rPr>
          <w:rFonts w:hint="eastAsia" w:ascii="Times New Roman" w:hAnsi="Times New Roman" w:cs="Times New Roman"/>
          <w:color w:val="auto"/>
          <w:sz w:val="24"/>
          <w:highlight w:val="none"/>
          <w:lang w:val="en-US" w:eastAsia="zh-CN"/>
        </w:rPr>
        <w:t>排放</w:t>
      </w:r>
      <w:r>
        <w:rPr>
          <w:rFonts w:hint="eastAsia" w:cs="Times New Roman"/>
          <w:color w:val="auto"/>
          <w:sz w:val="24"/>
          <w:highlight w:val="none"/>
          <w:lang w:val="en-US" w:eastAsia="zh-CN"/>
        </w:rPr>
        <w:t>量分别为</w:t>
      </w:r>
      <w:r>
        <w:rPr>
          <w:rFonts w:hint="eastAsia" w:ascii="Times New Roman" w:hAnsi="Times New Roman" w:cs="Times New Roman"/>
          <w:color w:val="auto"/>
          <w:sz w:val="24"/>
          <w:highlight w:val="none"/>
          <w:lang w:val="en-US" w:eastAsia="zh-CN"/>
        </w:rPr>
        <w:t>：</w:t>
      </w:r>
      <w:r>
        <w:rPr>
          <w:rFonts w:hint="eastAsia" w:cs="Times New Roman"/>
          <w:color w:val="000000"/>
          <w:kern w:val="0"/>
          <w:sz w:val="24"/>
          <w:szCs w:val="24"/>
          <w:highlight w:val="none"/>
          <w:lang w:val="en-US" w:eastAsia="zh-CN"/>
        </w:rPr>
        <w:t>0.497</w:t>
      </w:r>
      <w:r>
        <w:rPr>
          <w:rFonts w:hint="eastAsia" w:ascii="Times New Roman" w:hAnsi="Times New Roman" w:eastAsia="宋体" w:cs="Times New Roman"/>
          <w:color w:val="auto"/>
          <w:sz w:val="24"/>
          <w:szCs w:val="24"/>
          <w:highlight w:val="none"/>
          <w:lang w:val="en-US" w:eastAsia="zh-CN"/>
        </w:rPr>
        <w:t>t/a</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0.244</w:t>
      </w:r>
      <w:r>
        <w:rPr>
          <w:rFonts w:hint="eastAsia" w:ascii="Times New Roman" w:hAnsi="Times New Roman" w:eastAsia="宋体" w:cs="Times New Roman"/>
          <w:color w:val="auto"/>
          <w:sz w:val="24"/>
          <w:szCs w:val="24"/>
          <w:highlight w:val="none"/>
          <w:lang w:val="en-US" w:eastAsia="zh-CN"/>
        </w:rPr>
        <w:t>t/a</w:t>
      </w:r>
    </w:p>
    <w:p w14:paraId="18419811">
      <w:pPr>
        <w:adjustRightInd w:val="0"/>
        <w:spacing w:line="360" w:lineRule="auto"/>
        <w:ind w:firstLine="482" w:firstLineChars="200"/>
        <w:rPr>
          <w:rFonts w:hint="default" w:ascii="Times New Roman" w:hAnsi="Times New Roman" w:cs="Times New Roman"/>
          <w:b/>
          <w:bCs/>
          <w:color w:val="auto"/>
          <w:sz w:val="24"/>
          <w:highlight w:val="none"/>
          <w:lang w:val="en-US" w:eastAsia="zh-CN"/>
        </w:rPr>
      </w:pPr>
      <w:r>
        <w:rPr>
          <w:rFonts w:hint="eastAsia" w:cs="Times New Roman"/>
          <w:b/>
          <w:bCs/>
          <w:color w:val="auto"/>
          <w:sz w:val="24"/>
          <w:highlight w:val="none"/>
          <w:lang w:val="en-US" w:eastAsia="zh-CN"/>
        </w:rPr>
        <w:t>⑤项目废气源强汇总</w:t>
      </w:r>
    </w:p>
    <w:p w14:paraId="6E603A1F">
      <w:pPr>
        <w:adjustRightInd w:val="0"/>
        <w:spacing w:line="360" w:lineRule="auto"/>
        <w:ind w:firstLine="480" w:firstLineChars="200"/>
        <w:rPr>
          <w:rFonts w:hint="eastAsia"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本项目废气源强核算见下表</w:t>
      </w:r>
      <w:r>
        <w:rPr>
          <w:rFonts w:hint="eastAsia" w:cs="Times New Roman"/>
          <w:color w:val="auto"/>
          <w:sz w:val="24"/>
          <w:highlight w:val="none"/>
          <w:lang w:val="en-US" w:eastAsia="zh-CN"/>
        </w:rPr>
        <w:t>。</w:t>
      </w:r>
    </w:p>
    <w:p w14:paraId="2AB8D5DA">
      <w:pPr>
        <w:numPr>
          <w:ilvl w:val="0"/>
          <w:numId w:val="20"/>
        </w:numPr>
        <w:adjustRightInd w:val="0"/>
        <w:snapToGrid w:val="0"/>
        <w:jc w:val="center"/>
        <w:rPr>
          <w:rStyle w:val="66"/>
          <w:rFonts w:hint="default" w:ascii="Times New Roman" w:hAnsi="Times New Roman" w:eastAsia="宋体" w:cs="Times New Roman"/>
          <w:b/>
          <w:color w:val="000000"/>
          <w:highlight w:val="none"/>
          <w:lang w:val="en-US" w:eastAsia="zh-CN"/>
        </w:rPr>
      </w:pPr>
      <w:r>
        <w:rPr>
          <w:rStyle w:val="66"/>
          <w:rFonts w:hint="eastAsia" w:ascii="Times New Roman" w:hAnsi="Times New Roman" w:eastAsia="宋体" w:cs="Times New Roman"/>
          <w:b/>
          <w:color w:val="000000"/>
          <w:highlight w:val="none"/>
          <w:lang w:val="en-US" w:eastAsia="zh-CN"/>
        </w:rPr>
        <w:t>本项目废气源强核算情况一览表</w:t>
      </w:r>
    </w:p>
    <w:tbl>
      <w:tblPr>
        <w:tblStyle w:val="58"/>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84"/>
        <w:gridCol w:w="1080"/>
        <w:gridCol w:w="961"/>
        <w:gridCol w:w="945"/>
        <w:gridCol w:w="1260"/>
        <w:gridCol w:w="960"/>
        <w:gridCol w:w="825"/>
        <w:gridCol w:w="1095"/>
        <w:gridCol w:w="915"/>
      </w:tblGrid>
      <w:tr w14:paraId="57CE77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83" w:type="pct"/>
            <w:vMerge w:val="restart"/>
            <w:tcBorders>
              <w:tl2br w:val="nil"/>
              <w:tr2bl w:val="nil"/>
            </w:tcBorders>
            <w:noWrap w:val="0"/>
            <w:vAlign w:val="center"/>
          </w:tcPr>
          <w:p w14:paraId="76D91806">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b/>
                <w:sz w:val="21"/>
                <w:szCs w:val="21"/>
                <w:highlight w:val="none"/>
                <w:lang w:val="en-US" w:eastAsia="zh-CN"/>
              </w:rPr>
            </w:pPr>
            <w:r>
              <w:rPr>
                <w:rFonts w:hint="eastAsia" w:ascii="Times New Roman" w:hAnsi="Times New Roman" w:eastAsia="宋体" w:cs="Times New Roman"/>
                <w:b/>
                <w:sz w:val="21"/>
                <w:szCs w:val="21"/>
                <w:highlight w:val="none"/>
                <w:lang w:val="en-US" w:eastAsia="zh-CN"/>
              </w:rPr>
              <w:t>序号</w:t>
            </w:r>
          </w:p>
        </w:tc>
        <w:tc>
          <w:tcPr>
            <w:tcW w:w="633" w:type="pct"/>
            <w:vMerge w:val="restart"/>
            <w:tcBorders>
              <w:tl2br w:val="nil"/>
              <w:tr2bl w:val="nil"/>
            </w:tcBorders>
            <w:noWrap w:val="0"/>
            <w:vAlign w:val="center"/>
          </w:tcPr>
          <w:p w14:paraId="061A95C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sz w:val="21"/>
                <w:szCs w:val="21"/>
                <w:highlight w:val="none"/>
                <w:lang w:val="en-US"/>
              </w:rPr>
            </w:pPr>
            <w:r>
              <w:rPr>
                <w:rFonts w:hint="eastAsia" w:cs="Times New Roman"/>
                <w:b/>
                <w:bCs/>
                <w:sz w:val="21"/>
                <w:szCs w:val="21"/>
                <w:highlight w:val="none"/>
                <w:vertAlign w:val="baseline"/>
                <w:lang w:val="en-US" w:eastAsia="zh-CN"/>
              </w:rPr>
              <w:t>污染物名称</w:t>
            </w:r>
          </w:p>
        </w:tc>
        <w:tc>
          <w:tcPr>
            <w:tcW w:w="563" w:type="pct"/>
            <w:vMerge w:val="restart"/>
            <w:tcBorders>
              <w:tl2br w:val="nil"/>
              <w:tr2bl w:val="nil"/>
            </w:tcBorders>
            <w:noWrap w:val="0"/>
            <w:vAlign w:val="center"/>
          </w:tcPr>
          <w:p w14:paraId="7CC709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sz w:val="21"/>
                <w:szCs w:val="21"/>
                <w:highlight w:val="none"/>
                <w:lang w:eastAsia="zh-CN"/>
              </w:rPr>
            </w:pPr>
            <w:r>
              <w:rPr>
                <w:rFonts w:hint="default" w:ascii="Times New Roman" w:hAnsi="Times New Roman" w:cs="Times New Roman"/>
                <w:b/>
                <w:sz w:val="21"/>
                <w:szCs w:val="21"/>
                <w:highlight w:val="none"/>
                <w:lang w:eastAsia="zh-CN"/>
              </w:rPr>
              <w:t>排放方式</w:t>
            </w:r>
          </w:p>
        </w:tc>
        <w:tc>
          <w:tcPr>
            <w:tcW w:w="554" w:type="pct"/>
            <w:vMerge w:val="restart"/>
            <w:tcBorders>
              <w:tl2br w:val="nil"/>
              <w:tr2bl w:val="nil"/>
            </w:tcBorders>
            <w:noWrap w:val="0"/>
            <w:vAlign w:val="center"/>
          </w:tcPr>
          <w:p w14:paraId="0D84588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污染</w:t>
            </w:r>
            <w:r>
              <w:rPr>
                <w:rFonts w:hint="default" w:ascii="Times New Roman" w:hAnsi="Times New Roman" w:eastAsia="宋体" w:cs="Times New Roman"/>
                <w:b/>
                <w:sz w:val="21"/>
                <w:szCs w:val="21"/>
                <w:highlight w:val="none"/>
                <w:lang w:eastAsia="zh-CN"/>
              </w:rPr>
              <w:t>因子</w:t>
            </w:r>
          </w:p>
        </w:tc>
        <w:tc>
          <w:tcPr>
            <w:tcW w:w="1302" w:type="pct"/>
            <w:gridSpan w:val="2"/>
            <w:tcBorders>
              <w:tl2br w:val="nil"/>
              <w:tr2bl w:val="nil"/>
            </w:tcBorders>
            <w:noWrap w:val="0"/>
            <w:vAlign w:val="center"/>
          </w:tcPr>
          <w:p w14:paraId="47CD508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产生</w:t>
            </w:r>
            <w:r>
              <w:rPr>
                <w:rFonts w:hint="default" w:ascii="Times New Roman" w:hAnsi="Times New Roman" w:eastAsia="宋体" w:cs="Times New Roman"/>
                <w:b/>
                <w:sz w:val="21"/>
                <w:szCs w:val="21"/>
                <w:highlight w:val="none"/>
                <w:lang w:eastAsia="zh-CN"/>
              </w:rPr>
              <w:t>情况</w:t>
            </w:r>
          </w:p>
        </w:tc>
        <w:tc>
          <w:tcPr>
            <w:tcW w:w="483" w:type="pct"/>
            <w:vMerge w:val="restart"/>
            <w:tcBorders>
              <w:tl2br w:val="nil"/>
              <w:tr2bl w:val="nil"/>
            </w:tcBorders>
            <w:noWrap w:val="0"/>
            <w:vAlign w:val="center"/>
          </w:tcPr>
          <w:p w14:paraId="39F28D5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spacing w:val="-17"/>
                <w:sz w:val="21"/>
                <w:szCs w:val="21"/>
                <w:highlight w:val="none"/>
                <w:lang w:eastAsia="zh-CN"/>
              </w:rPr>
            </w:pPr>
            <w:r>
              <w:rPr>
                <w:rFonts w:hint="eastAsia" w:ascii="Times New Roman" w:hAnsi="Times New Roman" w:eastAsia="宋体" w:cs="Times New Roman"/>
                <w:b/>
                <w:bCs/>
                <w:spacing w:val="-17"/>
                <w:sz w:val="21"/>
                <w:szCs w:val="21"/>
                <w:highlight w:val="none"/>
                <w:lang w:val="en-US" w:eastAsia="zh-CN"/>
              </w:rPr>
              <w:t>去除</w:t>
            </w:r>
            <w:r>
              <w:rPr>
                <w:rFonts w:hint="default" w:ascii="Times New Roman" w:hAnsi="Times New Roman" w:eastAsia="宋体" w:cs="Times New Roman"/>
                <w:b/>
                <w:bCs/>
                <w:spacing w:val="-17"/>
                <w:sz w:val="21"/>
                <w:szCs w:val="21"/>
                <w:highlight w:val="none"/>
                <w:lang w:eastAsia="zh-CN"/>
              </w:rPr>
              <w:t>效率（</w:t>
            </w:r>
            <w:r>
              <w:rPr>
                <w:rFonts w:hint="default" w:ascii="Times New Roman" w:hAnsi="Times New Roman" w:eastAsia="宋体" w:cs="Times New Roman"/>
                <w:b/>
                <w:bCs/>
                <w:spacing w:val="-17"/>
                <w:sz w:val="21"/>
                <w:szCs w:val="21"/>
                <w:highlight w:val="none"/>
                <w:lang w:val="en-US" w:eastAsia="zh-CN"/>
              </w:rPr>
              <w:t>%</w:t>
            </w:r>
            <w:r>
              <w:rPr>
                <w:rFonts w:hint="default" w:ascii="Times New Roman" w:hAnsi="Times New Roman" w:eastAsia="宋体" w:cs="Times New Roman"/>
                <w:b/>
                <w:bCs/>
                <w:spacing w:val="-17"/>
                <w:sz w:val="21"/>
                <w:szCs w:val="21"/>
                <w:highlight w:val="none"/>
                <w:lang w:eastAsia="zh-CN"/>
              </w:rPr>
              <w:t>）</w:t>
            </w:r>
          </w:p>
        </w:tc>
        <w:tc>
          <w:tcPr>
            <w:tcW w:w="1178" w:type="pct"/>
            <w:gridSpan w:val="2"/>
            <w:tcBorders>
              <w:tl2br w:val="nil"/>
              <w:tr2bl w:val="nil"/>
            </w:tcBorders>
            <w:noWrap w:val="0"/>
            <w:vAlign w:val="center"/>
          </w:tcPr>
          <w:p w14:paraId="553976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排放</w:t>
            </w:r>
            <w:r>
              <w:rPr>
                <w:rFonts w:hint="default" w:ascii="Times New Roman" w:hAnsi="Times New Roman" w:eastAsia="宋体" w:cs="Times New Roman"/>
                <w:b/>
                <w:sz w:val="21"/>
                <w:szCs w:val="21"/>
                <w:highlight w:val="none"/>
                <w:lang w:eastAsia="zh-CN"/>
              </w:rPr>
              <w:t>情况</w:t>
            </w:r>
          </w:p>
        </w:tc>
      </w:tr>
      <w:tr w14:paraId="4BA92B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83" w:type="pct"/>
            <w:vMerge w:val="continue"/>
            <w:tcBorders>
              <w:tl2br w:val="nil"/>
              <w:tr2bl w:val="nil"/>
            </w:tcBorders>
            <w:noWrap w:val="0"/>
            <w:vAlign w:val="center"/>
          </w:tcPr>
          <w:p w14:paraId="588FABA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p>
        </w:tc>
        <w:tc>
          <w:tcPr>
            <w:tcW w:w="633" w:type="pct"/>
            <w:vMerge w:val="continue"/>
            <w:tcBorders>
              <w:tl2br w:val="nil"/>
              <w:tr2bl w:val="nil"/>
            </w:tcBorders>
            <w:noWrap w:val="0"/>
            <w:vAlign w:val="center"/>
          </w:tcPr>
          <w:p w14:paraId="329DC47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p>
        </w:tc>
        <w:tc>
          <w:tcPr>
            <w:tcW w:w="563" w:type="pct"/>
            <w:vMerge w:val="continue"/>
            <w:tcBorders>
              <w:tl2br w:val="nil"/>
              <w:tr2bl w:val="nil"/>
            </w:tcBorders>
            <w:noWrap w:val="0"/>
            <w:vAlign w:val="center"/>
          </w:tcPr>
          <w:p w14:paraId="69B2E3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p>
        </w:tc>
        <w:tc>
          <w:tcPr>
            <w:tcW w:w="554" w:type="pct"/>
            <w:vMerge w:val="continue"/>
            <w:tcBorders>
              <w:tl2br w:val="nil"/>
              <w:tr2bl w:val="nil"/>
            </w:tcBorders>
            <w:noWrap w:val="0"/>
            <w:vAlign w:val="center"/>
          </w:tcPr>
          <w:p w14:paraId="5258985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p>
        </w:tc>
        <w:tc>
          <w:tcPr>
            <w:tcW w:w="739" w:type="pct"/>
            <w:tcBorders>
              <w:tl2br w:val="nil"/>
              <w:tr2bl w:val="nil"/>
            </w:tcBorders>
            <w:noWrap w:val="0"/>
            <w:vAlign w:val="center"/>
          </w:tcPr>
          <w:p w14:paraId="2D272CE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pacing w:val="-17"/>
                <w:sz w:val="21"/>
                <w:szCs w:val="21"/>
                <w:highlight w:val="none"/>
                <w:lang w:eastAsia="zh-CN"/>
              </w:rPr>
            </w:pPr>
            <w:r>
              <w:rPr>
                <w:rFonts w:hint="default" w:ascii="Times New Roman" w:hAnsi="Times New Roman" w:cs="Times New Roman"/>
                <w:b/>
                <w:bCs/>
                <w:spacing w:val="-17"/>
                <w:sz w:val="21"/>
                <w:szCs w:val="21"/>
                <w:highlight w:val="none"/>
                <w:lang w:eastAsia="zh-CN"/>
              </w:rPr>
              <w:t>速率</w:t>
            </w:r>
            <w:r>
              <w:rPr>
                <w:rFonts w:hint="default" w:ascii="Times New Roman" w:hAnsi="Times New Roman" w:eastAsia="宋体" w:cs="Times New Roman"/>
                <w:b/>
                <w:bCs/>
                <w:spacing w:val="-17"/>
                <w:sz w:val="21"/>
                <w:szCs w:val="21"/>
                <w:highlight w:val="none"/>
                <w:lang w:eastAsia="zh-CN"/>
              </w:rPr>
              <w:t>（</w:t>
            </w:r>
            <w:r>
              <w:rPr>
                <w:rFonts w:hint="default" w:ascii="Times New Roman" w:hAnsi="Times New Roman" w:eastAsia="宋体" w:cs="Times New Roman"/>
                <w:b/>
                <w:bCs/>
                <w:spacing w:val="-17"/>
                <w:sz w:val="21"/>
                <w:szCs w:val="21"/>
                <w:highlight w:val="none"/>
              </w:rPr>
              <w:t>kg/h</w:t>
            </w:r>
            <w:r>
              <w:rPr>
                <w:rFonts w:hint="default" w:ascii="Times New Roman" w:hAnsi="Times New Roman" w:eastAsia="宋体" w:cs="Times New Roman"/>
                <w:b/>
                <w:bCs/>
                <w:spacing w:val="-17"/>
                <w:sz w:val="21"/>
                <w:szCs w:val="21"/>
                <w:highlight w:val="none"/>
                <w:lang w:eastAsia="zh-CN"/>
              </w:rPr>
              <w:t>）</w:t>
            </w:r>
          </w:p>
        </w:tc>
        <w:tc>
          <w:tcPr>
            <w:tcW w:w="563" w:type="pct"/>
            <w:tcBorders>
              <w:tl2br w:val="nil"/>
              <w:tr2bl w:val="nil"/>
            </w:tcBorders>
            <w:noWrap w:val="0"/>
            <w:vAlign w:val="center"/>
          </w:tcPr>
          <w:p w14:paraId="61E8902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pacing w:val="-17"/>
                <w:sz w:val="21"/>
                <w:szCs w:val="21"/>
                <w:highlight w:val="none"/>
                <w:lang w:eastAsia="zh-CN"/>
              </w:rPr>
            </w:pPr>
            <w:r>
              <w:rPr>
                <w:rFonts w:hint="default" w:ascii="Times New Roman" w:hAnsi="Times New Roman" w:cs="Times New Roman"/>
                <w:b/>
                <w:bCs/>
                <w:spacing w:val="-17"/>
                <w:sz w:val="21"/>
                <w:szCs w:val="21"/>
                <w:highlight w:val="none"/>
                <w:lang w:eastAsia="zh-CN"/>
              </w:rPr>
              <w:t>量</w:t>
            </w:r>
            <w:r>
              <w:rPr>
                <w:rFonts w:hint="default" w:ascii="Times New Roman" w:hAnsi="Times New Roman" w:eastAsia="宋体" w:cs="Times New Roman"/>
                <w:b/>
                <w:bCs/>
                <w:spacing w:val="-17"/>
                <w:sz w:val="21"/>
                <w:szCs w:val="21"/>
                <w:highlight w:val="none"/>
                <w:lang w:eastAsia="zh-CN"/>
              </w:rPr>
              <w:t>（</w:t>
            </w:r>
            <w:r>
              <w:rPr>
                <w:rFonts w:hint="default" w:ascii="Times New Roman" w:hAnsi="Times New Roman" w:eastAsia="宋体" w:cs="Times New Roman"/>
                <w:b/>
                <w:bCs/>
                <w:smallCaps w:val="0"/>
                <w:spacing w:val="-17"/>
                <w:sz w:val="21"/>
                <w:szCs w:val="21"/>
                <w:highlight w:val="none"/>
                <w:lang w:val="en-US" w:eastAsia="zh-CN"/>
              </w:rPr>
              <w:t>t</w:t>
            </w:r>
            <w:r>
              <w:rPr>
                <w:rFonts w:hint="default" w:ascii="Times New Roman" w:hAnsi="Times New Roman" w:eastAsia="宋体" w:cs="Times New Roman"/>
                <w:b/>
                <w:bCs/>
                <w:smallCaps w:val="0"/>
                <w:spacing w:val="-17"/>
                <w:sz w:val="21"/>
                <w:szCs w:val="21"/>
                <w:highlight w:val="none"/>
              </w:rPr>
              <w:t>/a</w:t>
            </w:r>
            <w:r>
              <w:rPr>
                <w:rFonts w:hint="default" w:ascii="Times New Roman" w:hAnsi="Times New Roman" w:eastAsia="宋体" w:cs="Times New Roman"/>
                <w:b/>
                <w:bCs/>
                <w:spacing w:val="-17"/>
                <w:sz w:val="21"/>
                <w:szCs w:val="21"/>
                <w:highlight w:val="none"/>
                <w:lang w:eastAsia="zh-CN"/>
              </w:rPr>
              <w:t>）</w:t>
            </w:r>
          </w:p>
        </w:tc>
        <w:tc>
          <w:tcPr>
            <w:tcW w:w="483" w:type="pct"/>
            <w:vMerge w:val="continue"/>
            <w:tcBorders>
              <w:tl2br w:val="nil"/>
              <w:tr2bl w:val="nil"/>
            </w:tcBorders>
            <w:noWrap w:val="0"/>
            <w:vAlign w:val="center"/>
          </w:tcPr>
          <w:p w14:paraId="732618A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spacing w:val="-17"/>
                <w:sz w:val="21"/>
                <w:szCs w:val="21"/>
                <w:highlight w:val="none"/>
                <w:lang w:eastAsia="zh-CN"/>
              </w:rPr>
            </w:pPr>
          </w:p>
        </w:tc>
        <w:tc>
          <w:tcPr>
            <w:tcW w:w="642" w:type="pct"/>
            <w:tcBorders>
              <w:tl2br w:val="nil"/>
              <w:tr2bl w:val="nil"/>
            </w:tcBorders>
            <w:noWrap w:val="0"/>
            <w:vAlign w:val="center"/>
          </w:tcPr>
          <w:p w14:paraId="47A75A2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spacing w:val="-17"/>
                <w:sz w:val="21"/>
                <w:szCs w:val="21"/>
                <w:highlight w:val="none"/>
              </w:rPr>
            </w:pPr>
            <w:r>
              <w:rPr>
                <w:rFonts w:hint="default" w:ascii="Times New Roman" w:hAnsi="Times New Roman" w:cs="Times New Roman"/>
                <w:b/>
                <w:bCs/>
                <w:spacing w:val="-17"/>
                <w:sz w:val="21"/>
                <w:szCs w:val="21"/>
                <w:highlight w:val="none"/>
                <w:lang w:eastAsia="zh-CN"/>
              </w:rPr>
              <w:t>速率</w:t>
            </w:r>
            <w:r>
              <w:rPr>
                <w:rFonts w:hint="default" w:ascii="Times New Roman" w:hAnsi="Times New Roman" w:eastAsia="宋体" w:cs="Times New Roman"/>
                <w:b/>
                <w:bCs/>
                <w:spacing w:val="-17"/>
                <w:sz w:val="21"/>
                <w:szCs w:val="21"/>
                <w:highlight w:val="none"/>
                <w:lang w:eastAsia="zh-CN"/>
              </w:rPr>
              <w:t>（</w:t>
            </w:r>
            <w:r>
              <w:rPr>
                <w:rFonts w:hint="default" w:ascii="Times New Roman" w:hAnsi="Times New Roman" w:eastAsia="宋体" w:cs="Times New Roman"/>
                <w:b/>
                <w:bCs/>
                <w:spacing w:val="-17"/>
                <w:sz w:val="21"/>
                <w:szCs w:val="21"/>
                <w:highlight w:val="none"/>
              </w:rPr>
              <w:t>kg/h</w:t>
            </w:r>
            <w:r>
              <w:rPr>
                <w:rFonts w:hint="default" w:ascii="Times New Roman" w:hAnsi="Times New Roman" w:eastAsia="宋体" w:cs="Times New Roman"/>
                <w:b/>
                <w:bCs/>
                <w:spacing w:val="-17"/>
                <w:sz w:val="21"/>
                <w:szCs w:val="21"/>
                <w:highlight w:val="none"/>
                <w:lang w:eastAsia="zh-CN"/>
              </w:rPr>
              <w:t>）</w:t>
            </w:r>
          </w:p>
        </w:tc>
        <w:tc>
          <w:tcPr>
            <w:tcW w:w="536" w:type="pct"/>
            <w:tcBorders>
              <w:tl2br w:val="nil"/>
              <w:tr2bl w:val="nil"/>
            </w:tcBorders>
            <w:noWrap w:val="0"/>
            <w:vAlign w:val="center"/>
          </w:tcPr>
          <w:p w14:paraId="7F2160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spacing w:val="-17"/>
                <w:sz w:val="21"/>
                <w:szCs w:val="21"/>
                <w:highlight w:val="none"/>
              </w:rPr>
            </w:pPr>
            <w:r>
              <w:rPr>
                <w:rFonts w:hint="default" w:ascii="Times New Roman" w:hAnsi="Times New Roman" w:cs="Times New Roman"/>
                <w:b/>
                <w:bCs/>
                <w:spacing w:val="-17"/>
                <w:sz w:val="21"/>
                <w:szCs w:val="21"/>
                <w:highlight w:val="none"/>
                <w:lang w:eastAsia="zh-CN"/>
              </w:rPr>
              <w:t>量</w:t>
            </w:r>
            <w:r>
              <w:rPr>
                <w:rFonts w:hint="default" w:ascii="Times New Roman" w:hAnsi="Times New Roman" w:eastAsia="宋体" w:cs="Times New Roman"/>
                <w:b/>
                <w:bCs/>
                <w:spacing w:val="-17"/>
                <w:sz w:val="21"/>
                <w:szCs w:val="21"/>
                <w:highlight w:val="none"/>
                <w:lang w:eastAsia="zh-CN"/>
              </w:rPr>
              <w:t>（</w:t>
            </w:r>
            <w:r>
              <w:rPr>
                <w:rFonts w:hint="default" w:ascii="Times New Roman" w:hAnsi="Times New Roman" w:eastAsia="宋体" w:cs="Times New Roman"/>
                <w:b/>
                <w:bCs/>
                <w:smallCaps w:val="0"/>
                <w:spacing w:val="-17"/>
                <w:sz w:val="21"/>
                <w:szCs w:val="21"/>
                <w:highlight w:val="none"/>
                <w:lang w:val="en-US" w:eastAsia="zh-CN"/>
              </w:rPr>
              <w:t>t</w:t>
            </w:r>
            <w:r>
              <w:rPr>
                <w:rFonts w:hint="default" w:ascii="Times New Roman" w:hAnsi="Times New Roman" w:eastAsia="宋体" w:cs="Times New Roman"/>
                <w:b/>
                <w:bCs/>
                <w:smallCaps w:val="0"/>
                <w:spacing w:val="-17"/>
                <w:sz w:val="21"/>
                <w:szCs w:val="21"/>
                <w:highlight w:val="none"/>
              </w:rPr>
              <w:t>/a</w:t>
            </w:r>
            <w:r>
              <w:rPr>
                <w:rFonts w:hint="default" w:ascii="Times New Roman" w:hAnsi="Times New Roman" w:eastAsia="宋体" w:cs="Times New Roman"/>
                <w:b/>
                <w:bCs/>
                <w:spacing w:val="-17"/>
                <w:sz w:val="21"/>
                <w:szCs w:val="21"/>
                <w:highlight w:val="none"/>
                <w:lang w:eastAsia="zh-CN"/>
              </w:rPr>
              <w:t>）</w:t>
            </w:r>
          </w:p>
        </w:tc>
      </w:tr>
      <w:tr w14:paraId="1E46C6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83" w:type="pct"/>
            <w:tcBorders>
              <w:tl2br w:val="nil"/>
              <w:tr2bl w:val="nil"/>
            </w:tcBorders>
            <w:shd w:val="clear" w:color="auto" w:fill="auto"/>
            <w:noWrap w:val="0"/>
            <w:vAlign w:val="center"/>
          </w:tcPr>
          <w:p w14:paraId="77BA2701">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color w:val="auto"/>
                <w:spacing w:val="0"/>
                <w:kern w:val="2"/>
                <w:sz w:val="21"/>
                <w:szCs w:val="21"/>
                <w:highlight w:val="none"/>
                <w:vertAlign w:val="baseline"/>
                <w:lang w:val="en-US" w:eastAsia="zh-CN" w:bidi="ar-SA"/>
              </w:rPr>
            </w:pPr>
            <w:r>
              <w:rPr>
                <w:rFonts w:hint="eastAsia" w:ascii="Times New Roman" w:hAnsi="Times New Roman" w:cs="Times New Roman"/>
                <w:color w:val="auto"/>
                <w:spacing w:val="0"/>
                <w:sz w:val="21"/>
                <w:szCs w:val="21"/>
                <w:highlight w:val="none"/>
                <w:vertAlign w:val="baseline"/>
                <w:lang w:val="en-US" w:eastAsia="zh-CN"/>
              </w:rPr>
              <w:t>G</w:t>
            </w:r>
            <w:r>
              <w:rPr>
                <w:rFonts w:hint="default" w:ascii="Times New Roman" w:hAnsi="Times New Roman" w:cs="Times New Roman"/>
                <w:color w:val="auto"/>
                <w:spacing w:val="0"/>
                <w:sz w:val="21"/>
                <w:szCs w:val="21"/>
                <w:highlight w:val="none"/>
                <w:vertAlign w:val="baseline"/>
                <w:lang w:val="en-US" w:eastAsia="zh-CN"/>
              </w:rPr>
              <w:t>1</w:t>
            </w:r>
          </w:p>
        </w:tc>
        <w:tc>
          <w:tcPr>
            <w:tcW w:w="633" w:type="pct"/>
            <w:tcBorders>
              <w:tl2br w:val="nil"/>
              <w:tr2bl w:val="nil"/>
            </w:tcBorders>
            <w:noWrap w:val="0"/>
            <w:vAlign w:val="center"/>
          </w:tcPr>
          <w:p w14:paraId="66A222A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运输扬尘</w:t>
            </w:r>
          </w:p>
        </w:tc>
        <w:tc>
          <w:tcPr>
            <w:tcW w:w="563" w:type="pct"/>
            <w:tcBorders>
              <w:tl2br w:val="nil"/>
              <w:tr2bl w:val="nil"/>
            </w:tcBorders>
            <w:noWrap w:val="0"/>
            <w:vAlign w:val="center"/>
          </w:tcPr>
          <w:p w14:paraId="1E5624F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554" w:type="pct"/>
            <w:tcBorders>
              <w:tl2br w:val="nil"/>
              <w:tr2bl w:val="nil"/>
            </w:tcBorders>
            <w:noWrap w:val="0"/>
            <w:vAlign w:val="center"/>
          </w:tcPr>
          <w:p w14:paraId="1D9FF81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TSP</w:t>
            </w:r>
          </w:p>
        </w:tc>
        <w:tc>
          <w:tcPr>
            <w:tcW w:w="1260" w:type="dxa"/>
            <w:tcBorders>
              <w:tl2br w:val="nil"/>
              <w:tr2bl w:val="nil"/>
            </w:tcBorders>
            <w:noWrap w:val="0"/>
            <w:vAlign w:val="center"/>
          </w:tcPr>
          <w:p w14:paraId="0F963C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0.361</w:t>
            </w:r>
          </w:p>
        </w:tc>
        <w:tc>
          <w:tcPr>
            <w:tcW w:w="960" w:type="dxa"/>
            <w:tcBorders>
              <w:tl2br w:val="nil"/>
              <w:tr2bl w:val="nil"/>
            </w:tcBorders>
            <w:noWrap w:val="0"/>
            <w:vAlign w:val="center"/>
          </w:tcPr>
          <w:p w14:paraId="2BA315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2.856</w:t>
            </w:r>
          </w:p>
        </w:tc>
        <w:tc>
          <w:tcPr>
            <w:tcW w:w="825" w:type="dxa"/>
            <w:tcBorders>
              <w:tl2br w:val="nil"/>
              <w:tr2bl w:val="nil"/>
            </w:tcBorders>
            <w:noWrap w:val="0"/>
            <w:vAlign w:val="center"/>
          </w:tcPr>
          <w:p w14:paraId="3B12639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75</w:t>
            </w:r>
          </w:p>
        </w:tc>
        <w:tc>
          <w:tcPr>
            <w:tcW w:w="1095" w:type="dxa"/>
            <w:tcBorders>
              <w:tl2br w:val="nil"/>
              <w:tr2bl w:val="nil"/>
            </w:tcBorders>
            <w:noWrap w:val="0"/>
            <w:vAlign w:val="center"/>
          </w:tcPr>
          <w:p w14:paraId="4F08B2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0.090</w:t>
            </w:r>
          </w:p>
        </w:tc>
        <w:tc>
          <w:tcPr>
            <w:tcW w:w="915" w:type="dxa"/>
            <w:tcBorders>
              <w:tl2br w:val="nil"/>
              <w:tr2bl w:val="nil"/>
            </w:tcBorders>
            <w:noWrap w:val="0"/>
            <w:vAlign w:val="center"/>
          </w:tcPr>
          <w:p w14:paraId="35FBCAB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0.714</w:t>
            </w:r>
          </w:p>
        </w:tc>
      </w:tr>
      <w:tr w14:paraId="237134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83" w:type="pct"/>
            <w:vMerge w:val="restart"/>
            <w:tcBorders>
              <w:tl2br w:val="nil"/>
              <w:tr2bl w:val="nil"/>
            </w:tcBorders>
            <w:noWrap w:val="0"/>
            <w:vAlign w:val="center"/>
          </w:tcPr>
          <w:p w14:paraId="7630B148">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color w:val="auto"/>
                <w:spacing w:val="0"/>
                <w:kern w:val="2"/>
                <w:sz w:val="21"/>
                <w:szCs w:val="21"/>
                <w:highlight w:val="none"/>
                <w:vertAlign w:val="baseline"/>
                <w:lang w:val="en-US" w:eastAsia="zh-CN" w:bidi="ar-SA"/>
              </w:rPr>
            </w:pPr>
            <w:r>
              <w:rPr>
                <w:rFonts w:hint="eastAsia" w:ascii="Times New Roman" w:hAnsi="Times New Roman" w:cs="Times New Roman"/>
                <w:color w:val="auto"/>
                <w:spacing w:val="0"/>
                <w:sz w:val="21"/>
                <w:szCs w:val="21"/>
                <w:highlight w:val="none"/>
                <w:vertAlign w:val="baseline"/>
                <w:lang w:val="en-US" w:eastAsia="zh-CN"/>
              </w:rPr>
              <w:t>G2</w:t>
            </w:r>
          </w:p>
        </w:tc>
        <w:tc>
          <w:tcPr>
            <w:tcW w:w="633" w:type="pct"/>
            <w:vMerge w:val="restart"/>
            <w:tcBorders>
              <w:tl2br w:val="nil"/>
              <w:tr2bl w:val="nil"/>
            </w:tcBorders>
            <w:noWrap w:val="0"/>
            <w:vAlign w:val="center"/>
          </w:tcPr>
          <w:p w14:paraId="1170CBA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堆存扬尘</w:t>
            </w:r>
          </w:p>
        </w:tc>
        <w:tc>
          <w:tcPr>
            <w:tcW w:w="563" w:type="pct"/>
            <w:vMerge w:val="restart"/>
            <w:tcBorders>
              <w:tl2br w:val="nil"/>
              <w:tr2bl w:val="nil"/>
            </w:tcBorders>
            <w:noWrap w:val="0"/>
            <w:vAlign w:val="center"/>
          </w:tcPr>
          <w:p w14:paraId="32F247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554" w:type="pct"/>
            <w:tcBorders>
              <w:tl2br w:val="nil"/>
              <w:tr2bl w:val="nil"/>
            </w:tcBorders>
            <w:noWrap w:val="0"/>
            <w:vAlign w:val="center"/>
          </w:tcPr>
          <w:p w14:paraId="068E493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TSP</w:t>
            </w:r>
          </w:p>
        </w:tc>
        <w:tc>
          <w:tcPr>
            <w:tcW w:w="1260" w:type="dxa"/>
            <w:tcBorders>
              <w:tl2br w:val="nil"/>
              <w:tr2bl w:val="nil"/>
            </w:tcBorders>
            <w:noWrap w:val="0"/>
            <w:vAlign w:val="center"/>
          </w:tcPr>
          <w:p w14:paraId="377D3C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77.237</w:t>
            </w:r>
          </w:p>
        </w:tc>
        <w:tc>
          <w:tcPr>
            <w:tcW w:w="960" w:type="dxa"/>
            <w:tcBorders>
              <w:tl2br w:val="nil"/>
              <w:tr2bl w:val="nil"/>
            </w:tcBorders>
            <w:noWrap w:val="0"/>
            <w:vAlign w:val="center"/>
          </w:tcPr>
          <w:p w14:paraId="33A5641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611.719</w:t>
            </w:r>
          </w:p>
        </w:tc>
        <w:tc>
          <w:tcPr>
            <w:tcW w:w="825" w:type="dxa"/>
            <w:tcBorders>
              <w:tl2br w:val="nil"/>
              <w:tr2bl w:val="nil"/>
            </w:tcBorders>
            <w:noWrap w:val="0"/>
            <w:vAlign w:val="center"/>
          </w:tcPr>
          <w:p w14:paraId="652E11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85</w:t>
            </w:r>
          </w:p>
        </w:tc>
        <w:tc>
          <w:tcPr>
            <w:tcW w:w="1095" w:type="dxa"/>
            <w:tcBorders>
              <w:tl2br w:val="nil"/>
              <w:tr2bl w:val="nil"/>
            </w:tcBorders>
            <w:noWrap w:val="0"/>
            <w:vAlign w:val="center"/>
          </w:tcPr>
          <w:p w14:paraId="4040075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11.586</w:t>
            </w:r>
          </w:p>
        </w:tc>
        <w:tc>
          <w:tcPr>
            <w:tcW w:w="915" w:type="dxa"/>
            <w:tcBorders>
              <w:tl2br w:val="nil"/>
              <w:tr2bl w:val="nil"/>
            </w:tcBorders>
            <w:noWrap w:val="0"/>
            <w:vAlign w:val="center"/>
          </w:tcPr>
          <w:p w14:paraId="442499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91.758</w:t>
            </w:r>
          </w:p>
        </w:tc>
      </w:tr>
      <w:tr w14:paraId="5B31B7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83" w:type="pct"/>
            <w:vMerge w:val="continue"/>
            <w:tcBorders>
              <w:tl2br w:val="nil"/>
              <w:tr2bl w:val="nil"/>
            </w:tcBorders>
            <w:shd w:val="clear" w:color="auto" w:fill="auto"/>
            <w:noWrap w:val="0"/>
            <w:vAlign w:val="center"/>
          </w:tcPr>
          <w:p w14:paraId="53F16817">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eastAsia" w:ascii="Times New Roman" w:hAnsi="Times New Roman" w:eastAsia="宋体" w:cs="Times New Roman"/>
                <w:color w:val="auto"/>
                <w:spacing w:val="0"/>
                <w:kern w:val="2"/>
                <w:sz w:val="21"/>
                <w:szCs w:val="21"/>
                <w:highlight w:val="none"/>
                <w:vertAlign w:val="baseline"/>
                <w:lang w:val="en-US" w:eastAsia="zh-CN" w:bidi="ar-SA"/>
              </w:rPr>
            </w:pPr>
          </w:p>
        </w:tc>
        <w:tc>
          <w:tcPr>
            <w:tcW w:w="633" w:type="pct"/>
            <w:vMerge w:val="continue"/>
            <w:tcBorders>
              <w:tl2br w:val="nil"/>
              <w:tr2bl w:val="nil"/>
            </w:tcBorders>
            <w:noWrap w:val="0"/>
            <w:vAlign w:val="center"/>
          </w:tcPr>
          <w:p w14:paraId="2386B0A8">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p>
        </w:tc>
        <w:tc>
          <w:tcPr>
            <w:tcW w:w="563" w:type="pct"/>
            <w:vMerge w:val="continue"/>
            <w:tcBorders>
              <w:tl2br w:val="nil"/>
              <w:tr2bl w:val="nil"/>
            </w:tcBorders>
            <w:noWrap w:val="0"/>
            <w:vAlign w:val="center"/>
          </w:tcPr>
          <w:p w14:paraId="53A6394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auto"/>
                <w:sz w:val="21"/>
                <w:szCs w:val="21"/>
                <w:highlight w:val="none"/>
                <w:lang w:eastAsia="zh-CN"/>
              </w:rPr>
            </w:pPr>
          </w:p>
        </w:tc>
        <w:tc>
          <w:tcPr>
            <w:tcW w:w="554" w:type="pct"/>
            <w:tcBorders>
              <w:tl2br w:val="nil"/>
              <w:tr2bl w:val="nil"/>
            </w:tcBorders>
            <w:noWrap w:val="0"/>
            <w:vAlign w:val="center"/>
          </w:tcPr>
          <w:p w14:paraId="246DCCC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PM</w:t>
            </w:r>
            <w:r>
              <w:rPr>
                <w:rFonts w:hint="eastAsia" w:ascii="Times New Roman" w:hAnsi="Times New Roman" w:eastAsia="宋体" w:cs="Times New Roman"/>
                <w:color w:val="auto"/>
                <w:kern w:val="2"/>
                <w:sz w:val="21"/>
                <w:szCs w:val="21"/>
                <w:highlight w:val="none"/>
                <w:vertAlign w:val="subscript"/>
                <w:lang w:val="en-US" w:eastAsia="zh-CN" w:bidi="ar-SA"/>
              </w:rPr>
              <w:t>10</w:t>
            </w:r>
          </w:p>
        </w:tc>
        <w:tc>
          <w:tcPr>
            <w:tcW w:w="1260" w:type="dxa"/>
            <w:tcBorders>
              <w:tl2br w:val="nil"/>
              <w:tr2bl w:val="nil"/>
            </w:tcBorders>
            <w:noWrap w:val="0"/>
            <w:vAlign w:val="center"/>
          </w:tcPr>
          <w:p w14:paraId="0235BEE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37.846</w:t>
            </w:r>
          </w:p>
        </w:tc>
        <w:tc>
          <w:tcPr>
            <w:tcW w:w="960" w:type="dxa"/>
            <w:tcBorders>
              <w:tl2br w:val="nil"/>
              <w:tr2bl w:val="nil"/>
            </w:tcBorders>
            <w:noWrap w:val="0"/>
            <w:vAlign w:val="center"/>
          </w:tcPr>
          <w:p w14:paraId="2CBEC47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299.742</w:t>
            </w:r>
          </w:p>
        </w:tc>
        <w:tc>
          <w:tcPr>
            <w:tcW w:w="825" w:type="dxa"/>
            <w:tcBorders>
              <w:tl2br w:val="nil"/>
              <w:tr2bl w:val="nil"/>
            </w:tcBorders>
            <w:noWrap w:val="0"/>
            <w:vAlign w:val="center"/>
          </w:tcPr>
          <w:p w14:paraId="221618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85</w:t>
            </w:r>
          </w:p>
        </w:tc>
        <w:tc>
          <w:tcPr>
            <w:tcW w:w="1095" w:type="dxa"/>
            <w:tcBorders>
              <w:tl2br w:val="nil"/>
              <w:tr2bl w:val="nil"/>
            </w:tcBorders>
            <w:noWrap w:val="0"/>
            <w:vAlign w:val="center"/>
          </w:tcPr>
          <w:p w14:paraId="03E72BE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5.677</w:t>
            </w:r>
          </w:p>
        </w:tc>
        <w:tc>
          <w:tcPr>
            <w:tcW w:w="915" w:type="dxa"/>
            <w:tcBorders>
              <w:tl2br w:val="nil"/>
              <w:tr2bl w:val="nil"/>
            </w:tcBorders>
            <w:noWrap w:val="0"/>
            <w:vAlign w:val="center"/>
          </w:tcPr>
          <w:p w14:paraId="383136C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44.961</w:t>
            </w:r>
          </w:p>
        </w:tc>
      </w:tr>
      <w:tr w14:paraId="792F29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83" w:type="pct"/>
            <w:vMerge w:val="restart"/>
            <w:tcBorders>
              <w:tl2br w:val="nil"/>
              <w:tr2bl w:val="nil"/>
            </w:tcBorders>
            <w:noWrap w:val="0"/>
            <w:vAlign w:val="center"/>
          </w:tcPr>
          <w:p w14:paraId="0930B354">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color w:val="auto"/>
                <w:spacing w:val="0"/>
                <w:kern w:val="2"/>
                <w:sz w:val="21"/>
                <w:szCs w:val="21"/>
                <w:highlight w:val="none"/>
                <w:vertAlign w:val="baseline"/>
                <w:lang w:val="en-US" w:eastAsia="zh-CN" w:bidi="ar-SA"/>
              </w:rPr>
            </w:pPr>
            <w:r>
              <w:rPr>
                <w:rFonts w:hint="eastAsia" w:ascii="Times New Roman" w:hAnsi="Times New Roman" w:cs="Times New Roman"/>
                <w:color w:val="auto"/>
                <w:spacing w:val="-17"/>
                <w:sz w:val="21"/>
                <w:szCs w:val="21"/>
                <w:highlight w:val="none"/>
                <w:vertAlign w:val="baseline"/>
                <w:lang w:val="en-US" w:eastAsia="zh-CN"/>
              </w:rPr>
              <w:t>G3</w:t>
            </w:r>
          </w:p>
        </w:tc>
        <w:tc>
          <w:tcPr>
            <w:tcW w:w="633" w:type="pct"/>
            <w:vMerge w:val="restart"/>
            <w:tcBorders>
              <w:tl2br w:val="nil"/>
              <w:tr2bl w:val="nil"/>
            </w:tcBorders>
            <w:noWrap w:val="0"/>
            <w:vAlign w:val="center"/>
          </w:tcPr>
          <w:p w14:paraId="2C2F974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封场覆土扬尘</w:t>
            </w:r>
          </w:p>
        </w:tc>
        <w:tc>
          <w:tcPr>
            <w:tcW w:w="563" w:type="pct"/>
            <w:vMerge w:val="restart"/>
            <w:tcBorders>
              <w:tl2br w:val="nil"/>
              <w:tr2bl w:val="nil"/>
            </w:tcBorders>
            <w:noWrap w:val="0"/>
            <w:vAlign w:val="center"/>
          </w:tcPr>
          <w:p w14:paraId="63DB56C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554" w:type="pct"/>
            <w:tcBorders>
              <w:tl2br w:val="nil"/>
              <w:tr2bl w:val="nil"/>
            </w:tcBorders>
            <w:noWrap w:val="0"/>
            <w:vAlign w:val="center"/>
          </w:tcPr>
          <w:p w14:paraId="48A47D2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TSP</w:t>
            </w:r>
          </w:p>
        </w:tc>
        <w:tc>
          <w:tcPr>
            <w:tcW w:w="1260" w:type="dxa"/>
            <w:tcBorders>
              <w:tl2br w:val="nil"/>
              <w:tr2bl w:val="nil"/>
            </w:tcBorders>
            <w:noWrap w:val="0"/>
            <w:vAlign w:val="center"/>
          </w:tcPr>
          <w:p w14:paraId="35583111">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960" w:type="dxa"/>
            <w:tcBorders>
              <w:tl2br w:val="nil"/>
              <w:tr2bl w:val="nil"/>
            </w:tcBorders>
            <w:noWrap w:val="0"/>
            <w:vAlign w:val="center"/>
          </w:tcPr>
          <w:p w14:paraId="45E1F6F0">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1.913</w:t>
            </w:r>
          </w:p>
        </w:tc>
        <w:tc>
          <w:tcPr>
            <w:tcW w:w="825" w:type="dxa"/>
            <w:tcBorders>
              <w:tl2br w:val="nil"/>
              <w:tr2bl w:val="nil"/>
            </w:tcBorders>
            <w:noWrap w:val="0"/>
            <w:vAlign w:val="center"/>
          </w:tcPr>
          <w:p w14:paraId="6F6DB3FE">
            <w:pPr>
              <w:keepNext w:val="0"/>
              <w:keepLines w:val="0"/>
              <w:widowControl/>
              <w:suppressLineNumbers w:val="0"/>
              <w:jc w:val="center"/>
              <w:textAlignment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74</w:t>
            </w:r>
          </w:p>
        </w:tc>
        <w:tc>
          <w:tcPr>
            <w:tcW w:w="1095" w:type="dxa"/>
            <w:tcBorders>
              <w:tl2br w:val="nil"/>
              <w:tr2bl w:val="nil"/>
            </w:tcBorders>
            <w:noWrap w:val="0"/>
            <w:vAlign w:val="center"/>
          </w:tcPr>
          <w:p w14:paraId="2ADD2AA4">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915" w:type="dxa"/>
            <w:tcBorders>
              <w:tl2br w:val="nil"/>
              <w:tr2bl w:val="nil"/>
            </w:tcBorders>
            <w:noWrap w:val="0"/>
            <w:vAlign w:val="center"/>
          </w:tcPr>
          <w:p w14:paraId="49DA62D2">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0.497</w:t>
            </w:r>
          </w:p>
        </w:tc>
      </w:tr>
      <w:tr w14:paraId="085B6E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83" w:type="pct"/>
            <w:vMerge w:val="continue"/>
            <w:tcBorders>
              <w:tl2br w:val="nil"/>
              <w:tr2bl w:val="nil"/>
            </w:tcBorders>
            <w:noWrap w:val="0"/>
            <w:vAlign w:val="center"/>
          </w:tcPr>
          <w:p w14:paraId="79F19DEE">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color w:val="auto"/>
                <w:spacing w:val="-17"/>
                <w:kern w:val="2"/>
                <w:sz w:val="21"/>
                <w:szCs w:val="21"/>
                <w:highlight w:val="none"/>
                <w:vertAlign w:val="baseline"/>
                <w:lang w:val="en-US" w:eastAsia="zh-CN" w:bidi="ar-SA"/>
              </w:rPr>
            </w:pPr>
          </w:p>
        </w:tc>
        <w:tc>
          <w:tcPr>
            <w:tcW w:w="633" w:type="pct"/>
            <w:vMerge w:val="continue"/>
            <w:tcBorders>
              <w:tl2br w:val="nil"/>
              <w:tr2bl w:val="nil"/>
            </w:tcBorders>
            <w:noWrap w:val="0"/>
            <w:vAlign w:val="center"/>
          </w:tcPr>
          <w:p w14:paraId="3C18CE9A">
            <w:pPr>
              <w:keepNext w:val="0"/>
              <w:keepLines w:val="0"/>
              <w:pageBreakBefore w:val="0"/>
              <w:kinsoku/>
              <w:wordWrap/>
              <w:overflowPunct/>
              <w:topLinePunct w:val="0"/>
              <w:autoSpaceDE/>
              <w:autoSpaceDN/>
              <w:bidi w:val="0"/>
              <w:adjustRightInd/>
              <w:snapToGrid/>
              <w:spacing w:line="240" w:lineRule="atLeast"/>
              <w:jc w:val="center"/>
              <w:textAlignment w:val="auto"/>
              <w:rPr>
                <w:rFonts w:hint="eastAsia"/>
                <w:color w:val="auto"/>
                <w:sz w:val="21"/>
                <w:szCs w:val="21"/>
                <w:highlight w:val="none"/>
                <w:lang w:val="en-US" w:eastAsia="zh-CN"/>
              </w:rPr>
            </w:pPr>
          </w:p>
        </w:tc>
        <w:tc>
          <w:tcPr>
            <w:tcW w:w="563" w:type="pct"/>
            <w:vMerge w:val="continue"/>
            <w:tcBorders>
              <w:tl2br w:val="nil"/>
              <w:tr2bl w:val="nil"/>
            </w:tcBorders>
            <w:noWrap w:val="0"/>
            <w:vAlign w:val="center"/>
          </w:tcPr>
          <w:p w14:paraId="1BAC107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54" w:type="pct"/>
            <w:tcBorders>
              <w:tl2br w:val="nil"/>
              <w:tr2bl w:val="nil"/>
            </w:tcBorders>
            <w:noWrap w:val="0"/>
            <w:vAlign w:val="center"/>
          </w:tcPr>
          <w:p w14:paraId="3B10D07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PM</w:t>
            </w:r>
            <w:r>
              <w:rPr>
                <w:rFonts w:hint="eastAsia" w:ascii="Times New Roman" w:hAnsi="Times New Roman" w:eastAsia="宋体" w:cs="Times New Roman"/>
                <w:color w:val="auto"/>
                <w:kern w:val="2"/>
                <w:sz w:val="21"/>
                <w:szCs w:val="21"/>
                <w:highlight w:val="none"/>
                <w:vertAlign w:val="subscript"/>
                <w:lang w:val="en-US" w:eastAsia="zh-CN" w:bidi="ar-SA"/>
              </w:rPr>
              <w:t>10</w:t>
            </w:r>
          </w:p>
        </w:tc>
        <w:tc>
          <w:tcPr>
            <w:tcW w:w="1260" w:type="dxa"/>
            <w:tcBorders>
              <w:tl2br w:val="nil"/>
              <w:tr2bl w:val="nil"/>
            </w:tcBorders>
            <w:noWrap w:val="0"/>
            <w:vAlign w:val="center"/>
          </w:tcPr>
          <w:p w14:paraId="61D4D298">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960" w:type="dxa"/>
            <w:tcBorders>
              <w:tl2br w:val="nil"/>
              <w:tr2bl w:val="nil"/>
            </w:tcBorders>
            <w:noWrap w:val="0"/>
            <w:vAlign w:val="center"/>
          </w:tcPr>
          <w:p w14:paraId="5014CC0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0.937</w:t>
            </w:r>
          </w:p>
        </w:tc>
        <w:tc>
          <w:tcPr>
            <w:tcW w:w="825" w:type="dxa"/>
            <w:tcBorders>
              <w:tl2br w:val="nil"/>
              <w:tr2bl w:val="nil"/>
            </w:tcBorders>
            <w:noWrap w:val="0"/>
            <w:vAlign w:val="center"/>
          </w:tcPr>
          <w:p w14:paraId="10F3773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74</w:t>
            </w:r>
          </w:p>
        </w:tc>
        <w:tc>
          <w:tcPr>
            <w:tcW w:w="1095" w:type="dxa"/>
            <w:tcBorders>
              <w:tl2br w:val="nil"/>
              <w:tr2bl w:val="nil"/>
            </w:tcBorders>
            <w:noWrap w:val="0"/>
            <w:vAlign w:val="center"/>
          </w:tcPr>
          <w:p w14:paraId="2534752D">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915" w:type="dxa"/>
            <w:tcBorders>
              <w:tl2br w:val="nil"/>
              <w:tr2bl w:val="nil"/>
            </w:tcBorders>
            <w:noWrap w:val="0"/>
            <w:vAlign w:val="center"/>
          </w:tcPr>
          <w:p w14:paraId="5250CCB2">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0.244</w:t>
            </w:r>
          </w:p>
        </w:tc>
      </w:tr>
    </w:tbl>
    <w:p w14:paraId="75E12BB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3"/>
        <w:rPr>
          <w:rFonts w:hint="default" w:ascii="Times New Roman" w:hAnsi="Times New Roman" w:eastAsia="宋体" w:cs="Times New Roman"/>
          <w:b/>
          <w:sz w:val="24"/>
          <w:szCs w:val="24"/>
          <w:highlight w:val="none"/>
          <w:lang w:val="en-US" w:eastAsia="zh-CN"/>
        </w:rPr>
      </w:pPr>
      <w:r>
        <w:rPr>
          <w:rFonts w:hint="eastAsia" w:cs="Times New Roman"/>
          <w:b/>
          <w:sz w:val="24"/>
          <w:szCs w:val="24"/>
          <w:highlight w:val="none"/>
          <w:lang w:val="en-US" w:eastAsia="zh-CN"/>
        </w:rPr>
        <w:t>（2）</w:t>
      </w:r>
      <w:r>
        <w:rPr>
          <w:rFonts w:hint="eastAsia" w:ascii="Times New Roman" w:hAnsi="Times New Roman" w:eastAsia="宋体" w:cs="Times New Roman"/>
          <w:b/>
          <w:sz w:val="24"/>
          <w:szCs w:val="24"/>
          <w:highlight w:val="none"/>
          <w:lang w:val="en-US" w:eastAsia="zh-CN"/>
        </w:rPr>
        <w:t>废水</w:t>
      </w:r>
      <w:r>
        <w:rPr>
          <w:rFonts w:hint="default" w:ascii="Times New Roman" w:hAnsi="Times New Roman" w:eastAsia="宋体" w:cs="Times New Roman"/>
          <w:b/>
          <w:sz w:val="24"/>
          <w:szCs w:val="24"/>
          <w:highlight w:val="none"/>
          <w:lang w:val="en-US" w:eastAsia="zh-CN"/>
        </w:rPr>
        <w:t>源强核算</w:t>
      </w:r>
    </w:p>
    <w:p w14:paraId="006F7034">
      <w:pPr>
        <w:adjustRightInd w:val="0"/>
        <w:spacing w:line="360" w:lineRule="auto"/>
        <w:ind w:firstLine="480" w:firstLineChars="200"/>
        <w:rPr>
          <w:rFonts w:hint="eastAsia" w:cs="Times New Roman"/>
          <w:color w:val="000000"/>
          <w:sz w:val="24"/>
          <w:highlight w:val="none"/>
          <w:lang w:val="en-US" w:eastAsia="zh-CN"/>
        </w:rPr>
      </w:pPr>
      <w:r>
        <w:rPr>
          <w:rFonts w:hint="default" w:ascii="Times New Roman" w:hAnsi="Times New Roman" w:cs="Times New Roman"/>
          <w:color w:val="000000"/>
          <w:sz w:val="24"/>
          <w:highlight w:val="none"/>
        </w:rPr>
        <w:t>本项目</w:t>
      </w:r>
      <w:r>
        <w:rPr>
          <w:rFonts w:ascii="Times New Roman" w:hAnsi="Times New Roman"/>
          <w:color w:val="auto"/>
          <w:sz w:val="24"/>
          <w:szCs w:val="32"/>
          <w:highlight w:val="none"/>
        </w:rPr>
        <w:t>生产运行阶段</w:t>
      </w:r>
      <w:r>
        <w:rPr>
          <w:rFonts w:hint="default" w:ascii="Times New Roman" w:hAnsi="Times New Roman" w:cs="Times New Roman"/>
          <w:color w:val="000000"/>
          <w:sz w:val="24"/>
          <w:highlight w:val="none"/>
        </w:rPr>
        <w:t>废水主要为堆存区淋滤废水</w:t>
      </w:r>
      <w:r>
        <w:rPr>
          <w:rFonts w:hint="eastAsia" w:cs="Times New Roman"/>
          <w:color w:val="000000"/>
          <w:sz w:val="24"/>
          <w:highlight w:val="none"/>
          <w:lang w:eastAsia="zh-CN"/>
        </w:rPr>
        <w:t>，</w:t>
      </w:r>
      <w:r>
        <w:rPr>
          <w:rFonts w:hint="eastAsia"/>
          <w:b w:val="0"/>
          <w:bCs w:val="0"/>
          <w:sz w:val="24"/>
          <w:szCs w:val="24"/>
          <w:highlight w:val="none"/>
          <w:lang w:val="en-US" w:eastAsia="zh-CN"/>
        </w:rPr>
        <w:t>产生量为9369.8m</w:t>
      </w:r>
      <w:r>
        <w:rPr>
          <w:rFonts w:hint="eastAsia" w:ascii="Times New Roman" w:hAnsi="Times New Roman" w:eastAsia="宋体" w:cs="Times New Roman"/>
          <w:b w:val="0"/>
          <w:bCs w:val="0"/>
          <w:sz w:val="24"/>
          <w:szCs w:val="24"/>
          <w:highlight w:val="none"/>
          <w:vertAlign w:val="superscript"/>
          <w:lang w:val="en-US" w:eastAsia="zh-CN"/>
        </w:rPr>
        <w:t>3</w:t>
      </w:r>
      <w:r>
        <w:rPr>
          <w:rFonts w:hint="eastAsia"/>
          <w:b w:val="0"/>
          <w:bCs w:val="0"/>
          <w:sz w:val="24"/>
          <w:szCs w:val="24"/>
          <w:highlight w:val="none"/>
          <w:lang w:val="en-US" w:eastAsia="zh-CN"/>
        </w:rPr>
        <w:t>/a，合计28.4m</w:t>
      </w:r>
      <w:r>
        <w:rPr>
          <w:rFonts w:hint="eastAsia" w:ascii="Times New Roman" w:hAnsi="Times New Roman" w:eastAsia="宋体" w:cs="Times New Roman"/>
          <w:b w:val="0"/>
          <w:bCs w:val="0"/>
          <w:sz w:val="24"/>
          <w:szCs w:val="24"/>
          <w:highlight w:val="none"/>
          <w:vertAlign w:val="superscript"/>
          <w:lang w:val="en-US" w:eastAsia="zh-CN"/>
        </w:rPr>
        <w:t>3</w:t>
      </w:r>
      <w:r>
        <w:rPr>
          <w:rFonts w:hint="eastAsia"/>
          <w:b w:val="0"/>
          <w:bCs w:val="0"/>
          <w:sz w:val="24"/>
          <w:szCs w:val="24"/>
          <w:highlight w:val="none"/>
          <w:lang w:val="en-US" w:eastAsia="zh-CN"/>
        </w:rPr>
        <w:t>/d</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由于雨水通过排土场垂直渗透进入包气带，进入包气带的污染物在物理、化学和生物作用下经吸附、转化、迁移和分解后输入地下水，对地下水环境造成影响，为定量评价其可能造成对地下水环境产生的影响，按标准指数法对浸溶实验中的成分进行排序，选取标准指数最大的因子作为本次地下水评价的预测因子</w:t>
      </w:r>
      <w:r>
        <w:rPr>
          <w:rFonts w:hint="eastAsia" w:cs="Times New Roman"/>
          <w:color w:val="000000"/>
          <w:sz w:val="24"/>
          <w:highlight w:val="none"/>
          <w:lang w:val="en-US" w:eastAsia="zh-CN"/>
        </w:rPr>
        <w:t>。</w:t>
      </w:r>
    </w:p>
    <w:p w14:paraId="388ADEF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3"/>
        <w:rPr>
          <w:rFonts w:hint="default" w:ascii="Times New Roman" w:hAnsi="Times New Roman" w:eastAsia="宋体" w:cs="Times New Roman"/>
          <w:b/>
          <w:sz w:val="24"/>
          <w:szCs w:val="24"/>
          <w:highlight w:val="none"/>
          <w:lang w:val="en-US" w:eastAsia="zh-CN"/>
        </w:rPr>
      </w:pP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en-US" w:eastAsia="zh-CN"/>
        </w:rPr>
        <w:t>噪声源强核算</w:t>
      </w:r>
    </w:p>
    <w:p w14:paraId="2FC8AB2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项目生产运行阶段产生的噪声为运输噪声和设备噪声。</w:t>
      </w:r>
    </w:p>
    <w:p w14:paraId="6F9B26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ighlight w:val="none"/>
        </w:rPr>
      </w:pPr>
      <w:r>
        <w:rPr>
          <w:rFonts w:ascii="Times New Roman" w:eastAsia="宋体"/>
          <w:sz w:val="24"/>
          <w:szCs w:val="24"/>
          <w:highlight w:val="none"/>
        </w:rPr>
        <w:t>项目主要噪声源为</w:t>
      </w:r>
      <w:r>
        <w:rPr>
          <w:rFonts w:hint="eastAsia"/>
          <w:sz w:val="24"/>
          <w:szCs w:val="24"/>
          <w:highlight w:val="none"/>
          <w:lang w:val="en-US" w:eastAsia="zh-CN"/>
        </w:rPr>
        <w:t>自卸汽车、装载机、压实机、洒水车等</w:t>
      </w:r>
      <w:r>
        <w:rPr>
          <w:rFonts w:ascii="Times New Roman" w:eastAsia="宋体"/>
          <w:sz w:val="24"/>
          <w:szCs w:val="24"/>
          <w:highlight w:val="none"/>
        </w:rPr>
        <w:t>，噪声源强见下表。</w:t>
      </w:r>
    </w:p>
    <w:p w14:paraId="1D7920BB">
      <w:pPr>
        <w:numPr>
          <w:ilvl w:val="0"/>
          <w:numId w:val="20"/>
        </w:numPr>
        <w:adjustRightInd w:val="0"/>
        <w:snapToGrid w:val="0"/>
        <w:jc w:val="center"/>
        <w:rPr>
          <w:rFonts w:ascii="Times New Roman"/>
          <w:b/>
          <w:bCs/>
          <w:snapToGrid w:val="0"/>
          <w:sz w:val="21"/>
          <w:szCs w:val="21"/>
          <w:highlight w:val="none"/>
        </w:rPr>
      </w:pPr>
      <w:r>
        <w:rPr>
          <w:rFonts w:ascii="Times New Roman" w:eastAsia="宋体"/>
          <w:b/>
          <w:bCs/>
          <w:snapToGrid w:val="0"/>
          <w:sz w:val="21"/>
          <w:szCs w:val="21"/>
          <w:highlight w:val="none"/>
        </w:rPr>
        <w:t>主要噪声源一览表</w:t>
      </w:r>
    </w:p>
    <w:tbl>
      <w:tblPr>
        <w:tblStyle w:val="5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64"/>
        <w:gridCol w:w="1920"/>
        <w:gridCol w:w="1134"/>
        <w:gridCol w:w="855"/>
        <w:gridCol w:w="1740"/>
        <w:gridCol w:w="2215"/>
      </w:tblGrid>
      <w:tr w14:paraId="5F078E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89" w:type="pct"/>
            <w:tcBorders>
              <w:tl2br w:val="nil"/>
              <w:tr2bl w:val="nil"/>
            </w:tcBorders>
            <w:noWrap w:val="0"/>
            <w:vAlign w:val="center"/>
          </w:tcPr>
          <w:p w14:paraId="14EF0F91">
            <w:pPr>
              <w:pStyle w:val="174"/>
              <w:adjustRightInd w:val="0"/>
              <w:snapToGrid w:val="0"/>
              <w:rPr>
                <w:b/>
                <w:bCs/>
                <w:kern w:val="2"/>
                <w:szCs w:val="21"/>
                <w:highlight w:val="none"/>
              </w:rPr>
            </w:pPr>
            <w:r>
              <w:rPr>
                <w:rFonts w:eastAsia="宋体"/>
                <w:b/>
                <w:bCs/>
                <w:kern w:val="2"/>
                <w:szCs w:val="21"/>
                <w:highlight w:val="none"/>
              </w:rPr>
              <w:t>序号</w:t>
            </w:r>
          </w:p>
        </w:tc>
        <w:tc>
          <w:tcPr>
            <w:tcW w:w="1125" w:type="pct"/>
            <w:tcBorders>
              <w:tl2br w:val="nil"/>
              <w:tr2bl w:val="nil"/>
            </w:tcBorders>
            <w:noWrap w:val="0"/>
            <w:vAlign w:val="center"/>
          </w:tcPr>
          <w:p w14:paraId="655A55F9">
            <w:pPr>
              <w:pStyle w:val="174"/>
              <w:adjustRightInd w:val="0"/>
              <w:snapToGrid w:val="0"/>
              <w:rPr>
                <w:b/>
                <w:bCs/>
                <w:kern w:val="2"/>
                <w:szCs w:val="21"/>
                <w:highlight w:val="none"/>
              </w:rPr>
            </w:pPr>
            <w:r>
              <w:rPr>
                <w:rFonts w:eastAsia="宋体"/>
                <w:b/>
                <w:bCs/>
                <w:kern w:val="2"/>
                <w:szCs w:val="21"/>
                <w:highlight w:val="none"/>
              </w:rPr>
              <w:t>位置</w:t>
            </w:r>
          </w:p>
        </w:tc>
        <w:tc>
          <w:tcPr>
            <w:tcW w:w="664" w:type="pct"/>
            <w:tcBorders>
              <w:tl2br w:val="nil"/>
              <w:tr2bl w:val="nil"/>
            </w:tcBorders>
            <w:noWrap w:val="0"/>
            <w:vAlign w:val="center"/>
          </w:tcPr>
          <w:p w14:paraId="5A564707">
            <w:pPr>
              <w:pStyle w:val="174"/>
              <w:adjustRightInd w:val="0"/>
              <w:snapToGrid w:val="0"/>
              <w:rPr>
                <w:b/>
                <w:bCs/>
                <w:kern w:val="2"/>
                <w:szCs w:val="21"/>
                <w:highlight w:val="none"/>
              </w:rPr>
            </w:pPr>
            <w:r>
              <w:rPr>
                <w:rFonts w:eastAsia="宋体"/>
                <w:b/>
                <w:bCs/>
                <w:kern w:val="2"/>
                <w:szCs w:val="21"/>
                <w:highlight w:val="none"/>
              </w:rPr>
              <w:t>污染源</w:t>
            </w:r>
          </w:p>
        </w:tc>
        <w:tc>
          <w:tcPr>
            <w:tcW w:w="501" w:type="pct"/>
            <w:tcBorders>
              <w:tl2br w:val="nil"/>
              <w:tr2bl w:val="nil"/>
            </w:tcBorders>
            <w:noWrap w:val="0"/>
            <w:vAlign w:val="center"/>
          </w:tcPr>
          <w:p w14:paraId="03F2F107">
            <w:pPr>
              <w:pStyle w:val="174"/>
              <w:adjustRightInd w:val="0"/>
              <w:snapToGrid w:val="0"/>
              <w:rPr>
                <w:b/>
                <w:bCs/>
                <w:kern w:val="2"/>
                <w:szCs w:val="21"/>
                <w:highlight w:val="none"/>
              </w:rPr>
            </w:pPr>
            <w:r>
              <w:rPr>
                <w:rFonts w:eastAsia="宋体"/>
                <w:b/>
                <w:bCs/>
                <w:kern w:val="2"/>
                <w:szCs w:val="21"/>
                <w:highlight w:val="none"/>
              </w:rPr>
              <w:t>数量</w:t>
            </w:r>
          </w:p>
        </w:tc>
        <w:tc>
          <w:tcPr>
            <w:tcW w:w="1020" w:type="pct"/>
            <w:tcBorders>
              <w:tl2br w:val="nil"/>
              <w:tr2bl w:val="nil"/>
            </w:tcBorders>
            <w:noWrap w:val="0"/>
            <w:vAlign w:val="center"/>
          </w:tcPr>
          <w:p w14:paraId="4E484555">
            <w:pPr>
              <w:pStyle w:val="174"/>
              <w:adjustRightInd w:val="0"/>
              <w:snapToGrid w:val="0"/>
              <w:rPr>
                <w:b/>
                <w:bCs/>
                <w:kern w:val="2"/>
                <w:szCs w:val="21"/>
                <w:highlight w:val="none"/>
              </w:rPr>
            </w:pPr>
            <w:r>
              <w:rPr>
                <w:rFonts w:eastAsia="宋体"/>
                <w:b/>
                <w:bCs/>
                <w:kern w:val="2"/>
                <w:szCs w:val="21"/>
                <w:highlight w:val="none"/>
              </w:rPr>
              <w:t>源强（dB（A））</w:t>
            </w:r>
          </w:p>
        </w:tc>
        <w:tc>
          <w:tcPr>
            <w:tcW w:w="1298" w:type="pct"/>
            <w:tcBorders>
              <w:tl2br w:val="nil"/>
              <w:tr2bl w:val="nil"/>
            </w:tcBorders>
            <w:noWrap w:val="0"/>
            <w:vAlign w:val="center"/>
          </w:tcPr>
          <w:p w14:paraId="434A9603">
            <w:pPr>
              <w:pStyle w:val="174"/>
              <w:adjustRightInd w:val="0"/>
              <w:snapToGrid w:val="0"/>
              <w:rPr>
                <w:b/>
                <w:bCs/>
                <w:kern w:val="2"/>
                <w:szCs w:val="21"/>
                <w:highlight w:val="none"/>
              </w:rPr>
            </w:pPr>
            <w:r>
              <w:rPr>
                <w:rFonts w:eastAsia="宋体"/>
                <w:b/>
                <w:bCs/>
                <w:kern w:val="2"/>
                <w:szCs w:val="21"/>
                <w:highlight w:val="none"/>
              </w:rPr>
              <w:t>降噪措施</w:t>
            </w:r>
          </w:p>
        </w:tc>
      </w:tr>
      <w:tr w14:paraId="18879B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89" w:type="pct"/>
            <w:tcBorders>
              <w:tl2br w:val="nil"/>
              <w:tr2bl w:val="nil"/>
            </w:tcBorders>
            <w:shd w:val="clear" w:color="auto" w:fill="auto"/>
            <w:noWrap w:val="0"/>
            <w:vAlign w:val="center"/>
          </w:tcPr>
          <w:p w14:paraId="5D51482D">
            <w:pPr>
              <w:pStyle w:val="174"/>
              <w:adjustRightInd w:val="0"/>
              <w:snapToGrid w:val="0"/>
              <w:rPr>
                <w:rFonts w:ascii="Times New Roman" w:hAnsi="Times New Roman" w:eastAsia="宋体" w:cs="Times New Roman"/>
                <w:b/>
                <w:bCs/>
                <w:kern w:val="2"/>
                <w:sz w:val="21"/>
                <w:szCs w:val="21"/>
                <w:highlight w:val="none"/>
                <w:lang w:val="en-US" w:eastAsia="zh-CN" w:bidi="ar-SA"/>
              </w:rPr>
            </w:pPr>
            <w:r>
              <w:rPr>
                <w:rFonts w:eastAsia="宋体"/>
                <w:kern w:val="2"/>
                <w:szCs w:val="21"/>
                <w:highlight w:val="none"/>
              </w:rPr>
              <w:t>1</w:t>
            </w:r>
          </w:p>
        </w:tc>
        <w:tc>
          <w:tcPr>
            <w:tcW w:w="1125" w:type="pct"/>
            <w:tcBorders>
              <w:tl2br w:val="nil"/>
              <w:tr2bl w:val="nil"/>
            </w:tcBorders>
            <w:noWrap w:val="0"/>
            <w:vAlign w:val="center"/>
          </w:tcPr>
          <w:p w14:paraId="4B917803">
            <w:pPr>
              <w:pStyle w:val="174"/>
              <w:adjustRightInd w:val="0"/>
              <w:snapToGrid w:val="0"/>
              <w:rPr>
                <w:kern w:val="2"/>
                <w:szCs w:val="21"/>
                <w:highlight w:val="none"/>
              </w:rPr>
            </w:pPr>
            <w:r>
              <w:rPr>
                <w:rFonts w:eastAsia="宋体"/>
                <w:kern w:val="2"/>
                <w:szCs w:val="21"/>
                <w:highlight w:val="none"/>
              </w:rPr>
              <w:t>进场道路、排土场</w:t>
            </w:r>
          </w:p>
        </w:tc>
        <w:tc>
          <w:tcPr>
            <w:tcW w:w="664" w:type="pct"/>
            <w:tcBorders>
              <w:tl2br w:val="nil"/>
              <w:tr2bl w:val="nil"/>
            </w:tcBorders>
            <w:noWrap w:val="0"/>
            <w:vAlign w:val="center"/>
          </w:tcPr>
          <w:p w14:paraId="2B307BF5">
            <w:pPr>
              <w:adjustRightInd w:val="0"/>
              <w:snapToGrid w:val="0"/>
              <w:spacing w:line="240" w:lineRule="auto"/>
              <w:jc w:val="center"/>
              <w:rPr>
                <w:rFonts w:ascii="Times New Roman"/>
                <w:sz w:val="21"/>
                <w:szCs w:val="21"/>
                <w:highlight w:val="none"/>
              </w:rPr>
            </w:pPr>
            <w:r>
              <w:rPr>
                <w:rFonts w:ascii="Times New Roman"/>
                <w:color w:val="auto"/>
                <w:sz w:val="21"/>
                <w:szCs w:val="21"/>
                <w:highlight w:val="none"/>
              </w:rPr>
              <w:t>自卸汽车</w:t>
            </w:r>
          </w:p>
        </w:tc>
        <w:tc>
          <w:tcPr>
            <w:tcW w:w="501" w:type="pct"/>
            <w:tcBorders>
              <w:tl2br w:val="nil"/>
              <w:tr2bl w:val="nil"/>
            </w:tcBorders>
            <w:noWrap w:val="0"/>
            <w:vAlign w:val="center"/>
          </w:tcPr>
          <w:p w14:paraId="3DF133AA">
            <w:pPr>
              <w:adjustRightInd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rPr>
              <w:t>3</w:t>
            </w:r>
            <w:r>
              <w:rPr>
                <w:rFonts w:ascii="Times New Roman"/>
                <w:color w:val="auto"/>
                <w:sz w:val="21"/>
                <w:szCs w:val="21"/>
                <w:highlight w:val="none"/>
              </w:rPr>
              <w:t>辆</w:t>
            </w:r>
          </w:p>
        </w:tc>
        <w:tc>
          <w:tcPr>
            <w:tcW w:w="1020" w:type="pct"/>
            <w:tcBorders>
              <w:tl2br w:val="nil"/>
              <w:tr2bl w:val="nil"/>
            </w:tcBorders>
            <w:noWrap w:val="0"/>
            <w:vAlign w:val="center"/>
          </w:tcPr>
          <w:p w14:paraId="478B6C0D">
            <w:pPr>
              <w:pStyle w:val="174"/>
              <w:adjustRightInd w:val="0"/>
              <w:snapToGrid w:val="0"/>
              <w:rPr>
                <w:kern w:val="2"/>
                <w:szCs w:val="21"/>
                <w:highlight w:val="none"/>
              </w:rPr>
            </w:pPr>
            <w:r>
              <w:rPr>
                <w:rFonts w:eastAsia="宋体"/>
                <w:kern w:val="2"/>
                <w:szCs w:val="21"/>
                <w:highlight w:val="none"/>
              </w:rPr>
              <w:t>80</w:t>
            </w:r>
          </w:p>
        </w:tc>
        <w:tc>
          <w:tcPr>
            <w:tcW w:w="1298" w:type="pct"/>
            <w:tcBorders>
              <w:tl2br w:val="nil"/>
              <w:tr2bl w:val="nil"/>
            </w:tcBorders>
            <w:noWrap w:val="0"/>
            <w:vAlign w:val="center"/>
          </w:tcPr>
          <w:p w14:paraId="1CF5DF3C">
            <w:pPr>
              <w:pStyle w:val="174"/>
              <w:adjustRightInd w:val="0"/>
              <w:snapToGrid w:val="0"/>
              <w:rPr>
                <w:kern w:val="2"/>
                <w:szCs w:val="21"/>
                <w:highlight w:val="none"/>
              </w:rPr>
            </w:pPr>
            <w:r>
              <w:rPr>
                <w:rFonts w:eastAsia="宋体"/>
                <w:kern w:val="2"/>
                <w:szCs w:val="21"/>
                <w:highlight w:val="none"/>
              </w:rPr>
              <w:t>减速慢行</w:t>
            </w:r>
          </w:p>
        </w:tc>
      </w:tr>
      <w:tr w14:paraId="348FB5D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89" w:type="pct"/>
            <w:tcBorders>
              <w:tl2br w:val="nil"/>
              <w:tr2bl w:val="nil"/>
            </w:tcBorders>
            <w:shd w:val="clear" w:color="auto" w:fill="auto"/>
            <w:noWrap w:val="0"/>
            <w:vAlign w:val="center"/>
          </w:tcPr>
          <w:p w14:paraId="0CDB6729">
            <w:pPr>
              <w:pStyle w:val="174"/>
              <w:adjustRightInd w:val="0"/>
              <w:snapToGrid w:val="0"/>
              <w:rPr>
                <w:rFonts w:hint="eastAsia" w:ascii="Times New Roman" w:hAnsi="Times New Roman" w:eastAsia="宋体" w:cs="Times New Roman"/>
                <w:bCs/>
                <w:kern w:val="2"/>
                <w:sz w:val="21"/>
                <w:szCs w:val="21"/>
                <w:highlight w:val="none"/>
                <w:lang w:val="en-US" w:eastAsia="zh-CN" w:bidi="ar-SA"/>
              </w:rPr>
            </w:pPr>
            <w:r>
              <w:rPr>
                <w:rFonts w:eastAsia="宋体"/>
                <w:bCs/>
                <w:kern w:val="2"/>
                <w:szCs w:val="21"/>
                <w:highlight w:val="none"/>
              </w:rPr>
              <w:t>2</w:t>
            </w:r>
          </w:p>
        </w:tc>
        <w:tc>
          <w:tcPr>
            <w:tcW w:w="1125" w:type="pct"/>
            <w:vMerge w:val="restart"/>
            <w:tcBorders>
              <w:tl2br w:val="nil"/>
              <w:tr2bl w:val="nil"/>
            </w:tcBorders>
            <w:noWrap w:val="0"/>
            <w:vAlign w:val="center"/>
          </w:tcPr>
          <w:p w14:paraId="61945C0C">
            <w:pPr>
              <w:pStyle w:val="174"/>
              <w:adjustRightInd w:val="0"/>
              <w:snapToGrid w:val="0"/>
              <w:rPr>
                <w:kern w:val="2"/>
                <w:szCs w:val="21"/>
                <w:highlight w:val="none"/>
              </w:rPr>
            </w:pPr>
            <w:r>
              <w:rPr>
                <w:rFonts w:eastAsia="宋体"/>
                <w:kern w:val="2"/>
                <w:szCs w:val="21"/>
                <w:highlight w:val="none"/>
              </w:rPr>
              <w:t>排土场</w:t>
            </w:r>
          </w:p>
        </w:tc>
        <w:tc>
          <w:tcPr>
            <w:tcW w:w="664" w:type="pct"/>
            <w:tcBorders>
              <w:tl2br w:val="nil"/>
              <w:tr2bl w:val="nil"/>
            </w:tcBorders>
            <w:noWrap w:val="0"/>
            <w:vAlign w:val="center"/>
          </w:tcPr>
          <w:p w14:paraId="6B14C2A4">
            <w:pPr>
              <w:pStyle w:val="174"/>
              <w:adjustRightInd w:val="0"/>
              <w:snapToGrid w:val="0"/>
              <w:rPr>
                <w:rFonts w:ascii="Times New Roman" w:hAnsi="Times New Roman" w:eastAsia="宋体" w:cs="Times New Roman"/>
                <w:kern w:val="2"/>
                <w:sz w:val="21"/>
                <w:szCs w:val="21"/>
                <w:highlight w:val="none"/>
                <w:lang w:val="en-US" w:eastAsia="zh-CN" w:bidi="ar-SA"/>
              </w:rPr>
            </w:pPr>
            <w:r>
              <w:rPr>
                <w:rFonts w:eastAsia="宋体"/>
                <w:kern w:val="44"/>
                <w:szCs w:val="21"/>
                <w:highlight w:val="none"/>
              </w:rPr>
              <w:t>装载机</w:t>
            </w:r>
          </w:p>
        </w:tc>
        <w:tc>
          <w:tcPr>
            <w:tcW w:w="501" w:type="pct"/>
            <w:tcBorders>
              <w:tl2br w:val="nil"/>
              <w:tr2bl w:val="nil"/>
            </w:tcBorders>
            <w:noWrap w:val="0"/>
            <w:vAlign w:val="center"/>
          </w:tcPr>
          <w:p w14:paraId="134904AF">
            <w:pPr>
              <w:pStyle w:val="171"/>
              <w:adjustRightInd w:val="0"/>
              <w:snapToGrid w:val="0"/>
              <w:ind w:firstLine="0" w:firstLineChars="0"/>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w:t>
            </w:r>
            <w:r>
              <w:rPr>
                <w:rFonts w:ascii="Times New Roman" w:eastAsia="宋体"/>
                <w:szCs w:val="21"/>
                <w:highlight w:val="none"/>
              </w:rPr>
              <w:t>台</w:t>
            </w:r>
          </w:p>
        </w:tc>
        <w:tc>
          <w:tcPr>
            <w:tcW w:w="1020" w:type="pct"/>
            <w:tcBorders>
              <w:tl2br w:val="nil"/>
              <w:tr2bl w:val="nil"/>
            </w:tcBorders>
            <w:noWrap w:val="0"/>
            <w:vAlign w:val="center"/>
          </w:tcPr>
          <w:p w14:paraId="36BA1A5F">
            <w:pPr>
              <w:pStyle w:val="171"/>
              <w:adjustRightInd w:val="0"/>
              <w:snapToGrid w:val="0"/>
              <w:ind w:firstLine="0" w:firstLineChars="0"/>
              <w:rPr>
                <w:rFonts w:ascii="Times New Roman" w:hAnsi="Times New Roman" w:eastAsia="宋体" w:cs="Times New Roman"/>
                <w:kern w:val="2"/>
                <w:sz w:val="21"/>
                <w:szCs w:val="21"/>
                <w:highlight w:val="none"/>
                <w:lang w:val="en-US" w:eastAsia="zh-CN" w:bidi="ar-SA"/>
              </w:rPr>
            </w:pPr>
            <w:r>
              <w:rPr>
                <w:rFonts w:ascii="Times New Roman" w:eastAsia="宋体"/>
                <w:szCs w:val="21"/>
                <w:highlight w:val="none"/>
              </w:rPr>
              <w:t>85</w:t>
            </w:r>
          </w:p>
        </w:tc>
        <w:tc>
          <w:tcPr>
            <w:tcW w:w="1298" w:type="pct"/>
            <w:vMerge w:val="restart"/>
            <w:tcBorders>
              <w:tl2br w:val="nil"/>
              <w:tr2bl w:val="nil"/>
            </w:tcBorders>
            <w:noWrap w:val="0"/>
            <w:vAlign w:val="center"/>
          </w:tcPr>
          <w:p w14:paraId="5C258103">
            <w:pPr>
              <w:pStyle w:val="174"/>
              <w:adjustRightInd w:val="0"/>
              <w:snapToGrid w:val="0"/>
              <w:rPr>
                <w:kern w:val="2"/>
                <w:szCs w:val="21"/>
                <w:highlight w:val="none"/>
              </w:rPr>
            </w:pPr>
            <w:r>
              <w:rPr>
                <w:rFonts w:eastAsia="宋体"/>
                <w:szCs w:val="21"/>
                <w:highlight w:val="none"/>
              </w:rPr>
              <w:t>购置低噪声设备，设备定期检修</w:t>
            </w:r>
          </w:p>
        </w:tc>
      </w:tr>
      <w:tr w14:paraId="088A259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89" w:type="pct"/>
            <w:tcBorders>
              <w:tl2br w:val="nil"/>
              <w:tr2bl w:val="nil"/>
            </w:tcBorders>
            <w:shd w:val="clear" w:color="auto" w:fill="auto"/>
            <w:noWrap w:val="0"/>
            <w:vAlign w:val="center"/>
          </w:tcPr>
          <w:p w14:paraId="01B537B5">
            <w:pPr>
              <w:pStyle w:val="174"/>
              <w:adjustRightInd w:val="0"/>
              <w:snapToGrid w:val="0"/>
              <w:rPr>
                <w:rFonts w:hint="eastAsia" w:ascii="Times New Roman" w:hAnsi="Times New Roman" w:eastAsia="宋体" w:cs="Times New Roman"/>
                <w:bCs/>
                <w:kern w:val="2"/>
                <w:sz w:val="21"/>
                <w:szCs w:val="21"/>
                <w:highlight w:val="none"/>
                <w:lang w:val="en-US" w:eastAsia="zh-CN" w:bidi="ar-SA"/>
              </w:rPr>
            </w:pPr>
            <w:r>
              <w:rPr>
                <w:rFonts w:hint="eastAsia"/>
                <w:bCs/>
                <w:kern w:val="2"/>
                <w:szCs w:val="21"/>
                <w:highlight w:val="none"/>
                <w:lang w:val="en-US" w:eastAsia="zh-CN"/>
              </w:rPr>
              <w:t>3</w:t>
            </w:r>
          </w:p>
        </w:tc>
        <w:tc>
          <w:tcPr>
            <w:tcW w:w="1125" w:type="pct"/>
            <w:vMerge w:val="continue"/>
            <w:tcBorders>
              <w:tl2br w:val="nil"/>
              <w:tr2bl w:val="nil"/>
            </w:tcBorders>
            <w:noWrap w:val="0"/>
            <w:vAlign w:val="center"/>
          </w:tcPr>
          <w:p w14:paraId="321D359F">
            <w:pPr>
              <w:pStyle w:val="174"/>
              <w:adjustRightInd w:val="0"/>
              <w:snapToGrid w:val="0"/>
              <w:rPr>
                <w:rFonts w:eastAsia="宋体"/>
                <w:kern w:val="2"/>
                <w:szCs w:val="21"/>
                <w:highlight w:val="none"/>
              </w:rPr>
            </w:pPr>
          </w:p>
        </w:tc>
        <w:tc>
          <w:tcPr>
            <w:tcW w:w="664" w:type="pct"/>
            <w:tcBorders>
              <w:tl2br w:val="nil"/>
              <w:tr2bl w:val="nil"/>
            </w:tcBorders>
            <w:noWrap w:val="0"/>
            <w:vAlign w:val="center"/>
          </w:tcPr>
          <w:p w14:paraId="3005C59D">
            <w:pPr>
              <w:pStyle w:val="174"/>
              <w:adjustRightInd w:val="0"/>
              <w:snapToGrid w:val="0"/>
              <w:rPr>
                <w:rFonts w:hint="eastAsia" w:eastAsia="宋体"/>
                <w:kern w:val="44"/>
                <w:szCs w:val="21"/>
                <w:highlight w:val="none"/>
                <w:lang w:val="en-US" w:eastAsia="zh-CN"/>
              </w:rPr>
            </w:pPr>
            <w:r>
              <w:rPr>
                <w:rFonts w:hint="eastAsia"/>
                <w:kern w:val="44"/>
                <w:szCs w:val="21"/>
                <w:highlight w:val="none"/>
                <w:lang w:val="en-US" w:eastAsia="zh-CN"/>
              </w:rPr>
              <w:t>推土机</w:t>
            </w:r>
          </w:p>
        </w:tc>
        <w:tc>
          <w:tcPr>
            <w:tcW w:w="501" w:type="pct"/>
            <w:tcBorders>
              <w:tl2br w:val="nil"/>
              <w:tr2bl w:val="nil"/>
            </w:tcBorders>
            <w:noWrap w:val="0"/>
            <w:vAlign w:val="center"/>
          </w:tcPr>
          <w:p w14:paraId="38B9DD29">
            <w:pPr>
              <w:pStyle w:val="171"/>
              <w:adjustRightInd w:val="0"/>
              <w:snapToGrid w:val="0"/>
              <w:ind w:firstLine="0" w:firstLineChars="0"/>
              <w:rPr>
                <w:rFonts w:hint="eastAsia"/>
                <w:szCs w:val="21"/>
                <w:highlight w:val="none"/>
                <w:lang w:val="en-US" w:eastAsia="zh-CN"/>
              </w:rPr>
            </w:pPr>
            <w:r>
              <w:rPr>
                <w:rFonts w:hint="eastAsia"/>
                <w:szCs w:val="21"/>
                <w:highlight w:val="none"/>
                <w:lang w:val="en-US" w:eastAsia="zh-CN"/>
              </w:rPr>
              <w:t>1</w:t>
            </w:r>
            <w:r>
              <w:rPr>
                <w:rFonts w:ascii="Times New Roman" w:eastAsia="宋体"/>
                <w:szCs w:val="21"/>
                <w:highlight w:val="none"/>
              </w:rPr>
              <w:t>台</w:t>
            </w:r>
          </w:p>
        </w:tc>
        <w:tc>
          <w:tcPr>
            <w:tcW w:w="1020" w:type="pct"/>
            <w:tcBorders>
              <w:tl2br w:val="nil"/>
              <w:tr2bl w:val="nil"/>
            </w:tcBorders>
            <w:noWrap w:val="0"/>
            <w:vAlign w:val="center"/>
          </w:tcPr>
          <w:p w14:paraId="74CE70F7">
            <w:pPr>
              <w:pStyle w:val="171"/>
              <w:adjustRightInd w:val="0"/>
              <w:snapToGrid w:val="0"/>
              <w:ind w:firstLine="0" w:firstLineChars="0"/>
              <w:rPr>
                <w:rFonts w:hint="default" w:ascii="Times New Roman" w:eastAsia="宋体"/>
                <w:szCs w:val="21"/>
                <w:highlight w:val="none"/>
                <w:lang w:val="en-US" w:eastAsia="zh-CN"/>
              </w:rPr>
            </w:pPr>
            <w:r>
              <w:rPr>
                <w:rFonts w:hint="eastAsia"/>
                <w:szCs w:val="21"/>
                <w:highlight w:val="none"/>
                <w:lang w:val="en-US" w:eastAsia="zh-CN"/>
              </w:rPr>
              <w:t>85</w:t>
            </w:r>
          </w:p>
        </w:tc>
        <w:tc>
          <w:tcPr>
            <w:tcW w:w="1298" w:type="pct"/>
            <w:vMerge w:val="continue"/>
            <w:tcBorders>
              <w:tl2br w:val="nil"/>
              <w:tr2bl w:val="nil"/>
            </w:tcBorders>
            <w:noWrap w:val="0"/>
            <w:vAlign w:val="center"/>
          </w:tcPr>
          <w:p w14:paraId="513849D8">
            <w:pPr>
              <w:pStyle w:val="174"/>
              <w:adjustRightInd w:val="0"/>
              <w:snapToGrid w:val="0"/>
              <w:rPr>
                <w:rFonts w:eastAsia="宋体"/>
                <w:szCs w:val="21"/>
                <w:highlight w:val="none"/>
              </w:rPr>
            </w:pPr>
          </w:p>
        </w:tc>
      </w:tr>
      <w:tr w14:paraId="7C975C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89" w:type="pct"/>
            <w:tcBorders>
              <w:tl2br w:val="nil"/>
              <w:tr2bl w:val="nil"/>
            </w:tcBorders>
            <w:shd w:val="clear" w:color="auto" w:fill="auto"/>
            <w:noWrap w:val="0"/>
            <w:vAlign w:val="center"/>
          </w:tcPr>
          <w:p w14:paraId="5178C453">
            <w:pPr>
              <w:pStyle w:val="174"/>
              <w:adjustRightInd w:val="0"/>
              <w:snapToGrid w:val="0"/>
              <w:rPr>
                <w:rFonts w:hint="eastAsia" w:ascii="Times New Roman" w:hAnsi="Times New Roman" w:eastAsia="宋体" w:cs="Times New Roman"/>
                <w:bCs/>
                <w:kern w:val="2"/>
                <w:sz w:val="21"/>
                <w:szCs w:val="21"/>
                <w:highlight w:val="none"/>
                <w:lang w:val="en-US" w:eastAsia="zh-CN" w:bidi="ar-SA"/>
              </w:rPr>
            </w:pPr>
            <w:r>
              <w:rPr>
                <w:rFonts w:hint="eastAsia"/>
                <w:bCs/>
                <w:kern w:val="2"/>
                <w:szCs w:val="21"/>
                <w:highlight w:val="none"/>
                <w:lang w:val="en-US" w:eastAsia="zh-CN"/>
              </w:rPr>
              <w:t>4</w:t>
            </w:r>
          </w:p>
        </w:tc>
        <w:tc>
          <w:tcPr>
            <w:tcW w:w="1125" w:type="pct"/>
            <w:vMerge w:val="continue"/>
            <w:tcBorders>
              <w:tl2br w:val="nil"/>
              <w:tr2bl w:val="nil"/>
            </w:tcBorders>
            <w:noWrap w:val="0"/>
            <w:vAlign w:val="center"/>
          </w:tcPr>
          <w:p w14:paraId="2DDADA82">
            <w:pPr>
              <w:pStyle w:val="174"/>
              <w:adjustRightInd w:val="0"/>
              <w:snapToGrid w:val="0"/>
              <w:rPr>
                <w:kern w:val="2"/>
                <w:szCs w:val="21"/>
                <w:highlight w:val="none"/>
              </w:rPr>
            </w:pPr>
          </w:p>
        </w:tc>
        <w:tc>
          <w:tcPr>
            <w:tcW w:w="664" w:type="pct"/>
            <w:tcBorders>
              <w:tl2br w:val="nil"/>
              <w:tr2bl w:val="nil"/>
            </w:tcBorders>
            <w:noWrap w:val="0"/>
            <w:vAlign w:val="center"/>
          </w:tcPr>
          <w:p w14:paraId="5D2FAA5F">
            <w:pPr>
              <w:adjustRightInd w:val="0"/>
              <w:snapToGrid w:val="0"/>
              <w:spacing w:line="240" w:lineRule="auto"/>
              <w:jc w:val="center"/>
              <w:rPr>
                <w:rFonts w:hint="eastAsia" w:ascii="Times New Roman" w:hAnsi="Times New Roman" w:eastAsia="宋体" w:cs="Times New Roman"/>
                <w:kern w:val="44"/>
                <w:sz w:val="21"/>
                <w:szCs w:val="21"/>
                <w:highlight w:val="none"/>
                <w:lang w:val="en-US" w:eastAsia="zh-CN" w:bidi="ar-SA"/>
              </w:rPr>
            </w:pPr>
            <w:r>
              <w:rPr>
                <w:rFonts w:ascii="Times New Roman" w:eastAsia="宋体"/>
                <w:sz w:val="21"/>
                <w:szCs w:val="21"/>
                <w:highlight w:val="none"/>
              </w:rPr>
              <w:t>压实机</w:t>
            </w:r>
          </w:p>
        </w:tc>
        <w:tc>
          <w:tcPr>
            <w:tcW w:w="501" w:type="pct"/>
            <w:tcBorders>
              <w:tl2br w:val="nil"/>
              <w:tr2bl w:val="nil"/>
            </w:tcBorders>
            <w:noWrap w:val="0"/>
            <w:vAlign w:val="center"/>
          </w:tcPr>
          <w:p w14:paraId="44D0EDE1">
            <w:pPr>
              <w:pStyle w:val="171"/>
              <w:adjustRightInd w:val="0"/>
              <w:snapToGrid w:val="0"/>
              <w:ind w:firstLine="0" w:firstLineChars="0"/>
              <w:rPr>
                <w:rFonts w:ascii="Times New Roman" w:hAnsi="Times New Roman" w:eastAsia="宋体" w:cs="Times New Roman"/>
                <w:kern w:val="2"/>
                <w:sz w:val="21"/>
                <w:szCs w:val="21"/>
                <w:highlight w:val="none"/>
                <w:lang w:val="en-US" w:eastAsia="zh-CN" w:bidi="ar-SA"/>
              </w:rPr>
            </w:pPr>
            <w:r>
              <w:rPr>
                <w:rFonts w:ascii="Times New Roman" w:eastAsia="宋体"/>
                <w:szCs w:val="21"/>
                <w:highlight w:val="none"/>
              </w:rPr>
              <w:t>1台</w:t>
            </w:r>
          </w:p>
        </w:tc>
        <w:tc>
          <w:tcPr>
            <w:tcW w:w="1020" w:type="pct"/>
            <w:tcBorders>
              <w:tl2br w:val="nil"/>
              <w:tr2bl w:val="nil"/>
            </w:tcBorders>
            <w:noWrap w:val="0"/>
            <w:vAlign w:val="center"/>
          </w:tcPr>
          <w:p w14:paraId="11438B5D">
            <w:pPr>
              <w:pStyle w:val="174"/>
              <w:adjustRightInd w:val="0"/>
              <w:snapToGrid w:val="0"/>
              <w:rPr>
                <w:rFonts w:ascii="Times New Roman" w:hAnsi="Times New Roman" w:eastAsia="宋体" w:cs="Times New Roman"/>
                <w:kern w:val="2"/>
                <w:sz w:val="21"/>
                <w:szCs w:val="21"/>
                <w:highlight w:val="none"/>
                <w:lang w:val="en-US" w:eastAsia="zh-CN" w:bidi="ar-SA"/>
              </w:rPr>
            </w:pPr>
            <w:r>
              <w:rPr>
                <w:rFonts w:hint="eastAsia" w:eastAsia="宋体"/>
                <w:szCs w:val="21"/>
                <w:highlight w:val="none"/>
              </w:rPr>
              <w:t>80</w:t>
            </w:r>
          </w:p>
        </w:tc>
        <w:tc>
          <w:tcPr>
            <w:tcW w:w="1298" w:type="pct"/>
            <w:vMerge w:val="continue"/>
            <w:tcBorders>
              <w:tl2br w:val="nil"/>
              <w:tr2bl w:val="nil"/>
            </w:tcBorders>
            <w:noWrap w:val="0"/>
            <w:vAlign w:val="center"/>
          </w:tcPr>
          <w:p w14:paraId="597F36E4">
            <w:pPr>
              <w:pStyle w:val="174"/>
              <w:adjustRightInd w:val="0"/>
              <w:snapToGrid w:val="0"/>
              <w:rPr>
                <w:szCs w:val="21"/>
                <w:highlight w:val="none"/>
              </w:rPr>
            </w:pPr>
          </w:p>
        </w:tc>
      </w:tr>
      <w:tr w14:paraId="196633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89" w:type="pct"/>
            <w:tcBorders>
              <w:tl2br w:val="nil"/>
              <w:tr2bl w:val="nil"/>
            </w:tcBorders>
            <w:shd w:val="clear" w:color="auto" w:fill="auto"/>
            <w:noWrap w:val="0"/>
            <w:vAlign w:val="center"/>
          </w:tcPr>
          <w:p w14:paraId="4B15802C">
            <w:pPr>
              <w:pStyle w:val="174"/>
              <w:adjustRightInd w:val="0"/>
              <w:snapToGrid w:val="0"/>
              <w:rPr>
                <w:rFonts w:hint="default" w:ascii="Times New Roman" w:hAnsi="Times New Roman" w:eastAsia="宋体" w:cs="Times New Roman"/>
                <w:bCs/>
                <w:kern w:val="2"/>
                <w:sz w:val="21"/>
                <w:szCs w:val="21"/>
                <w:highlight w:val="none"/>
                <w:lang w:val="en-US" w:eastAsia="zh-CN" w:bidi="ar-SA"/>
              </w:rPr>
            </w:pPr>
            <w:r>
              <w:rPr>
                <w:rFonts w:hint="eastAsia" w:cs="Times New Roman"/>
                <w:bCs/>
                <w:kern w:val="2"/>
                <w:sz w:val="21"/>
                <w:szCs w:val="21"/>
                <w:highlight w:val="none"/>
                <w:lang w:val="en-US" w:eastAsia="zh-CN" w:bidi="ar-SA"/>
              </w:rPr>
              <w:t>5</w:t>
            </w:r>
          </w:p>
        </w:tc>
        <w:tc>
          <w:tcPr>
            <w:tcW w:w="1125" w:type="pct"/>
            <w:vMerge w:val="continue"/>
            <w:tcBorders>
              <w:tl2br w:val="nil"/>
              <w:tr2bl w:val="nil"/>
            </w:tcBorders>
            <w:noWrap w:val="0"/>
            <w:vAlign w:val="center"/>
          </w:tcPr>
          <w:p w14:paraId="1586384F">
            <w:pPr>
              <w:pStyle w:val="174"/>
              <w:adjustRightInd w:val="0"/>
              <w:snapToGrid w:val="0"/>
              <w:rPr>
                <w:kern w:val="2"/>
                <w:szCs w:val="21"/>
                <w:highlight w:val="none"/>
              </w:rPr>
            </w:pPr>
          </w:p>
        </w:tc>
        <w:tc>
          <w:tcPr>
            <w:tcW w:w="664" w:type="pct"/>
            <w:tcBorders>
              <w:tl2br w:val="nil"/>
              <w:tr2bl w:val="nil"/>
            </w:tcBorders>
            <w:noWrap w:val="0"/>
            <w:vAlign w:val="center"/>
          </w:tcPr>
          <w:p w14:paraId="172C8FFB">
            <w:pPr>
              <w:pStyle w:val="174"/>
              <w:adjustRightInd w:val="0"/>
              <w:snapToGrid w:val="0"/>
              <w:rPr>
                <w:rFonts w:hint="eastAsia" w:ascii="Times New Roman" w:hAnsi="Times New Roman" w:eastAsia="宋体" w:cs="Times New Roman"/>
                <w:kern w:val="44"/>
                <w:sz w:val="21"/>
                <w:szCs w:val="21"/>
                <w:highlight w:val="none"/>
                <w:lang w:val="en-US" w:eastAsia="zh-CN" w:bidi="ar-SA"/>
              </w:rPr>
            </w:pPr>
            <w:r>
              <w:rPr>
                <w:rFonts w:hint="eastAsia"/>
                <w:szCs w:val="21"/>
                <w:highlight w:val="none"/>
                <w:lang w:eastAsia="zh-CN"/>
              </w:rPr>
              <w:t>洒水车</w:t>
            </w:r>
          </w:p>
        </w:tc>
        <w:tc>
          <w:tcPr>
            <w:tcW w:w="501" w:type="pct"/>
            <w:tcBorders>
              <w:tl2br w:val="nil"/>
              <w:tr2bl w:val="nil"/>
            </w:tcBorders>
            <w:noWrap w:val="0"/>
            <w:vAlign w:val="center"/>
          </w:tcPr>
          <w:p w14:paraId="18130CBC">
            <w:pPr>
              <w:pStyle w:val="174"/>
              <w:adjustRightInd w:val="0"/>
              <w:snapToGrid w:val="0"/>
              <w:rPr>
                <w:rFonts w:ascii="Times New Roman" w:hAnsi="Times New Roman" w:eastAsia="宋体" w:cs="Times New Roman"/>
                <w:kern w:val="2"/>
                <w:sz w:val="21"/>
                <w:szCs w:val="21"/>
                <w:highlight w:val="none"/>
                <w:lang w:val="en-US" w:eastAsia="zh-CN" w:bidi="ar-SA"/>
              </w:rPr>
            </w:pPr>
            <w:r>
              <w:rPr>
                <w:rFonts w:eastAsia="宋体"/>
                <w:szCs w:val="21"/>
                <w:highlight w:val="none"/>
              </w:rPr>
              <w:t>1辆</w:t>
            </w:r>
          </w:p>
        </w:tc>
        <w:tc>
          <w:tcPr>
            <w:tcW w:w="1020" w:type="pct"/>
            <w:tcBorders>
              <w:tl2br w:val="nil"/>
              <w:tr2bl w:val="nil"/>
            </w:tcBorders>
            <w:noWrap w:val="0"/>
            <w:vAlign w:val="center"/>
          </w:tcPr>
          <w:p w14:paraId="748D9588">
            <w:pPr>
              <w:pStyle w:val="174"/>
              <w:adjustRightInd w:val="0"/>
              <w:snapToGrid w:val="0"/>
              <w:rPr>
                <w:rFonts w:hint="default" w:ascii="Times New Roman" w:hAnsi="Times New Roman" w:eastAsia="宋体" w:cs="Times New Roman"/>
                <w:kern w:val="2"/>
                <w:sz w:val="21"/>
                <w:szCs w:val="21"/>
                <w:highlight w:val="none"/>
                <w:lang w:val="en-US" w:eastAsia="zh-CN" w:bidi="ar-SA"/>
              </w:rPr>
            </w:pPr>
            <w:r>
              <w:rPr>
                <w:rFonts w:hint="eastAsia"/>
                <w:kern w:val="2"/>
                <w:szCs w:val="21"/>
                <w:highlight w:val="none"/>
                <w:lang w:val="en-US" w:eastAsia="zh-CN"/>
              </w:rPr>
              <w:t>85</w:t>
            </w:r>
          </w:p>
        </w:tc>
        <w:tc>
          <w:tcPr>
            <w:tcW w:w="1298" w:type="pct"/>
            <w:tcBorders>
              <w:tl2br w:val="nil"/>
              <w:tr2bl w:val="nil"/>
            </w:tcBorders>
            <w:noWrap w:val="0"/>
            <w:vAlign w:val="center"/>
          </w:tcPr>
          <w:p w14:paraId="78692F99">
            <w:pPr>
              <w:pStyle w:val="174"/>
              <w:adjustRightInd w:val="0"/>
              <w:snapToGrid w:val="0"/>
              <w:rPr>
                <w:szCs w:val="21"/>
                <w:highlight w:val="none"/>
              </w:rPr>
            </w:pPr>
            <w:r>
              <w:rPr>
                <w:rFonts w:eastAsia="宋体"/>
                <w:kern w:val="2"/>
                <w:szCs w:val="21"/>
                <w:highlight w:val="none"/>
              </w:rPr>
              <w:t>减速慢行</w:t>
            </w:r>
          </w:p>
        </w:tc>
      </w:tr>
    </w:tbl>
    <w:p w14:paraId="4AFD618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3"/>
        <w:rPr>
          <w:rFonts w:hint="default" w:ascii="Times New Roman" w:hAnsi="Times New Roman" w:eastAsia="宋体" w:cs="Times New Roman"/>
          <w:b/>
          <w:sz w:val="24"/>
          <w:szCs w:val="24"/>
          <w:highlight w:val="none"/>
          <w:lang w:val="en-US" w:eastAsia="zh-CN"/>
        </w:rPr>
      </w:pPr>
      <w:r>
        <w:rPr>
          <w:rFonts w:hint="eastAsia" w:cs="Times New Roman"/>
          <w:b/>
          <w:sz w:val="24"/>
          <w:szCs w:val="24"/>
          <w:highlight w:val="none"/>
          <w:lang w:val="en-US" w:eastAsia="zh-CN"/>
        </w:rPr>
        <w:t>（4）</w:t>
      </w:r>
      <w:r>
        <w:rPr>
          <w:rFonts w:hint="default" w:ascii="Times New Roman" w:hAnsi="Times New Roman" w:eastAsia="宋体" w:cs="Times New Roman"/>
          <w:b/>
          <w:sz w:val="24"/>
          <w:szCs w:val="24"/>
          <w:highlight w:val="none"/>
          <w:lang w:val="en-US" w:eastAsia="zh-CN"/>
        </w:rPr>
        <w:t>固体废物源强核算</w:t>
      </w:r>
    </w:p>
    <w:p w14:paraId="30BAEFF9">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center"/>
        <w:rPr>
          <w:rFonts w:hint="eastAsia" w:cs="Times New Roman"/>
          <w:b w:val="0"/>
          <w:bCs w:val="0"/>
          <w:color w:val="000000"/>
          <w:kern w:val="0"/>
          <w:sz w:val="24"/>
          <w:szCs w:val="21"/>
          <w:highlight w:val="none"/>
          <w:lang w:eastAsia="zh-CN"/>
        </w:rPr>
      </w:pPr>
      <w:r>
        <w:rPr>
          <w:rFonts w:hint="default" w:ascii="Times New Roman" w:hAnsi="Times New Roman" w:cs="Times New Roman"/>
          <w:color w:val="auto"/>
          <w:sz w:val="24"/>
          <w:szCs w:val="24"/>
          <w:highlight w:val="none"/>
          <w:lang w:eastAsia="zh-CN"/>
        </w:rPr>
        <w:t>项目</w:t>
      </w:r>
      <w:r>
        <w:rPr>
          <w:rFonts w:hint="eastAsia" w:cs="Times New Roman"/>
          <w:color w:val="auto"/>
          <w:sz w:val="24"/>
          <w:szCs w:val="24"/>
          <w:highlight w:val="none"/>
          <w:lang w:val="en-US" w:eastAsia="zh-CN"/>
        </w:rPr>
        <w:t>机械设备、车辆不在场内维修，无危险废物产生。项目</w:t>
      </w:r>
      <w:r>
        <w:rPr>
          <w:rFonts w:hint="default" w:ascii="Times New Roman" w:hAnsi="Times New Roman" w:cs="Times New Roman"/>
          <w:color w:val="auto"/>
          <w:sz w:val="24"/>
          <w:szCs w:val="24"/>
          <w:highlight w:val="none"/>
          <w:lang w:eastAsia="zh-CN"/>
        </w:rPr>
        <w:t>生产运行阶段的固体废物</w:t>
      </w:r>
      <w:r>
        <w:rPr>
          <w:rFonts w:hint="default" w:ascii="Times New Roman" w:hAnsi="Times New Roman" w:cs="Times New Roman"/>
          <w:color w:val="auto"/>
          <w:sz w:val="24"/>
          <w:szCs w:val="24"/>
          <w:highlight w:val="none"/>
          <w:lang w:val="en-US" w:eastAsia="zh-CN"/>
        </w:rPr>
        <w:t>为废石，置于排土场内</w:t>
      </w:r>
      <w:r>
        <w:rPr>
          <w:rFonts w:hint="eastAsia" w:cs="Times New Roman"/>
          <w:color w:val="auto"/>
          <w:sz w:val="24"/>
          <w:szCs w:val="24"/>
          <w:highlight w:val="none"/>
          <w:lang w:val="en-US" w:eastAsia="zh-CN"/>
        </w:rPr>
        <w:t>堆存</w:t>
      </w:r>
      <w:r>
        <w:rPr>
          <w:rFonts w:hint="default" w:ascii="Times New Roman" w:hAnsi="Times New Roman" w:cs="Times New Roman"/>
          <w:color w:val="auto"/>
          <w:sz w:val="24"/>
          <w:szCs w:val="24"/>
          <w:highlight w:val="none"/>
          <w:lang w:val="en-US" w:eastAsia="zh-CN"/>
        </w:rPr>
        <w:t>，</w:t>
      </w:r>
      <w:r>
        <w:rPr>
          <w:rFonts w:hint="eastAsia"/>
          <w:sz w:val="24"/>
          <w:szCs w:val="24"/>
          <w:highlight w:val="none"/>
          <w:lang w:val="en-US" w:eastAsia="zh-CN"/>
        </w:rPr>
        <w:t>废石堆存量为</w:t>
      </w:r>
      <w:r>
        <w:rPr>
          <w:rFonts w:hint="eastAsia" w:cs="Times New Roman"/>
          <w:color w:val="auto"/>
          <w:sz w:val="24"/>
          <w:highlight w:val="none"/>
          <w:lang w:val="en-US" w:eastAsia="zh-CN"/>
        </w:rPr>
        <w:t>130.5万m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w:t>
      </w:r>
      <w:r>
        <w:rPr>
          <w:rFonts w:hint="eastAsia"/>
          <w:sz w:val="24"/>
          <w:szCs w:val="24"/>
          <w:highlight w:val="none"/>
          <w:lang w:val="en-US" w:eastAsia="zh-CN"/>
        </w:rPr>
        <w:t>。</w:t>
      </w:r>
    </w:p>
    <w:p w14:paraId="6487FAB2">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cs="Times New Roman"/>
          <w:b w:val="0"/>
          <w:bCs w:val="0"/>
          <w:color w:val="000000"/>
          <w:kern w:val="0"/>
          <w:sz w:val="24"/>
          <w:szCs w:val="21"/>
          <w:highlight w:val="none"/>
          <w:lang w:eastAsia="zh-CN"/>
        </w:rPr>
        <w:sectPr>
          <w:footerReference r:id="rId9" w:type="default"/>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0975BECC">
      <w:pPr>
        <w:pStyle w:val="6"/>
        <w:rPr>
          <w:rFonts w:hint="default" w:ascii="Times New Roman" w:hAnsi="Times New Roman" w:eastAsia="宋体" w:cs="Times New Roman"/>
          <w:b/>
          <w:sz w:val="24"/>
          <w:szCs w:val="24"/>
          <w:highlight w:val="none"/>
          <w:lang w:val="en-US" w:eastAsia="zh-CN"/>
        </w:rPr>
      </w:pPr>
      <w:bookmarkStart w:id="189" w:name="_Toc8531"/>
      <w:r>
        <w:rPr>
          <w:rFonts w:hint="default" w:ascii="Times New Roman" w:hAnsi="Times New Roman" w:eastAsia="宋体" w:cs="Times New Roman"/>
          <w:b/>
          <w:sz w:val="24"/>
          <w:szCs w:val="24"/>
          <w:highlight w:val="none"/>
          <w:lang w:val="en-US" w:eastAsia="zh-CN"/>
        </w:rPr>
        <w:t>主要污染物排放情况汇总</w:t>
      </w:r>
      <w:bookmarkEnd w:id="189"/>
    </w:p>
    <w:p w14:paraId="1C504340">
      <w:pPr>
        <w:autoSpaceDE w:val="0"/>
        <w:autoSpaceDN w:val="0"/>
        <w:adjustRightInd w:val="0"/>
        <w:spacing w:line="360" w:lineRule="auto"/>
        <w:ind w:firstLine="480" w:firstLineChars="200"/>
        <w:rPr>
          <w:rFonts w:hint="eastAsia"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rPr>
        <w:t>本项目</w:t>
      </w:r>
      <w:r>
        <w:rPr>
          <w:rFonts w:hint="eastAsia" w:ascii="Times New Roman" w:hAnsi="Times New Roman" w:cs="Times New Roman"/>
          <w:color w:val="000000"/>
          <w:sz w:val="24"/>
          <w:highlight w:val="none"/>
          <w:lang w:val="en-US" w:eastAsia="zh-CN"/>
        </w:rPr>
        <w:t>生产运行阶段</w:t>
      </w:r>
      <w:r>
        <w:rPr>
          <w:rFonts w:hint="default" w:ascii="Times New Roman" w:hAnsi="Times New Roman" w:cs="Times New Roman"/>
          <w:color w:val="000000"/>
          <w:sz w:val="24"/>
          <w:highlight w:val="none"/>
        </w:rPr>
        <w:t>污染物排放情况汇总见下表</w:t>
      </w:r>
      <w:r>
        <w:rPr>
          <w:rFonts w:hint="eastAsia" w:ascii="Times New Roman" w:hAnsi="Times New Roman" w:cs="Times New Roman"/>
          <w:color w:val="000000"/>
          <w:sz w:val="24"/>
          <w:highlight w:val="none"/>
          <w:lang w:eastAsia="zh-CN"/>
        </w:rPr>
        <w:t>。</w:t>
      </w:r>
    </w:p>
    <w:p w14:paraId="4D567558">
      <w:pPr>
        <w:numPr>
          <w:ilvl w:val="0"/>
          <w:numId w:val="20"/>
        </w:numPr>
        <w:adjustRightInd w:val="0"/>
        <w:snapToGrid w:val="0"/>
        <w:jc w:val="center"/>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本项目</w:t>
      </w:r>
      <w:r>
        <w:rPr>
          <w:rStyle w:val="66"/>
          <w:rFonts w:hint="eastAsia" w:ascii="Times New Roman" w:hAnsi="Times New Roman" w:cs="Times New Roman"/>
          <w:color w:val="000000"/>
          <w:highlight w:val="none"/>
          <w:lang w:val="en-US" w:eastAsia="zh-CN"/>
        </w:rPr>
        <w:t>生产运行阶段</w:t>
      </w:r>
      <w:r>
        <w:rPr>
          <w:rStyle w:val="66"/>
          <w:rFonts w:hint="default" w:ascii="Times New Roman" w:hAnsi="Times New Roman" w:cs="Times New Roman"/>
          <w:color w:val="000000"/>
          <w:highlight w:val="none"/>
        </w:rPr>
        <w:t>污染物排放情况汇总</w:t>
      </w:r>
    </w:p>
    <w:tbl>
      <w:tblPr>
        <w:tblStyle w:val="58"/>
        <w:tblW w:w="5176"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650"/>
        <w:gridCol w:w="991"/>
        <w:gridCol w:w="1250"/>
        <w:gridCol w:w="1591"/>
        <w:gridCol w:w="1808"/>
        <w:gridCol w:w="6248"/>
        <w:gridCol w:w="1918"/>
      </w:tblGrid>
      <w:tr w14:paraId="0360A7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tcBorders>
              <w:tl2br w:val="nil"/>
              <w:tr2bl w:val="nil"/>
            </w:tcBorders>
            <w:noWrap w:val="0"/>
            <w:vAlign w:val="center"/>
          </w:tcPr>
          <w:p w14:paraId="33DF44DC">
            <w:pPr>
              <w:widowControl/>
              <w:adjustRightInd w:val="0"/>
              <w:snapToGrid w:val="0"/>
              <w:spacing w:line="280" w:lineRule="exact"/>
              <w:jc w:val="center"/>
              <w:textAlignment w:val="center"/>
              <w:rPr>
                <w:rFonts w:hint="default" w:ascii="Times New Roman" w:hAnsi="Times New Roman" w:cs="Times New Roman"/>
                <w:b/>
                <w:color w:val="000000"/>
                <w:sz w:val="21"/>
                <w:szCs w:val="21"/>
                <w:highlight w:val="none"/>
                <w:lang w:bidi="ar"/>
              </w:rPr>
            </w:pPr>
            <w:r>
              <w:rPr>
                <w:rFonts w:hint="default" w:ascii="Times New Roman" w:hAnsi="Times New Roman" w:cs="Times New Roman"/>
                <w:b/>
                <w:color w:val="000000"/>
                <w:sz w:val="21"/>
                <w:szCs w:val="21"/>
                <w:highlight w:val="none"/>
                <w:lang w:bidi="ar"/>
              </w:rPr>
              <w:t>项目</w:t>
            </w:r>
          </w:p>
        </w:tc>
        <w:tc>
          <w:tcPr>
            <w:tcW w:w="343" w:type="pct"/>
            <w:tcBorders>
              <w:tl2br w:val="nil"/>
              <w:tr2bl w:val="nil"/>
            </w:tcBorders>
            <w:noWrap w:val="0"/>
            <w:vAlign w:val="center"/>
          </w:tcPr>
          <w:p w14:paraId="05FC82D0">
            <w:pPr>
              <w:widowControl/>
              <w:adjustRightInd w:val="0"/>
              <w:snapToGrid w:val="0"/>
              <w:spacing w:line="280" w:lineRule="exact"/>
              <w:jc w:val="center"/>
              <w:textAlignment w:val="center"/>
              <w:rPr>
                <w:rFonts w:hint="default" w:ascii="Times New Roman" w:hAnsi="Times New Roman" w:cs="Times New Roman"/>
                <w:b/>
                <w:color w:val="000000"/>
                <w:sz w:val="21"/>
                <w:szCs w:val="21"/>
                <w:highlight w:val="none"/>
                <w:lang w:bidi="ar"/>
              </w:rPr>
            </w:pPr>
            <w:r>
              <w:rPr>
                <w:rFonts w:hint="default" w:ascii="Times New Roman" w:hAnsi="Times New Roman" w:cs="Times New Roman"/>
                <w:b/>
                <w:color w:val="000000"/>
                <w:sz w:val="21"/>
                <w:szCs w:val="21"/>
                <w:highlight w:val="none"/>
                <w:lang w:bidi="ar"/>
              </w:rPr>
              <w:t>污染源</w:t>
            </w:r>
          </w:p>
        </w:tc>
        <w:tc>
          <w:tcPr>
            <w:tcW w:w="432" w:type="pct"/>
            <w:tcBorders>
              <w:tl2br w:val="nil"/>
              <w:tr2bl w:val="nil"/>
            </w:tcBorders>
            <w:noWrap w:val="0"/>
            <w:vAlign w:val="center"/>
          </w:tcPr>
          <w:p w14:paraId="12E92642">
            <w:pPr>
              <w:widowControl/>
              <w:adjustRightInd w:val="0"/>
              <w:snapToGrid w:val="0"/>
              <w:spacing w:line="280" w:lineRule="exact"/>
              <w:jc w:val="center"/>
              <w:textAlignment w:val="center"/>
              <w:rPr>
                <w:rFonts w:hint="eastAsia" w:ascii="Times New Roman" w:hAnsi="Times New Roman" w:eastAsia="宋体" w:cs="Times New Roman"/>
                <w:b/>
                <w:color w:val="000000"/>
                <w:sz w:val="21"/>
                <w:szCs w:val="21"/>
                <w:highlight w:val="none"/>
                <w:lang w:val="en-US" w:eastAsia="zh-CN" w:bidi="ar"/>
              </w:rPr>
            </w:pPr>
            <w:r>
              <w:rPr>
                <w:rFonts w:hint="eastAsia" w:cs="Times New Roman"/>
                <w:b/>
                <w:color w:val="000000"/>
                <w:sz w:val="21"/>
                <w:szCs w:val="21"/>
                <w:highlight w:val="none"/>
                <w:lang w:val="en-US" w:eastAsia="zh-CN" w:bidi="ar"/>
              </w:rPr>
              <w:t>污染物</w:t>
            </w:r>
          </w:p>
        </w:tc>
        <w:tc>
          <w:tcPr>
            <w:tcW w:w="550" w:type="pct"/>
            <w:tcBorders>
              <w:tl2br w:val="nil"/>
              <w:tr2bl w:val="nil"/>
            </w:tcBorders>
            <w:noWrap w:val="0"/>
            <w:vAlign w:val="center"/>
          </w:tcPr>
          <w:p w14:paraId="65A22210">
            <w:pPr>
              <w:widowControl/>
              <w:adjustRightInd w:val="0"/>
              <w:snapToGrid w:val="0"/>
              <w:spacing w:line="280" w:lineRule="exact"/>
              <w:jc w:val="center"/>
              <w:textAlignment w:val="center"/>
              <w:rPr>
                <w:rFonts w:hint="default" w:ascii="Times New Roman" w:hAnsi="Times New Roman" w:eastAsia="宋体" w:cs="Times New Roman"/>
                <w:b/>
                <w:color w:val="000000"/>
                <w:sz w:val="21"/>
                <w:szCs w:val="21"/>
                <w:highlight w:val="none"/>
                <w:lang w:val="en-US" w:eastAsia="zh-CN" w:bidi="ar"/>
              </w:rPr>
            </w:pPr>
            <w:r>
              <w:rPr>
                <w:rFonts w:hint="eastAsia" w:ascii="Times New Roman" w:hAnsi="Times New Roman" w:cs="Times New Roman"/>
                <w:b/>
                <w:color w:val="000000"/>
                <w:sz w:val="21"/>
                <w:szCs w:val="21"/>
                <w:highlight w:val="none"/>
                <w:lang w:val="en-US" w:eastAsia="zh-CN" w:bidi="ar"/>
              </w:rPr>
              <w:t>污染因子</w:t>
            </w:r>
          </w:p>
        </w:tc>
        <w:tc>
          <w:tcPr>
            <w:tcW w:w="625" w:type="pct"/>
            <w:tcBorders>
              <w:tl2br w:val="nil"/>
              <w:tr2bl w:val="nil"/>
            </w:tcBorders>
            <w:noWrap w:val="0"/>
            <w:vAlign w:val="center"/>
          </w:tcPr>
          <w:p w14:paraId="52349F00">
            <w:pPr>
              <w:widowControl/>
              <w:adjustRightInd w:val="0"/>
              <w:snapToGrid w:val="0"/>
              <w:spacing w:line="280" w:lineRule="exact"/>
              <w:jc w:val="center"/>
              <w:textAlignment w:val="center"/>
              <w:rPr>
                <w:rFonts w:hint="eastAsia" w:ascii="Times New Roman" w:hAnsi="Times New Roman" w:eastAsia="宋体" w:cs="Times New Roman"/>
                <w:b/>
                <w:color w:val="000000"/>
                <w:sz w:val="21"/>
                <w:szCs w:val="21"/>
                <w:highlight w:val="none"/>
                <w:lang w:eastAsia="zh-CN" w:bidi="ar"/>
              </w:rPr>
            </w:pPr>
            <w:r>
              <w:rPr>
                <w:rFonts w:hint="eastAsia" w:cs="Times New Roman"/>
                <w:b/>
                <w:color w:val="000000"/>
                <w:sz w:val="21"/>
                <w:szCs w:val="21"/>
                <w:highlight w:val="none"/>
                <w:lang w:val="en-US" w:eastAsia="zh-CN" w:bidi="ar"/>
              </w:rPr>
              <w:t>产生量</w:t>
            </w:r>
          </w:p>
        </w:tc>
        <w:tc>
          <w:tcPr>
            <w:tcW w:w="2160" w:type="pct"/>
            <w:tcBorders>
              <w:tl2br w:val="nil"/>
              <w:tr2bl w:val="nil"/>
            </w:tcBorders>
            <w:noWrap w:val="0"/>
            <w:vAlign w:val="center"/>
          </w:tcPr>
          <w:p w14:paraId="1BA1B01F">
            <w:pPr>
              <w:widowControl/>
              <w:adjustRightInd w:val="0"/>
              <w:snapToGrid w:val="0"/>
              <w:spacing w:line="280" w:lineRule="exact"/>
              <w:jc w:val="center"/>
              <w:textAlignment w:val="center"/>
              <w:rPr>
                <w:rFonts w:hint="default" w:ascii="Times New Roman" w:hAnsi="Times New Roman" w:cs="Times New Roman"/>
                <w:b/>
                <w:color w:val="000000"/>
                <w:sz w:val="21"/>
                <w:szCs w:val="21"/>
                <w:highlight w:val="none"/>
                <w:lang w:bidi="ar"/>
              </w:rPr>
            </w:pPr>
            <w:r>
              <w:rPr>
                <w:rFonts w:hint="default" w:ascii="Times New Roman" w:hAnsi="Times New Roman" w:cs="Times New Roman"/>
                <w:b/>
                <w:color w:val="000000"/>
                <w:sz w:val="21"/>
                <w:szCs w:val="21"/>
                <w:highlight w:val="none"/>
                <w:lang w:bidi="ar"/>
              </w:rPr>
              <w:t>治理措施</w:t>
            </w:r>
          </w:p>
        </w:tc>
        <w:tc>
          <w:tcPr>
            <w:tcW w:w="663" w:type="pct"/>
            <w:tcBorders>
              <w:tl2br w:val="nil"/>
              <w:tr2bl w:val="nil"/>
            </w:tcBorders>
            <w:noWrap w:val="0"/>
            <w:vAlign w:val="center"/>
          </w:tcPr>
          <w:p w14:paraId="112FC902">
            <w:pPr>
              <w:widowControl/>
              <w:adjustRightInd w:val="0"/>
              <w:snapToGrid w:val="0"/>
              <w:spacing w:line="280" w:lineRule="exact"/>
              <w:jc w:val="center"/>
              <w:textAlignment w:val="center"/>
              <w:rPr>
                <w:rFonts w:hint="default" w:ascii="Times New Roman" w:hAnsi="Times New Roman" w:cs="Times New Roman"/>
                <w:b/>
                <w:color w:val="000000"/>
                <w:sz w:val="21"/>
                <w:szCs w:val="21"/>
                <w:highlight w:val="none"/>
                <w:lang w:bidi="ar"/>
              </w:rPr>
            </w:pPr>
            <w:r>
              <w:rPr>
                <w:rFonts w:hint="default" w:ascii="Times New Roman" w:hAnsi="Times New Roman" w:cs="Times New Roman"/>
                <w:b/>
                <w:color w:val="000000"/>
                <w:sz w:val="21"/>
                <w:szCs w:val="21"/>
                <w:highlight w:val="none"/>
                <w:lang w:bidi="ar"/>
              </w:rPr>
              <w:t>排放量</w:t>
            </w:r>
          </w:p>
        </w:tc>
      </w:tr>
      <w:tr w14:paraId="092060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vMerge w:val="restart"/>
            <w:tcBorders>
              <w:tl2br w:val="nil"/>
              <w:tr2bl w:val="nil"/>
            </w:tcBorders>
            <w:noWrap w:val="0"/>
            <w:vAlign w:val="center"/>
          </w:tcPr>
          <w:p w14:paraId="660B46E7">
            <w:pPr>
              <w:widowControl/>
              <w:adjustRightInd w:val="0"/>
              <w:snapToGrid w:val="0"/>
              <w:spacing w:line="280" w:lineRule="exact"/>
              <w:jc w:val="center"/>
              <w:textAlignment w:val="center"/>
              <w:rPr>
                <w:rFonts w:hint="eastAsia" w:ascii="Times New Roman" w:hAnsi="Times New Roman" w:eastAsia="宋体" w:cs="Times New Roman"/>
                <w:color w:val="000000"/>
                <w:sz w:val="21"/>
                <w:szCs w:val="21"/>
                <w:highlight w:val="none"/>
                <w:lang w:val="en-US" w:eastAsia="zh-CN" w:bidi="ar"/>
              </w:rPr>
            </w:pPr>
            <w:r>
              <w:rPr>
                <w:rFonts w:hint="eastAsia" w:cs="Times New Roman"/>
                <w:color w:val="000000"/>
                <w:sz w:val="21"/>
                <w:szCs w:val="21"/>
                <w:highlight w:val="none"/>
                <w:lang w:val="en-US" w:eastAsia="zh-CN" w:bidi="ar"/>
              </w:rPr>
              <w:t>废气</w:t>
            </w:r>
          </w:p>
        </w:tc>
        <w:tc>
          <w:tcPr>
            <w:tcW w:w="343" w:type="pct"/>
            <w:tcBorders>
              <w:tl2br w:val="nil"/>
              <w:tr2bl w:val="nil"/>
            </w:tcBorders>
            <w:shd w:val="clear" w:color="auto" w:fill="auto"/>
            <w:noWrap w:val="0"/>
            <w:vAlign w:val="center"/>
          </w:tcPr>
          <w:p w14:paraId="0D47498A">
            <w:pPr>
              <w:pStyle w:val="174"/>
              <w:adjustRightInd w:val="0"/>
              <w:snapToGrid w:val="0"/>
              <w:rPr>
                <w:rFonts w:hint="default" w:ascii="Times New Roman" w:hAnsi="Times New Roman" w:eastAsia="宋体" w:cs="Times New Roman"/>
                <w:b/>
                <w:color w:val="000000"/>
                <w:kern w:val="2"/>
                <w:sz w:val="21"/>
                <w:szCs w:val="21"/>
                <w:highlight w:val="none"/>
                <w:lang w:val="en-US" w:eastAsia="zh-CN" w:bidi="ar"/>
              </w:rPr>
            </w:pPr>
            <w:r>
              <w:rPr>
                <w:color w:val="auto"/>
                <w:sz w:val="21"/>
                <w:szCs w:val="21"/>
                <w:highlight w:val="none"/>
              </w:rPr>
              <w:t>废石运输</w:t>
            </w:r>
          </w:p>
        </w:tc>
        <w:tc>
          <w:tcPr>
            <w:tcW w:w="432" w:type="pct"/>
            <w:tcBorders>
              <w:tl2br w:val="nil"/>
              <w:tr2bl w:val="nil"/>
            </w:tcBorders>
            <w:shd w:val="clear" w:color="auto" w:fill="auto"/>
            <w:noWrap w:val="0"/>
            <w:vAlign w:val="center"/>
          </w:tcPr>
          <w:p w14:paraId="1344DCEA">
            <w:pPr>
              <w:pStyle w:val="174"/>
              <w:adjustRightInd w:val="0"/>
              <w:snapToGrid w:val="0"/>
              <w:rPr>
                <w:rFonts w:hint="eastAsia" w:ascii="Times New Roman" w:hAnsi="Times New Roman" w:eastAsia="宋体" w:cs="Times New Roman"/>
                <w:b/>
                <w:color w:val="000000"/>
                <w:kern w:val="2"/>
                <w:sz w:val="21"/>
                <w:szCs w:val="21"/>
                <w:highlight w:val="none"/>
                <w:lang w:val="en-US" w:eastAsia="zh-CN" w:bidi="ar"/>
              </w:rPr>
            </w:pPr>
            <w:r>
              <w:rPr>
                <w:rFonts w:hint="eastAsia"/>
                <w:color w:val="auto"/>
                <w:sz w:val="21"/>
                <w:szCs w:val="21"/>
                <w:highlight w:val="none"/>
                <w:lang w:val="en-US" w:eastAsia="zh-CN"/>
              </w:rPr>
              <w:t>运输扬尘</w:t>
            </w:r>
          </w:p>
        </w:tc>
        <w:tc>
          <w:tcPr>
            <w:tcW w:w="550" w:type="pct"/>
            <w:tcBorders>
              <w:tl2br w:val="nil"/>
              <w:tr2bl w:val="nil"/>
            </w:tcBorders>
            <w:shd w:val="clear" w:color="auto" w:fill="auto"/>
            <w:noWrap w:val="0"/>
            <w:vAlign w:val="center"/>
          </w:tcPr>
          <w:p w14:paraId="6D3C938D">
            <w:pPr>
              <w:widowControl/>
              <w:adjustRightInd w:val="0"/>
              <w:snapToGrid w:val="0"/>
              <w:spacing w:line="280" w:lineRule="exact"/>
              <w:jc w:val="center"/>
              <w:textAlignment w:val="center"/>
              <w:rPr>
                <w:rFonts w:hint="eastAsia" w:ascii="Times New Roman" w:hAnsi="Times New Roman" w:eastAsia="宋体" w:cs="Times New Roman"/>
                <w:b/>
                <w:color w:val="000000"/>
                <w:kern w:val="2"/>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TSP</w:t>
            </w:r>
          </w:p>
        </w:tc>
        <w:tc>
          <w:tcPr>
            <w:tcW w:w="625" w:type="pct"/>
            <w:tcBorders>
              <w:tl2br w:val="nil"/>
              <w:tr2bl w:val="nil"/>
            </w:tcBorders>
            <w:shd w:val="clear" w:color="auto" w:fill="auto"/>
            <w:noWrap w:val="0"/>
            <w:vAlign w:val="center"/>
          </w:tcPr>
          <w:p w14:paraId="508E6120">
            <w:pPr>
              <w:keepNext w:val="0"/>
              <w:keepLines w:val="0"/>
              <w:widowControl/>
              <w:suppressLineNumbers w:val="0"/>
              <w:jc w:val="center"/>
              <w:textAlignment w:val="center"/>
              <w:rPr>
                <w:rFonts w:hint="eastAsia" w:ascii="Times New Roman" w:hAnsi="Times New Roman" w:eastAsia="宋体" w:cs="Times New Roman"/>
                <w:b/>
                <w:color w:val="000000"/>
                <w:kern w:val="2"/>
                <w:sz w:val="21"/>
                <w:szCs w:val="21"/>
                <w:highlight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2.856t/a</w:t>
            </w:r>
          </w:p>
        </w:tc>
        <w:tc>
          <w:tcPr>
            <w:tcW w:w="2160" w:type="pct"/>
            <w:tcBorders>
              <w:tl2br w:val="nil"/>
              <w:tr2bl w:val="nil"/>
            </w:tcBorders>
            <w:shd w:val="clear" w:color="auto" w:fill="auto"/>
            <w:noWrap w:val="0"/>
            <w:vAlign w:val="center"/>
          </w:tcPr>
          <w:p w14:paraId="485D4E12">
            <w:pPr>
              <w:pStyle w:val="174"/>
              <w:adjustRightInd w:val="0"/>
              <w:snapToGrid w:val="0"/>
              <w:rPr>
                <w:rFonts w:hint="default" w:ascii="Times New Roman" w:hAnsi="Times New Roman" w:eastAsia="宋体" w:cs="Times New Roman"/>
                <w:color w:val="000000"/>
                <w:kern w:val="2"/>
                <w:sz w:val="21"/>
                <w:szCs w:val="21"/>
                <w:highlight w:val="none"/>
                <w:lang w:val="en-US" w:eastAsia="zh-CN" w:bidi="ar"/>
              </w:rPr>
            </w:pPr>
            <w:r>
              <w:rPr>
                <w:color w:val="auto"/>
                <w:sz w:val="21"/>
                <w:szCs w:val="21"/>
                <w:highlight w:val="none"/>
              </w:rPr>
              <w:t>运输车辆减速慢行，采用篷布遮盖，进场道路定期洒水降尘</w:t>
            </w:r>
            <w:r>
              <w:rPr>
                <w:rFonts w:hint="eastAsia"/>
                <w:color w:val="auto"/>
                <w:sz w:val="21"/>
                <w:szCs w:val="21"/>
                <w:highlight w:val="none"/>
                <w:lang w:eastAsia="zh-CN"/>
              </w:rPr>
              <w:t>。</w:t>
            </w:r>
          </w:p>
        </w:tc>
        <w:tc>
          <w:tcPr>
            <w:tcW w:w="663" w:type="pct"/>
            <w:tcBorders>
              <w:tl2br w:val="nil"/>
              <w:tr2bl w:val="nil"/>
            </w:tcBorders>
            <w:shd w:val="clear" w:color="auto" w:fill="auto"/>
            <w:noWrap w:val="0"/>
            <w:vAlign w:val="center"/>
          </w:tcPr>
          <w:p w14:paraId="3CE9AC56">
            <w:pPr>
              <w:keepNext w:val="0"/>
              <w:keepLines w:val="0"/>
              <w:widowControl/>
              <w:suppressLineNumbers w:val="0"/>
              <w:jc w:val="center"/>
              <w:textAlignment w:val="center"/>
              <w:rPr>
                <w:rFonts w:hint="eastAsia"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0.714t/a</w:t>
            </w:r>
          </w:p>
        </w:tc>
      </w:tr>
      <w:tr w14:paraId="4F6A96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vMerge w:val="continue"/>
            <w:tcBorders>
              <w:tl2br w:val="nil"/>
              <w:tr2bl w:val="nil"/>
            </w:tcBorders>
            <w:noWrap w:val="0"/>
            <w:vAlign w:val="center"/>
          </w:tcPr>
          <w:p w14:paraId="3ABC36EF">
            <w:pPr>
              <w:widowControl/>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p>
        </w:tc>
        <w:tc>
          <w:tcPr>
            <w:tcW w:w="343" w:type="pct"/>
            <w:vMerge w:val="restart"/>
            <w:tcBorders>
              <w:tl2br w:val="nil"/>
              <w:tr2bl w:val="nil"/>
            </w:tcBorders>
            <w:noWrap w:val="0"/>
            <w:vAlign w:val="center"/>
          </w:tcPr>
          <w:p w14:paraId="5C92E900">
            <w:pPr>
              <w:pStyle w:val="174"/>
              <w:adjustRightInd w:val="0"/>
              <w:snapToGrid w:val="0"/>
              <w:rPr>
                <w:rFonts w:hint="default" w:ascii="Times New Roman" w:hAnsi="Times New Roman" w:cs="Times New Roman"/>
                <w:color w:val="000000"/>
                <w:sz w:val="21"/>
                <w:szCs w:val="21"/>
                <w:highlight w:val="none"/>
                <w:lang w:bidi="ar"/>
              </w:rPr>
            </w:pPr>
            <w:r>
              <w:rPr>
                <w:color w:val="auto"/>
                <w:sz w:val="21"/>
                <w:szCs w:val="21"/>
                <w:highlight w:val="none"/>
              </w:rPr>
              <w:t>排土作业</w:t>
            </w:r>
          </w:p>
        </w:tc>
        <w:tc>
          <w:tcPr>
            <w:tcW w:w="432" w:type="pct"/>
            <w:vMerge w:val="restart"/>
            <w:tcBorders>
              <w:tl2br w:val="nil"/>
              <w:tr2bl w:val="nil"/>
            </w:tcBorders>
            <w:noWrap w:val="0"/>
            <w:vAlign w:val="center"/>
          </w:tcPr>
          <w:p w14:paraId="799A510E">
            <w:pPr>
              <w:pStyle w:val="174"/>
              <w:adjustRightInd w:val="0"/>
              <w:snapToGrid w:val="0"/>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olor w:val="auto"/>
                <w:sz w:val="21"/>
                <w:szCs w:val="21"/>
                <w:highlight w:val="none"/>
              </w:rPr>
              <w:t>堆存扬尘</w:t>
            </w:r>
          </w:p>
        </w:tc>
        <w:tc>
          <w:tcPr>
            <w:tcW w:w="550" w:type="pct"/>
            <w:tcBorders>
              <w:tl2br w:val="nil"/>
              <w:tr2bl w:val="nil"/>
            </w:tcBorders>
            <w:noWrap w:val="0"/>
            <w:vAlign w:val="center"/>
          </w:tcPr>
          <w:p w14:paraId="2C13A62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lang w:bidi="ar"/>
              </w:rPr>
            </w:pPr>
            <w:r>
              <w:rPr>
                <w:rFonts w:hint="eastAsia" w:ascii="Times New Roman" w:hAnsi="Times New Roman" w:eastAsia="宋体" w:cs="Times New Roman"/>
                <w:color w:val="auto"/>
                <w:kern w:val="2"/>
                <w:sz w:val="21"/>
                <w:szCs w:val="21"/>
                <w:highlight w:val="none"/>
                <w:lang w:val="en-US" w:eastAsia="zh-CN" w:bidi="ar-SA"/>
              </w:rPr>
              <w:t>TSP</w:t>
            </w:r>
          </w:p>
        </w:tc>
        <w:tc>
          <w:tcPr>
            <w:tcW w:w="1809" w:type="dxa"/>
            <w:tcBorders>
              <w:tl2br w:val="nil"/>
              <w:tr2bl w:val="nil"/>
            </w:tcBorders>
            <w:noWrap w:val="0"/>
            <w:vAlign w:val="center"/>
          </w:tcPr>
          <w:p w14:paraId="7D78E2AB">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eastAsia="宋体" w:cs="Times New Roman"/>
                <w:i w:val="0"/>
                <w:iCs w:val="0"/>
                <w:color w:val="000000"/>
                <w:kern w:val="0"/>
                <w:sz w:val="21"/>
                <w:szCs w:val="21"/>
                <w:highlight w:val="none"/>
                <w:u w:val="none"/>
                <w:lang w:val="en-US" w:eastAsia="zh-CN" w:bidi="ar"/>
              </w:rPr>
              <w:t>611.719t/a</w:t>
            </w:r>
          </w:p>
        </w:tc>
        <w:tc>
          <w:tcPr>
            <w:tcW w:w="2160" w:type="pct"/>
            <w:vMerge w:val="restart"/>
            <w:tcBorders>
              <w:tl2br w:val="nil"/>
              <w:tr2bl w:val="nil"/>
            </w:tcBorders>
            <w:noWrap w:val="0"/>
            <w:vAlign w:val="center"/>
          </w:tcPr>
          <w:p w14:paraId="03CDA63E">
            <w:pPr>
              <w:pStyle w:val="174"/>
              <w:adjustRightInd w:val="0"/>
              <w:snapToGrid w:val="0"/>
              <w:rPr>
                <w:rFonts w:hint="default" w:ascii="Times New Roman" w:hAnsi="Times New Roman" w:cs="Times New Roman"/>
                <w:color w:val="000000"/>
                <w:sz w:val="21"/>
                <w:szCs w:val="21"/>
                <w:highlight w:val="none"/>
                <w:lang w:bidi="ar"/>
              </w:rPr>
            </w:pPr>
            <w:r>
              <w:rPr>
                <w:color w:val="auto"/>
                <w:sz w:val="21"/>
                <w:szCs w:val="21"/>
                <w:highlight w:val="none"/>
              </w:rPr>
              <w:t>在堆置废石过程中，对台阶尚未形成最终堆积面的区域及时进行压实、苫盖；倾卸土石时洒水抑尘</w:t>
            </w:r>
            <w:r>
              <w:rPr>
                <w:rFonts w:hint="eastAsia"/>
                <w:color w:val="auto"/>
                <w:sz w:val="21"/>
                <w:szCs w:val="21"/>
                <w:highlight w:val="none"/>
                <w:lang w:eastAsia="zh-CN"/>
              </w:rPr>
              <w:t>。</w:t>
            </w:r>
          </w:p>
        </w:tc>
        <w:tc>
          <w:tcPr>
            <w:tcW w:w="663" w:type="pct"/>
            <w:tcBorders>
              <w:tl2br w:val="nil"/>
              <w:tr2bl w:val="nil"/>
            </w:tcBorders>
            <w:noWrap w:val="0"/>
            <w:vAlign w:val="center"/>
          </w:tcPr>
          <w:p w14:paraId="5BEDA5E5">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eastAsia" w:cs="Times New Roman"/>
                <w:i w:val="0"/>
                <w:iCs w:val="0"/>
                <w:color w:val="000000"/>
                <w:kern w:val="0"/>
                <w:sz w:val="21"/>
                <w:szCs w:val="21"/>
                <w:highlight w:val="none"/>
                <w:u w:val="none"/>
                <w:lang w:val="en-US" w:eastAsia="zh-CN" w:bidi="ar"/>
              </w:rPr>
              <w:t>91.758</w:t>
            </w:r>
            <w:r>
              <w:rPr>
                <w:rFonts w:hint="default" w:ascii="Times New Roman" w:hAnsi="Times New Roman" w:eastAsia="宋体" w:cs="Times New Roman"/>
                <w:i w:val="0"/>
                <w:iCs w:val="0"/>
                <w:color w:val="000000"/>
                <w:kern w:val="0"/>
                <w:sz w:val="21"/>
                <w:szCs w:val="21"/>
                <w:highlight w:val="none"/>
                <w:u w:val="none"/>
                <w:lang w:val="en-US" w:eastAsia="zh-CN" w:bidi="ar"/>
              </w:rPr>
              <w:t>t/a</w:t>
            </w:r>
          </w:p>
        </w:tc>
      </w:tr>
      <w:tr w14:paraId="688D4F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vMerge w:val="continue"/>
            <w:tcBorders>
              <w:tl2br w:val="nil"/>
              <w:tr2bl w:val="nil"/>
            </w:tcBorders>
            <w:noWrap w:val="0"/>
            <w:vAlign w:val="center"/>
          </w:tcPr>
          <w:p w14:paraId="11FB7E57">
            <w:pPr>
              <w:widowControl/>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p>
        </w:tc>
        <w:tc>
          <w:tcPr>
            <w:tcW w:w="343" w:type="pct"/>
            <w:vMerge w:val="continue"/>
            <w:tcBorders>
              <w:tl2br w:val="nil"/>
              <w:tr2bl w:val="nil"/>
            </w:tcBorders>
            <w:noWrap w:val="0"/>
            <w:vAlign w:val="center"/>
          </w:tcPr>
          <w:p w14:paraId="1D0F746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432" w:type="pct"/>
            <w:vMerge w:val="continue"/>
            <w:tcBorders>
              <w:tl2br w:val="nil"/>
              <w:tr2bl w:val="nil"/>
            </w:tcBorders>
            <w:noWrap w:val="0"/>
            <w:vAlign w:val="center"/>
          </w:tcPr>
          <w:p w14:paraId="3B28B60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550" w:type="pct"/>
            <w:tcBorders>
              <w:tl2br w:val="nil"/>
              <w:tr2bl w:val="nil"/>
            </w:tcBorders>
            <w:noWrap w:val="0"/>
            <w:vAlign w:val="center"/>
          </w:tcPr>
          <w:p w14:paraId="6D8F10F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lang w:bidi="ar"/>
              </w:rPr>
            </w:pPr>
            <w:r>
              <w:rPr>
                <w:rFonts w:hint="eastAsia" w:ascii="Times New Roman" w:hAnsi="Times New Roman" w:eastAsia="宋体" w:cs="Times New Roman"/>
                <w:color w:val="auto"/>
                <w:kern w:val="2"/>
                <w:sz w:val="21"/>
                <w:szCs w:val="21"/>
                <w:highlight w:val="none"/>
                <w:lang w:val="en-US" w:eastAsia="zh-CN" w:bidi="ar-SA"/>
              </w:rPr>
              <w:t>PM</w:t>
            </w:r>
            <w:r>
              <w:rPr>
                <w:rFonts w:hint="eastAsia" w:ascii="Times New Roman" w:hAnsi="Times New Roman" w:eastAsia="宋体" w:cs="Times New Roman"/>
                <w:color w:val="auto"/>
                <w:kern w:val="2"/>
                <w:sz w:val="21"/>
                <w:szCs w:val="21"/>
                <w:highlight w:val="none"/>
                <w:vertAlign w:val="subscript"/>
                <w:lang w:val="en-US" w:eastAsia="zh-CN" w:bidi="ar-SA"/>
              </w:rPr>
              <w:t>10</w:t>
            </w:r>
          </w:p>
        </w:tc>
        <w:tc>
          <w:tcPr>
            <w:tcW w:w="1809" w:type="dxa"/>
            <w:tcBorders>
              <w:tl2br w:val="nil"/>
              <w:tr2bl w:val="nil"/>
            </w:tcBorders>
            <w:noWrap w:val="0"/>
            <w:vAlign w:val="center"/>
          </w:tcPr>
          <w:p w14:paraId="7AD8ACFB">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eastAsia="宋体" w:cs="Times New Roman"/>
                <w:i w:val="0"/>
                <w:iCs w:val="0"/>
                <w:color w:val="000000"/>
                <w:kern w:val="0"/>
                <w:sz w:val="21"/>
                <w:szCs w:val="21"/>
                <w:highlight w:val="none"/>
                <w:u w:val="none"/>
                <w:lang w:val="en-US" w:eastAsia="zh-CN" w:bidi="ar"/>
              </w:rPr>
              <w:t>299.742t/a</w:t>
            </w:r>
          </w:p>
        </w:tc>
        <w:tc>
          <w:tcPr>
            <w:tcW w:w="2160" w:type="pct"/>
            <w:vMerge w:val="continue"/>
            <w:tcBorders>
              <w:tl2br w:val="nil"/>
              <w:tr2bl w:val="nil"/>
            </w:tcBorders>
            <w:noWrap w:val="0"/>
            <w:vAlign w:val="center"/>
          </w:tcPr>
          <w:p w14:paraId="048AF616">
            <w:pPr>
              <w:widowControl/>
              <w:adjustRightInd w:val="0"/>
              <w:snapToGrid w:val="0"/>
              <w:spacing w:line="280" w:lineRule="exact"/>
              <w:jc w:val="center"/>
              <w:textAlignment w:val="center"/>
              <w:rPr>
                <w:rFonts w:hint="default" w:ascii="Times New Roman" w:hAnsi="Times New Roman" w:cs="Times New Roman"/>
                <w:snapToGrid w:val="0"/>
                <w:color w:val="000000"/>
                <w:kern w:val="0"/>
                <w:sz w:val="21"/>
                <w:szCs w:val="21"/>
                <w:highlight w:val="none"/>
              </w:rPr>
            </w:pPr>
          </w:p>
        </w:tc>
        <w:tc>
          <w:tcPr>
            <w:tcW w:w="663" w:type="pct"/>
            <w:tcBorders>
              <w:tl2br w:val="nil"/>
              <w:tr2bl w:val="nil"/>
            </w:tcBorders>
            <w:noWrap w:val="0"/>
            <w:vAlign w:val="center"/>
          </w:tcPr>
          <w:p w14:paraId="32067D01">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eastAsia" w:cs="Times New Roman"/>
                <w:i w:val="0"/>
                <w:iCs w:val="0"/>
                <w:color w:val="000000"/>
                <w:kern w:val="0"/>
                <w:sz w:val="21"/>
                <w:szCs w:val="21"/>
                <w:highlight w:val="none"/>
                <w:u w:val="none"/>
                <w:lang w:val="en-US" w:eastAsia="zh-CN" w:bidi="ar"/>
              </w:rPr>
              <w:t>44.961</w:t>
            </w:r>
            <w:r>
              <w:rPr>
                <w:rFonts w:hint="default" w:ascii="Times New Roman" w:hAnsi="Times New Roman" w:eastAsia="宋体" w:cs="Times New Roman"/>
                <w:i w:val="0"/>
                <w:iCs w:val="0"/>
                <w:color w:val="000000"/>
                <w:kern w:val="0"/>
                <w:sz w:val="21"/>
                <w:szCs w:val="21"/>
                <w:highlight w:val="none"/>
                <w:u w:val="none"/>
                <w:lang w:val="en-US" w:eastAsia="zh-CN" w:bidi="ar"/>
              </w:rPr>
              <w:t>t/a</w:t>
            </w:r>
          </w:p>
        </w:tc>
      </w:tr>
      <w:tr w14:paraId="5105A77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vMerge w:val="continue"/>
            <w:tcBorders>
              <w:tl2br w:val="nil"/>
              <w:tr2bl w:val="nil"/>
            </w:tcBorders>
            <w:noWrap w:val="0"/>
            <w:vAlign w:val="center"/>
          </w:tcPr>
          <w:p w14:paraId="1FC880A9">
            <w:pPr>
              <w:widowControl/>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p>
        </w:tc>
        <w:tc>
          <w:tcPr>
            <w:tcW w:w="343" w:type="pct"/>
            <w:vMerge w:val="restart"/>
            <w:tcBorders>
              <w:tl2br w:val="nil"/>
              <w:tr2bl w:val="nil"/>
            </w:tcBorders>
            <w:noWrap w:val="0"/>
            <w:vAlign w:val="center"/>
          </w:tcPr>
          <w:p w14:paraId="29444BBA">
            <w:pPr>
              <w:pStyle w:val="161"/>
              <w:spacing w:line="260" w:lineRule="exact"/>
              <w:rPr>
                <w:rFonts w:hint="default" w:ascii="Times New Roman" w:hAnsi="Times New Roman" w:cs="Times New Roman"/>
                <w:color w:val="000000"/>
                <w:sz w:val="21"/>
                <w:szCs w:val="21"/>
                <w:highlight w:val="none"/>
                <w:lang w:bidi="ar"/>
              </w:rPr>
            </w:pPr>
            <w:r>
              <w:rPr>
                <w:rFonts w:ascii="Times New Roman"/>
                <w:b w:val="0"/>
                <w:bCs/>
                <w:color w:val="auto"/>
                <w:sz w:val="21"/>
                <w:szCs w:val="21"/>
                <w:highlight w:val="none"/>
                <w:lang w:val="en-US" w:eastAsia="zh-CN"/>
              </w:rPr>
              <w:t>封场覆土</w:t>
            </w:r>
          </w:p>
        </w:tc>
        <w:tc>
          <w:tcPr>
            <w:tcW w:w="432" w:type="pct"/>
            <w:vMerge w:val="restart"/>
            <w:tcBorders>
              <w:tl2br w:val="nil"/>
              <w:tr2bl w:val="nil"/>
            </w:tcBorders>
            <w:noWrap w:val="0"/>
            <w:vAlign w:val="center"/>
          </w:tcPr>
          <w:p w14:paraId="418FC3A5">
            <w:pPr>
              <w:pStyle w:val="174"/>
              <w:adjustRightInd w:val="0"/>
              <w:snapToGrid w:val="0"/>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olor w:val="auto"/>
                <w:sz w:val="21"/>
                <w:szCs w:val="21"/>
                <w:highlight w:val="none"/>
              </w:rPr>
              <w:t>封场覆土扬尘</w:t>
            </w:r>
          </w:p>
        </w:tc>
        <w:tc>
          <w:tcPr>
            <w:tcW w:w="550" w:type="pct"/>
            <w:tcBorders>
              <w:tl2br w:val="nil"/>
              <w:tr2bl w:val="nil"/>
            </w:tcBorders>
            <w:noWrap w:val="0"/>
            <w:vAlign w:val="center"/>
          </w:tcPr>
          <w:p w14:paraId="4867E00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lang w:bidi="ar"/>
              </w:rPr>
            </w:pPr>
            <w:r>
              <w:rPr>
                <w:rFonts w:hint="eastAsia" w:ascii="Times New Roman" w:hAnsi="Times New Roman" w:eastAsia="宋体" w:cs="Times New Roman"/>
                <w:color w:val="auto"/>
                <w:kern w:val="2"/>
                <w:sz w:val="21"/>
                <w:szCs w:val="21"/>
                <w:highlight w:val="none"/>
                <w:lang w:val="en-US" w:eastAsia="zh-CN" w:bidi="ar-SA"/>
              </w:rPr>
              <w:t>TSP</w:t>
            </w:r>
          </w:p>
        </w:tc>
        <w:tc>
          <w:tcPr>
            <w:tcW w:w="625" w:type="pct"/>
            <w:tcBorders>
              <w:tl2br w:val="nil"/>
              <w:tr2bl w:val="nil"/>
            </w:tcBorders>
            <w:noWrap w:val="0"/>
            <w:vAlign w:val="center"/>
          </w:tcPr>
          <w:p w14:paraId="3EDD8005">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eastAsia="宋体" w:cs="Times New Roman"/>
                <w:i w:val="0"/>
                <w:iCs w:val="0"/>
                <w:color w:val="000000"/>
                <w:kern w:val="0"/>
                <w:sz w:val="21"/>
                <w:szCs w:val="21"/>
                <w:highlight w:val="none"/>
                <w:u w:val="none"/>
                <w:lang w:val="en-US" w:eastAsia="zh-CN" w:bidi="ar"/>
              </w:rPr>
              <w:t>1.913t/a</w:t>
            </w:r>
          </w:p>
        </w:tc>
        <w:tc>
          <w:tcPr>
            <w:tcW w:w="2160" w:type="pct"/>
            <w:vMerge w:val="restart"/>
            <w:tcBorders>
              <w:tl2br w:val="nil"/>
              <w:tr2bl w:val="nil"/>
            </w:tcBorders>
            <w:noWrap w:val="0"/>
            <w:vAlign w:val="center"/>
          </w:tcPr>
          <w:p w14:paraId="1B1C0B69">
            <w:pPr>
              <w:pStyle w:val="174"/>
              <w:adjustRightInd w:val="0"/>
              <w:snapToGrid w:val="0"/>
              <w:rPr>
                <w:rFonts w:hint="default" w:ascii="Times New Roman" w:hAnsi="Times New Roman" w:cs="Times New Roman"/>
                <w:snapToGrid w:val="0"/>
                <w:color w:val="000000"/>
                <w:kern w:val="0"/>
                <w:sz w:val="21"/>
                <w:szCs w:val="21"/>
                <w:highlight w:val="none"/>
              </w:rPr>
            </w:pPr>
            <w:r>
              <w:rPr>
                <w:color w:val="auto"/>
                <w:sz w:val="21"/>
                <w:szCs w:val="21"/>
                <w:highlight w:val="none"/>
              </w:rPr>
              <w:t>配备洒水车辆降尘</w:t>
            </w:r>
            <w:r>
              <w:rPr>
                <w:rFonts w:hint="eastAsia"/>
                <w:color w:val="auto"/>
                <w:sz w:val="21"/>
                <w:szCs w:val="21"/>
                <w:highlight w:val="none"/>
                <w:lang w:eastAsia="zh-CN"/>
              </w:rPr>
              <w:t>。</w:t>
            </w:r>
          </w:p>
        </w:tc>
        <w:tc>
          <w:tcPr>
            <w:tcW w:w="663" w:type="pct"/>
            <w:tcBorders>
              <w:tl2br w:val="nil"/>
              <w:tr2bl w:val="nil"/>
            </w:tcBorders>
            <w:noWrap w:val="0"/>
            <w:vAlign w:val="center"/>
          </w:tcPr>
          <w:p w14:paraId="39A851AC">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eastAsia="宋体" w:cs="Times New Roman"/>
                <w:i w:val="0"/>
                <w:iCs w:val="0"/>
                <w:color w:val="000000"/>
                <w:kern w:val="0"/>
                <w:sz w:val="21"/>
                <w:szCs w:val="21"/>
                <w:highlight w:val="none"/>
                <w:u w:val="none"/>
                <w:lang w:val="en-US" w:eastAsia="zh-CN" w:bidi="ar"/>
              </w:rPr>
              <w:t>0.497t/a</w:t>
            </w:r>
          </w:p>
        </w:tc>
      </w:tr>
      <w:tr w14:paraId="1CA567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vMerge w:val="continue"/>
            <w:tcBorders>
              <w:tl2br w:val="nil"/>
              <w:tr2bl w:val="nil"/>
            </w:tcBorders>
            <w:noWrap w:val="0"/>
            <w:vAlign w:val="center"/>
          </w:tcPr>
          <w:p w14:paraId="631CA864">
            <w:pPr>
              <w:widowControl/>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p>
        </w:tc>
        <w:tc>
          <w:tcPr>
            <w:tcW w:w="343" w:type="pct"/>
            <w:vMerge w:val="continue"/>
            <w:tcBorders>
              <w:tl2br w:val="nil"/>
              <w:tr2bl w:val="nil"/>
            </w:tcBorders>
            <w:noWrap w:val="0"/>
            <w:vAlign w:val="center"/>
          </w:tcPr>
          <w:p w14:paraId="0243782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432" w:type="pct"/>
            <w:vMerge w:val="continue"/>
            <w:tcBorders>
              <w:tl2br w:val="nil"/>
              <w:tr2bl w:val="nil"/>
            </w:tcBorders>
            <w:noWrap w:val="0"/>
            <w:vAlign w:val="center"/>
          </w:tcPr>
          <w:p w14:paraId="53CE54F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550" w:type="pct"/>
            <w:tcBorders>
              <w:tl2br w:val="nil"/>
              <w:tr2bl w:val="nil"/>
            </w:tcBorders>
            <w:noWrap w:val="0"/>
            <w:vAlign w:val="center"/>
          </w:tcPr>
          <w:p w14:paraId="2BF5EE7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lang w:bidi="ar"/>
              </w:rPr>
            </w:pPr>
            <w:r>
              <w:rPr>
                <w:rFonts w:hint="eastAsia" w:ascii="Times New Roman" w:hAnsi="Times New Roman" w:eastAsia="宋体" w:cs="Times New Roman"/>
                <w:color w:val="auto"/>
                <w:kern w:val="2"/>
                <w:sz w:val="21"/>
                <w:szCs w:val="21"/>
                <w:highlight w:val="none"/>
                <w:lang w:val="en-US" w:eastAsia="zh-CN" w:bidi="ar-SA"/>
              </w:rPr>
              <w:t>PM</w:t>
            </w:r>
            <w:r>
              <w:rPr>
                <w:rFonts w:hint="eastAsia" w:ascii="Times New Roman" w:hAnsi="Times New Roman" w:eastAsia="宋体" w:cs="Times New Roman"/>
                <w:color w:val="auto"/>
                <w:kern w:val="2"/>
                <w:sz w:val="21"/>
                <w:szCs w:val="21"/>
                <w:highlight w:val="none"/>
                <w:vertAlign w:val="subscript"/>
                <w:lang w:val="en-US" w:eastAsia="zh-CN" w:bidi="ar-SA"/>
              </w:rPr>
              <w:t>10</w:t>
            </w:r>
          </w:p>
        </w:tc>
        <w:tc>
          <w:tcPr>
            <w:tcW w:w="625" w:type="pct"/>
            <w:tcBorders>
              <w:tl2br w:val="nil"/>
              <w:tr2bl w:val="nil"/>
            </w:tcBorders>
            <w:noWrap w:val="0"/>
            <w:vAlign w:val="center"/>
          </w:tcPr>
          <w:p w14:paraId="00B01977">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eastAsia="宋体" w:cs="Times New Roman"/>
                <w:i w:val="0"/>
                <w:iCs w:val="0"/>
                <w:color w:val="000000"/>
                <w:kern w:val="0"/>
                <w:sz w:val="21"/>
                <w:szCs w:val="21"/>
                <w:highlight w:val="none"/>
                <w:u w:val="none"/>
                <w:lang w:val="en-US" w:eastAsia="zh-CN" w:bidi="ar"/>
              </w:rPr>
              <w:t>0.937t/a</w:t>
            </w:r>
          </w:p>
        </w:tc>
        <w:tc>
          <w:tcPr>
            <w:tcW w:w="2160" w:type="pct"/>
            <w:vMerge w:val="continue"/>
            <w:tcBorders>
              <w:tl2br w:val="nil"/>
              <w:tr2bl w:val="nil"/>
            </w:tcBorders>
            <w:noWrap w:val="0"/>
            <w:vAlign w:val="center"/>
          </w:tcPr>
          <w:p w14:paraId="2C41AB5C">
            <w:pPr>
              <w:adjustRightInd w:val="0"/>
              <w:snapToGrid w:val="0"/>
              <w:spacing w:line="280" w:lineRule="exact"/>
              <w:jc w:val="center"/>
              <w:textAlignment w:val="center"/>
              <w:rPr>
                <w:rFonts w:hint="default" w:ascii="Times New Roman" w:hAnsi="Times New Roman" w:cs="Times New Roman"/>
                <w:snapToGrid w:val="0"/>
                <w:color w:val="000000"/>
                <w:kern w:val="0"/>
                <w:sz w:val="21"/>
                <w:szCs w:val="21"/>
                <w:highlight w:val="none"/>
              </w:rPr>
            </w:pPr>
          </w:p>
        </w:tc>
        <w:tc>
          <w:tcPr>
            <w:tcW w:w="663" w:type="pct"/>
            <w:tcBorders>
              <w:tl2br w:val="nil"/>
              <w:tr2bl w:val="nil"/>
            </w:tcBorders>
            <w:noWrap w:val="0"/>
            <w:vAlign w:val="center"/>
          </w:tcPr>
          <w:p w14:paraId="72E3DAB4">
            <w:pPr>
              <w:keepNext w:val="0"/>
              <w:keepLines w:val="0"/>
              <w:widowControl/>
              <w:suppressLineNumbers w:val="0"/>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eastAsia="宋体" w:cs="Times New Roman"/>
                <w:i w:val="0"/>
                <w:iCs w:val="0"/>
                <w:color w:val="000000"/>
                <w:kern w:val="0"/>
                <w:sz w:val="21"/>
                <w:szCs w:val="21"/>
                <w:highlight w:val="none"/>
                <w:u w:val="none"/>
                <w:lang w:val="en-US" w:eastAsia="zh-CN" w:bidi="ar"/>
              </w:rPr>
              <w:t>0.244t/a</w:t>
            </w:r>
          </w:p>
        </w:tc>
      </w:tr>
      <w:tr w14:paraId="22F014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tcBorders>
              <w:tl2br w:val="nil"/>
              <w:tr2bl w:val="nil"/>
            </w:tcBorders>
            <w:noWrap w:val="0"/>
            <w:vAlign w:val="center"/>
          </w:tcPr>
          <w:p w14:paraId="0945F2C8">
            <w:pPr>
              <w:widowControl/>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cs="Times New Roman"/>
                <w:color w:val="000000"/>
                <w:sz w:val="21"/>
                <w:szCs w:val="21"/>
                <w:highlight w:val="none"/>
                <w:lang w:bidi="ar"/>
              </w:rPr>
              <w:t>废水</w:t>
            </w:r>
          </w:p>
        </w:tc>
        <w:tc>
          <w:tcPr>
            <w:tcW w:w="343" w:type="pct"/>
            <w:tcBorders>
              <w:tl2br w:val="nil"/>
              <w:tr2bl w:val="nil"/>
            </w:tcBorders>
            <w:noWrap w:val="0"/>
            <w:vAlign w:val="center"/>
          </w:tcPr>
          <w:p w14:paraId="1A3D7746">
            <w:pPr>
              <w:pStyle w:val="174"/>
              <w:adjustRightInd w:val="0"/>
              <w:snapToGrid w:val="0"/>
              <w:rPr>
                <w:rFonts w:hint="default" w:ascii="Times New Roman" w:hAnsi="Times New Roman" w:cs="Times New Roman"/>
                <w:color w:val="000000"/>
                <w:sz w:val="21"/>
                <w:szCs w:val="21"/>
                <w:highlight w:val="none"/>
                <w:lang w:bidi="ar"/>
              </w:rPr>
            </w:pPr>
            <w:r>
              <w:rPr>
                <w:color w:val="auto"/>
                <w:sz w:val="21"/>
                <w:szCs w:val="21"/>
                <w:highlight w:val="none"/>
              </w:rPr>
              <w:t>排土场</w:t>
            </w:r>
          </w:p>
        </w:tc>
        <w:tc>
          <w:tcPr>
            <w:tcW w:w="432" w:type="pct"/>
            <w:tcBorders>
              <w:tl2br w:val="nil"/>
              <w:tr2bl w:val="nil"/>
            </w:tcBorders>
            <w:noWrap w:val="0"/>
            <w:vAlign w:val="center"/>
          </w:tcPr>
          <w:p w14:paraId="3E87B2EE">
            <w:pPr>
              <w:pStyle w:val="174"/>
              <w:adjustRightInd w:val="0"/>
              <w:snapToGrid w:val="0"/>
              <w:rPr>
                <w:rFonts w:hint="default" w:ascii="Times New Roman" w:hAnsi="Times New Roman" w:cs="Times New Roman"/>
                <w:color w:val="000000"/>
                <w:sz w:val="21"/>
                <w:szCs w:val="21"/>
                <w:highlight w:val="none"/>
                <w:lang w:bidi="ar"/>
              </w:rPr>
            </w:pPr>
            <w:r>
              <w:rPr>
                <w:color w:val="auto"/>
                <w:sz w:val="21"/>
                <w:szCs w:val="21"/>
                <w:highlight w:val="none"/>
              </w:rPr>
              <w:t>淋滤废水</w:t>
            </w:r>
          </w:p>
        </w:tc>
        <w:tc>
          <w:tcPr>
            <w:tcW w:w="550" w:type="pct"/>
            <w:tcBorders>
              <w:tl2br w:val="nil"/>
              <w:tr2bl w:val="nil"/>
            </w:tcBorders>
            <w:noWrap w:val="0"/>
            <w:vAlign w:val="center"/>
          </w:tcPr>
          <w:p w14:paraId="573FFFD1">
            <w:pPr>
              <w:pStyle w:val="161"/>
              <w:keepNext w:val="0"/>
              <w:keepLines w:val="0"/>
              <w:pageBreakBefore w:val="0"/>
              <w:widowControl w:val="0"/>
              <w:kinsoku/>
              <w:wordWrap/>
              <w:overflowPunct/>
              <w:topLinePunct w:val="0"/>
              <w:autoSpaceDE/>
              <w:autoSpaceDN/>
              <w:bidi w:val="0"/>
              <w:adjustRightInd/>
              <w:snapToGrid/>
              <w:spacing w:line="260" w:lineRule="exact"/>
              <w:ind w:firstLine="0" w:firstLineChars="0"/>
              <w:textAlignment w:val="auto"/>
              <w:outlineLvl w:val="9"/>
              <w:rPr>
                <w:rFonts w:hint="default" w:ascii="Times New Roman" w:hAnsi="Times New Roman" w:cs="Times New Roman"/>
                <w:color w:val="000000"/>
                <w:sz w:val="21"/>
                <w:szCs w:val="21"/>
                <w:highlight w:val="none"/>
                <w:lang w:bidi="ar"/>
              </w:rPr>
            </w:pPr>
            <w:r>
              <w:rPr>
                <w:rFonts w:ascii="Times New Roman" w:hAnsi="Times New Roman" w:cs="Times New Roman"/>
                <w:snapToGrid w:val="0"/>
                <w:sz w:val="21"/>
                <w:szCs w:val="21"/>
                <w:highlight w:val="none"/>
              </w:rPr>
              <w:t>Fe、</w:t>
            </w:r>
            <w:r>
              <w:rPr>
                <w:rFonts w:ascii="Times New Roman" w:hAnsi="Times New Roman" w:cs="Times New Roman"/>
                <w:kern w:val="2"/>
                <w:sz w:val="21"/>
                <w:szCs w:val="21"/>
                <w:highlight w:val="none"/>
              </w:rPr>
              <w:t>SS等</w:t>
            </w:r>
          </w:p>
        </w:tc>
        <w:tc>
          <w:tcPr>
            <w:tcW w:w="625" w:type="pct"/>
            <w:tcBorders>
              <w:tl2br w:val="nil"/>
              <w:tr2bl w:val="nil"/>
            </w:tcBorders>
            <w:noWrap w:val="0"/>
            <w:vAlign w:val="center"/>
          </w:tcPr>
          <w:p w14:paraId="0B36338F">
            <w:pPr>
              <w:widowControl/>
              <w:adjustRightInd w:val="0"/>
              <w:snapToGrid w:val="0"/>
              <w:spacing w:line="280" w:lineRule="exact"/>
              <w:jc w:val="center"/>
              <w:textAlignment w:val="center"/>
              <w:rPr>
                <w:rFonts w:hint="default" w:ascii="Times New Roman" w:hAnsi="Times New Roman" w:eastAsia="宋体" w:cs="Times New Roman"/>
                <w:color w:val="000000"/>
                <w:sz w:val="21"/>
                <w:szCs w:val="21"/>
                <w:highlight w:val="none"/>
                <w:lang w:val="en-US" w:eastAsia="zh-CN" w:bidi="ar"/>
              </w:rPr>
            </w:pPr>
            <w:r>
              <w:rPr>
                <w:rFonts w:hint="eastAsia"/>
                <w:b w:val="0"/>
                <w:bCs w:val="0"/>
                <w:sz w:val="21"/>
                <w:szCs w:val="21"/>
                <w:highlight w:val="none"/>
                <w:lang w:val="en-US" w:eastAsia="zh-CN"/>
              </w:rPr>
              <w:t>9369.8m</w:t>
            </w:r>
            <w:r>
              <w:rPr>
                <w:rFonts w:hint="eastAsia" w:ascii="Times New Roman" w:hAnsi="Times New Roman" w:eastAsia="宋体" w:cs="Times New Roman"/>
                <w:b w:val="0"/>
                <w:bCs w:val="0"/>
                <w:sz w:val="21"/>
                <w:szCs w:val="21"/>
                <w:highlight w:val="none"/>
                <w:vertAlign w:val="superscript"/>
                <w:lang w:val="en-US" w:eastAsia="zh-CN"/>
              </w:rPr>
              <w:t>3</w:t>
            </w:r>
            <w:r>
              <w:rPr>
                <w:rFonts w:hint="eastAsia"/>
                <w:b w:val="0"/>
                <w:bCs w:val="0"/>
                <w:sz w:val="21"/>
                <w:szCs w:val="21"/>
                <w:highlight w:val="none"/>
                <w:lang w:val="en-US" w:eastAsia="zh-CN"/>
              </w:rPr>
              <w:t>/a</w:t>
            </w:r>
          </w:p>
        </w:tc>
        <w:tc>
          <w:tcPr>
            <w:tcW w:w="2160" w:type="pct"/>
            <w:tcBorders>
              <w:tl2br w:val="nil"/>
              <w:tr2bl w:val="nil"/>
            </w:tcBorders>
            <w:noWrap w:val="0"/>
            <w:vAlign w:val="center"/>
          </w:tcPr>
          <w:p w14:paraId="09AF75E6">
            <w:pPr>
              <w:pStyle w:val="174"/>
              <w:adjustRightInd w:val="0"/>
              <w:snapToGrid w:val="0"/>
              <w:rPr>
                <w:rFonts w:hint="default" w:ascii="Times New Roman" w:hAnsi="Times New Roman" w:cs="Times New Roman"/>
                <w:color w:val="000000"/>
                <w:sz w:val="21"/>
                <w:szCs w:val="21"/>
                <w:highlight w:val="none"/>
                <w:lang w:bidi="ar"/>
              </w:rPr>
            </w:pPr>
            <w:r>
              <w:rPr>
                <w:rFonts w:hint="eastAsia"/>
                <w:color w:val="auto"/>
                <w:sz w:val="21"/>
                <w:szCs w:val="21"/>
                <w:highlight w:val="none"/>
                <w:lang w:eastAsia="zh-CN"/>
              </w:rPr>
              <w:t>淋溶废水回用降尘、</w:t>
            </w:r>
            <w:r>
              <w:rPr>
                <w:rFonts w:hint="eastAsia"/>
                <w:color w:val="auto"/>
                <w:sz w:val="21"/>
                <w:szCs w:val="21"/>
                <w:highlight w:val="none"/>
                <w:lang w:val="en-US" w:eastAsia="zh-CN"/>
              </w:rPr>
              <w:t>选厂生产</w:t>
            </w:r>
            <w:r>
              <w:rPr>
                <w:rFonts w:hint="eastAsia"/>
                <w:color w:val="auto"/>
                <w:sz w:val="21"/>
                <w:szCs w:val="21"/>
                <w:highlight w:val="none"/>
                <w:lang w:eastAsia="zh-CN"/>
              </w:rPr>
              <w:t>，不外排。</w:t>
            </w:r>
          </w:p>
        </w:tc>
        <w:tc>
          <w:tcPr>
            <w:tcW w:w="663" w:type="pct"/>
            <w:tcBorders>
              <w:tl2br w:val="nil"/>
              <w:tr2bl w:val="nil"/>
            </w:tcBorders>
            <w:noWrap w:val="0"/>
            <w:vAlign w:val="center"/>
          </w:tcPr>
          <w:p w14:paraId="23B23B9B">
            <w:pPr>
              <w:widowControl/>
              <w:adjustRightInd w:val="0"/>
              <w:snapToGrid w:val="0"/>
              <w:spacing w:line="280" w:lineRule="exact"/>
              <w:jc w:val="center"/>
              <w:textAlignment w:val="center"/>
              <w:rPr>
                <w:rFonts w:hint="eastAsia" w:ascii="Times New Roman" w:hAnsi="Times New Roman" w:eastAsia="宋体" w:cs="Times New Roman"/>
                <w:color w:val="000000"/>
                <w:sz w:val="21"/>
                <w:szCs w:val="21"/>
                <w:highlight w:val="none"/>
                <w:lang w:val="en-US" w:eastAsia="zh-CN" w:bidi="ar"/>
              </w:rPr>
            </w:pPr>
            <w:r>
              <w:rPr>
                <w:rFonts w:hint="eastAsia"/>
                <w:b w:val="0"/>
                <w:bCs w:val="0"/>
                <w:sz w:val="21"/>
                <w:szCs w:val="21"/>
                <w:highlight w:val="none"/>
                <w:lang w:val="en-US" w:eastAsia="zh-CN"/>
              </w:rPr>
              <w:t>0</w:t>
            </w:r>
          </w:p>
        </w:tc>
      </w:tr>
      <w:tr w14:paraId="2F94EE8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vMerge w:val="restart"/>
            <w:tcBorders>
              <w:tl2br w:val="nil"/>
              <w:tr2bl w:val="nil"/>
            </w:tcBorders>
            <w:noWrap w:val="0"/>
            <w:vAlign w:val="center"/>
          </w:tcPr>
          <w:p w14:paraId="285999FA">
            <w:pPr>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cs="Times New Roman"/>
                <w:color w:val="000000"/>
                <w:sz w:val="21"/>
                <w:szCs w:val="21"/>
                <w:highlight w:val="none"/>
                <w:lang w:bidi="ar"/>
              </w:rPr>
              <w:t>噪声</w:t>
            </w:r>
          </w:p>
        </w:tc>
        <w:tc>
          <w:tcPr>
            <w:tcW w:w="343" w:type="pct"/>
            <w:tcBorders>
              <w:tl2br w:val="nil"/>
              <w:tr2bl w:val="nil"/>
            </w:tcBorders>
            <w:shd w:val="clear" w:color="auto" w:fill="auto"/>
            <w:noWrap w:val="0"/>
            <w:vAlign w:val="center"/>
          </w:tcPr>
          <w:p w14:paraId="2CF83C2F">
            <w:pPr>
              <w:pStyle w:val="174"/>
              <w:adjustRightInd w:val="0"/>
              <w:snapToGrid w:val="0"/>
              <w:rPr>
                <w:rFonts w:hint="eastAsia" w:ascii="Times New Roman" w:hAnsi="Times New Roman" w:eastAsia="宋体" w:cs="Times New Roman"/>
                <w:color w:val="000000"/>
                <w:kern w:val="2"/>
                <w:sz w:val="21"/>
                <w:szCs w:val="21"/>
                <w:highlight w:val="none"/>
                <w:lang w:val="en-US" w:eastAsia="zh-CN" w:bidi="ar"/>
              </w:rPr>
            </w:pPr>
            <w:r>
              <w:rPr>
                <w:color w:val="auto"/>
                <w:sz w:val="21"/>
                <w:szCs w:val="21"/>
                <w:highlight w:val="none"/>
              </w:rPr>
              <w:t>废石运输</w:t>
            </w:r>
          </w:p>
        </w:tc>
        <w:tc>
          <w:tcPr>
            <w:tcW w:w="432" w:type="pct"/>
            <w:tcBorders>
              <w:tl2br w:val="nil"/>
              <w:tr2bl w:val="nil"/>
            </w:tcBorders>
            <w:shd w:val="clear" w:color="auto" w:fill="auto"/>
            <w:noWrap w:val="0"/>
            <w:vAlign w:val="center"/>
          </w:tcPr>
          <w:p w14:paraId="0FEC0353">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运输噪声</w:t>
            </w:r>
          </w:p>
        </w:tc>
        <w:tc>
          <w:tcPr>
            <w:tcW w:w="550" w:type="pct"/>
            <w:tcBorders>
              <w:tl2br w:val="nil"/>
              <w:tr2bl w:val="nil"/>
            </w:tcBorders>
            <w:shd w:val="clear" w:color="auto" w:fill="auto"/>
            <w:noWrap w:val="0"/>
            <w:vAlign w:val="center"/>
          </w:tcPr>
          <w:p w14:paraId="7A8873C6">
            <w:pPr>
              <w:pStyle w:val="161"/>
              <w:keepNext w:val="0"/>
              <w:keepLines w:val="0"/>
              <w:pageBreakBefore w:val="0"/>
              <w:widowControl w:val="0"/>
              <w:kinsoku/>
              <w:wordWrap/>
              <w:overflowPunct/>
              <w:topLinePunct w:val="0"/>
              <w:autoSpaceDE/>
              <w:autoSpaceDN/>
              <w:bidi w:val="0"/>
              <w:adjustRightInd/>
              <w:snapToGrid/>
              <w:spacing w:line="260" w:lineRule="exact"/>
              <w:ind w:firstLine="0" w:firstLineChars="0"/>
              <w:textAlignment w:val="auto"/>
              <w:outlineLvl w:val="9"/>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设备</w:t>
            </w:r>
            <w:r>
              <w:rPr>
                <w:rFonts w:hint="default" w:ascii="Times New Roman" w:hAnsi="Times New Roman" w:cs="Times New Roman"/>
                <w:color w:val="auto"/>
                <w:sz w:val="21"/>
                <w:szCs w:val="21"/>
                <w:highlight w:val="none"/>
              </w:rPr>
              <w:t>噪声</w:t>
            </w:r>
          </w:p>
        </w:tc>
        <w:tc>
          <w:tcPr>
            <w:tcW w:w="625" w:type="pct"/>
            <w:tcBorders>
              <w:tl2br w:val="nil"/>
              <w:tr2bl w:val="nil"/>
            </w:tcBorders>
            <w:shd w:val="clear" w:color="auto" w:fill="auto"/>
            <w:noWrap w:val="0"/>
            <w:vAlign w:val="center"/>
          </w:tcPr>
          <w:p w14:paraId="403A3935">
            <w:pPr>
              <w:widowControl/>
              <w:adjustRightInd w:val="0"/>
              <w:snapToGrid w:val="0"/>
              <w:spacing w:line="280" w:lineRule="exact"/>
              <w:jc w:val="center"/>
              <w:textAlignment w:val="center"/>
              <w:rPr>
                <w:rFonts w:hint="default" w:ascii="Times New Roman" w:hAnsi="Times New Roman" w:eastAsia="宋体" w:cs="Times New Roman"/>
                <w:color w:val="000000"/>
                <w:kern w:val="2"/>
                <w:sz w:val="21"/>
                <w:szCs w:val="21"/>
                <w:highlight w:val="none"/>
                <w:lang w:val="en-US" w:eastAsia="zh-CN" w:bidi="ar"/>
              </w:rPr>
            </w:pPr>
            <w:r>
              <w:rPr>
                <w:rFonts w:hint="eastAsia" w:cs="Times New Roman"/>
                <w:color w:val="000000"/>
                <w:sz w:val="21"/>
                <w:szCs w:val="21"/>
                <w:highlight w:val="none"/>
                <w:lang w:val="en-US" w:eastAsia="zh-CN" w:bidi="ar"/>
              </w:rPr>
              <w:t>80</w:t>
            </w:r>
            <w:r>
              <w:rPr>
                <w:rFonts w:hint="default" w:ascii="Times New Roman" w:hAnsi="Times New Roman" w:cs="Times New Roman"/>
                <w:color w:val="000000"/>
                <w:sz w:val="21"/>
                <w:szCs w:val="21"/>
                <w:highlight w:val="none"/>
                <w:lang w:bidi="ar"/>
              </w:rPr>
              <w:t>dB(A)</w:t>
            </w:r>
          </w:p>
        </w:tc>
        <w:tc>
          <w:tcPr>
            <w:tcW w:w="2160" w:type="pct"/>
            <w:tcBorders>
              <w:tl2br w:val="nil"/>
              <w:tr2bl w:val="nil"/>
            </w:tcBorders>
            <w:shd w:val="clear" w:color="auto" w:fill="auto"/>
            <w:noWrap w:val="0"/>
            <w:vAlign w:val="center"/>
          </w:tcPr>
          <w:p w14:paraId="2BD1C5B5">
            <w:pPr>
              <w:pStyle w:val="174"/>
              <w:adjustRightInd w:val="0"/>
              <w:snapToGrid w:val="0"/>
              <w:rPr>
                <w:rFonts w:hint="eastAsia" w:ascii="Times New Roman" w:hAnsi="Times New Roman" w:eastAsia="宋体" w:cs="Times New Roman"/>
                <w:color w:val="000000"/>
                <w:kern w:val="2"/>
                <w:sz w:val="21"/>
                <w:szCs w:val="21"/>
                <w:highlight w:val="none"/>
                <w:lang w:val="en-US" w:eastAsia="zh-CN" w:bidi="ar"/>
              </w:rPr>
            </w:pPr>
            <w:r>
              <w:rPr>
                <w:color w:val="auto"/>
                <w:sz w:val="21"/>
                <w:szCs w:val="21"/>
                <w:highlight w:val="none"/>
              </w:rPr>
              <w:t>车辆减速慢行，限制鸣笛</w:t>
            </w:r>
            <w:r>
              <w:rPr>
                <w:rFonts w:hint="eastAsia"/>
                <w:color w:val="auto"/>
                <w:sz w:val="21"/>
                <w:szCs w:val="21"/>
                <w:highlight w:val="none"/>
                <w:lang w:eastAsia="zh-CN"/>
              </w:rPr>
              <w:t>。</w:t>
            </w:r>
          </w:p>
        </w:tc>
        <w:tc>
          <w:tcPr>
            <w:tcW w:w="663" w:type="pct"/>
            <w:vMerge w:val="restart"/>
            <w:tcBorders>
              <w:tl2br w:val="nil"/>
              <w:tr2bl w:val="nil"/>
            </w:tcBorders>
            <w:noWrap w:val="0"/>
            <w:vAlign w:val="center"/>
          </w:tcPr>
          <w:p w14:paraId="3CADB2CD">
            <w:pPr>
              <w:snapToGrid w:val="0"/>
              <w:jc w:val="center"/>
              <w:rPr>
                <w:rFonts w:hint="eastAsia" w:ascii="Times New Roman" w:hAnsi="Times New Roman" w:eastAsia="宋体" w:cs="Times New Roman"/>
                <w:snapToGrid w:val="0"/>
                <w:color w:val="000000"/>
                <w:kern w:val="0"/>
                <w:sz w:val="21"/>
                <w:szCs w:val="21"/>
                <w:highlight w:val="none"/>
                <w:lang w:eastAsia="zh-CN"/>
              </w:rPr>
            </w:pPr>
            <w:r>
              <w:rPr>
                <w:rFonts w:hint="default" w:ascii="Times New Roman" w:hAnsi="Times New Roman" w:cs="Times New Roman"/>
                <w:snapToGrid w:val="0"/>
                <w:color w:val="000000"/>
                <w:kern w:val="0"/>
                <w:sz w:val="21"/>
                <w:szCs w:val="21"/>
                <w:highlight w:val="none"/>
              </w:rPr>
              <w:t>昼间：≤60 dB(A)</w:t>
            </w:r>
            <w:r>
              <w:rPr>
                <w:rFonts w:hint="eastAsia" w:ascii="Times New Roman" w:hAnsi="Times New Roman" w:cs="Times New Roman"/>
                <w:snapToGrid w:val="0"/>
                <w:color w:val="000000"/>
                <w:kern w:val="0"/>
                <w:sz w:val="21"/>
                <w:szCs w:val="21"/>
                <w:highlight w:val="none"/>
                <w:lang w:eastAsia="zh-CN"/>
              </w:rPr>
              <w:t>；</w:t>
            </w:r>
          </w:p>
          <w:p w14:paraId="027FFF87">
            <w:pPr>
              <w:adjustRightInd w:val="0"/>
              <w:snapToGrid w:val="0"/>
              <w:spacing w:line="280" w:lineRule="exact"/>
              <w:jc w:val="center"/>
              <w:textAlignment w:val="center"/>
              <w:rPr>
                <w:rFonts w:hint="eastAsia" w:ascii="Times New Roman" w:hAnsi="Times New Roman" w:eastAsia="宋体" w:cs="Times New Roman"/>
                <w:color w:val="000000"/>
                <w:sz w:val="21"/>
                <w:szCs w:val="21"/>
                <w:highlight w:val="none"/>
                <w:lang w:eastAsia="zh-CN" w:bidi="ar"/>
              </w:rPr>
            </w:pPr>
            <w:r>
              <w:rPr>
                <w:rFonts w:hint="default" w:ascii="Times New Roman" w:hAnsi="Times New Roman" w:cs="Times New Roman"/>
                <w:snapToGrid w:val="0"/>
                <w:color w:val="000000"/>
                <w:kern w:val="0"/>
                <w:sz w:val="21"/>
                <w:szCs w:val="21"/>
                <w:highlight w:val="none"/>
              </w:rPr>
              <w:t>夜间：≤50 dB(A)</w:t>
            </w:r>
            <w:r>
              <w:rPr>
                <w:rFonts w:hint="eastAsia" w:ascii="Times New Roman" w:hAnsi="Times New Roman" w:cs="Times New Roman"/>
                <w:snapToGrid w:val="0"/>
                <w:color w:val="000000"/>
                <w:kern w:val="0"/>
                <w:sz w:val="21"/>
                <w:szCs w:val="21"/>
                <w:highlight w:val="none"/>
                <w:lang w:eastAsia="zh-CN"/>
              </w:rPr>
              <w:t>。</w:t>
            </w:r>
          </w:p>
        </w:tc>
      </w:tr>
      <w:tr w14:paraId="5AB7ADA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vMerge w:val="continue"/>
            <w:tcBorders>
              <w:tl2br w:val="nil"/>
              <w:tr2bl w:val="nil"/>
            </w:tcBorders>
            <w:noWrap w:val="0"/>
            <w:vAlign w:val="center"/>
          </w:tcPr>
          <w:p w14:paraId="682DD56D">
            <w:pPr>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p>
        </w:tc>
        <w:tc>
          <w:tcPr>
            <w:tcW w:w="343" w:type="pct"/>
            <w:tcBorders>
              <w:tl2br w:val="nil"/>
              <w:tr2bl w:val="nil"/>
            </w:tcBorders>
            <w:shd w:val="clear" w:color="auto" w:fill="auto"/>
            <w:noWrap w:val="0"/>
            <w:vAlign w:val="center"/>
          </w:tcPr>
          <w:p w14:paraId="2A4CBED8">
            <w:pPr>
              <w:pStyle w:val="174"/>
              <w:adjustRightInd w:val="0"/>
              <w:snapToGrid w:val="0"/>
              <w:rPr>
                <w:rFonts w:hint="default" w:ascii="Times New Roman" w:hAnsi="Times New Roman" w:eastAsia="宋体" w:cs="Times New Roman"/>
                <w:color w:val="000000"/>
                <w:kern w:val="2"/>
                <w:sz w:val="21"/>
                <w:szCs w:val="21"/>
                <w:highlight w:val="none"/>
                <w:lang w:val="en-US" w:eastAsia="zh-CN" w:bidi="ar-SA"/>
              </w:rPr>
            </w:pPr>
            <w:r>
              <w:rPr>
                <w:color w:val="auto"/>
                <w:sz w:val="21"/>
                <w:szCs w:val="21"/>
                <w:highlight w:val="none"/>
              </w:rPr>
              <w:t>排土作业</w:t>
            </w:r>
          </w:p>
        </w:tc>
        <w:tc>
          <w:tcPr>
            <w:tcW w:w="432" w:type="pct"/>
            <w:tcBorders>
              <w:tl2br w:val="nil"/>
              <w:tr2bl w:val="nil"/>
            </w:tcBorders>
            <w:shd w:val="clear" w:color="auto" w:fill="auto"/>
            <w:noWrap w:val="0"/>
            <w:vAlign w:val="center"/>
          </w:tcPr>
          <w:p w14:paraId="11C6C791">
            <w:pPr>
              <w:pStyle w:val="174"/>
              <w:adjustRightInd w:val="0"/>
              <w:snapToGrid w:val="0"/>
              <w:rPr>
                <w:rFonts w:hint="eastAsia" w:ascii="Times New Roman" w:hAnsi="Times New Roman" w:eastAsia="宋体" w:cs="Times New Roman"/>
                <w:color w:val="000000"/>
                <w:kern w:val="2"/>
                <w:sz w:val="21"/>
                <w:szCs w:val="21"/>
                <w:highlight w:val="none"/>
                <w:lang w:val="en-US" w:eastAsia="zh-CN" w:bidi="ar-SA"/>
              </w:rPr>
            </w:pPr>
            <w:r>
              <w:rPr>
                <w:rFonts w:hint="eastAsia"/>
                <w:color w:val="auto"/>
                <w:sz w:val="21"/>
                <w:szCs w:val="21"/>
                <w:highlight w:val="none"/>
                <w:lang w:val="en-US" w:eastAsia="zh-CN"/>
              </w:rPr>
              <w:t>设备噪声</w:t>
            </w:r>
          </w:p>
        </w:tc>
        <w:tc>
          <w:tcPr>
            <w:tcW w:w="550" w:type="pct"/>
            <w:tcBorders>
              <w:tl2br w:val="nil"/>
              <w:tr2bl w:val="nil"/>
            </w:tcBorders>
            <w:shd w:val="clear" w:color="auto" w:fill="auto"/>
            <w:noWrap w:val="0"/>
            <w:vAlign w:val="center"/>
          </w:tcPr>
          <w:p w14:paraId="0E604B7A">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运输汽车</w:t>
            </w:r>
          </w:p>
        </w:tc>
        <w:tc>
          <w:tcPr>
            <w:tcW w:w="625" w:type="pct"/>
            <w:tcBorders>
              <w:tl2br w:val="nil"/>
              <w:tr2bl w:val="nil"/>
            </w:tcBorders>
            <w:shd w:val="clear" w:color="auto" w:fill="auto"/>
            <w:noWrap w:val="0"/>
            <w:vAlign w:val="center"/>
          </w:tcPr>
          <w:p w14:paraId="2DCF6732">
            <w:pPr>
              <w:adjustRightInd w:val="0"/>
              <w:snapToGrid w:val="0"/>
              <w:spacing w:line="280" w:lineRule="exact"/>
              <w:jc w:val="center"/>
              <w:textAlignment w:val="center"/>
              <w:rPr>
                <w:rFonts w:hint="eastAsia" w:ascii="Times New Roman" w:hAnsi="Times New Roman" w:eastAsia="宋体" w:cs="Times New Roman"/>
                <w:color w:val="000000"/>
                <w:kern w:val="2"/>
                <w:sz w:val="21"/>
                <w:szCs w:val="21"/>
                <w:highlight w:val="none"/>
                <w:lang w:val="en-US" w:eastAsia="zh-CN" w:bidi="ar"/>
              </w:rPr>
            </w:pPr>
            <w:r>
              <w:rPr>
                <w:rFonts w:hint="eastAsia" w:cs="Times New Roman"/>
                <w:color w:val="000000"/>
                <w:sz w:val="21"/>
                <w:szCs w:val="21"/>
                <w:highlight w:val="none"/>
                <w:lang w:val="en-US" w:eastAsia="zh-CN" w:bidi="ar"/>
              </w:rPr>
              <w:t>80-85</w:t>
            </w:r>
            <w:r>
              <w:rPr>
                <w:rFonts w:hint="default" w:ascii="Times New Roman" w:hAnsi="Times New Roman" w:cs="Times New Roman"/>
                <w:color w:val="000000"/>
                <w:sz w:val="21"/>
                <w:szCs w:val="21"/>
                <w:highlight w:val="none"/>
                <w:lang w:bidi="ar"/>
              </w:rPr>
              <w:t>dB(A)</w:t>
            </w:r>
          </w:p>
        </w:tc>
        <w:tc>
          <w:tcPr>
            <w:tcW w:w="2160" w:type="pct"/>
            <w:tcBorders>
              <w:tl2br w:val="nil"/>
              <w:tr2bl w:val="nil"/>
            </w:tcBorders>
            <w:shd w:val="clear" w:color="auto" w:fill="auto"/>
            <w:noWrap w:val="0"/>
            <w:vAlign w:val="center"/>
          </w:tcPr>
          <w:p w14:paraId="495B1EA1">
            <w:pPr>
              <w:pStyle w:val="174"/>
              <w:adjustRightInd w:val="0"/>
              <w:snapToGrid w:val="0"/>
              <w:rPr>
                <w:rFonts w:hint="eastAsia" w:ascii="Times New Roman" w:hAnsi="Times New Roman" w:eastAsia="宋体" w:cs="Times New Roman"/>
                <w:color w:val="000000"/>
                <w:kern w:val="2"/>
                <w:sz w:val="21"/>
                <w:szCs w:val="21"/>
                <w:highlight w:val="none"/>
                <w:lang w:val="en-US" w:eastAsia="zh-CN" w:bidi="ar-SA"/>
              </w:rPr>
            </w:pPr>
            <w:r>
              <w:rPr>
                <w:color w:val="auto"/>
                <w:sz w:val="21"/>
                <w:szCs w:val="21"/>
                <w:highlight w:val="none"/>
              </w:rPr>
              <w:t>采用低噪声设备、加强管理、及时维护保养、排土场周边绿化</w:t>
            </w:r>
            <w:r>
              <w:rPr>
                <w:rFonts w:hint="eastAsia"/>
                <w:color w:val="auto"/>
                <w:sz w:val="21"/>
                <w:szCs w:val="21"/>
                <w:highlight w:val="none"/>
                <w:lang w:eastAsia="zh-CN"/>
              </w:rPr>
              <w:t>。</w:t>
            </w:r>
          </w:p>
        </w:tc>
        <w:tc>
          <w:tcPr>
            <w:tcW w:w="663" w:type="pct"/>
            <w:vMerge w:val="continue"/>
            <w:tcBorders>
              <w:tl2br w:val="nil"/>
              <w:tr2bl w:val="nil"/>
            </w:tcBorders>
            <w:noWrap w:val="0"/>
            <w:vAlign w:val="center"/>
          </w:tcPr>
          <w:p w14:paraId="51F9E56B">
            <w:pPr>
              <w:adjustRightInd w:val="0"/>
              <w:snapToGrid w:val="0"/>
              <w:spacing w:line="280" w:lineRule="exact"/>
              <w:jc w:val="center"/>
              <w:textAlignment w:val="center"/>
              <w:rPr>
                <w:rFonts w:hint="default" w:ascii="Times New Roman" w:hAnsi="Times New Roman" w:cs="Times New Roman"/>
                <w:snapToGrid w:val="0"/>
                <w:color w:val="000000"/>
                <w:kern w:val="0"/>
                <w:sz w:val="21"/>
                <w:szCs w:val="21"/>
                <w:highlight w:val="none"/>
              </w:rPr>
            </w:pPr>
          </w:p>
        </w:tc>
      </w:tr>
      <w:tr w14:paraId="72E1C7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25" w:type="pct"/>
            <w:tcBorders>
              <w:tl2br w:val="nil"/>
              <w:tr2bl w:val="nil"/>
            </w:tcBorders>
            <w:noWrap w:val="0"/>
            <w:vAlign w:val="center"/>
          </w:tcPr>
          <w:p w14:paraId="67F991DE">
            <w:pPr>
              <w:widowControl/>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r>
              <w:rPr>
                <w:rFonts w:hint="default" w:ascii="Times New Roman" w:hAnsi="Times New Roman" w:cs="Times New Roman"/>
                <w:color w:val="000000"/>
                <w:sz w:val="21"/>
                <w:szCs w:val="21"/>
                <w:highlight w:val="none"/>
                <w:lang w:bidi="ar"/>
              </w:rPr>
              <w:t>固废</w:t>
            </w:r>
          </w:p>
        </w:tc>
        <w:tc>
          <w:tcPr>
            <w:tcW w:w="343" w:type="pct"/>
            <w:tcBorders>
              <w:tl2br w:val="nil"/>
              <w:tr2bl w:val="nil"/>
            </w:tcBorders>
            <w:noWrap w:val="0"/>
            <w:vAlign w:val="center"/>
          </w:tcPr>
          <w:p w14:paraId="37A30D76">
            <w:pPr>
              <w:pStyle w:val="174"/>
              <w:adjustRightInd w:val="0"/>
              <w:snapToGrid w:val="0"/>
              <w:rPr>
                <w:rFonts w:hint="default" w:ascii="Times New Roman" w:hAnsi="Times New Roman" w:eastAsia="宋体" w:cs="Times New Roman"/>
                <w:color w:val="000000"/>
                <w:sz w:val="21"/>
                <w:szCs w:val="21"/>
                <w:highlight w:val="none"/>
                <w:lang w:val="en-US" w:eastAsia="zh-CN" w:bidi="ar"/>
              </w:rPr>
            </w:pPr>
            <w:r>
              <w:rPr>
                <w:color w:val="auto"/>
                <w:sz w:val="21"/>
                <w:szCs w:val="21"/>
                <w:highlight w:val="none"/>
              </w:rPr>
              <w:t>排土作业</w:t>
            </w:r>
          </w:p>
        </w:tc>
        <w:tc>
          <w:tcPr>
            <w:tcW w:w="432" w:type="pct"/>
            <w:tcBorders>
              <w:tl2br w:val="nil"/>
              <w:tr2bl w:val="nil"/>
            </w:tcBorders>
            <w:noWrap w:val="0"/>
            <w:vAlign w:val="center"/>
          </w:tcPr>
          <w:p w14:paraId="2E47378E">
            <w:pPr>
              <w:pStyle w:val="174"/>
              <w:adjustRightInd w:val="0"/>
              <w:snapToGrid w:val="0"/>
              <w:rPr>
                <w:rFonts w:hint="eastAsia" w:ascii="Times New Roman" w:hAnsi="Times New Roman" w:eastAsia="宋体" w:cs="Times New Roman"/>
                <w:color w:val="auto"/>
                <w:sz w:val="21"/>
                <w:szCs w:val="21"/>
                <w:highlight w:val="none"/>
                <w:lang w:val="en-US" w:eastAsia="zh-CN"/>
              </w:rPr>
            </w:pPr>
            <w:r>
              <w:rPr>
                <w:rFonts w:hint="eastAsia"/>
                <w:color w:val="auto"/>
                <w:kern w:val="2"/>
                <w:sz w:val="21"/>
                <w:szCs w:val="21"/>
                <w:highlight w:val="none"/>
                <w:lang w:val="en-US" w:eastAsia="zh-CN"/>
              </w:rPr>
              <w:t>废石</w:t>
            </w:r>
          </w:p>
        </w:tc>
        <w:tc>
          <w:tcPr>
            <w:tcW w:w="550" w:type="pct"/>
            <w:tcBorders>
              <w:tl2br w:val="nil"/>
              <w:tr2bl w:val="nil"/>
            </w:tcBorders>
            <w:noWrap w:val="0"/>
            <w:vAlign w:val="center"/>
          </w:tcPr>
          <w:p w14:paraId="27AE717B">
            <w:pPr>
              <w:pStyle w:val="161"/>
              <w:keepNext w:val="0"/>
              <w:keepLines w:val="0"/>
              <w:pageBreakBefore w:val="0"/>
              <w:widowControl w:val="0"/>
              <w:kinsoku/>
              <w:wordWrap/>
              <w:overflowPunct/>
              <w:topLinePunct w:val="0"/>
              <w:autoSpaceDE/>
              <w:autoSpaceDN/>
              <w:bidi w:val="0"/>
              <w:adjustRightInd/>
              <w:snapToGrid/>
              <w:spacing w:line="260" w:lineRule="exact"/>
              <w:ind w:firstLine="0" w:firstLineChars="0"/>
              <w:textAlignment w:val="auto"/>
              <w:outlineLvl w:val="9"/>
              <w:rPr>
                <w:rFonts w:hint="default" w:ascii="Times New Roman" w:hAnsi="Times New Roman" w:cs="Times New Roman"/>
                <w:color w:val="000000"/>
                <w:sz w:val="21"/>
                <w:szCs w:val="21"/>
                <w:highlight w:val="none"/>
                <w:lang w:bidi="ar"/>
              </w:rPr>
            </w:pPr>
            <w:r>
              <w:rPr>
                <w:rFonts w:hint="eastAsia" w:ascii="Times New Roman" w:hAnsi="Times New Roman" w:eastAsia="宋体" w:cs="Times New Roman"/>
                <w:color w:val="auto"/>
                <w:sz w:val="21"/>
                <w:szCs w:val="21"/>
                <w:highlight w:val="none"/>
                <w:lang w:val="en-US" w:eastAsia="zh-CN"/>
              </w:rPr>
              <w:t>废石</w:t>
            </w:r>
          </w:p>
        </w:tc>
        <w:tc>
          <w:tcPr>
            <w:tcW w:w="625" w:type="pct"/>
            <w:tcBorders>
              <w:tl2br w:val="nil"/>
              <w:tr2bl w:val="nil"/>
            </w:tcBorders>
            <w:noWrap w:val="0"/>
            <w:vAlign w:val="center"/>
          </w:tcPr>
          <w:p w14:paraId="403B2D4D">
            <w:pPr>
              <w:widowControl/>
              <w:adjustRightInd w:val="0"/>
              <w:snapToGrid w:val="0"/>
              <w:spacing w:line="280" w:lineRule="exact"/>
              <w:jc w:val="center"/>
              <w:textAlignment w:val="center"/>
              <w:rPr>
                <w:rFonts w:hint="default" w:ascii="Times New Roman" w:hAnsi="Times New Roman" w:cs="Times New Roman"/>
                <w:color w:val="000000"/>
                <w:sz w:val="21"/>
                <w:szCs w:val="21"/>
                <w:highlight w:val="none"/>
                <w:lang w:bidi="ar"/>
              </w:rPr>
            </w:pPr>
            <w:r>
              <w:rPr>
                <w:rFonts w:hint="eastAsia" w:cs="Times New Roman"/>
                <w:color w:val="000000"/>
                <w:sz w:val="21"/>
                <w:szCs w:val="21"/>
                <w:highlight w:val="none"/>
                <w:lang w:val="en-US" w:eastAsia="zh-CN" w:bidi="ar"/>
              </w:rPr>
              <w:t>130.5万m</w:t>
            </w:r>
            <w:r>
              <w:rPr>
                <w:rFonts w:hint="eastAsia" w:cs="Times New Roman"/>
                <w:color w:val="000000"/>
                <w:sz w:val="21"/>
                <w:szCs w:val="21"/>
                <w:highlight w:val="none"/>
                <w:vertAlign w:val="superscript"/>
                <w:lang w:val="en-US" w:eastAsia="zh-CN" w:bidi="ar"/>
              </w:rPr>
              <w:t>3</w:t>
            </w:r>
            <w:r>
              <w:rPr>
                <w:rFonts w:hint="eastAsia" w:cs="Times New Roman"/>
                <w:color w:val="000000"/>
                <w:sz w:val="21"/>
                <w:szCs w:val="21"/>
                <w:highlight w:val="none"/>
                <w:lang w:val="en-US" w:eastAsia="zh-CN" w:bidi="ar"/>
              </w:rPr>
              <w:t>/a</w:t>
            </w:r>
          </w:p>
        </w:tc>
        <w:tc>
          <w:tcPr>
            <w:tcW w:w="2160" w:type="pct"/>
            <w:tcBorders>
              <w:tl2br w:val="nil"/>
              <w:tr2bl w:val="nil"/>
            </w:tcBorders>
            <w:noWrap w:val="0"/>
            <w:vAlign w:val="center"/>
          </w:tcPr>
          <w:p w14:paraId="76C1D178">
            <w:pPr>
              <w:pStyle w:val="174"/>
              <w:adjustRightInd w:val="0"/>
              <w:snapToGrid w:val="0"/>
              <w:rPr>
                <w:rFonts w:hint="default" w:ascii="Times New Roman" w:hAnsi="Times New Roman" w:cs="Times New Roman"/>
                <w:color w:val="000000"/>
                <w:sz w:val="21"/>
                <w:szCs w:val="21"/>
                <w:highlight w:val="none"/>
                <w:lang w:bidi="ar"/>
              </w:rPr>
            </w:pPr>
            <w:r>
              <w:rPr>
                <w:color w:val="auto"/>
                <w:sz w:val="21"/>
                <w:szCs w:val="21"/>
                <w:highlight w:val="none"/>
              </w:rPr>
              <w:t>置于排土场内</w:t>
            </w:r>
            <w:r>
              <w:rPr>
                <w:rFonts w:hint="eastAsia"/>
                <w:color w:val="auto"/>
                <w:sz w:val="21"/>
                <w:szCs w:val="21"/>
                <w:highlight w:val="none"/>
                <w:lang w:eastAsia="zh-CN"/>
              </w:rPr>
              <w:t>。</w:t>
            </w:r>
          </w:p>
        </w:tc>
        <w:tc>
          <w:tcPr>
            <w:tcW w:w="663" w:type="pct"/>
            <w:tcBorders>
              <w:tl2br w:val="nil"/>
              <w:tr2bl w:val="nil"/>
            </w:tcBorders>
            <w:noWrap w:val="0"/>
            <w:vAlign w:val="center"/>
          </w:tcPr>
          <w:p w14:paraId="665E0189">
            <w:pPr>
              <w:widowControl/>
              <w:adjustRightInd w:val="0"/>
              <w:snapToGrid w:val="0"/>
              <w:spacing w:line="280" w:lineRule="exact"/>
              <w:jc w:val="center"/>
              <w:textAlignment w:val="center"/>
              <w:rPr>
                <w:rFonts w:hint="eastAsia" w:ascii="Times New Roman" w:hAnsi="Times New Roman" w:eastAsia="宋体" w:cs="Times New Roman"/>
                <w:color w:val="000000"/>
                <w:sz w:val="21"/>
                <w:szCs w:val="21"/>
                <w:highlight w:val="none"/>
                <w:lang w:eastAsia="zh-CN" w:bidi="ar"/>
              </w:rPr>
            </w:pPr>
            <w:r>
              <w:rPr>
                <w:rFonts w:hint="eastAsia" w:ascii="Times New Roman" w:hAnsi="Times New Roman" w:cs="Times New Roman"/>
                <w:color w:val="000000"/>
                <w:sz w:val="21"/>
                <w:szCs w:val="21"/>
                <w:highlight w:val="none"/>
                <w:lang w:val="en-US" w:eastAsia="zh-CN" w:bidi="ar"/>
              </w:rPr>
              <w:t>0</w:t>
            </w:r>
          </w:p>
        </w:tc>
      </w:tr>
    </w:tbl>
    <w:p w14:paraId="5E2D1147">
      <w:pPr>
        <w:pStyle w:val="17"/>
        <w:pageBreakBefore w:val="0"/>
        <w:widowControl w:val="0"/>
        <w:kinsoku/>
        <w:wordWrap/>
        <w:overflowPunct/>
        <w:topLinePunct w:val="0"/>
        <w:autoSpaceDE/>
        <w:autoSpaceDN/>
        <w:bidi w:val="0"/>
        <w:adjustRightInd w:val="0"/>
        <w:snapToGrid w:val="0"/>
        <w:spacing w:line="360" w:lineRule="auto"/>
        <w:ind w:left="0" w:firstLine="480"/>
        <w:textAlignment w:val="auto"/>
        <w:rPr>
          <w:rFonts w:hint="eastAsia" w:cs="Times New Roman"/>
          <w:color w:val="000000"/>
          <w:sz w:val="24"/>
          <w:szCs w:val="24"/>
          <w:highlight w:val="none"/>
          <w:lang w:val="en-US" w:eastAsia="zh-CN"/>
        </w:rPr>
      </w:pPr>
    </w:p>
    <w:p w14:paraId="6C40468D">
      <w:pPr>
        <w:pStyle w:val="17"/>
        <w:pageBreakBefore w:val="0"/>
        <w:widowControl w:val="0"/>
        <w:kinsoku/>
        <w:wordWrap/>
        <w:overflowPunct/>
        <w:topLinePunct w:val="0"/>
        <w:autoSpaceDE/>
        <w:autoSpaceDN/>
        <w:bidi w:val="0"/>
        <w:adjustRightInd w:val="0"/>
        <w:snapToGrid w:val="0"/>
        <w:spacing w:line="360" w:lineRule="auto"/>
        <w:ind w:left="0" w:firstLine="480"/>
        <w:textAlignment w:val="auto"/>
        <w:rPr>
          <w:rFonts w:hint="eastAsia" w:cs="Times New Roman"/>
          <w:color w:val="000000"/>
          <w:sz w:val="24"/>
          <w:szCs w:val="24"/>
          <w:highlight w:val="none"/>
          <w:lang w:val="en-US" w:eastAsia="zh-CN"/>
        </w:rPr>
      </w:pPr>
    </w:p>
    <w:p w14:paraId="2AD676B1">
      <w:pPr>
        <w:pStyle w:val="17"/>
        <w:pageBreakBefore w:val="0"/>
        <w:widowControl w:val="0"/>
        <w:kinsoku/>
        <w:wordWrap/>
        <w:overflowPunct/>
        <w:topLinePunct w:val="0"/>
        <w:autoSpaceDE/>
        <w:autoSpaceDN/>
        <w:bidi w:val="0"/>
        <w:adjustRightInd w:val="0"/>
        <w:snapToGrid w:val="0"/>
        <w:spacing w:line="360" w:lineRule="auto"/>
        <w:ind w:left="0" w:firstLine="480"/>
        <w:textAlignment w:val="auto"/>
        <w:rPr>
          <w:rFonts w:hint="eastAsia" w:cs="Times New Roman"/>
          <w:color w:val="000000"/>
          <w:sz w:val="24"/>
          <w:szCs w:val="24"/>
          <w:highlight w:val="none"/>
          <w:lang w:val="en-US" w:eastAsia="zh-CN"/>
        </w:rPr>
      </w:pPr>
    </w:p>
    <w:p w14:paraId="6E4F0EB2">
      <w:pPr>
        <w:pStyle w:val="17"/>
        <w:pageBreakBefore w:val="0"/>
        <w:widowControl w:val="0"/>
        <w:kinsoku/>
        <w:wordWrap/>
        <w:overflowPunct/>
        <w:topLinePunct w:val="0"/>
        <w:autoSpaceDE/>
        <w:autoSpaceDN/>
        <w:bidi w:val="0"/>
        <w:adjustRightInd w:val="0"/>
        <w:snapToGrid w:val="0"/>
        <w:spacing w:line="360" w:lineRule="auto"/>
        <w:ind w:left="0" w:firstLine="480"/>
        <w:textAlignment w:val="auto"/>
        <w:rPr>
          <w:rFonts w:hint="eastAsia" w:cs="Times New Roman"/>
          <w:color w:val="000000"/>
          <w:sz w:val="24"/>
          <w:szCs w:val="24"/>
          <w:highlight w:val="none"/>
          <w:lang w:val="en-US" w:eastAsia="zh-CN"/>
        </w:rPr>
      </w:pPr>
    </w:p>
    <w:p w14:paraId="62C23BAF">
      <w:pPr>
        <w:pStyle w:val="17"/>
        <w:pageBreakBefore w:val="0"/>
        <w:widowControl w:val="0"/>
        <w:kinsoku/>
        <w:wordWrap/>
        <w:overflowPunct/>
        <w:topLinePunct w:val="0"/>
        <w:autoSpaceDE/>
        <w:autoSpaceDN/>
        <w:bidi w:val="0"/>
        <w:adjustRightInd w:val="0"/>
        <w:snapToGrid w:val="0"/>
        <w:spacing w:line="360" w:lineRule="auto"/>
        <w:ind w:left="0" w:firstLine="480"/>
        <w:textAlignment w:val="auto"/>
        <w:rPr>
          <w:rFonts w:hint="eastAsia" w:cs="Times New Roman"/>
          <w:color w:val="000000"/>
          <w:sz w:val="24"/>
          <w:szCs w:val="24"/>
          <w:highlight w:val="none"/>
          <w:lang w:val="en-US" w:eastAsia="zh-CN"/>
        </w:rPr>
      </w:pPr>
    </w:p>
    <w:p w14:paraId="53663E2B">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b w:val="0"/>
          <w:bCs w:val="0"/>
          <w:color w:val="000000"/>
          <w:kern w:val="0"/>
          <w:sz w:val="24"/>
          <w:szCs w:val="21"/>
          <w:highlight w:val="none"/>
          <w:lang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cols w:space="720" w:num="1"/>
          <w:docGrid w:type="lines" w:linePitch="312" w:charSpace="0"/>
        </w:sectPr>
      </w:pPr>
    </w:p>
    <w:bookmarkEnd w:id="181"/>
    <w:bookmarkEnd w:id="182"/>
    <w:bookmarkEnd w:id="183"/>
    <w:p w14:paraId="4AF0B177">
      <w:pPr>
        <w:pStyle w:val="187"/>
        <w:rPr>
          <w:rFonts w:hint="default" w:ascii="Times New Roman" w:hAnsi="Times New Roman" w:cs="Times New Roman"/>
          <w:color w:val="000000"/>
          <w:highlight w:val="none"/>
        </w:rPr>
      </w:pPr>
      <w:bookmarkStart w:id="190" w:name="_Toc24712"/>
      <w:bookmarkStart w:id="191" w:name="_Toc21225"/>
      <w:bookmarkStart w:id="192" w:name="_Toc32058"/>
      <w:bookmarkStart w:id="193" w:name="_Toc12875"/>
      <w:bookmarkStart w:id="194" w:name="_Toc25028"/>
      <w:r>
        <w:rPr>
          <w:rFonts w:hint="default" w:ascii="Times New Roman" w:hAnsi="Times New Roman" w:cs="Times New Roman"/>
          <w:color w:val="000000"/>
          <w:highlight w:val="none"/>
        </w:rPr>
        <w:t>环境现状调查与评价</w:t>
      </w:r>
      <w:bookmarkEnd w:id="190"/>
      <w:bookmarkEnd w:id="191"/>
      <w:bookmarkEnd w:id="192"/>
      <w:bookmarkEnd w:id="193"/>
      <w:bookmarkEnd w:id="194"/>
    </w:p>
    <w:p w14:paraId="147D0511">
      <w:pPr>
        <w:pStyle w:val="5"/>
        <w:pageBreakBefore w:val="0"/>
        <w:kinsoku/>
        <w:wordWrap/>
        <w:overflowPunct/>
        <w:topLinePunct w:val="0"/>
        <w:autoSpaceDE/>
        <w:autoSpaceDN/>
        <w:bidi w:val="0"/>
        <w:spacing w:before="0" w:after="0" w:line="360" w:lineRule="auto"/>
        <w:textAlignment w:val="auto"/>
        <w:rPr>
          <w:rFonts w:hint="default" w:ascii="Times New Roman" w:hAnsi="Times New Roman" w:cs="Times New Roman"/>
          <w:color w:val="000000"/>
          <w:sz w:val="28"/>
          <w:szCs w:val="28"/>
          <w:highlight w:val="none"/>
        </w:rPr>
      </w:pPr>
      <w:bookmarkStart w:id="195" w:name="_Toc5795"/>
      <w:bookmarkStart w:id="196" w:name="_Toc7440"/>
      <w:bookmarkStart w:id="197" w:name="_Toc10365"/>
      <w:bookmarkStart w:id="198" w:name="_Toc4306"/>
      <w:bookmarkStart w:id="199" w:name="_Toc11736"/>
      <w:r>
        <w:rPr>
          <w:rFonts w:hint="default" w:ascii="Times New Roman" w:hAnsi="Times New Roman" w:cs="Times New Roman"/>
          <w:color w:val="000000"/>
          <w:sz w:val="28"/>
          <w:szCs w:val="28"/>
          <w:highlight w:val="none"/>
        </w:rPr>
        <w:t>自然环境概况</w:t>
      </w:r>
      <w:bookmarkEnd w:id="195"/>
      <w:bookmarkEnd w:id="196"/>
      <w:bookmarkEnd w:id="197"/>
      <w:bookmarkEnd w:id="198"/>
      <w:bookmarkEnd w:id="199"/>
    </w:p>
    <w:p w14:paraId="26354A3D">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00" w:name="_Toc9957"/>
      <w:r>
        <w:rPr>
          <w:rFonts w:hint="default" w:ascii="Times New Roman" w:hAnsi="Times New Roman" w:cs="Times New Roman"/>
          <w:color w:val="000000"/>
          <w:sz w:val="24"/>
          <w:szCs w:val="24"/>
          <w:highlight w:val="none"/>
        </w:rPr>
        <w:t>地理位置</w:t>
      </w:r>
      <w:bookmarkEnd w:id="200"/>
    </w:p>
    <w:p w14:paraId="1AC20849">
      <w:pPr>
        <w:pageBreakBefore w:val="0"/>
        <w:widowControl w:val="0"/>
        <w:kinsoku/>
        <w:wordWrap/>
        <w:overflowPunct/>
        <w:topLinePunct w:val="0"/>
        <w:autoSpaceDN/>
        <w:bidi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color w:val="auto"/>
          <w:sz w:val="24"/>
          <w:szCs w:val="24"/>
          <w:highlight w:val="none"/>
        </w:rPr>
        <w:t>隆化县位于承德市中部，七老图山脉西侧，地处N41°08′-41°50′，E116°47′-117°19′，总面积为5473.45k</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2</w:t>
      </w:r>
      <w:r>
        <w:rPr>
          <w:rFonts w:hint="default" w:ascii="Times New Roman" w:hAnsi="Times New Roman" w:cs="Times New Roman"/>
          <w:color w:val="auto"/>
          <w:sz w:val="24"/>
          <w:szCs w:val="24"/>
          <w:highlight w:val="none"/>
        </w:rPr>
        <w:t>，北和东北与围场县、内蒙古相邻，南接承德市、滦平县、承德县，西邻丰宁县，县政府驻隆化镇，距承德市60km，距北京市280km，距天津港430km，距承德机场仅40km。隆化县区位优越，位于环首都、环渤海、京津冀三个国家发展战略经济圈的交汇地带。京通铁路，张承、承赤高速公路穿越而过。境内铁路贯通，公路成网，京通、承隆铁路境内分布10个站点。承赤、承围、韩郭、隆凤、张隆等七条国省公路干线通车里程591km。承赤、承张高速公路跨境通过，形成了北接辽蒙，南通京津的交通网络</w:t>
      </w:r>
      <w:r>
        <w:rPr>
          <w:color w:val="auto"/>
          <w:sz w:val="24"/>
          <w:szCs w:val="24"/>
          <w:highlight w:val="none"/>
        </w:rPr>
        <w:t>。</w:t>
      </w:r>
    </w:p>
    <w:p w14:paraId="3EE40BDC">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本项目位于</w:t>
      </w:r>
      <w:r>
        <w:rPr>
          <w:rFonts w:hint="eastAsia" w:cs="Times New Roman"/>
          <w:color w:val="000000"/>
          <w:sz w:val="24"/>
          <w:szCs w:val="24"/>
          <w:highlight w:val="none"/>
          <w:lang w:eastAsia="zh-CN"/>
        </w:rPr>
        <w:t>隆化县韩麻营镇东兴村东北沟，</w:t>
      </w:r>
      <w:r>
        <w:rPr>
          <w:rFonts w:hint="default" w:ascii="Times New Roman" w:hAnsi="Times New Roman" w:cs="Times New Roman"/>
          <w:color w:val="000000"/>
          <w:sz w:val="24"/>
          <w:szCs w:val="24"/>
          <w:highlight w:val="none"/>
          <w:lang w:eastAsia="zh-CN"/>
        </w:rPr>
        <w:t>项目</w:t>
      </w:r>
      <w:r>
        <w:rPr>
          <w:rFonts w:hint="default" w:ascii="Times New Roman" w:hAnsi="Times New Roman" w:cs="Times New Roman"/>
          <w:color w:val="000000"/>
          <w:sz w:val="24"/>
          <w:szCs w:val="24"/>
          <w:highlight w:val="none"/>
        </w:rPr>
        <w:t>地理位置图见附图1。</w:t>
      </w:r>
    </w:p>
    <w:p w14:paraId="2CD86BCF">
      <w:pPr>
        <w:pStyle w:val="6"/>
        <w:pageBreakBefore w:val="0"/>
        <w:widowControl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01" w:name="_Toc312408565"/>
      <w:bookmarkStart w:id="202" w:name="_Toc313968673"/>
      <w:bookmarkStart w:id="203" w:name="_Toc313959312"/>
      <w:bookmarkStart w:id="204" w:name="_Toc472164360"/>
      <w:bookmarkStart w:id="205" w:name="_Toc470785863"/>
      <w:bookmarkStart w:id="206" w:name="_Toc884"/>
      <w:r>
        <w:rPr>
          <w:rFonts w:hint="default" w:ascii="Times New Roman" w:hAnsi="Times New Roman" w:cs="Times New Roman"/>
          <w:color w:val="000000"/>
          <w:sz w:val="24"/>
          <w:szCs w:val="24"/>
          <w:highlight w:val="none"/>
        </w:rPr>
        <w:t>地形地貌</w:t>
      </w:r>
      <w:bookmarkEnd w:id="201"/>
      <w:bookmarkEnd w:id="202"/>
      <w:bookmarkEnd w:id="203"/>
      <w:bookmarkEnd w:id="204"/>
      <w:bookmarkEnd w:id="205"/>
      <w:bookmarkEnd w:id="206"/>
    </w:p>
    <w:p w14:paraId="48EDC13E">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隆化处在冀北山区，山地古老，近似丘陵，河谷平川，尤以伊逊河两岸河谷较为宽阔。地面平坦，土质肥沃，庙宫水库建成后，两岸稻谷飘香，阡陌纵横。县域除河谷、狭窄平川外大部为低山丘陵，有“八山一水一分田”之称。燕山余脉在县域自西北向东南斜向延伸，形成西北高东南低的地势。</w:t>
      </w:r>
    </w:p>
    <w:p w14:paraId="0ABE0E7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隆化县平均海拔750m。境内主要有燕山及其余脉，七老图山脉绵延在东部县境，成为该县与内蒙古喀喇沁旗的</w:t>
      </w:r>
      <w:r>
        <w:rPr>
          <w:rFonts w:hint="default" w:ascii="Times New Roman" w:hAnsi="Times New Roman" w:cs="Times New Roman"/>
          <w:sz w:val="24"/>
          <w:szCs w:val="24"/>
          <w:highlight w:val="none"/>
          <w:lang w:eastAsia="zh-CN"/>
        </w:rPr>
        <w:t>分界线</w:t>
      </w:r>
      <w:r>
        <w:rPr>
          <w:rFonts w:hint="default" w:ascii="Times New Roman" w:hAnsi="Times New Roman" w:cs="Times New Roman"/>
          <w:sz w:val="24"/>
          <w:szCs w:val="24"/>
          <w:highlight w:val="none"/>
        </w:rPr>
        <w:t>。最高峰位于北部和围场县交界处的敖包山，海拔1852m。最低点为鹦鹉河（上游为武烈河）最南边界处河谷，高程约423m。区内可分为主要地貌单元：</w:t>
      </w:r>
    </w:p>
    <w:p w14:paraId="711A51F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中山地貌单元：在大窝铺—隆化—姚吉营一线的北部地区。区内一般高程在1000</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1500m，部分山峰超过1500m。</w:t>
      </w:r>
    </w:p>
    <w:p w14:paraId="6FD7349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低山地貌单元：在大窝铺—隆化—姚吉营一线的南部地区。本区一般高程为600m</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1000m，但也有较高山峰，河流分水岭地带，如滦河与伊逊河之间的娘子沟山高程为1079.6m。伊逊河与鹦鹉河之前的东山高程为1090.8m。大营子山高程为1122.3m。</w:t>
      </w:r>
    </w:p>
    <w:p w14:paraId="232106C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s="Times New Roman"/>
          <w:sz w:val="24"/>
          <w:szCs w:val="24"/>
          <w:highlight w:val="none"/>
          <w:lang w:eastAsia="zh-CN"/>
        </w:rPr>
      </w:pPr>
      <w:r>
        <w:rPr>
          <w:rFonts w:hint="default" w:ascii="Times New Roman" w:hAnsi="Times New Roman" w:cs="Times New Roman"/>
          <w:sz w:val="24"/>
          <w:szCs w:val="24"/>
          <w:highlight w:val="none"/>
        </w:rPr>
        <w:t>河谷阶地地貌单元：区内的滦河、蚂蚁吐河及伊逊河，都分布着狭长的第四系堆积物，形成河漫滩与阶地。由于地势平缓，形成了河流曲折开阔的地形。区内分布着四条河流，西部为滦河，中部为伊玛图河和伊逊河，东部为武烈河（包括鹦鹉河、茅沟河）均属滦河水系</w:t>
      </w:r>
      <w:r>
        <w:rPr>
          <w:rFonts w:hint="eastAsia" w:cs="Times New Roman"/>
          <w:sz w:val="24"/>
          <w:szCs w:val="24"/>
          <w:highlight w:val="none"/>
          <w:lang w:eastAsia="zh-CN"/>
        </w:rPr>
        <w:t>。</w:t>
      </w:r>
    </w:p>
    <w:p w14:paraId="5339F09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s="Times New Roman"/>
          <w:sz w:val="24"/>
          <w:szCs w:val="24"/>
          <w:highlight w:val="none"/>
          <w:lang w:eastAsia="zh-CN"/>
        </w:rPr>
      </w:pPr>
      <w:r>
        <w:rPr>
          <w:rFonts w:hint="eastAsia" w:ascii="Times New Roman" w:hAnsi="Times New Roman" w:cs="Times New Roman"/>
          <w:sz w:val="24"/>
          <w:szCs w:val="22"/>
          <w:highlight w:val="none"/>
          <w:lang w:val="en-US" w:eastAsia="zh-CN"/>
        </w:rPr>
        <w:t>项目在已闭库尾矿库上建设，场区地形地貌条件相对简单，地形有利于自然排水，地质构造简单，岩溶不发育。项目排土场地基土主要为第四系人工填土、第四系冲洪积、片麻岩。</w:t>
      </w:r>
    </w:p>
    <w:p w14:paraId="47D52F6D">
      <w:pPr>
        <w:pStyle w:val="6"/>
        <w:pageBreakBefore w:val="0"/>
        <w:widowControl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07" w:name="_Toc472164361"/>
      <w:bookmarkStart w:id="208" w:name="_Toc470785864"/>
      <w:bookmarkStart w:id="209" w:name="_Toc9954"/>
      <w:r>
        <w:rPr>
          <w:rFonts w:hint="default" w:ascii="Times New Roman" w:hAnsi="Times New Roman" w:cs="Times New Roman"/>
          <w:color w:val="000000"/>
          <w:sz w:val="24"/>
          <w:szCs w:val="24"/>
          <w:highlight w:val="none"/>
        </w:rPr>
        <w:t>气候特征</w:t>
      </w:r>
      <w:bookmarkEnd w:id="207"/>
      <w:bookmarkEnd w:id="208"/>
      <w:bookmarkEnd w:id="209"/>
    </w:p>
    <w:p w14:paraId="67A91862">
      <w:pPr>
        <w:keepNext w:val="0"/>
        <w:keepLines w:val="0"/>
        <w:pageBreakBefore w:val="0"/>
        <w:widowControl w:val="0"/>
        <w:kinsoku/>
        <w:wordWrap/>
        <w:overflowPunct/>
        <w:topLinePunct w:val="0"/>
        <w:autoSpaceDE w:val="0"/>
        <w:autoSpaceDN/>
        <w:bidi w:val="0"/>
        <w:adjustRightInd/>
        <w:snapToGrid/>
        <w:spacing w:line="360" w:lineRule="auto"/>
        <w:ind w:firstLine="480" w:firstLineChars="200"/>
        <w:textAlignment w:val="auto"/>
        <w:rPr>
          <w:color w:val="auto"/>
          <w:sz w:val="24"/>
          <w:szCs w:val="24"/>
          <w:highlight w:val="none"/>
        </w:rPr>
      </w:pPr>
      <w:bookmarkStart w:id="210" w:name="_Toc81732699"/>
      <w:bookmarkStart w:id="211" w:name="_Toc104714081"/>
      <w:r>
        <w:rPr>
          <w:rFonts w:hint="default" w:ascii="Times New Roman" w:hAnsi="Times New Roman" w:cs="Times New Roman"/>
          <w:snapToGrid w:val="0"/>
          <w:color w:val="auto"/>
          <w:sz w:val="24"/>
          <w:szCs w:val="24"/>
          <w:highlight w:val="none"/>
        </w:rPr>
        <w:t>隆化县属于半湿润半干旱大陆性季风型山地气候，主要特征为：冬季寒冷少雪；春季干旱少雨；夏季温和多雷阵雨；秋季凉爽，四季分明，昼夜温差大，垂直差异大于水平差异，根据隆化气象站观测数据统计，隆化近20年平均气压950.4hPa，平均风速为1.5m/s，最大风速为17.8m/s。平均气温7.6℃，最冷的1月份平均气温-10.6℃，而最热的7月份平均气温为23.6℃。极端最高气温40.7℃，极端最低气温-28.2℃。年平均相对湿度56%。年平均降水量为480.5mm，最大年降水量为612.1mm，最小年降水量为325.9mm。年均日照时数2557.2h。全年无主导风向，最多风向是NW，频率为9%，年静风频率29%</w:t>
      </w:r>
      <w:r>
        <w:rPr>
          <w:color w:val="auto"/>
          <w:sz w:val="24"/>
          <w:szCs w:val="24"/>
          <w:highlight w:val="none"/>
        </w:rPr>
        <w:t>。</w:t>
      </w:r>
    </w:p>
    <w:bookmarkEnd w:id="210"/>
    <w:bookmarkEnd w:id="211"/>
    <w:p w14:paraId="68388440">
      <w:pPr>
        <w:pStyle w:val="6"/>
        <w:pageBreakBefore w:val="0"/>
        <w:widowControl w:val="0"/>
        <w:kinsoku/>
        <w:wordWrap/>
        <w:overflowPunct/>
        <w:topLinePunct w:val="0"/>
        <w:autoSpaceDE/>
        <w:autoSpaceDN/>
        <w:bidi w:val="0"/>
        <w:spacing w:before="0" w:beforeLines="0"/>
        <w:textAlignment w:val="auto"/>
        <w:rPr>
          <w:rFonts w:hint="default" w:ascii="Times New Roman" w:hAnsi="Times New Roman" w:cs="Times New Roman"/>
          <w:color w:val="000000"/>
          <w:sz w:val="24"/>
          <w:szCs w:val="24"/>
          <w:highlight w:val="none"/>
        </w:rPr>
      </w:pPr>
      <w:bookmarkStart w:id="212" w:name="_Toc4340"/>
      <w:r>
        <w:rPr>
          <w:rFonts w:hint="default" w:ascii="Times New Roman" w:hAnsi="Times New Roman" w:cs="Times New Roman"/>
          <w:color w:val="000000"/>
          <w:sz w:val="24"/>
          <w:szCs w:val="24"/>
          <w:highlight w:val="none"/>
        </w:rPr>
        <w:t>河流水系</w:t>
      </w:r>
      <w:bookmarkEnd w:id="212"/>
    </w:p>
    <w:p w14:paraId="504847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隆化县境内主要河流有四条：滦河、伊玛图河（别名蚁蚂吐河）、伊逊河、武烈河（支流包括兴隆河、茅沟河）。滦河在县境内长101km，途经10个乡镇，流域面积1746.1m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，正常流量为20m³/s，最大洪峰流量为3140m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s，该河上游地势平缓，植被良好且多湿地，水土流失轻微。伊玛图河（别名蚁蚂吐河）自围场半截塔乡流入境内，过境长度68km，流经9个乡镇，流域面积1012.48m³/s。该河流量不稳，枯水季节几乎干涸，洪汛期漫滩汹涌。年平均流量4.4m³/s，最大洪峰流量为567m³/s。伊逊河是滦河的一大支流，由唐三营镇石片村入境，贯穿中部，向南流经唐三营、张三营、汤头沟等乡镇，在隆化镇山咀与伊玛图河汇流。境内流程80km，流域面积15528k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。河水蜿蜒如带四级长流不息，枯水期流量为1m³/s，历史上最大洪峰流量2486m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/s。由于上游有庙宫水库调节，水资源利用程度较高。武烈河有三条支流：兴隆河、鹦鹉河、茅沟河，总流域面积1180.42km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，属于季节性河流。</w:t>
      </w:r>
    </w:p>
    <w:p w14:paraId="3F7711B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kern w:val="0"/>
          <w:sz w:val="24"/>
          <w:szCs w:val="24"/>
          <w:highlight w:val="none"/>
          <w:lang w:eastAsia="zh-CN"/>
        </w:rPr>
      </w:pPr>
      <w:r>
        <w:rPr>
          <w:rFonts w:hint="default" w:ascii="Times New Roman" w:hAnsi="Times New Roman" w:cs="Times New Roman"/>
          <w:color w:val="auto"/>
          <w:sz w:val="24"/>
          <w:szCs w:val="24"/>
          <w:highlight w:val="none"/>
          <w:lang w:val="en-US" w:eastAsia="zh-CN"/>
        </w:rPr>
        <w:t>项目</w:t>
      </w:r>
      <w:r>
        <w:rPr>
          <w:rFonts w:hint="eastAsia" w:ascii="Times New Roman" w:hAnsi="Times New Roman" w:cs="Times New Roman"/>
          <w:color w:val="auto"/>
          <w:sz w:val="24"/>
          <w:szCs w:val="24"/>
          <w:highlight w:val="none"/>
          <w:lang w:val="en-US" w:eastAsia="zh-CN"/>
        </w:rPr>
        <w:t>西北侧</w:t>
      </w:r>
      <w:r>
        <w:rPr>
          <w:rFonts w:hint="default" w:ascii="Times New Roman" w:hAnsi="Times New Roman" w:cs="Times New Roman"/>
          <w:color w:val="auto"/>
          <w:sz w:val="24"/>
          <w:szCs w:val="24"/>
          <w:highlight w:val="none"/>
          <w:lang w:val="en-US" w:eastAsia="zh-CN"/>
        </w:rPr>
        <w:t>3680m为兴隆河，为武烈河一级支流</w:t>
      </w:r>
      <w:r>
        <w:rPr>
          <w:rFonts w:hint="eastAsia"/>
          <w:kern w:val="0"/>
          <w:sz w:val="24"/>
          <w:szCs w:val="24"/>
          <w:highlight w:val="none"/>
          <w:lang w:eastAsia="zh-CN"/>
        </w:rPr>
        <w:t>。</w:t>
      </w:r>
    </w:p>
    <w:p w14:paraId="3A683E98">
      <w:pPr>
        <w:pStyle w:val="6"/>
        <w:pageBreakBefore w:val="0"/>
        <w:widowControl w:val="0"/>
        <w:kinsoku/>
        <w:wordWrap/>
        <w:overflowPunct/>
        <w:topLinePunct w:val="0"/>
        <w:autoSpaceDE/>
        <w:autoSpaceDN/>
        <w:bidi w:val="0"/>
        <w:spacing w:before="0" w:beforeLines="0"/>
        <w:textAlignment w:val="auto"/>
        <w:rPr>
          <w:rFonts w:hint="default" w:ascii="Times New Roman" w:hAnsi="Times New Roman" w:cs="Times New Roman"/>
          <w:color w:val="000000"/>
          <w:sz w:val="24"/>
          <w:szCs w:val="24"/>
          <w:highlight w:val="none"/>
        </w:rPr>
      </w:pPr>
      <w:bookmarkStart w:id="213" w:name="_Toc5789"/>
      <w:bookmarkStart w:id="214" w:name="_Toc470785865"/>
      <w:bookmarkStart w:id="215" w:name="_Toc472164362"/>
      <w:r>
        <w:rPr>
          <w:rFonts w:hint="default" w:ascii="Times New Roman" w:hAnsi="Times New Roman" w:cs="Times New Roman"/>
          <w:color w:val="000000"/>
          <w:sz w:val="24"/>
          <w:szCs w:val="24"/>
          <w:highlight w:val="none"/>
        </w:rPr>
        <w:t>水文地质</w:t>
      </w:r>
      <w:bookmarkEnd w:id="213"/>
      <w:bookmarkEnd w:id="214"/>
      <w:bookmarkEnd w:id="215"/>
    </w:p>
    <w:p w14:paraId="37C83F36">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区域水文地质分区的原则，依据各水文地质分区的特征、边界条件、地下水的补给径流及排泄条件。</w:t>
      </w:r>
    </w:p>
    <w:p w14:paraId="7D43613E">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区域水文地质分区，尤其是潜水分区应以地形地貌条件为主要依据，即以地表汇水流域划分水文地质单元是区域水文地质分区的基本原则，地层岩性及水文地质特征是进一步划分副区及小区的依据。一般可采用三级分区制，一级区以气象带为主要标志，二级区以地貌单元为主要标志，三级区以水文地质特征为主要标志，按照上述原则，在1</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50万的区域水文地质图将承德地区划分为两个水文地质区。即燕山山地水文地质区（Ⅲ）和坝上高原水文地质区（Ⅴ</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，燕山山地水文地质区（Ⅲ）又分为兴隆—平泉岩溶—裂隙水亚区（Ⅲ5）和龙关—隆化裂隙水亚区（Ⅲ6</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。调查区位于龙关—隆化裂隙水亚区（Ⅲ6）区内，根据区内地下水类型又可进一步划分为变质岩、火山岩、火山沉积岩含水岩组（Ⅲ6-1）及河谷孔隙潜水含水岩组（Ⅲ6-2）。</w:t>
      </w:r>
    </w:p>
    <w:p w14:paraId="04651C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lang w:eastAsia="zh-CN"/>
        </w:rPr>
      </w:pPr>
      <w:r>
        <w:rPr>
          <w:rFonts w:hint="default" w:ascii="Times New Roman" w:hAnsi="Times New Roman" w:cs="Times New Roman"/>
          <w:color w:val="auto"/>
          <w:sz w:val="24"/>
          <w:szCs w:val="24"/>
          <w:highlight w:val="none"/>
          <w:lang w:val="en-US" w:eastAsia="zh-CN"/>
        </w:rPr>
        <w:t>本项目区域内地下水以大气降水为主要补给源，上游汇水面积属地下水的补给区，降雨通过基岩裸露山区的风化裂隙带和松散堆积物孔隙渗入地下，形成地下径流以潜流的形式向下游排泄，补给下游地表河流，地下水排泄方式主要为向下游排泄和人工开采</w:t>
      </w:r>
      <w:r>
        <w:rPr>
          <w:rFonts w:hint="default" w:ascii="Times New Roman" w:hAnsi="Times New Roman" w:cs="Times New Roman"/>
          <w:sz w:val="24"/>
          <w:szCs w:val="24"/>
          <w:highlight w:val="none"/>
          <w:lang w:eastAsia="zh-CN"/>
        </w:rPr>
        <w:t>。</w:t>
      </w:r>
    </w:p>
    <w:p w14:paraId="330B5B03">
      <w:pPr>
        <w:pStyle w:val="6"/>
        <w:pageBreakBefore w:val="0"/>
        <w:widowControl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16" w:name="_Toc14136"/>
      <w:r>
        <w:rPr>
          <w:rFonts w:hint="default" w:ascii="Times New Roman" w:hAnsi="Times New Roman" w:cs="Times New Roman"/>
          <w:color w:val="000000"/>
          <w:sz w:val="24"/>
          <w:szCs w:val="24"/>
          <w:highlight w:val="none"/>
        </w:rPr>
        <w:t>土壤</w:t>
      </w:r>
      <w:bookmarkEnd w:id="216"/>
      <w:r>
        <w:rPr>
          <w:rFonts w:hint="eastAsia" w:cs="Times New Roman"/>
          <w:color w:val="000000"/>
          <w:sz w:val="24"/>
          <w:szCs w:val="24"/>
          <w:highlight w:val="none"/>
          <w:lang w:val="en-US" w:eastAsia="zh-CN"/>
        </w:rPr>
        <w:t>植被</w:t>
      </w:r>
    </w:p>
    <w:p w14:paraId="607E88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lang w:eastAsia="zh-CN"/>
        </w:rPr>
      </w:pPr>
      <w:r>
        <w:rPr>
          <w:rFonts w:hint="default" w:ascii="Times New Roman" w:hAnsi="Times New Roman" w:cs="Times New Roman"/>
          <w:sz w:val="24"/>
          <w:szCs w:val="24"/>
          <w:highlight w:val="none"/>
        </w:rPr>
        <w:t>隆化县土壤分为棕壤、褐土和草甸土三大土类，包括九个亚类54个土属，100个土种。棕壤面积最大占全县总面积的60%，主要分布海拔800m以上的山地，植被较好，土壤肥力高；褐土面积占全县总面积的31%，多分布在海拔800m以下的低山、丘陵及河谷地带，褐土分布带植被破坏较早，土壤肥力及覆盖力较低；草甸土面积占全县总面积的3%，分布于河谷地带，土层深厚湿润，适宜种植水稻</w:t>
      </w:r>
      <w:r>
        <w:rPr>
          <w:rFonts w:hint="eastAsia"/>
          <w:color w:val="auto"/>
          <w:sz w:val="24"/>
          <w:szCs w:val="24"/>
          <w:highlight w:val="none"/>
          <w:lang w:eastAsia="zh-CN"/>
        </w:rPr>
        <w:t>。</w:t>
      </w:r>
    </w:p>
    <w:p w14:paraId="603F7AEB">
      <w:pPr>
        <w:pStyle w:val="5"/>
        <w:keepNext/>
        <w:keepLines/>
        <w:pageBreakBefore w:val="0"/>
        <w:widowControl w:val="0"/>
        <w:kinsoku/>
        <w:wordWrap/>
        <w:overflowPunct/>
        <w:topLinePunct w:val="0"/>
        <w:autoSpaceDE/>
        <w:autoSpaceDN/>
        <w:bidi w:val="0"/>
        <w:adjustRightInd/>
        <w:snapToGrid/>
        <w:spacing w:before="0" w:after="0" w:line="360" w:lineRule="auto"/>
        <w:ind w:left="0" w:firstLine="0" w:firstLineChars="0"/>
        <w:textAlignment w:val="auto"/>
        <w:rPr>
          <w:rFonts w:hint="default" w:ascii="Times New Roman" w:hAnsi="Times New Roman" w:cs="Times New Roman"/>
          <w:color w:val="auto"/>
          <w:highlight w:val="none"/>
        </w:rPr>
      </w:pPr>
      <w:bookmarkStart w:id="217" w:name="_Toc21267"/>
      <w:bookmarkStart w:id="218" w:name="_Toc28036"/>
      <w:bookmarkStart w:id="219" w:name="_Toc11125"/>
      <w:bookmarkStart w:id="220" w:name="_Toc31523"/>
      <w:bookmarkStart w:id="221" w:name="_Toc29261"/>
      <w:r>
        <w:rPr>
          <w:rFonts w:hint="default" w:ascii="Times New Roman" w:hAnsi="Times New Roman" w:cs="Times New Roman"/>
          <w:color w:val="auto"/>
          <w:highlight w:val="none"/>
        </w:rPr>
        <w:t>环境保护目标调查</w:t>
      </w:r>
      <w:bookmarkEnd w:id="217"/>
      <w:bookmarkEnd w:id="218"/>
      <w:bookmarkEnd w:id="219"/>
      <w:bookmarkEnd w:id="220"/>
      <w:bookmarkEnd w:id="221"/>
    </w:p>
    <w:p w14:paraId="02E3BC2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根据现场调查，区域内无自然保护区、集中式饮用水水源地、风景旅游点和文物古迹等需要特殊保护的环境敏感对象，依据本项目排污特征，结合项目区域情况，项目环境保护对象主要为：</w:t>
      </w:r>
    </w:p>
    <w:p w14:paraId="4FC2C32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（1）项目区域环境空气评价范围内的保护对象主要为村庄，功能为居住。</w:t>
      </w:r>
    </w:p>
    <w:p w14:paraId="396F087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kern w:val="44"/>
          <w:sz w:val="24"/>
          <w:szCs w:val="24"/>
          <w:highlight w:val="none"/>
        </w:rPr>
      </w:pPr>
      <w:r>
        <w:rPr>
          <w:rFonts w:hint="default" w:ascii="Times New Roman" w:hAnsi="Times New Roman" w:cs="Times New Roman"/>
          <w:color w:val="auto"/>
          <w:kern w:val="44"/>
          <w:sz w:val="24"/>
          <w:szCs w:val="24"/>
          <w:highlight w:val="none"/>
        </w:rPr>
        <w:t>（2）声环境评价范围内的保护对象为</w:t>
      </w:r>
      <w:r>
        <w:rPr>
          <w:rFonts w:hint="default" w:ascii="Times New Roman" w:hAnsi="Times New Roman" w:cs="Times New Roman"/>
          <w:color w:val="auto"/>
          <w:kern w:val="44"/>
          <w:sz w:val="24"/>
          <w:szCs w:val="24"/>
          <w:highlight w:val="none"/>
          <w:lang w:val="en-US" w:eastAsia="zh-CN"/>
        </w:rPr>
        <w:t>村庄</w:t>
      </w:r>
      <w:r>
        <w:rPr>
          <w:rFonts w:hint="default" w:ascii="Times New Roman" w:hAnsi="Times New Roman" w:cs="Times New Roman"/>
          <w:color w:val="auto"/>
          <w:kern w:val="44"/>
          <w:sz w:val="24"/>
          <w:szCs w:val="24"/>
          <w:highlight w:val="none"/>
        </w:rPr>
        <w:t>。</w:t>
      </w:r>
    </w:p>
    <w:p w14:paraId="757B72EF">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kern w:val="44"/>
          <w:sz w:val="24"/>
          <w:szCs w:val="24"/>
          <w:highlight w:val="none"/>
        </w:rPr>
      </w:pPr>
      <w:r>
        <w:rPr>
          <w:rFonts w:hint="default" w:ascii="Times New Roman" w:hAnsi="Times New Roman" w:cs="Times New Roman"/>
          <w:color w:val="auto"/>
          <w:kern w:val="44"/>
          <w:sz w:val="24"/>
          <w:szCs w:val="24"/>
          <w:highlight w:val="none"/>
        </w:rPr>
        <w:t>（3）</w:t>
      </w:r>
      <w:r>
        <w:rPr>
          <w:rFonts w:hint="default" w:ascii="Times New Roman" w:hAnsi="Times New Roman" w:cs="Times New Roman"/>
          <w:color w:val="auto"/>
          <w:sz w:val="24"/>
          <w:szCs w:val="24"/>
          <w:highlight w:val="none"/>
        </w:rPr>
        <w:t>地表水环境保护对象为</w:t>
      </w:r>
      <w:r>
        <w:rPr>
          <w:rFonts w:hint="eastAsia"/>
          <w:kern w:val="0"/>
          <w:sz w:val="24"/>
          <w:szCs w:val="24"/>
          <w:highlight w:val="none"/>
          <w:lang w:val="en-US" w:eastAsia="zh-CN"/>
        </w:rPr>
        <w:t>兴隆河</w:t>
      </w:r>
      <w:r>
        <w:rPr>
          <w:rFonts w:hint="default" w:ascii="Times New Roman" w:hAnsi="Times New Roman" w:cs="Times New Roman"/>
          <w:color w:val="auto"/>
          <w:kern w:val="44"/>
          <w:sz w:val="24"/>
          <w:szCs w:val="24"/>
          <w:highlight w:val="none"/>
        </w:rPr>
        <w:t>。</w:t>
      </w:r>
    </w:p>
    <w:p w14:paraId="413AB509">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（4）地下水评价范围内的保护对象为区域地下水潜水含水层及居民饮用水井。</w:t>
      </w:r>
    </w:p>
    <w:p w14:paraId="70F0CAE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bCs/>
          <w:color w:val="auto"/>
          <w:sz w:val="24"/>
          <w:szCs w:val="24"/>
          <w:highlight w:val="none"/>
        </w:rPr>
        <w:t>（5）生态环境评价范围内的保护对象为区域生态环境</w:t>
      </w:r>
      <w:r>
        <w:rPr>
          <w:rFonts w:hint="default" w:ascii="Times New Roman" w:hAnsi="Times New Roman" w:cs="Times New Roman"/>
          <w:snapToGrid w:val="0"/>
          <w:color w:val="auto"/>
          <w:sz w:val="24"/>
          <w:szCs w:val="24"/>
          <w:highlight w:val="none"/>
        </w:rPr>
        <w:t>。</w:t>
      </w:r>
      <w:r>
        <w:rPr>
          <w:rFonts w:hint="default" w:ascii="Times New Roman" w:hAnsi="Times New Roman" w:cs="Times New Roman"/>
          <w:snapToGrid w:val="0"/>
          <w:color w:val="auto"/>
          <w:sz w:val="24"/>
          <w:szCs w:val="24"/>
          <w:highlight w:val="none"/>
          <w:lang w:val="en-US" w:eastAsia="zh-CN"/>
        </w:rPr>
        <w:t>排土场</w:t>
      </w:r>
      <w:r>
        <w:rPr>
          <w:rFonts w:hint="default" w:ascii="Times New Roman" w:hAnsi="Times New Roman" w:cs="Times New Roman"/>
          <w:snapToGrid w:val="0"/>
          <w:color w:val="auto"/>
          <w:sz w:val="24"/>
          <w:szCs w:val="24"/>
          <w:highlight w:val="none"/>
        </w:rPr>
        <w:t>占用区域植被覆盖率一般，分布有裸子植物、草本植物等，占地范围内无珍稀濒危野生动植物分布，项目区域内存在的野生动物主要以当地土著哺乳类、爬行类和鸟类动物为主</w:t>
      </w:r>
      <w:r>
        <w:rPr>
          <w:rFonts w:hint="default" w:ascii="Times New Roman" w:hAnsi="Times New Roman" w:cs="Times New Roman"/>
          <w:color w:val="000000"/>
          <w:kern w:val="0"/>
          <w:sz w:val="24"/>
          <w:szCs w:val="24"/>
          <w:highlight w:val="none"/>
        </w:rPr>
        <w:t>。</w:t>
      </w:r>
    </w:p>
    <w:p w14:paraId="485B2379">
      <w:pPr>
        <w:pStyle w:val="5"/>
        <w:pageBreakBefore w:val="0"/>
        <w:kinsoku/>
        <w:wordWrap/>
        <w:overflowPunct/>
        <w:topLinePunct w:val="0"/>
        <w:autoSpaceDE/>
        <w:autoSpaceDN/>
        <w:bidi w:val="0"/>
        <w:spacing w:before="0" w:after="0" w:line="360" w:lineRule="auto"/>
        <w:textAlignment w:val="auto"/>
        <w:rPr>
          <w:rFonts w:hint="default" w:ascii="Times New Roman" w:hAnsi="Times New Roman" w:cs="Times New Roman"/>
          <w:color w:val="000000"/>
          <w:sz w:val="28"/>
          <w:szCs w:val="28"/>
          <w:highlight w:val="none"/>
        </w:rPr>
      </w:pPr>
      <w:bookmarkStart w:id="222" w:name="_Toc10354"/>
      <w:bookmarkStart w:id="223" w:name="_Toc21138"/>
      <w:bookmarkStart w:id="224" w:name="_Toc1827"/>
      <w:bookmarkStart w:id="225" w:name="_Toc13049"/>
      <w:bookmarkStart w:id="226" w:name="_Toc7217"/>
      <w:r>
        <w:rPr>
          <w:rFonts w:hint="default" w:ascii="Times New Roman" w:hAnsi="Times New Roman" w:cs="Times New Roman"/>
          <w:color w:val="000000"/>
          <w:sz w:val="28"/>
          <w:szCs w:val="28"/>
          <w:highlight w:val="none"/>
        </w:rPr>
        <w:t>环境质量现状调查与评价</w:t>
      </w:r>
      <w:bookmarkEnd w:id="222"/>
      <w:bookmarkEnd w:id="223"/>
      <w:bookmarkEnd w:id="224"/>
      <w:bookmarkEnd w:id="225"/>
      <w:bookmarkEnd w:id="226"/>
    </w:p>
    <w:p w14:paraId="0683BE14">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eastAsia" w:ascii="Times New Roman" w:hAnsi="Times New Roman" w:cs="Times New Roman"/>
          <w:color w:val="auto"/>
          <w:sz w:val="24"/>
          <w:szCs w:val="24"/>
          <w:highlight w:val="none"/>
          <w:lang w:val="en-US" w:eastAsia="zh-CN" w:bidi="ar-SA"/>
        </w:rPr>
        <w:t>2025年3月6日</w:t>
      </w:r>
      <w:r>
        <w:rPr>
          <w:rFonts w:hint="default" w:ascii="Times New Roman" w:hAnsi="Times New Roman" w:cs="Times New Roman"/>
          <w:color w:val="auto"/>
          <w:sz w:val="24"/>
          <w:szCs w:val="24"/>
          <w:highlight w:val="none"/>
        </w:rPr>
        <w:t>，</w:t>
      </w:r>
      <w:r>
        <w:rPr>
          <w:rFonts w:hint="eastAsia" w:ascii="Times New Roman" w:hAnsi="Times New Roman" w:cs="Times New Roman"/>
          <w:color w:val="000000"/>
          <w:sz w:val="24"/>
          <w:szCs w:val="24"/>
          <w:highlight w:val="none"/>
          <w:lang w:eastAsia="zh-CN"/>
        </w:rPr>
        <w:t>辽宁卓信检验检测有限公司</w:t>
      </w:r>
      <w:r>
        <w:rPr>
          <w:rFonts w:hint="default" w:ascii="Times New Roman" w:hAnsi="Times New Roman" w:cs="Times New Roman"/>
          <w:color w:val="000000"/>
          <w:sz w:val="24"/>
          <w:szCs w:val="24"/>
          <w:highlight w:val="none"/>
        </w:rPr>
        <w:t>对项目区域地下水、声环境质量、土壤环境质量现状进行</w:t>
      </w:r>
      <w:r>
        <w:rPr>
          <w:rFonts w:hint="eastAsia" w:ascii="Times New Roman" w:hAnsi="Times New Roman" w:cs="Times New Roman"/>
          <w:color w:val="000000"/>
          <w:sz w:val="24"/>
          <w:szCs w:val="24"/>
          <w:highlight w:val="none"/>
          <w:lang w:val="en-US" w:eastAsia="zh-CN"/>
        </w:rPr>
        <w:t>了</w:t>
      </w:r>
      <w:r>
        <w:rPr>
          <w:rFonts w:hint="default" w:ascii="Times New Roman" w:hAnsi="Times New Roman" w:cs="Times New Roman"/>
          <w:color w:val="000000"/>
          <w:sz w:val="24"/>
          <w:szCs w:val="24"/>
          <w:highlight w:val="none"/>
        </w:rPr>
        <w:t>监测。</w:t>
      </w:r>
    </w:p>
    <w:p w14:paraId="4FA3762E">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27" w:name="_Toc17597"/>
      <w:r>
        <w:rPr>
          <w:rFonts w:hint="default" w:ascii="Times New Roman" w:hAnsi="Times New Roman" w:cs="Times New Roman"/>
          <w:color w:val="000000"/>
          <w:sz w:val="24"/>
          <w:szCs w:val="24"/>
          <w:highlight w:val="none"/>
        </w:rPr>
        <w:t>环境空气质量现状评价</w:t>
      </w:r>
      <w:bookmarkEnd w:id="227"/>
    </w:p>
    <w:p w14:paraId="4935E1F6">
      <w:pPr>
        <w:pageBreakBefore w:val="0"/>
        <w:kinsoku/>
        <w:wordWrap/>
        <w:overflowPunct/>
        <w:topLinePunct w:val="0"/>
        <w:autoSpaceDE/>
        <w:autoSpaceDN/>
        <w:bidi w:val="0"/>
        <w:spacing w:line="360" w:lineRule="auto"/>
        <w:ind w:firstLine="480"/>
        <w:jc w:val="both"/>
        <w:textAlignment w:val="auto"/>
        <w:rPr>
          <w:rFonts w:hint="eastAsia" w:ascii="Times New Roman" w:hAnsi="Times New Roman" w:cs="Times New Roman"/>
          <w:color w:val="000000"/>
          <w:sz w:val="24"/>
          <w:szCs w:val="32"/>
          <w:highlight w:val="none"/>
          <w:lang w:eastAsia="zh-CN"/>
        </w:rPr>
      </w:pPr>
      <w:r>
        <w:rPr>
          <w:rFonts w:hint="default" w:ascii="Times New Roman" w:hAnsi="Times New Roman" w:cs="Times New Roman"/>
          <w:color w:val="000000"/>
          <w:sz w:val="24"/>
          <w:szCs w:val="24"/>
          <w:highlight w:val="none"/>
        </w:rPr>
        <w:t>本评价通过引用</w:t>
      </w:r>
      <w:r>
        <w:rPr>
          <w:color w:val="auto"/>
          <w:sz w:val="24"/>
          <w:szCs w:val="24"/>
          <w:highlight w:val="none"/>
        </w:rPr>
        <w:t>《关于2023年12月份全市空气质量预警监测结果的通报》</w:t>
      </w:r>
      <w:r>
        <w:rPr>
          <w:rFonts w:hint="eastAsia"/>
          <w:color w:val="auto"/>
          <w:sz w:val="24"/>
          <w:szCs w:val="24"/>
          <w:highlight w:val="none"/>
        </w:rPr>
        <w:t>（</w:t>
      </w:r>
      <w:r>
        <w:rPr>
          <w:color w:val="auto"/>
          <w:sz w:val="24"/>
          <w:szCs w:val="24"/>
          <w:highlight w:val="none"/>
        </w:rPr>
        <w:t>承气领办〔2024〕12号</w:t>
      </w:r>
      <w:r>
        <w:rPr>
          <w:rFonts w:hint="eastAsia"/>
          <w:color w:val="auto"/>
          <w:sz w:val="24"/>
          <w:szCs w:val="24"/>
          <w:highlight w:val="none"/>
        </w:rPr>
        <w:t>）</w:t>
      </w:r>
      <w:r>
        <w:rPr>
          <w:rFonts w:hint="default" w:ascii="Times New Roman" w:hAnsi="Times New Roman" w:cs="Times New Roman"/>
          <w:color w:val="000000"/>
          <w:sz w:val="24"/>
          <w:szCs w:val="24"/>
          <w:highlight w:val="none"/>
        </w:rPr>
        <w:t>中</w:t>
      </w:r>
      <w:r>
        <w:rPr>
          <w:rFonts w:hint="eastAsia" w:cs="Times New Roman"/>
          <w:color w:val="000000"/>
          <w:sz w:val="24"/>
          <w:szCs w:val="24"/>
          <w:highlight w:val="none"/>
          <w:lang w:val="en-US" w:eastAsia="zh-CN"/>
        </w:rPr>
        <w:t>隆化县</w:t>
      </w:r>
      <w:r>
        <w:rPr>
          <w:rFonts w:hint="default" w:ascii="Times New Roman" w:hAnsi="Times New Roman" w:cs="Times New Roman"/>
          <w:color w:val="000000"/>
          <w:sz w:val="24"/>
          <w:szCs w:val="32"/>
          <w:highlight w:val="none"/>
        </w:rPr>
        <w:t>大气常规污染物现状监测统计资料和《佰布沟与兰家沟尾矿库联合扩容项目区域环境质量现状监测》（（辽鹏环测）字PY2408625-001号）</w:t>
      </w:r>
      <w:r>
        <w:rPr>
          <w:rFonts w:hint="default" w:ascii="Times New Roman" w:hAnsi="Times New Roman" w:cs="Times New Roman"/>
          <w:color w:val="auto"/>
          <w:sz w:val="24"/>
          <w:szCs w:val="32"/>
          <w:highlight w:val="none"/>
        </w:rPr>
        <w:t>中监测数据</w:t>
      </w:r>
      <w:r>
        <w:rPr>
          <w:rFonts w:hint="default" w:ascii="Times New Roman" w:hAnsi="Times New Roman" w:cs="Times New Roman"/>
          <w:color w:val="000000"/>
          <w:sz w:val="24"/>
          <w:szCs w:val="32"/>
          <w:highlight w:val="none"/>
        </w:rPr>
        <w:t>，来说明拟建地区的环境空气质量</w:t>
      </w:r>
      <w:r>
        <w:rPr>
          <w:rFonts w:hint="eastAsia" w:ascii="Times New Roman" w:hAnsi="Times New Roman" w:cs="Times New Roman"/>
          <w:color w:val="000000"/>
          <w:sz w:val="24"/>
          <w:szCs w:val="32"/>
          <w:highlight w:val="none"/>
          <w:lang w:eastAsia="zh-CN"/>
        </w:rPr>
        <w:t>。</w:t>
      </w:r>
    </w:p>
    <w:p w14:paraId="4669DDA6">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4.</w:t>
      </w:r>
      <w:r>
        <w:rPr>
          <w:rFonts w:hint="eastAsia" w:cs="Times New Roman"/>
          <w:b/>
          <w:sz w:val="24"/>
          <w:szCs w:val="24"/>
          <w:highlight w:val="none"/>
          <w:lang w:val="en-US" w:eastAsia="zh-CN"/>
        </w:rPr>
        <w:t>3</w:t>
      </w:r>
      <w:r>
        <w:rPr>
          <w:rFonts w:hint="eastAsia" w:ascii="Times New Roman" w:hAnsi="Times New Roman" w:eastAsia="宋体" w:cs="Times New Roman"/>
          <w:b/>
          <w:sz w:val="24"/>
          <w:szCs w:val="24"/>
          <w:highlight w:val="none"/>
          <w:lang w:val="en-US" w:eastAsia="zh-CN"/>
        </w:rPr>
        <w:t>.1.1环境质量公报</w:t>
      </w:r>
    </w:p>
    <w:p w14:paraId="126D28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评价引用《关于2023年12月份全市空气质量预警监测结果的通报》</w:t>
      </w:r>
      <w:r>
        <w:rPr>
          <w:rFonts w:hint="eastAsia"/>
          <w:color w:val="auto"/>
          <w:sz w:val="24"/>
          <w:szCs w:val="24"/>
          <w:highlight w:val="none"/>
        </w:rPr>
        <w:t>（</w:t>
      </w:r>
      <w:r>
        <w:rPr>
          <w:color w:val="auto"/>
          <w:sz w:val="24"/>
          <w:szCs w:val="24"/>
          <w:highlight w:val="none"/>
        </w:rPr>
        <w:t>承气领办〔2024〕12号</w:t>
      </w:r>
      <w:r>
        <w:rPr>
          <w:rFonts w:hint="eastAsia"/>
          <w:color w:val="auto"/>
          <w:sz w:val="24"/>
          <w:szCs w:val="24"/>
          <w:highlight w:val="none"/>
        </w:rPr>
        <w:t>）</w:t>
      </w:r>
      <w:r>
        <w:rPr>
          <w:color w:val="auto"/>
          <w:sz w:val="24"/>
          <w:szCs w:val="24"/>
          <w:highlight w:val="none"/>
        </w:rPr>
        <w:t>中</w:t>
      </w:r>
      <w:r>
        <w:rPr>
          <w:rFonts w:hint="eastAsia"/>
          <w:color w:val="auto"/>
          <w:sz w:val="24"/>
          <w:szCs w:val="24"/>
          <w:highlight w:val="none"/>
        </w:rPr>
        <w:t>2023年1月至12月</w:t>
      </w:r>
      <w:r>
        <w:rPr>
          <w:rFonts w:hint="eastAsia"/>
          <w:color w:val="auto"/>
          <w:sz w:val="24"/>
          <w:szCs w:val="24"/>
          <w:highlight w:val="none"/>
          <w:lang w:val="en-US" w:eastAsia="zh-CN"/>
        </w:rPr>
        <w:t>隆化县</w:t>
      </w:r>
      <w:r>
        <w:rPr>
          <w:color w:val="auto"/>
          <w:sz w:val="24"/>
          <w:szCs w:val="24"/>
          <w:highlight w:val="none"/>
        </w:rPr>
        <w:t>环境空气中的PM</w:t>
      </w:r>
      <w:r>
        <w:rPr>
          <w:color w:val="auto"/>
          <w:sz w:val="24"/>
          <w:szCs w:val="24"/>
          <w:highlight w:val="none"/>
          <w:vertAlign w:val="subscript"/>
        </w:rPr>
        <w:t>10</w:t>
      </w:r>
      <w:r>
        <w:rPr>
          <w:color w:val="auto"/>
          <w:sz w:val="24"/>
          <w:szCs w:val="24"/>
          <w:highlight w:val="none"/>
        </w:rPr>
        <w:t>、PM</w:t>
      </w:r>
      <w:r>
        <w:rPr>
          <w:color w:val="auto"/>
          <w:sz w:val="24"/>
          <w:szCs w:val="24"/>
          <w:highlight w:val="none"/>
          <w:vertAlign w:val="subscript"/>
        </w:rPr>
        <w:t>2.5</w:t>
      </w:r>
      <w:r>
        <w:rPr>
          <w:color w:val="auto"/>
          <w:sz w:val="24"/>
          <w:szCs w:val="24"/>
          <w:highlight w:val="none"/>
        </w:rPr>
        <w:t>、SO</w:t>
      </w:r>
      <w:r>
        <w:rPr>
          <w:color w:val="auto"/>
          <w:sz w:val="24"/>
          <w:szCs w:val="24"/>
          <w:highlight w:val="none"/>
          <w:vertAlign w:val="subscript"/>
        </w:rPr>
        <w:t>2</w:t>
      </w:r>
      <w:r>
        <w:rPr>
          <w:color w:val="auto"/>
          <w:sz w:val="24"/>
          <w:szCs w:val="24"/>
          <w:highlight w:val="none"/>
        </w:rPr>
        <w:t>、NO</w:t>
      </w:r>
      <w:r>
        <w:rPr>
          <w:color w:val="auto"/>
          <w:sz w:val="24"/>
          <w:szCs w:val="24"/>
          <w:highlight w:val="none"/>
          <w:vertAlign w:val="subscript"/>
        </w:rPr>
        <w:t>2</w:t>
      </w:r>
      <w:r>
        <w:rPr>
          <w:color w:val="auto"/>
          <w:sz w:val="24"/>
          <w:szCs w:val="24"/>
          <w:highlight w:val="none"/>
        </w:rPr>
        <w:t>、CO、O</w:t>
      </w:r>
      <w:r>
        <w:rPr>
          <w:color w:val="auto"/>
          <w:sz w:val="24"/>
          <w:szCs w:val="24"/>
          <w:highlight w:val="none"/>
          <w:vertAlign w:val="subscript"/>
        </w:rPr>
        <w:t>3</w:t>
      </w:r>
      <w:r>
        <w:rPr>
          <w:color w:val="auto"/>
          <w:sz w:val="24"/>
          <w:szCs w:val="24"/>
          <w:highlight w:val="none"/>
        </w:rPr>
        <w:t>现状监测统计资料</w:t>
      </w:r>
      <w:r>
        <w:rPr>
          <w:rFonts w:hint="eastAsia"/>
          <w:color w:val="auto"/>
          <w:sz w:val="24"/>
          <w:szCs w:val="24"/>
          <w:highlight w:val="none"/>
        </w:rPr>
        <w:t>，</w:t>
      </w:r>
      <w:r>
        <w:rPr>
          <w:color w:val="auto"/>
          <w:sz w:val="24"/>
          <w:szCs w:val="24"/>
          <w:highlight w:val="none"/>
        </w:rPr>
        <w:t>来说明建设项目拟建地区的环境空气质量</w:t>
      </w:r>
      <w:r>
        <w:rPr>
          <w:rFonts w:hint="eastAsia"/>
          <w:color w:val="auto"/>
          <w:sz w:val="24"/>
          <w:szCs w:val="24"/>
          <w:highlight w:val="none"/>
        </w:rPr>
        <w:t>，</w:t>
      </w:r>
      <w:r>
        <w:rPr>
          <w:color w:val="auto"/>
          <w:sz w:val="24"/>
          <w:szCs w:val="24"/>
          <w:highlight w:val="none"/>
        </w:rPr>
        <w:t>监测结果见下表。</w:t>
      </w:r>
    </w:p>
    <w:p w14:paraId="216D4C4A">
      <w:pPr>
        <w:keepNext w:val="0"/>
        <w:keepLines w:val="0"/>
        <w:pageBreakBefore w:val="0"/>
        <w:widowControl w:val="0"/>
        <w:numPr>
          <w:ilvl w:val="0"/>
          <w:numId w:val="22"/>
        </w:numPr>
        <w:kinsoku/>
        <w:wordWrap/>
        <w:overflowPunct/>
        <w:topLinePunct w:val="0"/>
        <w:autoSpaceDE/>
        <w:autoSpaceDN/>
        <w:bidi w:val="0"/>
        <w:adjustRightInd w:val="0"/>
        <w:snapToGrid w:val="0"/>
        <w:ind w:left="0" w:firstLine="0" w:firstLineChars="0"/>
        <w:jc w:val="center"/>
        <w:textAlignment w:val="auto"/>
        <w:rPr>
          <w:rFonts w:ascii="Times New Roman" w:hAnsi="Times New Roman" w:eastAsia="宋体" w:cs="Times New Roman"/>
          <w:b/>
          <w:bCs/>
          <w:color w:val="auto"/>
          <w:sz w:val="21"/>
          <w:szCs w:val="18"/>
          <w:highlight w:val="none"/>
        </w:rPr>
      </w:pPr>
      <w:r>
        <w:rPr>
          <w:rFonts w:ascii="Times New Roman" w:hAnsi="Times New Roman" w:eastAsia="宋体" w:cs="Times New Roman"/>
          <w:b/>
          <w:bCs/>
          <w:color w:val="auto"/>
          <w:sz w:val="21"/>
          <w:szCs w:val="18"/>
          <w:highlight w:val="none"/>
        </w:rPr>
        <w:t>20</w:t>
      </w:r>
      <w:r>
        <w:rPr>
          <w:rFonts w:hint="eastAsia" w:ascii="Times New Roman" w:hAnsi="Times New Roman" w:eastAsia="宋体" w:cs="Times New Roman"/>
          <w:b/>
          <w:bCs/>
          <w:color w:val="auto"/>
          <w:sz w:val="21"/>
          <w:szCs w:val="18"/>
          <w:highlight w:val="none"/>
        </w:rPr>
        <w:t>23</w:t>
      </w:r>
      <w:r>
        <w:rPr>
          <w:rFonts w:ascii="Times New Roman" w:hAnsi="Times New Roman" w:eastAsia="宋体" w:cs="Times New Roman"/>
          <w:b/>
          <w:bCs/>
          <w:color w:val="auto"/>
          <w:sz w:val="21"/>
          <w:szCs w:val="18"/>
          <w:highlight w:val="none"/>
        </w:rPr>
        <w:t>年</w:t>
      </w:r>
      <w:r>
        <w:rPr>
          <w:rFonts w:hint="eastAsia" w:ascii="Times New Roman" w:hAnsi="Times New Roman" w:eastAsia="宋体" w:cs="Times New Roman"/>
          <w:b/>
          <w:bCs/>
          <w:color w:val="auto"/>
          <w:sz w:val="21"/>
          <w:szCs w:val="18"/>
          <w:highlight w:val="none"/>
        </w:rPr>
        <w:t>隆化县</w:t>
      </w:r>
      <w:r>
        <w:rPr>
          <w:rFonts w:ascii="Times New Roman" w:hAnsi="Times New Roman" w:eastAsia="宋体" w:cs="Times New Roman"/>
          <w:b/>
          <w:bCs/>
          <w:color w:val="auto"/>
          <w:sz w:val="21"/>
          <w:szCs w:val="18"/>
          <w:highlight w:val="none"/>
        </w:rPr>
        <w:t>环境空气质量监测结果表</w:t>
      </w:r>
    </w:p>
    <w:tbl>
      <w:tblPr>
        <w:tblStyle w:val="5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717"/>
        <w:gridCol w:w="1237"/>
        <w:gridCol w:w="1046"/>
        <w:gridCol w:w="867"/>
        <w:gridCol w:w="1220"/>
        <w:gridCol w:w="1220"/>
        <w:gridCol w:w="1221"/>
      </w:tblGrid>
      <w:tr w14:paraId="217647F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noWrap w:val="0"/>
            <w:vAlign w:val="center"/>
          </w:tcPr>
          <w:p w14:paraId="55D2C4E4">
            <w:pPr>
              <w:spacing w:line="240" w:lineRule="auto"/>
              <w:ind w:firstLine="0" w:firstLineChars="0"/>
              <w:jc w:val="center"/>
              <w:rPr>
                <w:b/>
                <w:bCs/>
                <w:color w:val="auto"/>
                <w:sz w:val="21"/>
                <w:szCs w:val="21"/>
                <w:highlight w:val="none"/>
              </w:rPr>
            </w:pPr>
            <w:r>
              <w:rPr>
                <w:b/>
                <w:bCs/>
                <w:color w:val="auto"/>
                <w:sz w:val="21"/>
                <w:szCs w:val="21"/>
                <w:highlight w:val="none"/>
              </w:rPr>
              <w:t>污染物名称</w:t>
            </w:r>
          </w:p>
        </w:tc>
        <w:tc>
          <w:tcPr>
            <w:tcW w:w="725" w:type="pct"/>
            <w:tcBorders>
              <w:tl2br w:val="nil"/>
              <w:tr2bl w:val="nil"/>
            </w:tcBorders>
            <w:noWrap w:val="0"/>
            <w:vAlign w:val="center"/>
          </w:tcPr>
          <w:p w14:paraId="55E87CB2">
            <w:pPr>
              <w:spacing w:line="240" w:lineRule="auto"/>
              <w:ind w:firstLine="0" w:firstLineChars="0"/>
              <w:jc w:val="center"/>
              <w:rPr>
                <w:b/>
                <w:bCs/>
                <w:color w:val="auto"/>
                <w:sz w:val="21"/>
                <w:szCs w:val="21"/>
                <w:highlight w:val="none"/>
              </w:rPr>
            </w:pPr>
            <w:r>
              <w:rPr>
                <w:b/>
                <w:bCs/>
                <w:color w:val="auto"/>
                <w:sz w:val="21"/>
                <w:szCs w:val="21"/>
                <w:highlight w:val="none"/>
              </w:rPr>
              <w:t>PM</w:t>
            </w:r>
            <w:r>
              <w:rPr>
                <w:b/>
                <w:bCs/>
                <w:color w:val="auto"/>
                <w:sz w:val="21"/>
                <w:szCs w:val="21"/>
                <w:highlight w:val="none"/>
                <w:vertAlign w:val="subscript"/>
              </w:rPr>
              <w:t>10</w:t>
            </w:r>
          </w:p>
        </w:tc>
        <w:tc>
          <w:tcPr>
            <w:tcW w:w="613" w:type="pct"/>
            <w:tcBorders>
              <w:tl2br w:val="nil"/>
              <w:tr2bl w:val="nil"/>
            </w:tcBorders>
            <w:noWrap w:val="0"/>
            <w:vAlign w:val="center"/>
          </w:tcPr>
          <w:p w14:paraId="7446CD15">
            <w:pPr>
              <w:spacing w:line="240" w:lineRule="auto"/>
              <w:ind w:firstLine="0" w:firstLineChars="0"/>
              <w:jc w:val="center"/>
              <w:rPr>
                <w:b/>
                <w:bCs/>
                <w:color w:val="auto"/>
                <w:sz w:val="21"/>
                <w:szCs w:val="21"/>
                <w:highlight w:val="none"/>
              </w:rPr>
            </w:pPr>
            <w:r>
              <w:rPr>
                <w:b/>
                <w:bCs/>
                <w:color w:val="auto"/>
                <w:sz w:val="21"/>
                <w:szCs w:val="21"/>
                <w:highlight w:val="none"/>
              </w:rPr>
              <w:t>PM</w:t>
            </w:r>
            <w:r>
              <w:rPr>
                <w:b/>
                <w:bCs/>
                <w:color w:val="auto"/>
                <w:sz w:val="21"/>
                <w:szCs w:val="21"/>
                <w:highlight w:val="none"/>
                <w:vertAlign w:val="subscript"/>
              </w:rPr>
              <w:t>2.5</w:t>
            </w:r>
          </w:p>
        </w:tc>
        <w:tc>
          <w:tcPr>
            <w:tcW w:w="508" w:type="pct"/>
            <w:tcBorders>
              <w:tl2br w:val="nil"/>
              <w:tr2bl w:val="nil"/>
            </w:tcBorders>
            <w:noWrap w:val="0"/>
            <w:vAlign w:val="center"/>
          </w:tcPr>
          <w:p w14:paraId="0ED0653C">
            <w:pPr>
              <w:spacing w:line="240" w:lineRule="auto"/>
              <w:ind w:firstLine="0" w:firstLineChars="0"/>
              <w:jc w:val="center"/>
              <w:rPr>
                <w:b/>
                <w:bCs/>
                <w:color w:val="auto"/>
                <w:sz w:val="21"/>
                <w:szCs w:val="21"/>
                <w:highlight w:val="none"/>
              </w:rPr>
            </w:pPr>
            <w:r>
              <w:rPr>
                <w:b/>
                <w:bCs/>
                <w:color w:val="auto"/>
                <w:sz w:val="21"/>
                <w:szCs w:val="21"/>
                <w:highlight w:val="none"/>
              </w:rPr>
              <w:t>SO</w:t>
            </w:r>
            <w:r>
              <w:rPr>
                <w:b/>
                <w:bCs/>
                <w:color w:val="auto"/>
                <w:sz w:val="21"/>
                <w:szCs w:val="21"/>
                <w:highlight w:val="none"/>
                <w:vertAlign w:val="subscript"/>
              </w:rPr>
              <w:t>2</w:t>
            </w:r>
          </w:p>
        </w:tc>
        <w:tc>
          <w:tcPr>
            <w:tcW w:w="715" w:type="pct"/>
            <w:tcBorders>
              <w:tl2br w:val="nil"/>
              <w:tr2bl w:val="nil"/>
            </w:tcBorders>
            <w:noWrap w:val="0"/>
            <w:vAlign w:val="center"/>
          </w:tcPr>
          <w:p w14:paraId="10BCD997">
            <w:pPr>
              <w:spacing w:line="240" w:lineRule="auto"/>
              <w:ind w:firstLine="0" w:firstLineChars="0"/>
              <w:jc w:val="center"/>
              <w:rPr>
                <w:b/>
                <w:bCs/>
                <w:color w:val="auto"/>
                <w:sz w:val="21"/>
                <w:szCs w:val="21"/>
                <w:highlight w:val="none"/>
              </w:rPr>
            </w:pPr>
            <w:r>
              <w:rPr>
                <w:b/>
                <w:bCs/>
                <w:color w:val="auto"/>
                <w:sz w:val="21"/>
                <w:szCs w:val="21"/>
                <w:highlight w:val="none"/>
              </w:rPr>
              <w:t>CO</w:t>
            </w:r>
          </w:p>
        </w:tc>
        <w:tc>
          <w:tcPr>
            <w:tcW w:w="715" w:type="pct"/>
            <w:tcBorders>
              <w:tl2br w:val="nil"/>
              <w:tr2bl w:val="nil"/>
            </w:tcBorders>
            <w:noWrap w:val="0"/>
            <w:vAlign w:val="center"/>
          </w:tcPr>
          <w:p w14:paraId="21974EC5">
            <w:pPr>
              <w:spacing w:line="240" w:lineRule="auto"/>
              <w:ind w:firstLine="0" w:firstLineChars="0"/>
              <w:jc w:val="center"/>
              <w:rPr>
                <w:b/>
                <w:bCs/>
                <w:color w:val="auto"/>
                <w:sz w:val="21"/>
                <w:szCs w:val="21"/>
                <w:highlight w:val="none"/>
              </w:rPr>
            </w:pPr>
            <w:r>
              <w:rPr>
                <w:b/>
                <w:bCs/>
                <w:color w:val="auto"/>
                <w:sz w:val="21"/>
                <w:szCs w:val="21"/>
                <w:highlight w:val="none"/>
              </w:rPr>
              <w:t>O</w:t>
            </w:r>
            <w:r>
              <w:rPr>
                <w:b/>
                <w:bCs/>
                <w:color w:val="auto"/>
                <w:sz w:val="21"/>
                <w:szCs w:val="21"/>
                <w:highlight w:val="none"/>
                <w:vertAlign w:val="subscript"/>
              </w:rPr>
              <w:t>3</w:t>
            </w:r>
          </w:p>
        </w:tc>
        <w:tc>
          <w:tcPr>
            <w:tcW w:w="715" w:type="pct"/>
            <w:tcBorders>
              <w:tl2br w:val="nil"/>
              <w:tr2bl w:val="nil"/>
            </w:tcBorders>
            <w:noWrap w:val="0"/>
            <w:vAlign w:val="center"/>
          </w:tcPr>
          <w:p w14:paraId="7646AB37">
            <w:pPr>
              <w:spacing w:line="240" w:lineRule="auto"/>
              <w:ind w:firstLine="0" w:firstLineChars="0"/>
              <w:jc w:val="center"/>
              <w:rPr>
                <w:b/>
                <w:bCs/>
                <w:color w:val="auto"/>
                <w:sz w:val="21"/>
                <w:szCs w:val="21"/>
                <w:highlight w:val="none"/>
              </w:rPr>
            </w:pPr>
            <w:r>
              <w:rPr>
                <w:b/>
                <w:bCs/>
                <w:color w:val="auto"/>
                <w:sz w:val="21"/>
                <w:szCs w:val="21"/>
                <w:highlight w:val="none"/>
              </w:rPr>
              <w:t>NO</w:t>
            </w:r>
            <w:r>
              <w:rPr>
                <w:b/>
                <w:bCs/>
                <w:color w:val="auto"/>
                <w:sz w:val="21"/>
                <w:szCs w:val="21"/>
                <w:highlight w:val="none"/>
                <w:vertAlign w:val="subscript"/>
              </w:rPr>
              <w:t>2</w:t>
            </w:r>
          </w:p>
        </w:tc>
      </w:tr>
      <w:tr w14:paraId="06A09D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noWrap w:val="0"/>
            <w:vAlign w:val="center"/>
          </w:tcPr>
          <w:p w14:paraId="13D67FA4">
            <w:pPr>
              <w:spacing w:line="240" w:lineRule="auto"/>
              <w:ind w:firstLine="0" w:firstLineChars="0"/>
              <w:jc w:val="center"/>
              <w:rPr>
                <w:color w:val="auto"/>
                <w:sz w:val="21"/>
                <w:szCs w:val="21"/>
                <w:highlight w:val="none"/>
              </w:rPr>
            </w:pPr>
            <w:r>
              <w:rPr>
                <w:color w:val="auto"/>
                <w:sz w:val="21"/>
                <w:szCs w:val="21"/>
                <w:highlight w:val="none"/>
              </w:rPr>
              <w:t>年均值</w:t>
            </w:r>
          </w:p>
        </w:tc>
        <w:tc>
          <w:tcPr>
            <w:tcW w:w="725" w:type="pct"/>
            <w:tcBorders>
              <w:tl2br w:val="nil"/>
              <w:tr2bl w:val="nil"/>
            </w:tcBorders>
            <w:noWrap w:val="0"/>
            <w:vAlign w:val="center"/>
          </w:tcPr>
          <w:p w14:paraId="1E85AD22">
            <w:pPr>
              <w:spacing w:line="240" w:lineRule="auto"/>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45</w:t>
            </w:r>
          </w:p>
        </w:tc>
        <w:tc>
          <w:tcPr>
            <w:tcW w:w="613" w:type="pct"/>
            <w:tcBorders>
              <w:tl2br w:val="nil"/>
              <w:tr2bl w:val="nil"/>
            </w:tcBorders>
            <w:noWrap w:val="0"/>
            <w:vAlign w:val="center"/>
          </w:tcPr>
          <w:p w14:paraId="52A03EF4">
            <w:pPr>
              <w:spacing w:line="240" w:lineRule="auto"/>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21</w:t>
            </w:r>
          </w:p>
        </w:tc>
        <w:tc>
          <w:tcPr>
            <w:tcW w:w="508" w:type="pct"/>
            <w:tcBorders>
              <w:tl2br w:val="nil"/>
              <w:tr2bl w:val="nil"/>
            </w:tcBorders>
            <w:noWrap w:val="0"/>
            <w:vAlign w:val="center"/>
          </w:tcPr>
          <w:p w14:paraId="5293C504">
            <w:pPr>
              <w:widowControl/>
              <w:adjustRightInd w:val="0"/>
              <w:snapToGrid w:val="0"/>
              <w:jc w:val="center"/>
              <w:rPr>
                <w:color w:val="auto"/>
                <w:sz w:val="21"/>
                <w:szCs w:val="21"/>
                <w:highlight w:val="none"/>
              </w:rPr>
            </w:pPr>
            <w:r>
              <w:rPr>
                <w:rFonts w:hint="eastAsia" w:ascii="Times New Roman" w:hAnsi="Times New Roman" w:eastAsia="宋体"/>
                <w:color w:val="000000"/>
                <w:sz w:val="21"/>
                <w:szCs w:val="21"/>
                <w:highlight w:val="none"/>
                <w:lang w:val="en-US" w:eastAsia="zh-CN"/>
              </w:rPr>
              <w:t>15</w:t>
            </w:r>
          </w:p>
        </w:tc>
        <w:tc>
          <w:tcPr>
            <w:tcW w:w="715" w:type="pct"/>
            <w:tcBorders>
              <w:tl2br w:val="nil"/>
              <w:tr2bl w:val="nil"/>
            </w:tcBorders>
            <w:noWrap w:val="0"/>
            <w:vAlign w:val="center"/>
          </w:tcPr>
          <w:p w14:paraId="2A120F28">
            <w:pPr>
              <w:widowControl/>
              <w:adjustRightInd w:val="0"/>
              <w:snapToGrid w:val="0"/>
              <w:jc w:val="center"/>
              <w:rPr>
                <w:color w:val="auto"/>
                <w:sz w:val="21"/>
                <w:szCs w:val="21"/>
                <w:highlight w:val="none"/>
              </w:rPr>
            </w:pPr>
            <w:r>
              <w:rPr>
                <w:rFonts w:hint="eastAsia" w:ascii="Times New Roman" w:hAnsi="Times New Roman" w:eastAsia="宋体"/>
                <w:color w:val="000000"/>
                <w:sz w:val="21"/>
                <w:szCs w:val="21"/>
                <w:highlight w:val="none"/>
                <w:lang w:val="en-US" w:eastAsia="zh-CN"/>
              </w:rPr>
              <w:t>1</w:t>
            </w:r>
          </w:p>
        </w:tc>
        <w:tc>
          <w:tcPr>
            <w:tcW w:w="715" w:type="pct"/>
            <w:tcBorders>
              <w:tl2br w:val="nil"/>
              <w:tr2bl w:val="nil"/>
            </w:tcBorders>
            <w:noWrap w:val="0"/>
            <w:vAlign w:val="center"/>
          </w:tcPr>
          <w:p w14:paraId="46F42D9B">
            <w:pPr>
              <w:widowControl/>
              <w:adjustRightInd w:val="0"/>
              <w:snapToGrid w:val="0"/>
              <w:jc w:val="center"/>
              <w:rPr>
                <w:color w:val="auto"/>
                <w:sz w:val="21"/>
                <w:szCs w:val="21"/>
                <w:highlight w:val="none"/>
              </w:rPr>
            </w:pPr>
            <w:r>
              <w:rPr>
                <w:rFonts w:hint="eastAsia" w:ascii="Times New Roman" w:hAnsi="Times New Roman" w:eastAsia="宋体"/>
                <w:color w:val="000000"/>
                <w:sz w:val="21"/>
                <w:szCs w:val="21"/>
                <w:highlight w:val="none"/>
                <w:lang w:val="en-US" w:eastAsia="zh-CN"/>
              </w:rPr>
              <w:t>166</w:t>
            </w:r>
          </w:p>
        </w:tc>
        <w:tc>
          <w:tcPr>
            <w:tcW w:w="715" w:type="pct"/>
            <w:tcBorders>
              <w:tl2br w:val="nil"/>
              <w:tr2bl w:val="nil"/>
            </w:tcBorders>
            <w:noWrap w:val="0"/>
            <w:vAlign w:val="center"/>
          </w:tcPr>
          <w:p w14:paraId="4D54B180">
            <w:pPr>
              <w:widowControl/>
              <w:adjustRightInd w:val="0"/>
              <w:snapToGrid w:val="0"/>
              <w:jc w:val="center"/>
              <w:rPr>
                <w:color w:val="auto"/>
                <w:sz w:val="21"/>
                <w:szCs w:val="21"/>
                <w:highlight w:val="none"/>
              </w:rPr>
            </w:pPr>
            <w:r>
              <w:rPr>
                <w:rFonts w:hint="eastAsia" w:ascii="Times New Roman" w:hAnsi="Times New Roman" w:eastAsia="宋体"/>
                <w:color w:val="000000"/>
                <w:sz w:val="21"/>
                <w:szCs w:val="21"/>
                <w:highlight w:val="none"/>
                <w:lang w:val="en-US" w:eastAsia="zh-CN"/>
              </w:rPr>
              <w:t>21</w:t>
            </w:r>
          </w:p>
        </w:tc>
      </w:tr>
      <w:tr w14:paraId="00A692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noWrap w:val="0"/>
            <w:vAlign w:val="center"/>
          </w:tcPr>
          <w:p w14:paraId="5E295DDE">
            <w:pPr>
              <w:spacing w:line="240" w:lineRule="auto"/>
              <w:ind w:firstLine="0" w:firstLineChars="0"/>
              <w:jc w:val="center"/>
              <w:rPr>
                <w:color w:val="auto"/>
                <w:sz w:val="21"/>
                <w:szCs w:val="21"/>
                <w:highlight w:val="none"/>
              </w:rPr>
            </w:pPr>
            <w:r>
              <w:rPr>
                <w:color w:val="auto"/>
                <w:sz w:val="21"/>
                <w:szCs w:val="21"/>
                <w:highlight w:val="none"/>
              </w:rPr>
              <w:t>标准（二级）</w:t>
            </w:r>
          </w:p>
        </w:tc>
        <w:tc>
          <w:tcPr>
            <w:tcW w:w="725" w:type="pct"/>
            <w:tcBorders>
              <w:tl2br w:val="nil"/>
              <w:tr2bl w:val="nil"/>
            </w:tcBorders>
            <w:noWrap w:val="0"/>
            <w:vAlign w:val="center"/>
          </w:tcPr>
          <w:p w14:paraId="516A370E">
            <w:pPr>
              <w:spacing w:line="240" w:lineRule="auto"/>
              <w:ind w:firstLine="0" w:firstLineChars="0"/>
              <w:jc w:val="center"/>
              <w:rPr>
                <w:color w:val="auto"/>
                <w:sz w:val="21"/>
                <w:szCs w:val="21"/>
                <w:highlight w:val="none"/>
              </w:rPr>
            </w:pPr>
            <w:r>
              <w:rPr>
                <w:color w:val="auto"/>
                <w:sz w:val="21"/>
                <w:szCs w:val="21"/>
                <w:highlight w:val="none"/>
              </w:rPr>
              <w:t>70</w:t>
            </w:r>
          </w:p>
        </w:tc>
        <w:tc>
          <w:tcPr>
            <w:tcW w:w="613" w:type="pct"/>
            <w:tcBorders>
              <w:tl2br w:val="nil"/>
              <w:tr2bl w:val="nil"/>
            </w:tcBorders>
            <w:noWrap w:val="0"/>
            <w:vAlign w:val="center"/>
          </w:tcPr>
          <w:p w14:paraId="45B4BBB5">
            <w:pPr>
              <w:spacing w:line="240" w:lineRule="auto"/>
              <w:ind w:firstLine="0" w:firstLineChars="0"/>
              <w:jc w:val="center"/>
              <w:rPr>
                <w:color w:val="auto"/>
                <w:sz w:val="21"/>
                <w:szCs w:val="21"/>
                <w:highlight w:val="none"/>
              </w:rPr>
            </w:pPr>
            <w:r>
              <w:rPr>
                <w:color w:val="auto"/>
                <w:sz w:val="21"/>
                <w:szCs w:val="21"/>
                <w:highlight w:val="none"/>
              </w:rPr>
              <w:t>35</w:t>
            </w:r>
          </w:p>
        </w:tc>
        <w:tc>
          <w:tcPr>
            <w:tcW w:w="508" w:type="pct"/>
            <w:tcBorders>
              <w:tl2br w:val="nil"/>
              <w:tr2bl w:val="nil"/>
            </w:tcBorders>
            <w:noWrap w:val="0"/>
            <w:vAlign w:val="center"/>
          </w:tcPr>
          <w:p w14:paraId="29F3244C">
            <w:pPr>
              <w:spacing w:line="240" w:lineRule="auto"/>
              <w:ind w:firstLine="0" w:firstLineChars="0"/>
              <w:jc w:val="center"/>
              <w:rPr>
                <w:color w:val="auto"/>
                <w:sz w:val="21"/>
                <w:szCs w:val="21"/>
                <w:highlight w:val="none"/>
              </w:rPr>
            </w:pPr>
            <w:r>
              <w:rPr>
                <w:color w:val="auto"/>
                <w:sz w:val="21"/>
                <w:szCs w:val="21"/>
                <w:highlight w:val="none"/>
              </w:rPr>
              <w:t>60</w:t>
            </w:r>
          </w:p>
        </w:tc>
        <w:tc>
          <w:tcPr>
            <w:tcW w:w="715" w:type="pct"/>
            <w:tcBorders>
              <w:tl2br w:val="nil"/>
              <w:tr2bl w:val="nil"/>
            </w:tcBorders>
            <w:noWrap w:val="0"/>
            <w:vAlign w:val="center"/>
          </w:tcPr>
          <w:p w14:paraId="2D68E8DB">
            <w:pPr>
              <w:spacing w:line="240" w:lineRule="auto"/>
              <w:ind w:firstLine="0" w:firstLineChars="0"/>
              <w:jc w:val="center"/>
              <w:rPr>
                <w:color w:val="auto"/>
                <w:sz w:val="21"/>
                <w:szCs w:val="21"/>
                <w:highlight w:val="none"/>
              </w:rPr>
            </w:pPr>
            <w:r>
              <w:rPr>
                <w:color w:val="auto"/>
                <w:sz w:val="21"/>
                <w:szCs w:val="21"/>
                <w:highlight w:val="none"/>
              </w:rPr>
              <w:t>4.0</w:t>
            </w:r>
          </w:p>
        </w:tc>
        <w:tc>
          <w:tcPr>
            <w:tcW w:w="715" w:type="pct"/>
            <w:tcBorders>
              <w:tl2br w:val="nil"/>
              <w:tr2bl w:val="nil"/>
            </w:tcBorders>
            <w:noWrap w:val="0"/>
            <w:vAlign w:val="center"/>
          </w:tcPr>
          <w:p w14:paraId="21F1576E">
            <w:pPr>
              <w:spacing w:line="240" w:lineRule="auto"/>
              <w:ind w:firstLine="0" w:firstLineChars="0"/>
              <w:jc w:val="center"/>
              <w:rPr>
                <w:color w:val="auto"/>
                <w:sz w:val="21"/>
                <w:szCs w:val="21"/>
                <w:highlight w:val="none"/>
              </w:rPr>
            </w:pPr>
            <w:r>
              <w:rPr>
                <w:color w:val="auto"/>
                <w:sz w:val="21"/>
                <w:szCs w:val="21"/>
                <w:highlight w:val="none"/>
              </w:rPr>
              <w:t>160</w:t>
            </w:r>
          </w:p>
        </w:tc>
        <w:tc>
          <w:tcPr>
            <w:tcW w:w="715" w:type="pct"/>
            <w:tcBorders>
              <w:tl2br w:val="nil"/>
              <w:tr2bl w:val="nil"/>
            </w:tcBorders>
            <w:noWrap w:val="0"/>
            <w:vAlign w:val="center"/>
          </w:tcPr>
          <w:p w14:paraId="3EFEA87E">
            <w:pPr>
              <w:spacing w:line="240" w:lineRule="auto"/>
              <w:ind w:firstLine="0" w:firstLineChars="0"/>
              <w:jc w:val="center"/>
              <w:rPr>
                <w:color w:val="auto"/>
                <w:sz w:val="21"/>
                <w:szCs w:val="21"/>
                <w:highlight w:val="none"/>
              </w:rPr>
            </w:pPr>
            <w:r>
              <w:rPr>
                <w:color w:val="auto"/>
                <w:sz w:val="21"/>
                <w:szCs w:val="21"/>
                <w:highlight w:val="none"/>
              </w:rPr>
              <w:t>40</w:t>
            </w:r>
          </w:p>
        </w:tc>
      </w:tr>
      <w:tr w14:paraId="2536B5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shd w:val="clear" w:color="auto" w:fill="auto"/>
            <w:noWrap w:val="0"/>
            <w:vAlign w:val="center"/>
          </w:tcPr>
          <w:p w14:paraId="2AFAF77F">
            <w:pPr>
              <w:adjustRightInd w:val="0"/>
              <w:snapToGrid w:val="0"/>
              <w:jc w:val="center"/>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eastAsia="宋体"/>
                <w:color w:val="000000"/>
                <w:kern w:val="0"/>
                <w:sz w:val="21"/>
                <w:szCs w:val="21"/>
                <w:highlight w:val="none"/>
              </w:rPr>
              <w:t>占标率</w:t>
            </w:r>
            <w:r>
              <w:rPr>
                <w:rFonts w:hint="eastAsia" w:ascii="Times New Roman" w:hAnsi="Times New Roman" w:eastAsia="宋体"/>
                <w:color w:val="000000"/>
                <w:kern w:val="0"/>
                <w:sz w:val="21"/>
                <w:szCs w:val="21"/>
                <w:highlight w:val="none"/>
                <w:lang w:eastAsia="zh-CN"/>
              </w:rPr>
              <w:t>（</w:t>
            </w:r>
            <w:r>
              <w:rPr>
                <w:rFonts w:hint="eastAsia" w:ascii="Times New Roman" w:hAnsi="Times New Roman" w:eastAsia="宋体"/>
                <w:color w:val="000000"/>
                <w:kern w:val="0"/>
                <w:sz w:val="21"/>
                <w:szCs w:val="21"/>
                <w:highlight w:val="none"/>
                <w:lang w:val="en-US" w:eastAsia="zh-CN"/>
              </w:rPr>
              <w:t>%</w:t>
            </w:r>
            <w:r>
              <w:rPr>
                <w:rFonts w:hint="eastAsia" w:ascii="Times New Roman" w:hAnsi="Times New Roman" w:eastAsia="宋体"/>
                <w:color w:val="000000"/>
                <w:kern w:val="0"/>
                <w:sz w:val="21"/>
                <w:szCs w:val="21"/>
                <w:highlight w:val="none"/>
                <w:lang w:eastAsia="zh-CN"/>
              </w:rPr>
              <w:t>）</w:t>
            </w:r>
          </w:p>
        </w:tc>
        <w:tc>
          <w:tcPr>
            <w:tcW w:w="725" w:type="pct"/>
            <w:tcBorders>
              <w:tl2br w:val="nil"/>
              <w:tr2bl w:val="nil"/>
            </w:tcBorders>
            <w:shd w:val="clear" w:color="auto" w:fill="auto"/>
            <w:noWrap w:val="0"/>
            <w:vAlign w:val="center"/>
          </w:tcPr>
          <w:p w14:paraId="10FEFAB2">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64.29</w:t>
            </w:r>
          </w:p>
        </w:tc>
        <w:tc>
          <w:tcPr>
            <w:tcW w:w="613" w:type="pct"/>
            <w:tcBorders>
              <w:tl2br w:val="nil"/>
              <w:tr2bl w:val="nil"/>
            </w:tcBorders>
            <w:shd w:val="clear" w:color="auto" w:fill="auto"/>
            <w:noWrap w:val="0"/>
            <w:vAlign w:val="center"/>
          </w:tcPr>
          <w:p w14:paraId="4D0FD175">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60</w:t>
            </w:r>
          </w:p>
        </w:tc>
        <w:tc>
          <w:tcPr>
            <w:tcW w:w="508" w:type="pct"/>
            <w:tcBorders>
              <w:tl2br w:val="nil"/>
              <w:tr2bl w:val="nil"/>
            </w:tcBorders>
            <w:shd w:val="clear" w:color="auto" w:fill="auto"/>
            <w:noWrap w:val="0"/>
            <w:vAlign w:val="center"/>
          </w:tcPr>
          <w:p w14:paraId="3A436F75">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25</w:t>
            </w:r>
          </w:p>
        </w:tc>
        <w:tc>
          <w:tcPr>
            <w:tcW w:w="715" w:type="pct"/>
            <w:tcBorders>
              <w:tl2br w:val="nil"/>
              <w:tr2bl w:val="nil"/>
            </w:tcBorders>
            <w:shd w:val="clear" w:color="auto" w:fill="auto"/>
            <w:noWrap w:val="0"/>
            <w:vAlign w:val="center"/>
          </w:tcPr>
          <w:p w14:paraId="2277FF14">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25</w:t>
            </w:r>
          </w:p>
        </w:tc>
        <w:tc>
          <w:tcPr>
            <w:tcW w:w="715" w:type="pct"/>
            <w:tcBorders>
              <w:tl2br w:val="nil"/>
              <w:tr2bl w:val="nil"/>
            </w:tcBorders>
            <w:shd w:val="clear" w:color="auto" w:fill="auto"/>
            <w:noWrap w:val="0"/>
            <w:vAlign w:val="center"/>
          </w:tcPr>
          <w:p w14:paraId="6369A815">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103.75</w:t>
            </w:r>
          </w:p>
        </w:tc>
        <w:tc>
          <w:tcPr>
            <w:tcW w:w="715" w:type="pct"/>
            <w:tcBorders>
              <w:tl2br w:val="nil"/>
              <w:tr2bl w:val="nil"/>
            </w:tcBorders>
            <w:shd w:val="clear" w:color="auto" w:fill="auto"/>
            <w:noWrap w:val="0"/>
            <w:vAlign w:val="center"/>
          </w:tcPr>
          <w:p w14:paraId="02DA1B10">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52.5</w:t>
            </w:r>
          </w:p>
        </w:tc>
      </w:tr>
      <w:tr w14:paraId="02A4970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shd w:val="clear" w:color="auto" w:fill="auto"/>
            <w:noWrap w:val="0"/>
            <w:vAlign w:val="center"/>
          </w:tcPr>
          <w:p w14:paraId="2FD5E27A">
            <w:pPr>
              <w:widowControl/>
              <w:adjustRightInd w:val="0"/>
              <w:snapToGrid w:val="0"/>
              <w:jc w:val="center"/>
              <w:rPr>
                <w:rFonts w:ascii="Times New Roman" w:hAnsi="Times New Roman" w:eastAsia="宋体" w:cs="Times New Roman"/>
                <w:color w:val="000000"/>
                <w:kern w:val="2"/>
                <w:sz w:val="21"/>
                <w:szCs w:val="21"/>
                <w:highlight w:val="none"/>
                <w:lang w:val="en-US" w:eastAsia="zh-CN" w:bidi="ar-SA"/>
              </w:rPr>
            </w:pPr>
            <w:r>
              <w:rPr>
                <w:rFonts w:ascii="Times New Roman" w:hAnsi="Times New Roman" w:eastAsia="宋体"/>
                <w:color w:val="000000"/>
                <w:sz w:val="21"/>
                <w:szCs w:val="21"/>
                <w:highlight w:val="none"/>
              </w:rPr>
              <w:t>达标情况</w:t>
            </w:r>
          </w:p>
        </w:tc>
        <w:tc>
          <w:tcPr>
            <w:tcW w:w="725" w:type="pct"/>
            <w:tcBorders>
              <w:tl2br w:val="nil"/>
              <w:tr2bl w:val="nil"/>
            </w:tcBorders>
            <w:shd w:val="clear" w:color="auto" w:fill="auto"/>
            <w:noWrap w:val="0"/>
            <w:vAlign w:val="center"/>
          </w:tcPr>
          <w:p w14:paraId="12E4DBF7">
            <w:pPr>
              <w:widowControl/>
              <w:adjustRightInd w:val="0"/>
              <w:snapToGrid w:val="0"/>
              <w:jc w:val="center"/>
              <w:rPr>
                <w:rFonts w:ascii="Times New Roman" w:hAnsi="Times New Roman" w:eastAsia="宋体" w:cs="Times New Roman"/>
                <w:color w:val="000000"/>
                <w:kern w:val="0"/>
                <w:sz w:val="21"/>
                <w:szCs w:val="21"/>
                <w:highlight w:val="none"/>
                <w:lang w:val="en-US" w:eastAsia="zh-CN" w:bidi="ar-SA"/>
              </w:rPr>
            </w:pPr>
            <w:r>
              <w:rPr>
                <w:rFonts w:ascii="Times New Roman" w:hAnsi="Times New Roman" w:eastAsia="宋体"/>
                <w:color w:val="000000"/>
                <w:kern w:val="0"/>
                <w:sz w:val="21"/>
                <w:szCs w:val="21"/>
                <w:highlight w:val="none"/>
              </w:rPr>
              <w:t>达标</w:t>
            </w:r>
          </w:p>
        </w:tc>
        <w:tc>
          <w:tcPr>
            <w:tcW w:w="613" w:type="pct"/>
            <w:tcBorders>
              <w:tl2br w:val="nil"/>
              <w:tr2bl w:val="nil"/>
            </w:tcBorders>
            <w:shd w:val="clear" w:color="auto" w:fill="auto"/>
            <w:noWrap w:val="0"/>
            <w:vAlign w:val="center"/>
          </w:tcPr>
          <w:p w14:paraId="33EE0954">
            <w:pPr>
              <w:widowControl/>
              <w:adjustRightInd w:val="0"/>
              <w:snapToGrid w:val="0"/>
              <w:jc w:val="center"/>
              <w:rPr>
                <w:rFonts w:ascii="Times New Roman" w:hAnsi="Times New Roman" w:eastAsia="宋体" w:cs="Times New Roman"/>
                <w:color w:val="000000"/>
                <w:kern w:val="0"/>
                <w:sz w:val="21"/>
                <w:szCs w:val="21"/>
                <w:highlight w:val="none"/>
                <w:lang w:val="en-US" w:eastAsia="zh-CN" w:bidi="ar-SA"/>
              </w:rPr>
            </w:pPr>
            <w:r>
              <w:rPr>
                <w:rFonts w:ascii="Times New Roman" w:hAnsi="Times New Roman" w:eastAsia="宋体"/>
                <w:color w:val="000000"/>
                <w:kern w:val="0"/>
                <w:sz w:val="21"/>
                <w:szCs w:val="21"/>
                <w:highlight w:val="none"/>
              </w:rPr>
              <w:t>达标</w:t>
            </w:r>
          </w:p>
        </w:tc>
        <w:tc>
          <w:tcPr>
            <w:tcW w:w="508" w:type="pct"/>
            <w:tcBorders>
              <w:tl2br w:val="nil"/>
              <w:tr2bl w:val="nil"/>
            </w:tcBorders>
            <w:shd w:val="clear" w:color="auto" w:fill="auto"/>
            <w:noWrap w:val="0"/>
            <w:vAlign w:val="center"/>
          </w:tcPr>
          <w:p w14:paraId="76ABB0C4">
            <w:pPr>
              <w:widowControl/>
              <w:adjustRightInd w:val="0"/>
              <w:snapToGrid w:val="0"/>
              <w:jc w:val="center"/>
              <w:rPr>
                <w:rFonts w:ascii="Times New Roman" w:hAnsi="Times New Roman" w:eastAsia="宋体" w:cs="Times New Roman"/>
                <w:color w:val="000000"/>
                <w:kern w:val="0"/>
                <w:sz w:val="21"/>
                <w:szCs w:val="21"/>
                <w:highlight w:val="none"/>
                <w:lang w:val="en-US" w:eastAsia="zh-CN" w:bidi="ar-SA"/>
              </w:rPr>
            </w:pPr>
            <w:r>
              <w:rPr>
                <w:rFonts w:ascii="Times New Roman" w:hAnsi="Times New Roman" w:eastAsia="宋体"/>
                <w:color w:val="000000"/>
                <w:kern w:val="0"/>
                <w:sz w:val="21"/>
                <w:szCs w:val="21"/>
                <w:highlight w:val="none"/>
              </w:rPr>
              <w:t>达标</w:t>
            </w:r>
          </w:p>
        </w:tc>
        <w:tc>
          <w:tcPr>
            <w:tcW w:w="715" w:type="pct"/>
            <w:tcBorders>
              <w:tl2br w:val="nil"/>
              <w:tr2bl w:val="nil"/>
            </w:tcBorders>
            <w:shd w:val="clear" w:color="auto" w:fill="auto"/>
            <w:noWrap w:val="0"/>
            <w:vAlign w:val="center"/>
          </w:tcPr>
          <w:p w14:paraId="2E70D2F3">
            <w:pPr>
              <w:widowControl/>
              <w:adjustRightInd w:val="0"/>
              <w:snapToGrid w:val="0"/>
              <w:jc w:val="center"/>
              <w:rPr>
                <w:rFonts w:ascii="Times New Roman" w:hAnsi="Times New Roman" w:eastAsia="宋体" w:cs="Times New Roman"/>
                <w:color w:val="000000"/>
                <w:kern w:val="0"/>
                <w:sz w:val="21"/>
                <w:szCs w:val="21"/>
                <w:highlight w:val="none"/>
                <w:lang w:val="en-US" w:eastAsia="zh-CN" w:bidi="ar-SA"/>
              </w:rPr>
            </w:pPr>
            <w:r>
              <w:rPr>
                <w:rFonts w:ascii="Times New Roman" w:hAnsi="Times New Roman" w:eastAsia="宋体"/>
                <w:color w:val="000000"/>
                <w:kern w:val="0"/>
                <w:sz w:val="21"/>
                <w:szCs w:val="21"/>
                <w:highlight w:val="none"/>
              </w:rPr>
              <w:t>达标</w:t>
            </w:r>
          </w:p>
        </w:tc>
        <w:tc>
          <w:tcPr>
            <w:tcW w:w="715" w:type="pct"/>
            <w:tcBorders>
              <w:tl2br w:val="nil"/>
              <w:tr2bl w:val="nil"/>
            </w:tcBorders>
            <w:shd w:val="clear" w:color="auto" w:fill="auto"/>
            <w:noWrap w:val="0"/>
            <w:vAlign w:val="center"/>
          </w:tcPr>
          <w:p w14:paraId="6262794B">
            <w:pPr>
              <w:widowControl/>
              <w:adjustRightInd w:val="0"/>
              <w:snapToGrid w:val="0"/>
              <w:jc w:val="center"/>
              <w:rPr>
                <w:rFonts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olor w:val="000000"/>
                <w:kern w:val="0"/>
                <w:sz w:val="21"/>
                <w:szCs w:val="21"/>
                <w:highlight w:val="none"/>
              </w:rPr>
              <w:t>不</w:t>
            </w:r>
            <w:r>
              <w:rPr>
                <w:rFonts w:ascii="Times New Roman" w:hAnsi="Times New Roman" w:eastAsia="宋体"/>
                <w:color w:val="000000"/>
                <w:kern w:val="0"/>
                <w:sz w:val="21"/>
                <w:szCs w:val="21"/>
                <w:highlight w:val="none"/>
              </w:rPr>
              <w:t>达标</w:t>
            </w:r>
          </w:p>
        </w:tc>
        <w:tc>
          <w:tcPr>
            <w:tcW w:w="715" w:type="pct"/>
            <w:tcBorders>
              <w:tl2br w:val="nil"/>
              <w:tr2bl w:val="nil"/>
            </w:tcBorders>
            <w:shd w:val="clear" w:color="auto" w:fill="auto"/>
            <w:noWrap w:val="0"/>
            <w:vAlign w:val="center"/>
          </w:tcPr>
          <w:p w14:paraId="633ADD81">
            <w:pPr>
              <w:widowControl/>
              <w:adjustRightInd w:val="0"/>
              <w:snapToGrid w:val="0"/>
              <w:jc w:val="center"/>
              <w:rPr>
                <w:rFonts w:ascii="Times New Roman" w:hAnsi="Times New Roman" w:eastAsia="宋体" w:cs="Times New Roman"/>
                <w:color w:val="000000"/>
                <w:kern w:val="0"/>
                <w:sz w:val="21"/>
                <w:szCs w:val="21"/>
                <w:highlight w:val="none"/>
                <w:lang w:val="en-US" w:eastAsia="zh-CN" w:bidi="ar-SA"/>
              </w:rPr>
            </w:pPr>
            <w:r>
              <w:rPr>
                <w:rFonts w:ascii="Times New Roman" w:hAnsi="Times New Roman" w:eastAsia="宋体"/>
                <w:color w:val="000000"/>
                <w:kern w:val="0"/>
                <w:sz w:val="21"/>
                <w:szCs w:val="21"/>
                <w:highlight w:val="none"/>
              </w:rPr>
              <w:t>达标</w:t>
            </w:r>
          </w:p>
        </w:tc>
      </w:tr>
    </w:tbl>
    <w:p w14:paraId="44677EE0">
      <w:pPr>
        <w:spacing w:line="240" w:lineRule="auto"/>
        <w:ind w:firstLine="422"/>
        <w:rPr>
          <w:color w:val="auto"/>
          <w:sz w:val="21"/>
          <w:szCs w:val="21"/>
          <w:highlight w:val="none"/>
        </w:rPr>
      </w:pPr>
      <w:r>
        <w:rPr>
          <w:rFonts w:eastAsia="仿宋"/>
          <w:b/>
          <w:bCs/>
          <w:color w:val="auto"/>
          <w:sz w:val="21"/>
          <w:szCs w:val="21"/>
          <w:highlight w:val="none"/>
        </w:rPr>
        <w:t>注</w:t>
      </w:r>
      <w:r>
        <w:rPr>
          <w:rFonts w:hint="eastAsia" w:eastAsia="仿宋"/>
          <w:b/>
          <w:bCs/>
          <w:color w:val="auto"/>
          <w:sz w:val="21"/>
          <w:szCs w:val="21"/>
          <w:highlight w:val="none"/>
        </w:rPr>
        <w:t>：</w:t>
      </w:r>
      <w:r>
        <w:rPr>
          <w:rFonts w:eastAsia="仿宋"/>
          <w:b/>
          <w:bCs/>
          <w:color w:val="auto"/>
          <w:sz w:val="21"/>
          <w:szCs w:val="21"/>
          <w:highlight w:val="none"/>
        </w:rPr>
        <w:t>表中CO浓度单位是mg/m</w:t>
      </w:r>
      <w:r>
        <w:rPr>
          <w:rFonts w:eastAsia="仿宋"/>
          <w:b/>
          <w:bCs/>
          <w:color w:val="auto"/>
          <w:sz w:val="21"/>
          <w:szCs w:val="21"/>
          <w:highlight w:val="none"/>
          <w:vertAlign w:val="superscript"/>
        </w:rPr>
        <w:t>3</w:t>
      </w:r>
      <w:r>
        <w:rPr>
          <w:rFonts w:eastAsia="仿宋"/>
          <w:b/>
          <w:bCs/>
          <w:color w:val="auto"/>
          <w:sz w:val="21"/>
          <w:szCs w:val="21"/>
          <w:highlight w:val="none"/>
        </w:rPr>
        <w:t>，PM</w:t>
      </w:r>
      <w:r>
        <w:rPr>
          <w:rFonts w:eastAsia="仿宋"/>
          <w:b/>
          <w:bCs/>
          <w:color w:val="auto"/>
          <w:sz w:val="21"/>
          <w:szCs w:val="21"/>
          <w:highlight w:val="none"/>
          <w:vertAlign w:val="subscript"/>
        </w:rPr>
        <w:t>10</w:t>
      </w:r>
      <w:r>
        <w:rPr>
          <w:rFonts w:eastAsia="仿宋"/>
          <w:b/>
          <w:bCs/>
          <w:color w:val="auto"/>
          <w:sz w:val="21"/>
          <w:szCs w:val="21"/>
          <w:highlight w:val="none"/>
        </w:rPr>
        <w:t>、PM</w:t>
      </w:r>
      <w:r>
        <w:rPr>
          <w:rFonts w:eastAsia="仿宋"/>
          <w:b/>
          <w:bCs/>
          <w:color w:val="auto"/>
          <w:sz w:val="21"/>
          <w:szCs w:val="21"/>
          <w:highlight w:val="none"/>
          <w:vertAlign w:val="subscript"/>
        </w:rPr>
        <w:t>2.5</w:t>
      </w:r>
      <w:r>
        <w:rPr>
          <w:rFonts w:eastAsia="仿宋"/>
          <w:b/>
          <w:bCs/>
          <w:color w:val="auto"/>
          <w:sz w:val="21"/>
          <w:szCs w:val="21"/>
          <w:highlight w:val="none"/>
        </w:rPr>
        <w:t>、SO</w:t>
      </w:r>
      <w:r>
        <w:rPr>
          <w:rFonts w:eastAsia="仿宋"/>
          <w:b/>
          <w:bCs/>
          <w:color w:val="auto"/>
          <w:sz w:val="21"/>
          <w:szCs w:val="21"/>
          <w:highlight w:val="none"/>
          <w:vertAlign w:val="subscript"/>
        </w:rPr>
        <w:t>2</w:t>
      </w:r>
      <w:r>
        <w:rPr>
          <w:rFonts w:eastAsia="仿宋"/>
          <w:b/>
          <w:bCs/>
          <w:color w:val="auto"/>
          <w:sz w:val="21"/>
          <w:szCs w:val="21"/>
          <w:highlight w:val="none"/>
        </w:rPr>
        <w:t>、NO</w:t>
      </w:r>
      <w:r>
        <w:rPr>
          <w:rFonts w:eastAsia="仿宋"/>
          <w:b/>
          <w:bCs/>
          <w:color w:val="auto"/>
          <w:sz w:val="21"/>
          <w:szCs w:val="21"/>
          <w:highlight w:val="none"/>
          <w:vertAlign w:val="subscript"/>
        </w:rPr>
        <w:t>2</w:t>
      </w:r>
      <w:r>
        <w:rPr>
          <w:rFonts w:eastAsia="仿宋"/>
          <w:b/>
          <w:bCs/>
          <w:color w:val="auto"/>
          <w:sz w:val="21"/>
          <w:szCs w:val="21"/>
          <w:highlight w:val="none"/>
        </w:rPr>
        <w:t>、CO和O</w:t>
      </w:r>
      <w:r>
        <w:rPr>
          <w:rFonts w:eastAsia="仿宋"/>
          <w:b/>
          <w:bCs/>
          <w:color w:val="auto"/>
          <w:sz w:val="21"/>
          <w:szCs w:val="21"/>
          <w:highlight w:val="none"/>
          <w:vertAlign w:val="subscript"/>
        </w:rPr>
        <w:t>3</w:t>
      </w:r>
      <w:r>
        <w:rPr>
          <w:rFonts w:eastAsia="仿宋"/>
          <w:b/>
          <w:bCs/>
          <w:color w:val="auto"/>
          <w:sz w:val="21"/>
          <w:szCs w:val="21"/>
          <w:highlight w:val="none"/>
        </w:rPr>
        <w:t>浓度单位是μg/m</w:t>
      </w:r>
      <w:r>
        <w:rPr>
          <w:rFonts w:eastAsia="仿宋"/>
          <w:b/>
          <w:bCs/>
          <w:color w:val="auto"/>
          <w:sz w:val="21"/>
          <w:szCs w:val="21"/>
          <w:highlight w:val="none"/>
          <w:vertAlign w:val="superscript"/>
        </w:rPr>
        <w:t>3</w:t>
      </w:r>
      <w:r>
        <w:rPr>
          <w:rFonts w:eastAsia="仿宋"/>
          <w:b/>
          <w:bCs/>
          <w:color w:val="auto"/>
          <w:sz w:val="21"/>
          <w:szCs w:val="21"/>
          <w:highlight w:val="none"/>
        </w:rPr>
        <w:t>，</w:t>
      </w:r>
      <w:r>
        <w:rPr>
          <w:rFonts w:hint="eastAsia" w:eastAsia="仿宋"/>
          <w:b/>
          <w:bCs/>
          <w:color w:val="auto"/>
          <w:sz w:val="21"/>
          <w:szCs w:val="21"/>
          <w:highlight w:val="none"/>
        </w:rPr>
        <w:t>CO为24小时平均第95百分位数，O</w:t>
      </w:r>
      <w:r>
        <w:rPr>
          <w:rFonts w:hint="eastAsia" w:eastAsia="仿宋"/>
          <w:b/>
          <w:bCs/>
          <w:color w:val="auto"/>
          <w:sz w:val="21"/>
          <w:szCs w:val="21"/>
          <w:highlight w:val="none"/>
          <w:vertAlign w:val="subscript"/>
        </w:rPr>
        <w:t>3</w:t>
      </w:r>
      <w:r>
        <w:rPr>
          <w:rFonts w:hint="eastAsia" w:eastAsia="仿宋"/>
          <w:b/>
          <w:bCs/>
          <w:color w:val="auto"/>
          <w:sz w:val="21"/>
          <w:szCs w:val="21"/>
          <w:highlight w:val="none"/>
        </w:rPr>
        <w:t>为日最大8小时平均第90百分位数</w:t>
      </w:r>
      <w:r>
        <w:rPr>
          <w:rFonts w:eastAsia="仿宋"/>
          <w:b/>
          <w:bCs/>
          <w:color w:val="auto"/>
          <w:sz w:val="21"/>
          <w:szCs w:val="21"/>
          <w:highlight w:val="none"/>
        </w:rPr>
        <w:t>。</w:t>
      </w:r>
    </w:p>
    <w:p w14:paraId="7007CC9A">
      <w:pPr>
        <w:keepNext w:val="0"/>
        <w:keepLines w:val="0"/>
        <w:pageBreakBefore w:val="0"/>
        <w:widowControl w:val="0"/>
        <w:kinsoku/>
        <w:wordWrap/>
        <w:overflowPunct/>
        <w:topLinePunct w:val="0"/>
        <w:autoSpaceDE/>
        <w:autoSpaceDN/>
        <w:bidi w:val="0"/>
        <w:spacing w:line="360" w:lineRule="auto"/>
        <w:ind w:firstLine="480"/>
        <w:jc w:val="both"/>
        <w:textAlignment w:val="auto"/>
        <w:rPr>
          <w:rFonts w:hint="eastAsia" w:ascii="Times New Roman" w:hAnsi="Times New Roman" w:cs="Times New Roman"/>
          <w:color w:val="000000"/>
          <w:sz w:val="24"/>
          <w:szCs w:val="24"/>
          <w:highlight w:val="none"/>
          <w:lang w:eastAsia="zh-CN"/>
        </w:rPr>
      </w:pPr>
      <w:r>
        <w:rPr>
          <w:color w:val="auto"/>
          <w:sz w:val="24"/>
          <w:szCs w:val="24"/>
          <w:highlight w:val="none"/>
        </w:rPr>
        <w:t>由上表可见，项目所在区域环境空气中，</w:t>
      </w:r>
      <w:r>
        <w:rPr>
          <w:rFonts w:hint="default" w:ascii="Times New Roman" w:hAnsi="Times New Roman" w:cs="Times New Roman"/>
          <w:color w:val="auto"/>
          <w:sz w:val="24"/>
          <w:szCs w:val="24"/>
          <w:highlight w:val="none"/>
          <w:lang w:val="en-US" w:eastAsia="zh-CN"/>
        </w:rPr>
        <w:t>除O</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日最大8小时平均浓度第90百分位数超标外，</w:t>
      </w:r>
      <w:r>
        <w:rPr>
          <w:color w:val="auto"/>
          <w:sz w:val="24"/>
          <w:szCs w:val="40"/>
          <w:highlight w:val="none"/>
        </w:rPr>
        <w:t>PM</w:t>
      </w:r>
      <w:r>
        <w:rPr>
          <w:color w:val="auto"/>
          <w:sz w:val="24"/>
          <w:szCs w:val="40"/>
          <w:highlight w:val="none"/>
          <w:vertAlign w:val="subscript"/>
        </w:rPr>
        <w:t>10</w:t>
      </w:r>
      <w:r>
        <w:rPr>
          <w:color w:val="auto"/>
          <w:sz w:val="24"/>
          <w:szCs w:val="24"/>
          <w:highlight w:val="none"/>
        </w:rPr>
        <w:t>年均值</w:t>
      </w:r>
      <w:r>
        <w:rPr>
          <w:color w:val="auto"/>
          <w:sz w:val="24"/>
          <w:szCs w:val="40"/>
          <w:highlight w:val="none"/>
        </w:rPr>
        <w:t>、PM</w:t>
      </w:r>
      <w:r>
        <w:rPr>
          <w:color w:val="auto"/>
          <w:sz w:val="24"/>
          <w:szCs w:val="40"/>
          <w:highlight w:val="none"/>
          <w:vertAlign w:val="subscript"/>
        </w:rPr>
        <w:t>2.5</w:t>
      </w:r>
      <w:r>
        <w:rPr>
          <w:color w:val="auto"/>
          <w:sz w:val="24"/>
          <w:szCs w:val="24"/>
          <w:highlight w:val="none"/>
        </w:rPr>
        <w:t>年均值</w:t>
      </w:r>
      <w:r>
        <w:rPr>
          <w:rFonts w:hint="eastAsia"/>
          <w:color w:val="auto"/>
          <w:sz w:val="24"/>
          <w:szCs w:val="24"/>
          <w:highlight w:val="none"/>
        </w:rPr>
        <w:t>、</w:t>
      </w:r>
      <w:r>
        <w:rPr>
          <w:color w:val="auto"/>
          <w:sz w:val="24"/>
          <w:szCs w:val="24"/>
          <w:highlight w:val="none"/>
        </w:rPr>
        <w:t>SO</w:t>
      </w:r>
      <w:r>
        <w:rPr>
          <w:color w:val="auto"/>
          <w:sz w:val="24"/>
          <w:szCs w:val="24"/>
          <w:highlight w:val="none"/>
          <w:vertAlign w:val="subscript"/>
        </w:rPr>
        <w:t>2</w:t>
      </w:r>
      <w:r>
        <w:rPr>
          <w:color w:val="auto"/>
          <w:sz w:val="24"/>
          <w:szCs w:val="24"/>
          <w:highlight w:val="none"/>
        </w:rPr>
        <w:t>年均值、NO</w:t>
      </w:r>
      <w:r>
        <w:rPr>
          <w:color w:val="auto"/>
          <w:sz w:val="24"/>
          <w:szCs w:val="24"/>
          <w:highlight w:val="none"/>
          <w:vertAlign w:val="subscript"/>
        </w:rPr>
        <w:t>2</w:t>
      </w:r>
      <w:r>
        <w:rPr>
          <w:color w:val="auto"/>
          <w:sz w:val="24"/>
          <w:szCs w:val="24"/>
          <w:highlight w:val="none"/>
        </w:rPr>
        <w:t>年均值</w:t>
      </w:r>
      <w:r>
        <w:rPr>
          <w:rFonts w:hint="eastAsia"/>
          <w:color w:val="auto"/>
          <w:sz w:val="24"/>
          <w:szCs w:val="24"/>
          <w:highlight w:val="none"/>
        </w:rPr>
        <w:t>、</w:t>
      </w:r>
      <w:r>
        <w:rPr>
          <w:color w:val="auto"/>
          <w:sz w:val="24"/>
          <w:szCs w:val="24"/>
          <w:highlight w:val="none"/>
        </w:rPr>
        <w:t>CO24小时平均浓度第95百分位数</w:t>
      </w:r>
      <w:r>
        <w:rPr>
          <w:rFonts w:hint="default" w:ascii="Times New Roman" w:hAnsi="Times New Roman" w:cs="Times New Roman"/>
          <w:color w:val="auto"/>
          <w:sz w:val="24"/>
          <w:szCs w:val="24"/>
          <w:highlight w:val="none"/>
          <w:lang w:val="en-US" w:eastAsia="zh-CN"/>
        </w:rPr>
        <w:t>均满足《环境空气质量标准》（GB3095-2012）及其修改单的二级标准要求</w:t>
      </w:r>
      <w:r>
        <w:rPr>
          <w:rFonts w:hint="eastAsia" w:ascii="Times New Roman" w:hAnsi="Times New Roman" w:cs="Times New Roman"/>
          <w:color w:val="auto"/>
          <w:sz w:val="24"/>
          <w:szCs w:val="24"/>
          <w:highlight w:val="none"/>
          <w:lang w:val="en-US" w:eastAsia="zh-CN"/>
        </w:rPr>
        <w:t>，隆化县区域</w:t>
      </w:r>
      <w:r>
        <w:rPr>
          <w:rFonts w:hint="default" w:ascii="Times New Roman" w:hAnsi="Times New Roman" w:cs="Times New Roman"/>
          <w:color w:val="auto"/>
          <w:sz w:val="24"/>
          <w:szCs w:val="24"/>
          <w:highlight w:val="none"/>
          <w:lang w:val="en-US" w:eastAsia="zh-CN"/>
        </w:rPr>
        <w:t>为不达标区</w:t>
      </w:r>
      <w:r>
        <w:rPr>
          <w:rFonts w:hint="eastAsia"/>
          <w:color w:val="auto"/>
          <w:sz w:val="24"/>
          <w:szCs w:val="24"/>
          <w:highlight w:val="none"/>
        </w:rPr>
        <w:t>。</w:t>
      </w:r>
    </w:p>
    <w:p w14:paraId="11DBB514">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4.</w:t>
      </w:r>
      <w:r>
        <w:rPr>
          <w:rFonts w:hint="eastAsia" w:cs="Times New Roman"/>
          <w:b/>
          <w:sz w:val="24"/>
          <w:szCs w:val="24"/>
          <w:highlight w:val="none"/>
          <w:lang w:val="en-US" w:eastAsia="zh-CN"/>
        </w:rPr>
        <w:t>3</w:t>
      </w:r>
      <w:r>
        <w:rPr>
          <w:rFonts w:hint="eastAsia" w:ascii="Times New Roman" w:hAnsi="Times New Roman" w:eastAsia="宋体" w:cs="Times New Roman"/>
          <w:b/>
          <w:sz w:val="24"/>
          <w:szCs w:val="24"/>
          <w:highlight w:val="none"/>
          <w:lang w:val="en-US" w:eastAsia="zh-CN"/>
        </w:rPr>
        <w:t>.1.2环境质量现状监测</w:t>
      </w:r>
    </w:p>
    <w:p w14:paraId="36D0AF9D">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根据</w:t>
      </w:r>
      <w:r>
        <w:rPr>
          <w:rFonts w:hint="default" w:ascii="Times New Roman" w:hAnsi="Times New Roman" w:cs="Times New Roman"/>
          <w:sz w:val="24"/>
          <w:szCs w:val="24"/>
          <w:highlight w:val="none"/>
          <w:lang w:eastAsia="zh-CN"/>
        </w:rPr>
        <w:t>《环境影响评价技术导则  大气环境》（HJ2.2-2018）</w:t>
      </w:r>
      <w:r>
        <w:rPr>
          <w:rFonts w:hint="eastAsia" w:cs="Times New Roman"/>
          <w:sz w:val="24"/>
          <w:szCs w:val="24"/>
          <w:highlight w:val="none"/>
          <w:lang w:val="en-US" w:eastAsia="zh-CN"/>
        </w:rPr>
        <w:t>，环境空气质量现状调查与评价中</w:t>
      </w:r>
      <w:r>
        <w:rPr>
          <w:rFonts w:hint="eastAsia" w:cs="Times New Roman"/>
          <w:sz w:val="24"/>
          <w:szCs w:val="24"/>
          <w:highlight w:val="none"/>
          <w:lang w:eastAsia="zh-CN"/>
        </w:rPr>
        <w:t>其他污染物环境质量现状数据：“评价范围内没有环境空气质量监测网数据或公开发布的环境空气质量现状数据的，可收集评价范围内近3年与项目排放的其他污染物有关的历史监测资料。”</w:t>
      </w:r>
      <w:r>
        <w:rPr>
          <w:rFonts w:hint="eastAsia" w:cs="Times New Roman"/>
          <w:sz w:val="24"/>
          <w:szCs w:val="24"/>
          <w:highlight w:val="none"/>
          <w:lang w:val="en-US" w:eastAsia="zh-CN"/>
        </w:rPr>
        <w:t>本次评价引用</w:t>
      </w:r>
      <w:r>
        <w:rPr>
          <w:rFonts w:hint="default" w:ascii="Times New Roman" w:hAnsi="Times New Roman" w:cs="Times New Roman"/>
          <w:color w:val="000000"/>
          <w:sz w:val="24"/>
          <w:szCs w:val="32"/>
          <w:highlight w:val="none"/>
        </w:rPr>
        <w:t>《佰布沟与兰家沟尾矿库联合扩容项目区域环境质量现状监测》（（辽鹏环测）字PY2408625-001号）</w:t>
      </w:r>
      <w:r>
        <w:rPr>
          <w:rFonts w:hint="eastAsia" w:cs="Times New Roman"/>
          <w:color w:val="000000"/>
          <w:sz w:val="24"/>
          <w:szCs w:val="32"/>
          <w:highlight w:val="none"/>
          <w:lang w:val="en-US" w:eastAsia="zh-CN"/>
        </w:rPr>
        <w:t>中环境空气质量现状监测数据，监测点位</w:t>
      </w:r>
      <w:r>
        <w:rPr>
          <w:rFonts w:hint="default" w:ascii="Times New Roman" w:hAnsi="Times New Roman" w:cs="Times New Roman"/>
          <w:b w:val="0"/>
          <w:bCs/>
          <w:color w:val="000000"/>
          <w:sz w:val="24"/>
          <w:highlight w:val="none"/>
        </w:rPr>
        <w:t>Dq1</w:t>
      </w:r>
      <w:r>
        <w:rPr>
          <w:rFonts w:hint="default" w:ascii="Times New Roman" w:hAnsi="Times New Roman" w:cs="Times New Roman"/>
          <w:b w:val="0"/>
          <w:bCs/>
          <w:sz w:val="24"/>
          <w:highlight w:val="none"/>
        </w:rPr>
        <w:t>#</w:t>
      </w:r>
      <w:r>
        <w:rPr>
          <w:rFonts w:hint="eastAsia" w:cs="Times New Roman"/>
          <w:b w:val="0"/>
          <w:bCs/>
          <w:sz w:val="24"/>
          <w:highlight w:val="none"/>
          <w:lang w:val="en-US" w:eastAsia="zh-CN"/>
        </w:rPr>
        <w:t>位于佰步沟尾矿库内，在本项目评价范围内，</w:t>
      </w:r>
      <w:r>
        <w:rPr>
          <w:rFonts w:hint="eastAsia" w:ascii="Times New Roman" w:hAnsi="Times New Roman" w:cs="Times New Roman"/>
          <w:color w:val="000000"/>
          <w:sz w:val="24"/>
          <w:szCs w:val="32"/>
          <w:highlight w:val="none"/>
          <w:lang w:val="en-US" w:eastAsia="zh-CN"/>
        </w:rPr>
        <w:t>监测时间为2024年8月24日</w:t>
      </w:r>
      <w:r>
        <w:rPr>
          <w:rFonts w:hint="eastAsia" w:cs="Times New Roman"/>
          <w:color w:val="auto"/>
          <w:sz w:val="24"/>
          <w:szCs w:val="24"/>
          <w:highlight w:val="none"/>
          <w:lang w:val="en-US" w:eastAsia="zh-CN"/>
        </w:rPr>
        <w:t>至</w:t>
      </w:r>
      <w:r>
        <w:rPr>
          <w:rFonts w:hint="default" w:ascii="Times New Roman" w:hAnsi="Times New Roman" w:cs="Times New Roman"/>
          <w:color w:val="auto"/>
          <w:sz w:val="24"/>
          <w:szCs w:val="24"/>
          <w:highlight w:val="none"/>
          <w:lang w:eastAsia="zh-CN"/>
        </w:rPr>
        <w:t>8月30日</w:t>
      </w:r>
      <w:r>
        <w:rPr>
          <w:rFonts w:hint="eastAsia" w:ascii="Times New Roman" w:hAnsi="Times New Roman" w:cs="Times New Roman"/>
          <w:color w:val="000000"/>
          <w:sz w:val="24"/>
          <w:szCs w:val="32"/>
          <w:highlight w:val="none"/>
          <w:lang w:val="en-US" w:eastAsia="zh-CN"/>
        </w:rPr>
        <w:t>，为近3年内监测数据，</w:t>
      </w:r>
      <w:r>
        <w:rPr>
          <w:rFonts w:hint="eastAsia" w:cs="Times New Roman"/>
          <w:color w:val="000000"/>
          <w:sz w:val="24"/>
          <w:szCs w:val="32"/>
          <w:highlight w:val="none"/>
          <w:lang w:val="en-US" w:eastAsia="zh-CN"/>
        </w:rPr>
        <w:t>满足</w:t>
      </w:r>
      <w:r>
        <w:rPr>
          <w:rFonts w:hint="default" w:ascii="Times New Roman" w:hAnsi="Times New Roman" w:cs="Times New Roman"/>
          <w:sz w:val="24"/>
          <w:szCs w:val="24"/>
          <w:highlight w:val="none"/>
          <w:lang w:eastAsia="zh-CN"/>
        </w:rPr>
        <w:t>《环境影响评价技术导则  大气环境》（HJ2.2-2018）</w:t>
      </w:r>
      <w:r>
        <w:rPr>
          <w:rFonts w:hint="eastAsia" w:cs="Times New Roman"/>
          <w:sz w:val="24"/>
          <w:szCs w:val="24"/>
          <w:highlight w:val="none"/>
          <w:lang w:val="en-US" w:eastAsia="zh-CN"/>
        </w:rPr>
        <w:t>引用数据要求。</w:t>
      </w:r>
    </w:p>
    <w:p w14:paraId="561447E4">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lang w:val="en-US" w:eastAsia="zh-CN"/>
        </w:rPr>
        <w:t>监测点位</w:t>
      </w:r>
      <w:r>
        <w:rPr>
          <w:rFonts w:hint="eastAsia" w:ascii="Times New Roman" w:hAnsi="Times New Roman" w:cs="Times New Roman"/>
          <w:sz w:val="24"/>
          <w:szCs w:val="24"/>
          <w:highlight w:val="none"/>
          <w:lang w:val="en-US" w:eastAsia="zh-CN"/>
        </w:rPr>
        <w:t>：</w:t>
      </w:r>
      <w:r>
        <w:rPr>
          <w:rFonts w:hint="eastAsia" w:cs="Times New Roman"/>
          <w:sz w:val="24"/>
          <w:szCs w:val="24"/>
          <w:highlight w:val="none"/>
          <w:lang w:val="en-US" w:eastAsia="zh-CN"/>
        </w:rPr>
        <w:t>1</w:t>
      </w:r>
      <w:r>
        <w:rPr>
          <w:rFonts w:hint="eastAsia" w:ascii="Times New Roman" w:hAnsi="Times New Roman" w:cs="Times New Roman"/>
          <w:sz w:val="24"/>
          <w:szCs w:val="24"/>
          <w:highlight w:val="none"/>
          <w:lang w:val="en-US" w:eastAsia="zh-CN"/>
        </w:rPr>
        <w:t>个</w:t>
      </w:r>
      <w:r>
        <w:rPr>
          <w:rFonts w:hint="eastAsia" w:ascii="Times New Roman" w:hAnsi="Times New Roman" w:cs="Times New Roman"/>
          <w:b w:val="0"/>
          <w:bCs/>
          <w:color w:val="000000"/>
          <w:sz w:val="24"/>
          <w:szCs w:val="24"/>
          <w:highlight w:val="none"/>
          <w:lang w:val="en-US" w:eastAsia="zh-CN"/>
        </w:rPr>
        <w:t>。</w:t>
      </w:r>
    </w:p>
    <w:p w14:paraId="5C82768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color w:val="000000"/>
          <w:sz w:val="24"/>
          <w:szCs w:val="24"/>
          <w:highlight w:val="none"/>
          <w:lang w:val="en-US" w:eastAsia="zh-CN"/>
        </w:rPr>
      </w:pPr>
      <w:r>
        <w:rPr>
          <w:rFonts w:hint="default" w:ascii="Times New Roman" w:hAnsi="Times New Roman" w:cs="Times New Roman"/>
          <w:b w:val="0"/>
          <w:bCs/>
          <w:color w:val="000000"/>
          <w:sz w:val="24"/>
          <w:highlight w:val="none"/>
        </w:rPr>
        <w:t>Dq1</w:t>
      </w:r>
      <w:r>
        <w:rPr>
          <w:rFonts w:hint="default" w:ascii="Times New Roman" w:hAnsi="Times New Roman" w:cs="Times New Roman"/>
          <w:b w:val="0"/>
          <w:bCs/>
          <w:sz w:val="24"/>
          <w:highlight w:val="none"/>
        </w:rPr>
        <w:t>#</w:t>
      </w:r>
      <w:r>
        <w:rPr>
          <w:rFonts w:hint="default" w:ascii="Times New Roman" w:hAnsi="Times New Roman" w:cs="Times New Roman"/>
          <w:b w:val="0"/>
          <w:bCs/>
          <w:color w:val="000000"/>
          <w:sz w:val="24"/>
          <w:highlight w:val="none"/>
        </w:rPr>
        <w:t>：</w:t>
      </w:r>
      <w:r>
        <w:rPr>
          <w:rFonts w:hint="eastAsia" w:ascii="Times New Roman" w:hAnsi="Times New Roman" w:cs="Times New Roman"/>
          <w:b w:val="0"/>
          <w:bCs/>
          <w:sz w:val="24"/>
          <w:szCs w:val="24"/>
          <w:highlight w:val="none"/>
          <w:lang w:val="en-US" w:eastAsia="zh-CN"/>
        </w:rPr>
        <w:t>尾矿库内</w:t>
      </w:r>
      <w:r>
        <w:rPr>
          <w:rFonts w:hint="default" w:ascii="Times New Roman" w:hAnsi="Times New Roman" w:cs="Times New Roman"/>
          <w:b w:val="0"/>
          <w:bCs/>
          <w:color w:val="000000"/>
          <w:sz w:val="24"/>
          <w:highlight w:val="none"/>
        </w:rPr>
        <w:t>。</w:t>
      </w:r>
    </w:p>
    <w:p w14:paraId="44014137">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）监测因子</w:t>
      </w:r>
      <w:r>
        <w:rPr>
          <w:rFonts w:hint="eastAsia" w:ascii="Times New Roman" w:hAnsi="Times New Roman" w:cs="Times New Roman"/>
          <w:sz w:val="24"/>
          <w:szCs w:val="24"/>
          <w:highlight w:val="none"/>
          <w:lang w:eastAsia="zh-CN"/>
        </w:rPr>
        <w:t>：</w:t>
      </w:r>
      <w:bookmarkStart w:id="228" w:name="_Toc21873"/>
      <w:r>
        <w:rPr>
          <w:rFonts w:hint="default" w:ascii="Times New Roman" w:hAnsi="Times New Roman" w:cs="Times New Roman"/>
          <w:sz w:val="24"/>
          <w:szCs w:val="24"/>
          <w:highlight w:val="none"/>
          <w:lang w:val="en-US" w:eastAsia="zh-CN"/>
        </w:rPr>
        <w:t>TSP。</w:t>
      </w:r>
    </w:p>
    <w:p w14:paraId="4C813AB5">
      <w:pPr>
        <w:keepNext w:val="0"/>
        <w:keepLines w:val="0"/>
        <w:pageBreakBefore w:val="0"/>
        <w:widowControl/>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5231130" cy="3521710"/>
            <wp:effectExtent l="0" t="0" r="11430" b="13970"/>
            <wp:docPr id="38" name="图片 38" descr="环境空气监测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环境空气监测点位"/>
                    <pic:cNvPicPr>
                      <a:picLocks noChangeAspect="1"/>
                    </pic:cNvPicPr>
                  </pic:nvPicPr>
                  <pic:blipFill>
                    <a:blip r:embed="rId20"/>
                    <a:srcRect b="4803"/>
                    <a:stretch>
                      <a:fillRect/>
                    </a:stretch>
                  </pic:blipFill>
                  <pic:spPr>
                    <a:xfrm>
                      <a:off x="0" y="0"/>
                      <a:ext cx="5231130" cy="3521710"/>
                    </a:xfrm>
                    <a:prstGeom prst="rect">
                      <a:avLst/>
                    </a:prstGeom>
                  </pic:spPr>
                </pic:pic>
              </a:graphicData>
            </a:graphic>
          </wp:inline>
        </w:drawing>
      </w:r>
    </w:p>
    <w:p w14:paraId="0852DE71">
      <w:pPr>
        <w:pStyle w:val="147"/>
        <w:keepNext w:val="0"/>
        <w:keepLines w:val="0"/>
        <w:pageBreakBefore w:val="0"/>
        <w:numPr>
          <w:ilvl w:val="0"/>
          <w:numId w:val="23"/>
        </w:numPr>
        <w:tabs>
          <w:tab w:val="left" w:pos="420"/>
          <w:tab w:val="clear" w:pos="0"/>
        </w:tabs>
        <w:kinsoku/>
        <w:wordWrap/>
        <w:overflowPunct/>
        <w:topLinePunct w:val="0"/>
        <w:autoSpaceDE/>
        <w:autoSpaceDN/>
        <w:bidi w:val="0"/>
        <w:spacing w:line="36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环境空气监测点位</w:t>
      </w:r>
    </w:p>
    <w:p w14:paraId="42B15FC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（3）监测时间及频次</w:t>
      </w:r>
      <w:r>
        <w:rPr>
          <w:rFonts w:hint="eastAsia" w:ascii="Times New Roman" w:hAnsi="Times New Roman" w:cs="Times New Roman"/>
          <w:color w:val="auto"/>
          <w:sz w:val="24"/>
          <w:szCs w:val="24"/>
          <w:highlight w:val="none"/>
          <w:lang w:eastAsia="zh-CN"/>
        </w:rPr>
        <w:t>：</w:t>
      </w:r>
      <w:bookmarkStart w:id="229" w:name="_Toc163893696"/>
      <w:bookmarkStart w:id="230" w:name="_Toc155773139"/>
      <w:r>
        <w:rPr>
          <w:rFonts w:hint="default" w:ascii="Times New Roman" w:hAnsi="Times New Roman" w:cs="Times New Roman"/>
          <w:color w:val="auto"/>
          <w:sz w:val="24"/>
          <w:szCs w:val="24"/>
          <w:highlight w:val="none"/>
        </w:rPr>
        <w:t>监测时间</w:t>
      </w:r>
      <w:r>
        <w:rPr>
          <w:rFonts w:hint="default" w:ascii="Times New Roman" w:hAnsi="Times New Roman" w:cs="Times New Roman"/>
          <w:color w:val="auto"/>
          <w:sz w:val="24"/>
          <w:szCs w:val="24"/>
          <w:highlight w:val="none"/>
          <w:lang w:eastAsia="zh-CN"/>
        </w:rPr>
        <w:t>2024年8月24日</w:t>
      </w:r>
      <w:r>
        <w:rPr>
          <w:rFonts w:hint="eastAsia" w:cs="Times New Roman"/>
          <w:color w:val="auto"/>
          <w:sz w:val="24"/>
          <w:szCs w:val="24"/>
          <w:highlight w:val="none"/>
          <w:lang w:val="en-US" w:eastAsia="zh-CN"/>
        </w:rPr>
        <w:t>至</w:t>
      </w:r>
      <w:r>
        <w:rPr>
          <w:rFonts w:hint="default" w:ascii="Times New Roman" w:hAnsi="Times New Roman" w:cs="Times New Roman"/>
          <w:color w:val="auto"/>
          <w:sz w:val="24"/>
          <w:szCs w:val="24"/>
          <w:highlight w:val="none"/>
          <w:lang w:eastAsia="zh-CN"/>
        </w:rPr>
        <w:t>8月30日</w:t>
      </w:r>
      <w:r>
        <w:rPr>
          <w:rFonts w:hint="default" w:ascii="Times New Roman" w:hAnsi="Times New Roman" w:cs="Times New Roman"/>
          <w:color w:val="auto"/>
          <w:sz w:val="24"/>
          <w:szCs w:val="24"/>
          <w:highlight w:val="none"/>
        </w:rPr>
        <w:t>，全期监测7d</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000000"/>
          <w:sz w:val="24"/>
          <w:szCs w:val="24"/>
          <w:highlight w:val="none"/>
        </w:rPr>
        <w:t>TSP为</w:t>
      </w:r>
      <w:r>
        <w:rPr>
          <w:rFonts w:hint="default" w:ascii="Times New Roman" w:hAnsi="Times New Roman" w:cs="Times New Roman"/>
          <w:color w:val="000000"/>
          <w:sz w:val="24"/>
          <w:szCs w:val="24"/>
          <w:highlight w:val="none"/>
          <w:lang w:val="en-US" w:eastAsia="zh-CN"/>
        </w:rPr>
        <w:t>24小时平</w:t>
      </w:r>
      <w:r>
        <w:rPr>
          <w:rFonts w:hint="default" w:ascii="Times New Roman" w:hAnsi="Times New Roman" w:cs="Times New Roman"/>
          <w:color w:val="000000"/>
          <w:sz w:val="24"/>
          <w:szCs w:val="24"/>
          <w:highlight w:val="none"/>
        </w:rPr>
        <w:t>均值</w:t>
      </w:r>
      <w:r>
        <w:rPr>
          <w:rFonts w:hint="default" w:ascii="Times New Roman" w:hAnsi="Times New Roman" w:cs="Times New Roman"/>
          <w:color w:val="auto"/>
          <w:sz w:val="24"/>
          <w:szCs w:val="24"/>
          <w:highlight w:val="none"/>
        </w:rPr>
        <w:t>。</w:t>
      </w:r>
    </w:p>
    <w:p w14:paraId="6FCC7D6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（4）评价因子与评价标准</w:t>
      </w:r>
      <w:bookmarkEnd w:id="229"/>
      <w:bookmarkEnd w:id="230"/>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pacing w:val="-8"/>
          <w:sz w:val="24"/>
          <w:szCs w:val="24"/>
          <w:highlight w:val="none"/>
        </w:rPr>
        <w:t>本次评价因子同监测项目</w:t>
      </w:r>
      <w:r>
        <w:rPr>
          <w:rFonts w:hint="eastAsia" w:ascii="Times New Roman" w:hAnsi="Times New Roman" w:cs="Times New Roman"/>
          <w:color w:val="auto"/>
          <w:spacing w:val="-8"/>
          <w:sz w:val="24"/>
          <w:szCs w:val="24"/>
          <w:highlight w:val="none"/>
          <w:lang w:eastAsia="zh-CN"/>
        </w:rPr>
        <w:t>，</w:t>
      </w:r>
      <w:r>
        <w:rPr>
          <w:rFonts w:hint="default" w:ascii="Times New Roman" w:hAnsi="Times New Roman" w:cs="Times New Roman"/>
          <w:color w:val="auto"/>
          <w:spacing w:val="-8"/>
          <w:sz w:val="24"/>
          <w:szCs w:val="24"/>
          <w:highlight w:val="none"/>
        </w:rPr>
        <w:t>评价标准采用</w:t>
      </w:r>
      <w:r>
        <w:rPr>
          <w:rFonts w:hint="default" w:ascii="Times New Roman" w:hAnsi="Times New Roman" w:cs="Times New Roman"/>
          <w:color w:val="auto"/>
          <w:sz w:val="24"/>
          <w:szCs w:val="24"/>
          <w:highlight w:val="none"/>
        </w:rPr>
        <w:t>《环境空气质量标准》</w:t>
      </w:r>
      <w:r>
        <w:rPr>
          <w:rFonts w:hint="eastAsia" w:ascii="Times New Roman" w:hAnsi="Times New Roman" w:cs="Times New Roman"/>
          <w:color w:val="auto"/>
          <w:sz w:val="24"/>
          <w:szCs w:val="24"/>
          <w:highlight w:val="none"/>
          <w:lang w:eastAsia="zh-CN"/>
        </w:rPr>
        <w:t>（GB3095-2012）及其修改单中的二级标准</w:t>
      </w:r>
      <w:r>
        <w:rPr>
          <w:rFonts w:hint="default" w:ascii="Times New Roman" w:hAnsi="Times New Roman" w:cs="Times New Roman"/>
          <w:color w:val="auto"/>
          <w:sz w:val="24"/>
          <w:szCs w:val="24"/>
          <w:highlight w:val="none"/>
        </w:rPr>
        <w:t>。</w:t>
      </w:r>
    </w:p>
    <w:p w14:paraId="7DF8930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snapToGrid w:val="0"/>
          <w:color w:val="000000"/>
          <w:kern w:val="0"/>
          <w:sz w:val="24"/>
          <w:szCs w:val="24"/>
          <w:highlight w:val="none"/>
        </w:rPr>
      </w:pPr>
      <w:r>
        <w:rPr>
          <w:rFonts w:hint="default" w:ascii="Times New Roman" w:hAnsi="Times New Roman" w:cs="Times New Roman"/>
          <w:color w:val="auto"/>
          <w:sz w:val="24"/>
          <w:szCs w:val="24"/>
          <w:highlight w:val="none"/>
        </w:rPr>
        <w:t>（5）评价分析方法</w:t>
      </w:r>
      <w:r>
        <w:rPr>
          <w:rFonts w:hint="eastAsia" w:ascii="Times New Roman" w:hAnsi="Times New Roman" w:cs="Times New Roman"/>
          <w:color w:val="auto"/>
          <w:sz w:val="24"/>
          <w:szCs w:val="24"/>
          <w:highlight w:val="none"/>
          <w:lang w:eastAsia="zh-CN"/>
        </w:rPr>
        <w:t>：</w:t>
      </w:r>
      <w:bookmarkEnd w:id="228"/>
      <w:r>
        <w:rPr>
          <w:rFonts w:hint="default" w:ascii="Times New Roman" w:hAnsi="Times New Roman" w:cs="Times New Roman"/>
          <w:snapToGrid w:val="0"/>
          <w:color w:val="000000"/>
          <w:kern w:val="0"/>
          <w:sz w:val="24"/>
          <w:szCs w:val="24"/>
          <w:highlight w:val="none"/>
        </w:rPr>
        <w:t>对照《环境影响评价技术导则 大气环境》，以最大浓度占标率对环境空气质量现状进行评价。</w:t>
      </w:r>
    </w:p>
    <w:p w14:paraId="235DFD54">
      <w:pPr>
        <w:bidi w:val="0"/>
        <w:jc w:val="center"/>
        <w:rPr>
          <w:rFonts w:hint="default"/>
          <w:sz w:val="24"/>
          <w:szCs w:val="24"/>
          <w:highlight w:val="none"/>
        </w:rPr>
      </w:pPr>
      <w:bookmarkStart w:id="231" w:name="_Toc21938"/>
      <w:r>
        <w:rPr>
          <w:rFonts w:hint="default"/>
          <w:sz w:val="24"/>
          <w:szCs w:val="24"/>
          <w:highlight w:val="none"/>
        </w:rPr>
        <w:t>Cmax占标率=Cmax/Cs</w:t>
      </w:r>
      <w:bookmarkEnd w:id="231"/>
    </w:p>
    <w:p w14:paraId="2861722F">
      <w:pPr>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snapToGrid w:val="0"/>
          <w:color w:val="000000"/>
          <w:kern w:val="0"/>
          <w:sz w:val="24"/>
          <w:szCs w:val="24"/>
          <w:highlight w:val="none"/>
        </w:rPr>
      </w:pPr>
      <w:r>
        <w:rPr>
          <w:rFonts w:hint="default" w:ascii="Times New Roman" w:hAnsi="Times New Roman" w:cs="Times New Roman"/>
          <w:snapToGrid w:val="0"/>
          <w:color w:val="000000"/>
          <w:kern w:val="0"/>
          <w:sz w:val="24"/>
          <w:szCs w:val="24"/>
          <w:highlight w:val="none"/>
        </w:rPr>
        <w:t>式中：C</w:t>
      </w:r>
      <w:r>
        <w:rPr>
          <w:rFonts w:hint="default" w:ascii="Times New Roman" w:hAnsi="Times New Roman" w:cs="Times New Roman"/>
          <w:snapToGrid w:val="0"/>
          <w:color w:val="000000"/>
          <w:kern w:val="0"/>
          <w:sz w:val="24"/>
          <w:szCs w:val="24"/>
          <w:highlight w:val="none"/>
          <w:vertAlign w:val="subscript"/>
        </w:rPr>
        <w:t>max</w:t>
      </w:r>
      <w:r>
        <w:rPr>
          <w:rFonts w:hint="default" w:ascii="Times New Roman" w:hAnsi="Times New Roman" w:cs="Times New Roman"/>
          <w:snapToGrid w:val="0"/>
          <w:color w:val="000000"/>
          <w:kern w:val="0"/>
          <w:sz w:val="24"/>
          <w:szCs w:val="24"/>
          <w:highlight w:val="none"/>
        </w:rPr>
        <w:t>占标率——污染物最大浓度占标率；</w:t>
      </w:r>
    </w:p>
    <w:p w14:paraId="35CC590B">
      <w:pPr>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snapToGrid w:val="0"/>
          <w:color w:val="000000"/>
          <w:kern w:val="0"/>
          <w:sz w:val="24"/>
          <w:szCs w:val="24"/>
          <w:highlight w:val="none"/>
        </w:rPr>
      </w:pPr>
      <w:r>
        <w:rPr>
          <w:rFonts w:hint="default" w:ascii="Times New Roman" w:hAnsi="Times New Roman" w:cs="Times New Roman"/>
          <w:snapToGrid w:val="0"/>
          <w:color w:val="000000"/>
          <w:kern w:val="0"/>
          <w:sz w:val="24"/>
          <w:szCs w:val="24"/>
          <w:highlight w:val="none"/>
        </w:rPr>
        <w:t>C</w:t>
      </w:r>
      <w:r>
        <w:rPr>
          <w:rFonts w:hint="default" w:ascii="Times New Roman" w:hAnsi="Times New Roman" w:cs="Times New Roman"/>
          <w:snapToGrid w:val="0"/>
          <w:color w:val="000000"/>
          <w:kern w:val="0"/>
          <w:sz w:val="24"/>
          <w:szCs w:val="24"/>
          <w:highlight w:val="none"/>
          <w:vertAlign w:val="subscript"/>
        </w:rPr>
        <w:t>max</w:t>
      </w:r>
      <w:r>
        <w:rPr>
          <w:rFonts w:hint="default" w:ascii="Times New Roman" w:hAnsi="Times New Roman" w:cs="Times New Roman"/>
          <w:snapToGrid w:val="0"/>
          <w:color w:val="000000"/>
          <w:kern w:val="0"/>
          <w:sz w:val="24"/>
          <w:szCs w:val="24"/>
          <w:highlight w:val="none"/>
        </w:rPr>
        <w:t>——污染物实测最大浓度值，mg/Nm</w:t>
      </w:r>
      <w:r>
        <w:rPr>
          <w:rFonts w:hint="default" w:ascii="Times New Roman" w:hAnsi="Times New Roman" w:cs="Times New Roman"/>
          <w:snapToGrid w:val="0"/>
          <w:color w:val="000000"/>
          <w:kern w:val="0"/>
          <w:sz w:val="24"/>
          <w:szCs w:val="24"/>
          <w:highlight w:val="none"/>
          <w:vertAlign w:val="superscript"/>
        </w:rPr>
        <w:t>3</w:t>
      </w:r>
      <w:r>
        <w:rPr>
          <w:rFonts w:hint="default" w:ascii="Times New Roman" w:hAnsi="Times New Roman" w:cs="Times New Roman"/>
          <w:snapToGrid w:val="0"/>
          <w:color w:val="000000"/>
          <w:kern w:val="0"/>
          <w:sz w:val="24"/>
          <w:szCs w:val="24"/>
          <w:highlight w:val="none"/>
        </w:rPr>
        <w:t>；</w:t>
      </w:r>
    </w:p>
    <w:p w14:paraId="6E52F0BA">
      <w:pPr>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snapToGrid w:val="0"/>
          <w:color w:val="000000"/>
          <w:kern w:val="0"/>
          <w:sz w:val="24"/>
          <w:szCs w:val="24"/>
          <w:highlight w:val="none"/>
        </w:rPr>
      </w:pPr>
      <w:r>
        <w:rPr>
          <w:rFonts w:hint="default" w:ascii="Times New Roman" w:hAnsi="Times New Roman" w:cs="Times New Roman"/>
          <w:snapToGrid w:val="0"/>
          <w:color w:val="000000"/>
          <w:kern w:val="0"/>
          <w:sz w:val="24"/>
          <w:szCs w:val="24"/>
          <w:highlight w:val="none"/>
        </w:rPr>
        <w:t>C</w:t>
      </w:r>
      <w:r>
        <w:rPr>
          <w:rFonts w:hint="default" w:ascii="Times New Roman" w:hAnsi="Times New Roman" w:cs="Times New Roman"/>
          <w:snapToGrid w:val="0"/>
          <w:color w:val="000000"/>
          <w:kern w:val="0"/>
          <w:sz w:val="24"/>
          <w:szCs w:val="24"/>
          <w:highlight w:val="none"/>
          <w:vertAlign w:val="subscript"/>
        </w:rPr>
        <w:t>s</w:t>
      </w:r>
      <w:r>
        <w:rPr>
          <w:rFonts w:hint="default" w:ascii="Times New Roman" w:hAnsi="Times New Roman" w:cs="Times New Roman"/>
          <w:snapToGrid w:val="0"/>
          <w:color w:val="000000"/>
          <w:kern w:val="0"/>
          <w:sz w:val="24"/>
          <w:szCs w:val="24"/>
          <w:highlight w:val="none"/>
        </w:rPr>
        <w:t>——污染物浓度标准值，mg/Nm</w:t>
      </w:r>
      <w:r>
        <w:rPr>
          <w:rFonts w:hint="default" w:ascii="Times New Roman" w:hAnsi="Times New Roman" w:cs="Times New Roman"/>
          <w:snapToGrid w:val="0"/>
          <w:color w:val="000000"/>
          <w:kern w:val="0"/>
          <w:sz w:val="24"/>
          <w:szCs w:val="24"/>
          <w:highlight w:val="none"/>
          <w:vertAlign w:val="superscript"/>
        </w:rPr>
        <w:t>3</w:t>
      </w:r>
      <w:r>
        <w:rPr>
          <w:rFonts w:hint="default" w:ascii="Times New Roman" w:hAnsi="Times New Roman" w:cs="Times New Roman"/>
          <w:snapToGrid w:val="0"/>
          <w:color w:val="000000"/>
          <w:kern w:val="0"/>
          <w:sz w:val="24"/>
          <w:szCs w:val="24"/>
          <w:highlight w:val="none"/>
        </w:rPr>
        <w:t>。</w:t>
      </w:r>
    </w:p>
    <w:p w14:paraId="4B564AD8">
      <w:pPr>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snapToGrid w:val="0"/>
          <w:color w:val="000000"/>
          <w:kern w:val="0"/>
          <w:sz w:val="24"/>
          <w:szCs w:val="24"/>
          <w:highlight w:val="none"/>
        </w:rPr>
      </w:pPr>
      <w:r>
        <w:rPr>
          <w:rFonts w:hint="default" w:ascii="Times New Roman" w:hAnsi="Times New Roman" w:cs="Times New Roman"/>
          <w:snapToGrid w:val="0"/>
          <w:color w:val="000000"/>
          <w:kern w:val="0"/>
          <w:sz w:val="24"/>
          <w:szCs w:val="24"/>
          <w:highlight w:val="none"/>
        </w:rPr>
        <w:t>（</w:t>
      </w:r>
      <w:r>
        <w:rPr>
          <w:rFonts w:hint="default" w:ascii="Times New Roman" w:hAnsi="Times New Roman" w:cs="Times New Roman"/>
          <w:snapToGrid w:val="0"/>
          <w:color w:val="000000"/>
          <w:kern w:val="0"/>
          <w:sz w:val="24"/>
          <w:szCs w:val="24"/>
          <w:highlight w:val="none"/>
          <w:lang w:val="en-US" w:eastAsia="zh-CN"/>
        </w:rPr>
        <w:t>6</w:t>
      </w:r>
      <w:r>
        <w:rPr>
          <w:rFonts w:hint="default" w:ascii="Times New Roman" w:hAnsi="Times New Roman" w:cs="Times New Roman"/>
          <w:snapToGrid w:val="0"/>
          <w:color w:val="000000"/>
          <w:kern w:val="0"/>
          <w:sz w:val="24"/>
          <w:szCs w:val="24"/>
          <w:highlight w:val="none"/>
        </w:rPr>
        <w:t>）监测结果统计</w:t>
      </w:r>
    </w:p>
    <w:p w14:paraId="0FF53A9B">
      <w:pPr>
        <w:keepNext w:val="0"/>
        <w:keepLines w:val="0"/>
        <w:pageBreakBefore w:val="0"/>
        <w:numPr>
          <w:ilvl w:val="0"/>
          <w:numId w:val="22"/>
        </w:numPr>
        <w:kinsoku/>
        <w:wordWrap/>
        <w:overflowPunct/>
        <w:topLinePunct w:val="0"/>
        <w:autoSpaceDE/>
        <w:autoSpaceDN/>
        <w:bidi w:val="0"/>
        <w:adjustRightInd w:val="0"/>
        <w:snapToGrid w:val="0"/>
        <w:spacing w:line="360" w:lineRule="auto"/>
        <w:ind w:left="425" w:leftChars="0" w:hanging="425" w:firstLineChars="0"/>
        <w:jc w:val="center"/>
        <w:textAlignment w:val="auto"/>
        <w:rPr>
          <w:rFonts w:hint="default" w:ascii="Times New Roman" w:hAnsi="Times New Roman" w:eastAsia="宋体" w:cs="Times New Roman"/>
          <w:b/>
          <w:sz w:val="21"/>
          <w:szCs w:val="21"/>
          <w:highlight w:val="none"/>
        </w:rPr>
      </w:pPr>
      <w:r>
        <w:rPr>
          <w:rFonts w:hint="eastAsia" w:cs="Times New Roman"/>
          <w:b/>
          <w:sz w:val="21"/>
          <w:szCs w:val="21"/>
          <w:highlight w:val="none"/>
          <w:lang w:val="en-US" w:eastAsia="zh-CN"/>
        </w:rPr>
        <w:t>引用</w:t>
      </w:r>
      <w:r>
        <w:rPr>
          <w:rFonts w:hint="default" w:ascii="Times New Roman" w:hAnsi="Times New Roman" w:eastAsia="宋体" w:cs="Times New Roman"/>
          <w:b/>
          <w:sz w:val="21"/>
          <w:szCs w:val="21"/>
          <w:highlight w:val="none"/>
          <w:lang w:val="en-US" w:eastAsia="zh-CN"/>
        </w:rPr>
        <w:t>环境空气质量</w:t>
      </w:r>
      <w:r>
        <w:rPr>
          <w:rFonts w:hint="default" w:ascii="Times New Roman" w:hAnsi="Times New Roman" w:eastAsia="宋体" w:cs="Times New Roman"/>
          <w:b/>
          <w:sz w:val="21"/>
          <w:szCs w:val="21"/>
          <w:highlight w:val="none"/>
        </w:rPr>
        <w:t>监测结果统计表</w:t>
      </w:r>
    </w:p>
    <w:tbl>
      <w:tblPr>
        <w:tblStyle w:val="58"/>
        <w:tblW w:w="843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45"/>
        <w:gridCol w:w="967"/>
        <w:gridCol w:w="1586"/>
        <w:gridCol w:w="1679"/>
        <w:gridCol w:w="2098"/>
        <w:gridCol w:w="1262"/>
      </w:tblGrid>
      <w:tr w14:paraId="4B22FA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96" w:hRule="atLeast"/>
          <w:jc w:val="center"/>
        </w:trPr>
        <w:tc>
          <w:tcPr>
            <w:tcW w:w="845" w:type="dxa"/>
            <w:tcBorders>
              <w:tl2br w:val="nil"/>
              <w:tr2bl w:val="nil"/>
            </w:tcBorders>
            <w:vAlign w:val="center"/>
          </w:tcPr>
          <w:p w14:paraId="4BBBA601">
            <w:pPr>
              <w:overflowPunct w:val="0"/>
              <w:snapToGrid w:val="0"/>
              <w:spacing w:line="240" w:lineRule="auto"/>
              <w:ind w:firstLine="0" w:firstLineChars="0"/>
              <w:jc w:val="center"/>
              <w:textAlignment w:val="baseline"/>
              <w:rPr>
                <w:rFonts w:hint="default" w:ascii="Times New Roman" w:hAnsi="Times New Roman" w:cs="Times New Roman"/>
                <w:b/>
                <w:color w:val="auto"/>
                <w:kern w:val="0"/>
                <w:sz w:val="21"/>
                <w:szCs w:val="21"/>
                <w:highlight w:val="none"/>
              </w:rPr>
            </w:pPr>
            <w:bookmarkStart w:id="232" w:name="OLE_LINK13"/>
            <w:r>
              <w:rPr>
                <w:rFonts w:hint="default" w:ascii="Times New Roman" w:hAnsi="Times New Roman" w:cs="Times New Roman"/>
                <w:b/>
                <w:color w:val="auto"/>
                <w:kern w:val="0"/>
                <w:sz w:val="21"/>
                <w:szCs w:val="21"/>
                <w:highlight w:val="none"/>
              </w:rPr>
              <w:t>项目</w:t>
            </w:r>
          </w:p>
        </w:tc>
        <w:tc>
          <w:tcPr>
            <w:tcW w:w="967" w:type="dxa"/>
            <w:tcBorders>
              <w:tl2br w:val="nil"/>
              <w:tr2bl w:val="nil"/>
            </w:tcBorders>
            <w:vAlign w:val="center"/>
          </w:tcPr>
          <w:p w14:paraId="10A2AA53">
            <w:pPr>
              <w:overflowPunct w:val="0"/>
              <w:snapToGrid w:val="0"/>
              <w:spacing w:line="240" w:lineRule="auto"/>
              <w:ind w:firstLine="0" w:firstLineChars="0"/>
              <w:jc w:val="center"/>
              <w:textAlignment w:val="baseline"/>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测点</w:t>
            </w:r>
          </w:p>
        </w:tc>
        <w:tc>
          <w:tcPr>
            <w:tcW w:w="1586" w:type="dxa"/>
            <w:tcBorders>
              <w:tl2br w:val="nil"/>
              <w:tr2bl w:val="nil"/>
            </w:tcBorders>
            <w:vAlign w:val="top"/>
          </w:tcPr>
          <w:p w14:paraId="0B7BF32F">
            <w:pPr>
              <w:overflowPunct w:val="0"/>
              <w:snapToGrid w:val="0"/>
              <w:spacing w:line="240" w:lineRule="auto"/>
              <w:ind w:firstLine="0" w:firstLineChars="0"/>
              <w:jc w:val="center"/>
              <w:textAlignment w:val="baseline"/>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日均值范围（μg/m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1679" w:type="dxa"/>
            <w:tcBorders>
              <w:tl2br w:val="nil"/>
              <w:tr2bl w:val="nil"/>
            </w:tcBorders>
            <w:vAlign w:val="top"/>
          </w:tcPr>
          <w:p w14:paraId="2CDD5E5C">
            <w:pPr>
              <w:overflowPunct w:val="0"/>
              <w:snapToGrid w:val="0"/>
              <w:spacing w:line="240" w:lineRule="auto"/>
              <w:ind w:firstLine="0" w:firstLineChars="0"/>
              <w:jc w:val="center"/>
              <w:textAlignment w:val="baseline"/>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标准值</w:t>
            </w:r>
          </w:p>
          <w:p w14:paraId="6A8800DF">
            <w:pPr>
              <w:overflowPunct w:val="0"/>
              <w:snapToGrid w:val="0"/>
              <w:spacing w:line="240" w:lineRule="auto"/>
              <w:ind w:firstLine="0" w:firstLineChars="0"/>
              <w:jc w:val="center"/>
              <w:textAlignment w:val="baseline"/>
              <w:rPr>
                <w:rFonts w:hint="default" w:ascii="Times New Roman" w:hAnsi="Times New Roman" w:eastAsia="宋体" w:cs="Times New Roman"/>
                <w:b/>
                <w:color w:val="auto"/>
                <w:kern w:val="0"/>
                <w:sz w:val="21"/>
                <w:szCs w:val="21"/>
                <w:highlight w:val="none"/>
                <w:lang w:val="en-US" w:eastAsia="zh-CN"/>
              </w:rPr>
            </w:pPr>
            <w:r>
              <w:rPr>
                <w:rFonts w:hint="eastAsia" w:cs="Times New Roman"/>
                <w:b/>
                <w:color w:val="auto"/>
                <w:kern w:val="0"/>
                <w:sz w:val="21"/>
                <w:szCs w:val="21"/>
                <w:highlight w:val="none"/>
                <w:lang w:eastAsia="zh-CN"/>
              </w:rPr>
              <w:t>（</w:t>
            </w:r>
            <w:r>
              <w:rPr>
                <w:rFonts w:hint="default" w:ascii="Times New Roman" w:hAnsi="Times New Roman" w:eastAsia="宋体" w:cs="Times New Roman"/>
                <w:b/>
                <w:color w:val="auto"/>
                <w:kern w:val="0"/>
                <w:sz w:val="21"/>
                <w:szCs w:val="21"/>
                <w:highlight w:val="none"/>
              </w:rPr>
              <w:t>μg/m</w:t>
            </w:r>
            <w:r>
              <w:rPr>
                <w:rFonts w:hint="default" w:ascii="Times New Roman" w:hAnsi="Times New Roman" w:eastAsia="宋体" w:cs="Times New Roman"/>
                <w:b/>
                <w:color w:val="auto"/>
                <w:kern w:val="0"/>
                <w:sz w:val="21"/>
                <w:szCs w:val="21"/>
                <w:highlight w:val="none"/>
                <w:vertAlign w:val="superscript"/>
              </w:rPr>
              <w:t>3</w:t>
            </w:r>
            <w:r>
              <w:rPr>
                <w:rFonts w:hint="eastAsia" w:cs="Times New Roman"/>
                <w:b/>
                <w:color w:val="auto"/>
                <w:kern w:val="0"/>
                <w:sz w:val="21"/>
                <w:szCs w:val="21"/>
                <w:highlight w:val="none"/>
                <w:vertAlign w:val="superscript"/>
                <w:lang w:eastAsia="zh-CN"/>
              </w:rPr>
              <w:t>）</w:t>
            </w:r>
          </w:p>
        </w:tc>
        <w:tc>
          <w:tcPr>
            <w:tcW w:w="2098" w:type="dxa"/>
            <w:tcBorders>
              <w:tl2br w:val="nil"/>
              <w:tr2bl w:val="nil"/>
            </w:tcBorders>
            <w:vAlign w:val="top"/>
          </w:tcPr>
          <w:p w14:paraId="0803F173">
            <w:pPr>
              <w:overflowPunct w:val="0"/>
              <w:snapToGrid w:val="0"/>
              <w:spacing w:line="240" w:lineRule="auto"/>
              <w:ind w:firstLine="0" w:firstLineChars="0"/>
              <w:jc w:val="center"/>
              <w:textAlignment w:val="baseline"/>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最大日均值</w:t>
            </w:r>
          </w:p>
          <w:p w14:paraId="623EE5ED">
            <w:pPr>
              <w:overflowPunct w:val="0"/>
              <w:snapToGrid w:val="0"/>
              <w:spacing w:line="240" w:lineRule="auto"/>
              <w:ind w:firstLine="0" w:firstLineChars="0"/>
              <w:jc w:val="center"/>
              <w:textAlignment w:val="baseline"/>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rPr>
              <w:t>占标率（%）</w:t>
            </w:r>
          </w:p>
        </w:tc>
        <w:tc>
          <w:tcPr>
            <w:tcW w:w="1262" w:type="dxa"/>
            <w:tcBorders>
              <w:tl2br w:val="nil"/>
              <w:tr2bl w:val="nil"/>
            </w:tcBorders>
            <w:vAlign w:val="top"/>
          </w:tcPr>
          <w:p w14:paraId="224FE1E4">
            <w:pPr>
              <w:overflowPunct w:val="0"/>
              <w:snapToGrid w:val="0"/>
              <w:spacing w:line="240" w:lineRule="auto"/>
              <w:ind w:firstLine="0" w:firstLineChars="0"/>
              <w:jc w:val="center"/>
              <w:textAlignment w:val="baseline"/>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超标率</w:t>
            </w:r>
          </w:p>
          <w:p w14:paraId="1A91BCC5">
            <w:pPr>
              <w:overflowPunct w:val="0"/>
              <w:snapToGrid w:val="0"/>
              <w:spacing w:line="240" w:lineRule="auto"/>
              <w:ind w:firstLine="0" w:firstLineChars="0"/>
              <w:jc w:val="center"/>
              <w:textAlignment w:val="baseline"/>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r>
      <w:tr w14:paraId="26803E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96" w:hRule="atLeast"/>
          <w:jc w:val="center"/>
        </w:trPr>
        <w:tc>
          <w:tcPr>
            <w:tcW w:w="845" w:type="dxa"/>
            <w:tcBorders>
              <w:tl2br w:val="nil"/>
              <w:tr2bl w:val="nil"/>
            </w:tcBorders>
            <w:vAlign w:val="center"/>
          </w:tcPr>
          <w:p w14:paraId="01702EB5">
            <w:pPr>
              <w:pStyle w:val="161"/>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967" w:type="dxa"/>
            <w:tcBorders>
              <w:tl2br w:val="nil"/>
              <w:tr2bl w:val="nil"/>
            </w:tcBorders>
            <w:vAlign w:val="center"/>
          </w:tcPr>
          <w:p w14:paraId="647659F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Dq1#</w:t>
            </w:r>
          </w:p>
        </w:tc>
        <w:tc>
          <w:tcPr>
            <w:tcW w:w="1586" w:type="dxa"/>
            <w:tcBorders>
              <w:tl2br w:val="nil"/>
              <w:tr2bl w:val="nil"/>
            </w:tcBorders>
            <w:vAlign w:val="center"/>
          </w:tcPr>
          <w:p w14:paraId="3EF1CC0C">
            <w:pPr>
              <w:pStyle w:val="161"/>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121-142</w:t>
            </w:r>
          </w:p>
        </w:tc>
        <w:tc>
          <w:tcPr>
            <w:tcW w:w="1679" w:type="dxa"/>
            <w:tcBorders>
              <w:tl2br w:val="nil"/>
              <w:tr2bl w:val="nil"/>
            </w:tcBorders>
            <w:vAlign w:val="center"/>
          </w:tcPr>
          <w:p w14:paraId="4639C4C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200</w:t>
            </w:r>
          </w:p>
        </w:tc>
        <w:tc>
          <w:tcPr>
            <w:tcW w:w="2098" w:type="dxa"/>
            <w:tcBorders>
              <w:tl2br w:val="nil"/>
              <w:tr2bl w:val="nil"/>
            </w:tcBorders>
            <w:vAlign w:val="center"/>
          </w:tcPr>
          <w:p w14:paraId="722C825C">
            <w:pPr>
              <w:pStyle w:val="161"/>
              <w:bidi w:val="0"/>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w:t>
            </w:r>
          </w:p>
        </w:tc>
        <w:tc>
          <w:tcPr>
            <w:tcW w:w="1262" w:type="dxa"/>
            <w:tcBorders>
              <w:tl2br w:val="nil"/>
              <w:tr2bl w:val="nil"/>
            </w:tcBorders>
            <w:vAlign w:val="center"/>
          </w:tcPr>
          <w:p w14:paraId="7B65A76B">
            <w:pPr>
              <w:pStyle w:val="161"/>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r>
      <w:bookmarkEnd w:id="232"/>
    </w:tbl>
    <w:p w14:paraId="3B4F7471">
      <w:pPr>
        <w:keepNext w:val="0"/>
        <w:keepLines w:val="0"/>
        <w:pageBreakBefore w:val="0"/>
        <w:widowControl w:val="0"/>
        <w:kinsoku/>
        <w:wordWrap/>
        <w:overflowPunct/>
        <w:topLinePunct w:val="0"/>
        <w:autoSpaceDE/>
        <w:autoSpaceDN/>
        <w:bidi w:val="0"/>
        <w:adjustRightInd/>
        <w:snapToGrid/>
        <w:spacing w:line="360" w:lineRule="auto"/>
        <w:ind w:firstLine="482"/>
        <w:textAlignment w:val="auto"/>
        <w:outlineLvl w:val="9"/>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（7）</w:t>
      </w:r>
      <w:r>
        <w:rPr>
          <w:rFonts w:hint="default" w:ascii="Times New Roman" w:hAnsi="Times New Roman" w:cs="Times New Roman"/>
          <w:sz w:val="24"/>
          <w:szCs w:val="24"/>
          <w:highlight w:val="none"/>
          <w:lang w:val="en-US" w:eastAsia="zh-CN"/>
        </w:rPr>
        <w:t>监测</w:t>
      </w:r>
      <w:r>
        <w:rPr>
          <w:rFonts w:hint="default" w:ascii="Times New Roman" w:hAnsi="Times New Roman" w:cs="Times New Roman"/>
          <w:sz w:val="24"/>
          <w:szCs w:val="24"/>
          <w:highlight w:val="none"/>
        </w:rPr>
        <w:t>结果分析</w:t>
      </w:r>
    </w:p>
    <w:p w14:paraId="70D39F64">
      <w:pPr>
        <w:keepNext w:val="0"/>
        <w:keepLines w:val="0"/>
        <w:pageBreakBefore w:val="0"/>
        <w:widowControl w:val="0"/>
        <w:kinsoku/>
        <w:wordWrap/>
        <w:overflowPunct/>
        <w:topLinePunct w:val="0"/>
        <w:autoSpaceDE/>
        <w:autoSpaceDN/>
        <w:bidi w:val="0"/>
        <w:adjustRightInd/>
        <w:snapToGrid/>
        <w:spacing w:line="360" w:lineRule="auto"/>
        <w:ind w:firstLine="482"/>
        <w:jc w:val="both"/>
        <w:textAlignment w:val="auto"/>
        <w:rPr>
          <w:rFonts w:hint="eastAsia" w:ascii="Times New Roman" w:hAnsi="Times New Roman" w:cs="Times New Roman"/>
          <w:color w:val="000000"/>
          <w:sz w:val="24"/>
          <w:szCs w:val="24"/>
          <w:highlight w:val="none"/>
          <w:lang w:eastAsia="zh-CN"/>
        </w:rPr>
      </w:pPr>
      <w:r>
        <w:rPr>
          <w:rFonts w:hint="default" w:ascii="Times New Roman" w:hAnsi="Times New Roman" w:cs="Times New Roman"/>
          <w:sz w:val="24"/>
          <w:szCs w:val="24"/>
          <w:highlight w:val="none"/>
        </w:rPr>
        <w:t>项目区域监测点位监测的</w:t>
      </w:r>
      <w:r>
        <w:rPr>
          <w:rFonts w:hint="default" w:ascii="Times New Roman" w:hAnsi="Times New Roman" w:cs="Times New Roman"/>
          <w:sz w:val="24"/>
          <w:szCs w:val="24"/>
          <w:highlight w:val="none"/>
          <w:lang w:val="en-US" w:eastAsia="zh-CN"/>
        </w:rPr>
        <w:t>TSP</w:t>
      </w:r>
      <w:r>
        <w:rPr>
          <w:rFonts w:hint="default" w:ascii="Times New Roman" w:hAnsi="Times New Roman" w:cs="Times New Roman"/>
          <w:sz w:val="24"/>
          <w:szCs w:val="24"/>
          <w:highlight w:val="none"/>
        </w:rPr>
        <w:t>的</w:t>
      </w:r>
      <w:r>
        <w:rPr>
          <w:rFonts w:hint="default" w:ascii="Times New Roman" w:hAnsi="Times New Roman" w:cs="Times New Roman"/>
          <w:sz w:val="24"/>
          <w:szCs w:val="24"/>
          <w:highlight w:val="none"/>
          <w:lang w:val="en-US" w:eastAsia="zh-CN"/>
        </w:rPr>
        <w:t>24小时</w:t>
      </w:r>
      <w:r>
        <w:rPr>
          <w:rFonts w:hint="default" w:ascii="Times New Roman" w:hAnsi="Times New Roman" w:cs="Times New Roman"/>
          <w:sz w:val="24"/>
          <w:szCs w:val="24"/>
          <w:highlight w:val="none"/>
        </w:rPr>
        <w:t>均值</w:t>
      </w:r>
      <w:r>
        <w:rPr>
          <w:rFonts w:hint="default" w:ascii="Times New Roman" w:hAnsi="Times New Roman" w:cs="Times New Roman"/>
          <w:sz w:val="24"/>
          <w:szCs w:val="24"/>
          <w:highlight w:val="none"/>
          <w:lang w:val="en-US" w:eastAsia="zh-CN"/>
        </w:rPr>
        <w:t>能满足</w:t>
      </w:r>
      <w:r>
        <w:rPr>
          <w:rFonts w:hint="default" w:ascii="Times New Roman" w:hAnsi="Times New Roman" w:cs="Times New Roman"/>
          <w:sz w:val="24"/>
          <w:szCs w:val="24"/>
          <w:highlight w:val="none"/>
        </w:rPr>
        <w:t>《环境空气质量标准》（GB3095-2012）</w:t>
      </w:r>
      <w:r>
        <w:rPr>
          <w:rFonts w:hint="eastAsia" w:ascii="Times New Roman" w:hAnsi="Times New Roman" w:cs="Times New Roman"/>
          <w:sz w:val="24"/>
          <w:szCs w:val="24"/>
          <w:highlight w:val="none"/>
          <w:lang w:eastAsia="zh-CN"/>
        </w:rPr>
        <w:t>及其修改单</w:t>
      </w:r>
      <w:r>
        <w:rPr>
          <w:rFonts w:hint="eastAsia" w:ascii="Times New Roman" w:hAnsi="Times New Roman" w:cs="Times New Roman"/>
          <w:sz w:val="24"/>
          <w:szCs w:val="24"/>
          <w:highlight w:val="none"/>
          <w:lang w:val="en-US" w:eastAsia="zh-CN"/>
        </w:rPr>
        <w:t>中的</w:t>
      </w:r>
      <w:r>
        <w:rPr>
          <w:rFonts w:hint="eastAsia" w:ascii="Times New Roman" w:hAnsi="Times New Roman" w:cs="Times New Roman"/>
          <w:sz w:val="24"/>
          <w:szCs w:val="24"/>
          <w:highlight w:val="none"/>
          <w:lang w:eastAsia="zh-CN"/>
        </w:rPr>
        <w:t>二级标准</w:t>
      </w:r>
      <w:r>
        <w:rPr>
          <w:rFonts w:hint="default" w:ascii="Times New Roman" w:hAnsi="Times New Roman" w:cs="Times New Roman"/>
          <w:sz w:val="24"/>
          <w:szCs w:val="24"/>
          <w:highlight w:val="none"/>
          <w:lang w:eastAsia="zh-CN"/>
        </w:rPr>
        <w:t>。</w:t>
      </w:r>
    </w:p>
    <w:p w14:paraId="3DD07A7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bookmarkStart w:id="233" w:name="_Toc12826"/>
      <w:r>
        <w:rPr>
          <w:rFonts w:hint="default" w:ascii="Times New Roman" w:hAnsi="Times New Roman" w:eastAsia="宋体" w:cs="Times New Roman"/>
          <w:b/>
          <w:sz w:val="24"/>
          <w:szCs w:val="24"/>
          <w:highlight w:val="none"/>
          <w:lang w:val="en-US" w:eastAsia="zh-CN"/>
        </w:rPr>
        <w:t>4.</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en-US" w:eastAsia="zh-CN"/>
        </w:rPr>
        <w:t>.1.3环境</w:t>
      </w:r>
      <w:r>
        <w:rPr>
          <w:rFonts w:hint="eastAsia" w:ascii="Times New Roman" w:hAnsi="Times New Roman" w:eastAsia="宋体" w:cs="Times New Roman"/>
          <w:b/>
          <w:sz w:val="24"/>
          <w:szCs w:val="24"/>
          <w:highlight w:val="none"/>
          <w:lang w:val="en-US" w:eastAsia="zh-CN"/>
        </w:rPr>
        <w:t>空气</w:t>
      </w:r>
      <w:r>
        <w:rPr>
          <w:rFonts w:hint="default" w:ascii="Times New Roman" w:hAnsi="Times New Roman" w:eastAsia="宋体" w:cs="Times New Roman"/>
          <w:b/>
          <w:sz w:val="24"/>
          <w:szCs w:val="24"/>
          <w:highlight w:val="none"/>
          <w:lang w:val="en-US" w:eastAsia="zh-CN"/>
        </w:rPr>
        <w:t>质量评价结论</w:t>
      </w:r>
      <w:bookmarkEnd w:id="233"/>
    </w:p>
    <w:p w14:paraId="1366768F">
      <w:pPr>
        <w:keepNext w:val="0"/>
        <w:keepLines w:val="0"/>
        <w:pageBreakBefore w:val="0"/>
        <w:widowControl w:val="0"/>
        <w:kinsoku/>
        <w:wordWrap/>
        <w:overflowPunct/>
        <w:topLinePunct w:val="0"/>
        <w:autoSpaceDE/>
        <w:autoSpaceDN/>
        <w:bidi w:val="0"/>
        <w:spacing w:line="360" w:lineRule="auto"/>
        <w:ind w:firstLine="480"/>
        <w:jc w:val="both"/>
        <w:textAlignment w:val="auto"/>
        <w:rPr>
          <w:rFonts w:hint="eastAsia" w:ascii="Times New Roman" w:hAnsi="Times New Roman" w:cs="Times New Roman"/>
          <w:sz w:val="24"/>
          <w:highlight w:val="none"/>
          <w:lang w:eastAsia="zh-CN"/>
        </w:rPr>
      </w:pPr>
      <w:r>
        <w:rPr>
          <w:rFonts w:hint="default" w:ascii="Times New Roman" w:hAnsi="Times New Roman" w:cs="Times New Roman"/>
          <w:sz w:val="24"/>
          <w:szCs w:val="24"/>
          <w:highlight w:val="none"/>
          <w:lang w:eastAsia="zh-CN"/>
        </w:rPr>
        <w:t>综上所述，</w:t>
      </w:r>
      <w:r>
        <w:rPr>
          <w:rFonts w:hint="default" w:ascii="Times New Roman" w:hAnsi="Times New Roman" w:cs="Times New Roman"/>
          <w:sz w:val="24"/>
          <w:szCs w:val="24"/>
          <w:highlight w:val="none"/>
        </w:rPr>
        <w:t>项目所在区域环境空气中，TSP日均值、PM</w:t>
      </w:r>
      <w:r>
        <w:rPr>
          <w:rFonts w:hint="default" w:ascii="Times New Roman" w:hAnsi="Times New Roman" w:cs="Times New Roman"/>
          <w:sz w:val="24"/>
          <w:szCs w:val="24"/>
          <w:highlight w:val="none"/>
          <w:vertAlign w:val="subscript"/>
        </w:rPr>
        <w:t>2.5</w:t>
      </w:r>
      <w:r>
        <w:rPr>
          <w:rFonts w:hint="default" w:ascii="Times New Roman" w:hAnsi="Times New Roman" w:cs="Times New Roman"/>
          <w:sz w:val="24"/>
          <w:szCs w:val="24"/>
          <w:highlight w:val="none"/>
        </w:rPr>
        <w:t>年均浓度</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PM</w:t>
      </w:r>
      <w:r>
        <w:rPr>
          <w:rFonts w:hint="default" w:ascii="Times New Roman" w:hAnsi="Times New Roman" w:cs="Times New Roman"/>
          <w:sz w:val="24"/>
          <w:szCs w:val="24"/>
          <w:highlight w:val="none"/>
          <w:vertAlign w:val="subscript"/>
        </w:rPr>
        <w:t>10</w:t>
      </w:r>
      <w:r>
        <w:rPr>
          <w:rFonts w:hint="default" w:ascii="Times New Roman" w:hAnsi="Times New Roman" w:cs="Times New Roman"/>
          <w:sz w:val="24"/>
          <w:szCs w:val="24"/>
          <w:highlight w:val="none"/>
        </w:rPr>
        <w:t>年均浓度、SO</w:t>
      </w:r>
      <w:r>
        <w:rPr>
          <w:rFonts w:hint="default" w:ascii="Times New Roman" w:hAnsi="Times New Roman" w:cs="Times New Roman"/>
          <w:sz w:val="24"/>
          <w:szCs w:val="24"/>
          <w:highlight w:val="none"/>
          <w:vertAlign w:val="subscript"/>
        </w:rPr>
        <w:t>2</w:t>
      </w:r>
      <w:r>
        <w:rPr>
          <w:rFonts w:hint="default" w:ascii="Times New Roman" w:hAnsi="Times New Roman" w:cs="Times New Roman"/>
          <w:sz w:val="24"/>
          <w:szCs w:val="24"/>
          <w:highlight w:val="none"/>
        </w:rPr>
        <w:t>年均浓度、NO</w:t>
      </w:r>
      <w:r>
        <w:rPr>
          <w:rFonts w:hint="default" w:ascii="Times New Roman" w:hAnsi="Times New Roman" w:cs="Times New Roman"/>
          <w:sz w:val="24"/>
          <w:szCs w:val="24"/>
          <w:highlight w:val="none"/>
          <w:vertAlign w:val="subscript"/>
        </w:rPr>
        <w:t>2</w:t>
      </w:r>
      <w:r>
        <w:rPr>
          <w:rFonts w:hint="default" w:ascii="Times New Roman" w:hAnsi="Times New Roman" w:cs="Times New Roman"/>
          <w:sz w:val="24"/>
          <w:szCs w:val="24"/>
          <w:highlight w:val="none"/>
        </w:rPr>
        <w:t>年均浓度和CO24小时平均浓度第95百分位数和O</w:t>
      </w:r>
      <w:r>
        <w:rPr>
          <w:rFonts w:hint="default" w:ascii="Times New Roman" w:hAnsi="Times New Roman" w:cs="Times New Roman"/>
          <w:sz w:val="24"/>
          <w:szCs w:val="24"/>
          <w:highlight w:val="none"/>
          <w:vertAlign w:val="subscript"/>
        </w:rPr>
        <w:t>3</w:t>
      </w:r>
      <w:r>
        <w:rPr>
          <w:rFonts w:hint="default" w:ascii="Times New Roman" w:hAnsi="Times New Roman" w:cs="Times New Roman"/>
          <w:sz w:val="24"/>
          <w:szCs w:val="24"/>
          <w:highlight w:val="none"/>
        </w:rPr>
        <w:t>日最大8小时平均浓度第90百分位数</w:t>
      </w:r>
      <w:r>
        <w:rPr>
          <w:rFonts w:hint="eastAsia" w:ascii="Times New Roman" w:hAnsi="Times New Roman" w:cs="Times New Roman"/>
          <w:sz w:val="24"/>
          <w:szCs w:val="24"/>
          <w:highlight w:val="none"/>
          <w:lang w:val="en-US" w:eastAsia="zh-CN"/>
        </w:rPr>
        <w:t>均</w:t>
      </w:r>
      <w:r>
        <w:rPr>
          <w:rFonts w:hint="default" w:ascii="Times New Roman" w:hAnsi="Times New Roman" w:cs="Times New Roman"/>
          <w:sz w:val="24"/>
          <w:szCs w:val="24"/>
          <w:highlight w:val="none"/>
        </w:rPr>
        <w:t>满足</w:t>
      </w:r>
      <w:r>
        <w:rPr>
          <w:rFonts w:hint="eastAsia" w:ascii="Times New Roman" w:hAnsi="Times New Roman" w:cs="Times New Roman"/>
          <w:sz w:val="24"/>
          <w:szCs w:val="24"/>
          <w:highlight w:val="none"/>
          <w:lang w:eastAsia="zh-CN"/>
        </w:rPr>
        <w:t>《环境空气质量标准》（GB3095-2012）及其修改单中二级标准要求</w:t>
      </w:r>
      <w:r>
        <w:rPr>
          <w:rFonts w:hint="default" w:ascii="Times New Roman" w:hAnsi="Times New Roman" w:cs="Times New Roman"/>
          <w:sz w:val="24"/>
          <w:highlight w:val="none"/>
        </w:rPr>
        <w:t>，项目所在区域为达标区</w:t>
      </w:r>
      <w:r>
        <w:rPr>
          <w:rFonts w:hint="eastAsia" w:ascii="Times New Roman" w:hAnsi="Times New Roman" w:cs="Times New Roman"/>
          <w:sz w:val="24"/>
          <w:highlight w:val="none"/>
          <w:lang w:eastAsia="zh-CN"/>
        </w:rPr>
        <w:t>。</w:t>
      </w:r>
    </w:p>
    <w:p w14:paraId="4396F8E5">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eastAsia="宋体" w:cs="Times New Roman"/>
          <w:b/>
          <w:bCs/>
          <w:color w:val="000000"/>
          <w:sz w:val="24"/>
          <w:szCs w:val="24"/>
          <w:highlight w:val="none"/>
        </w:rPr>
      </w:pPr>
      <w:bookmarkStart w:id="234" w:name="_Toc14676"/>
      <w:r>
        <w:rPr>
          <w:rFonts w:hint="default" w:ascii="Times New Roman" w:hAnsi="Times New Roman" w:eastAsia="宋体" w:cs="Times New Roman"/>
          <w:b/>
          <w:bCs/>
          <w:color w:val="000000"/>
          <w:sz w:val="24"/>
          <w:szCs w:val="24"/>
          <w:highlight w:val="none"/>
        </w:rPr>
        <w:t>地</w:t>
      </w:r>
      <w:r>
        <w:rPr>
          <w:rFonts w:hint="eastAsia" w:ascii="Times New Roman" w:hAnsi="Times New Roman" w:eastAsia="宋体" w:cs="Times New Roman"/>
          <w:b/>
          <w:bCs/>
          <w:color w:val="000000"/>
          <w:sz w:val="24"/>
          <w:szCs w:val="24"/>
          <w:highlight w:val="none"/>
          <w:lang w:val="en-US" w:eastAsia="zh-CN"/>
        </w:rPr>
        <w:t>表</w:t>
      </w:r>
      <w:r>
        <w:rPr>
          <w:rFonts w:hint="default" w:ascii="Times New Roman" w:hAnsi="Times New Roman" w:eastAsia="宋体" w:cs="Times New Roman"/>
          <w:b/>
          <w:bCs/>
          <w:color w:val="000000"/>
          <w:sz w:val="24"/>
          <w:szCs w:val="24"/>
          <w:highlight w:val="none"/>
        </w:rPr>
        <w:t>水环境质量现状评价</w:t>
      </w:r>
      <w:bookmarkEnd w:id="234"/>
    </w:p>
    <w:p w14:paraId="77323CFF">
      <w:pPr>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highlight w:val="none"/>
          <w:lang w:eastAsia="zh-CN"/>
        </w:rPr>
      </w:pPr>
      <w:r>
        <w:rPr>
          <w:rFonts w:hint="default" w:ascii="Times New Roman" w:hAnsi="Times New Roman" w:cs="Times New Roman"/>
          <w:color w:val="000000"/>
          <w:kern w:val="0"/>
          <w:sz w:val="24"/>
          <w:szCs w:val="21"/>
          <w:highlight w:val="none"/>
        </w:rPr>
        <w:t>区域地表径流为</w:t>
      </w:r>
      <w:r>
        <w:rPr>
          <w:rFonts w:hint="eastAsia" w:cs="Times New Roman"/>
          <w:color w:val="000000"/>
          <w:kern w:val="0"/>
          <w:sz w:val="24"/>
          <w:szCs w:val="21"/>
          <w:highlight w:val="none"/>
          <w:lang w:eastAsia="zh-CN"/>
        </w:rPr>
        <w:t>兴隆河</w:t>
      </w:r>
      <w:r>
        <w:rPr>
          <w:rFonts w:hint="default" w:ascii="Times New Roman" w:hAnsi="Times New Roman" w:cs="Times New Roman"/>
          <w:color w:val="000000"/>
          <w:kern w:val="0"/>
          <w:sz w:val="24"/>
          <w:szCs w:val="21"/>
          <w:highlight w:val="none"/>
        </w:rPr>
        <w:t>，</w:t>
      </w:r>
      <w:r>
        <w:rPr>
          <w:rFonts w:hint="eastAsia" w:cs="Times New Roman"/>
          <w:color w:val="000000"/>
          <w:kern w:val="0"/>
          <w:sz w:val="24"/>
          <w:szCs w:val="21"/>
          <w:highlight w:val="none"/>
          <w:lang w:val="en-US" w:eastAsia="zh-CN"/>
        </w:rPr>
        <w:t>为武烈河支流</w:t>
      </w:r>
      <w:r>
        <w:rPr>
          <w:rFonts w:hint="default" w:ascii="Times New Roman" w:hAnsi="Times New Roman" w:cs="Times New Roman"/>
          <w:color w:val="000000"/>
          <w:kern w:val="0"/>
          <w:sz w:val="24"/>
          <w:szCs w:val="21"/>
          <w:highlight w:val="none"/>
        </w:rPr>
        <w:t>，</w:t>
      </w:r>
      <w:r>
        <w:rPr>
          <w:rFonts w:hint="eastAsia" w:ascii="Times New Roman" w:hAnsi="Times New Roman" w:cs="Times New Roman"/>
          <w:color w:val="000000"/>
          <w:kern w:val="0"/>
          <w:sz w:val="24"/>
          <w:szCs w:val="21"/>
          <w:highlight w:val="none"/>
          <w:lang w:eastAsia="zh-CN"/>
        </w:rPr>
        <w:t>按照河北省水利厅与省环保局联合下发的《河北省水功能区划》（冀水资〔2017〕127号）的要求，武烈河保护级别为地表水</w:t>
      </w:r>
      <w:r>
        <w:rPr>
          <w:rFonts w:hint="default" w:ascii="Times New Roman" w:hAnsi="Times New Roman" w:cs="Times New Roman"/>
          <w:color w:val="000000"/>
          <w:kern w:val="0"/>
          <w:sz w:val="24"/>
          <w:szCs w:val="21"/>
          <w:highlight w:val="none"/>
          <w:lang w:eastAsia="zh-CN"/>
        </w:rPr>
        <w:t>Ⅱ</w:t>
      </w:r>
      <w:r>
        <w:rPr>
          <w:rFonts w:hint="eastAsia" w:ascii="Times New Roman" w:hAnsi="Times New Roman" w:cs="Times New Roman"/>
          <w:color w:val="000000"/>
          <w:kern w:val="0"/>
          <w:sz w:val="24"/>
          <w:szCs w:val="21"/>
          <w:highlight w:val="none"/>
          <w:lang w:eastAsia="zh-CN"/>
        </w:rPr>
        <w:t>类，执行《地表水环境质量标准》（GB3838-2002）中</w:t>
      </w:r>
      <w:r>
        <w:rPr>
          <w:rFonts w:hint="default" w:ascii="Times New Roman" w:hAnsi="Times New Roman" w:cs="Times New Roman"/>
          <w:color w:val="000000"/>
          <w:kern w:val="0"/>
          <w:sz w:val="24"/>
          <w:szCs w:val="21"/>
          <w:highlight w:val="none"/>
          <w:lang w:eastAsia="zh-CN"/>
        </w:rPr>
        <w:t>Ⅱ</w:t>
      </w:r>
      <w:r>
        <w:rPr>
          <w:rFonts w:hint="eastAsia" w:ascii="Times New Roman" w:hAnsi="Times New Roman" w:cs="Times New Roman"/>
          <w:color w:val="000000"/>
          <w:kern w:val="0"/>
          <w:sz w:val="24"/>
          <w:szCs w:val="21"/>
          <w:highlight w:val="none"/>
          <w:lang w:eastAsia="zh-CN"/>
        </w:rPr>
        <w:t>类标准</w:t>
      </w:r>
      <w:r>
        <w:rPr>
          <w:rFonts w:hint="eastAsia" w:ascii="Times New Roman" w:hAnsi="Times New Roman" w:cs="Times New Roman"/>
          <w:color w:val="000000"/>
          <w:kern w:val="0"/>
          <w:sz w:val="24"/>
          <w:szCs w:val="21"/>
          <w:highlight w:val="none"/>
          <w:lang w:val="en-US" w:eastAsia="zh-CN"/>
        </w:rPr>
        <w:t>。</w:t>
      </w:r>
      <w:r>
        <w:rPr>
          <w:rFonts w:ascii="Times New Roman"/>
          <w:sz w:val="24"/>
          <w:szCs w:val="24"/>
          <w:highlight w:val="none"/>
        </w:rPr>
        <w:t>根据《</w:t>
      </w:r>
      <w:r>
        <w:rPr>
          <w:rFonts w:hint="eastAsia" w:cs="Times New Roman"/>
          <w:color w:val="000000"/>
          <w:sz w:val="24"/>
          <w:szCs w:val="32"/>
          <w:highlight w:val="none"/>
          <w:lang w:eastAsia="zh-CN"/>
        </w:rPr>
        <w:t>202</w:t>
      </w:r>
      <w:r>
        <w:rPr>
          <w:rFonts w:hint="eastAsia" w:cs="Times New Roman"/>
          <w:color w:val="000000"/>
          <w:sz w:val="24"/>
          <w:szCs w:val="32"/>
          <w:highlight w:val="none"/>
          <w:lang w:val="en-US" w:eastAsia="zh-CN"/>
        </w:rPr>
        <w:t>3</w:t>
      </w:r>
      <w:r>
        <w:rPr>
          <w:rFonts w:hint="eastAsia" w:cs="Times New Roman"/>
          <w:color w:val="000000"/>
          <w:sz w:val="24"/>
          <w:szCs w:val="32"/>
          <w:highlight w:val="none"/>
          <w:lang w:eastAsia="zh-CN"/>
        </w:rPr>
        <w:t>年承德市生态环境状况公报</w:t>
      </w:r>
      <w:r>
        <w:rPr>
          <w:rFonts w:ascii="Times New Roman"/>
          <w:sz w:val="24"/>
          <w:szCs w:val="24"/>
          <w:highlight w:val="none"/>
        </w:rPr>
        <w:t>》</w:t>
      </w:r>
      <w:r>
        <w:rPr>
          <w:rFonts w:hint="eastAsia" w:ascii="Times New Roman"/>
          <w:sz w:val="24"/>
          <w:szCs w:val="24"/>
          <w:highlight w:val="none"/>
          <w:lang w:eastAsia="zh-CN"/>
        </w:rPr>
        <w:t>，</w:t>
      </w:r>
      <w:r>
        <w:rPr>
          <w:rFonts w:hint="eastAsia" w:cs="Times New Roman"/>
          <w:color w:val="000000"/>
          <w:kern w:val="0"/>
          <w:sz w:val="24"/>
          <w:szCs w:val="21"/>
          <w:highlight w:val="none"/>
          <w:lang w:val="en-US" w:eastAsia="zh-CN"/>
        </w:rPr>
        <w:t>武烈河</w:t>
      </w:r>
      <w:r>
        <w:rPr>
          <w:rFonts w:hint="eastAsia" w:ascii="Times New Roman"/>
          <w:sz w:val="24"/>
          <w:szCs w:val="24"/>
          <w:highlight w:val="none"/>
          <w:lang w:val="en-US" w:eastAsia="zh-CN"/>
        </w:rPr>
        <w:t>共布设地表常规监测断面</w:t>
      </w:r>
      <w:r>
        <w:rPr>
          <w:rFonts w:hint="eastAsia"/>
          <w:sz w:val="24"/>
          <w:szCs w:val="24"/>
          <w:highlight w:val="none"/>
          <w:lang w:val="en-US" w:eastAsia="zh-CN"/>
        </w:rPr>
        <w:t>1</w:t>
      </w:r>
      <w:r>
        <w:rPr>
          <w:rFonts w:hint="eastAsia" w:ascii="Times New Roman"/>
          <w:sz w:val="24"/>
          <w:szCs w:val="24"/>
          <w:highlight w:val="none"/>
          <w:lang w:val="en-US" w:eastAsia="zh-CN"/>
        </w:rPr>
        <w:t>个，2</w:t>
      </w:r>
      <w:r>
        <w:rPr>
          <w:rFonts w:hint="default" w:ascii="Times New Roman" w:hAnsi="Times New Roman" w:cs="Times New Roman"/>
          <w:sz w:val="24"/>
          <w:szCs w:val="24"/>
          <w:highlight w:val="none"/>
          <w:lang w:val="en-US" w:eastAsia="zh-CN"/>
        </w:rPr>
        <w:t>02</w:t>
      </w:r>
      <w:r>
        <w:rPr>
          <w:rFonts w:hint="eastAsia" w:cs="Times New Roman"/>
          <w:sz w:val="24"/>
          <w:szCs w:val="24"/>
          <w:highlight w:val="none"/>
          <w:lang w:val="en-US" w:eastAsia="zh-CN"/>
        </w:rPr>
        <w:t>3</w:t>
      </w:r>
      <w:r>
        <w:rPr>
          <w:rFonts w:hint="default" w:ascii="Times New Roman" w:hAnsi="Times New Roman" w:cs="Times New Roman"/>
          <w:sz w:val="24"/>
          <w:szCs w:val="24"/>
          <w:highlight w:val="none"/>
          <w:lang w:val="en-US" w:eastAsia="zh-CN"/>
        </w:rPr>
        <w:t>年</w:t>
      </w:r>
      <w:r>
        <w:rPr>
          <w:rFonts w:hint="eastAsia" w:cs="Times New Roman"/>
          <w:sz w:val="24"/>
          <w:szCs w:val="24"/>
          <w:highlight w:val="none"/>
          <w:lang w:val="en-US" w:eastAsia="zh-CN"/>
        </w:rPr>
        <w:t>甸子</w:t>
      </w:r>
      <w:r>
        <w:rPr>
          <w:rFonts w:hint="default" w:ascii="Times New Roman" w:hAnsi="Times New Roman" w:cs="Times New Roman"/>
          <w:sz w:val="24"/>
          <w:szCs w:val="24"/>
          <w:highlight w:val="none"/>
          <w:lang w:val="en-US" w:eastAsia="zh-CN"/>
        </w:rPr>
        <w:t>断面水质类别为</w:t>
      </w:r>
      <w:r>
        <w:rPr>
          <w:rFonts w:hint="eastAsia" w:cs="Times New Roman"/>
          <w:sz w:val="24"/>
          <w:szCs w:val="24"/>
          <w:highlight w:val="none"/>
          <w:lang w:val="en-US" w:eastAsia="zh-CN"/>
        </w:rPr>
        <w:t>II</w:t>
      </w:r>
      <w:r>
        <w:rPr>
          <w:rFonts w:hint="default" w:ascii="Times New Roman" w:hAnsi="Times New Roman" w:cs="Times New Roman"/>
          <w:sz w:val="24"/>
          <w:szCs w:val="24"/>
          <w:highlight w:val="none"/>
          <w:lang w:val="en-US" w:eastAsia="zh-CN"/>
        </w:rPr>
        <w:t>类。</w:t>
      </w:r>
      <w:r>
        <w:rPr>
          <w:rFonts w:hint="default" w:ascii="Times New Roman" w:hAnsi="Times New Roman" w:cs="Times New Roman"/>
          <w:color w:val="auto"/>
          <w:sz w:val="24"/>
          <w:szCs w:val="24"/>
          <w:highlight w:val="none"/>
        </w:rPr>
        <w:t>2023年</w:t>
      </w:r>
      <w:r>
        <w:rPr>
          <w:rFonts w:hint="eastAsia" w:cs="Times New Roman"/>
          <w:color w:val="auto"/>
          <w:sz w:val="24"/>
          <w:szCs w:val="24"/>
          <w:highlight w:val="none"/>
          <w:lang w:val="en-US" w:eastAsia="zh-CN"/>
        </w:rPr>
        <w:t>武烈河</w:t>
      </w:r>
      <w:r>
        <w:rPr>
          <w:rFonts w:hint="default" w:ascii="Times New Roman" w:hAnsi="Times New Roman" w:cs="Times New Roman"/>
          <w:color w:val="auto"/>
          <w:sz w:val="24"/>
          <w:szCs w:val="24"/>
          <w:highlight w:val="none"/>
        </w:rPr>
        <w:t>流域总体水质状况为优，水质总体为优，与2022年持平</w:t>
      </w:r>
      <w:r>
        <w:rPr>
          <w:rFonts w:hint="eastAsia" w:ascii="Times New Roman"/>
          <w:sz w:val="24"/>
          <w:szCs w:val="24"/>
          <w:highlight w:val="none"/>
          <w:lang w:val="en-US" w:eastAsia="zh-CN"/>
        </w:rPr>
        <w:t>。</w:t>
      </w:r>
    </w:p>
    <w:p w14:paraId="13B94DD8">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eastAsia="宋体" w:cs="Times New Roman"/>
          <w:b/>
          <w:bCs/>
          <w:color w:val="000000"/>
          <w:sz w:val="24"/>
          <w:szCs w:val="24"/>
          <w:highlight w:val="none"/>
        </w:rPr>
      </w:pPr>
      <w:bookmarkStart w:id="235" w:name="_Toc20417"/>
      <w:bookmarkStart w:id="236" w:name="_Toc16776"/>
      <w:r>
        <w:rPr>
          <w:rFonts w:hint="default" w:ascii="Times New Roman" w:hAnsi="Times New Roman" w:eastAsia="宋体" w:cs="Times New Roman"/>
          <w:b/>
          <w:bCs/>
          <w:color w:val="000000"/>
          <w:sz w:val="24"/>
          <w:szCs w:val="24"/>
          <w:highlight w:val="none"/>
        </w:rPr>
        <w:t>地下水环境质量现状评价</w:t>
      </w:r>
      <w:bookmarkEnd w:id="235"/>
      <w:bookmarkEnd w:id="236"/>
    </w:p>
    <w:p w14:paraId="3FB25E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rPr>
      </w:pPr>
      <w:bookmarkStart w:id="237" w:name="_Toc17369"/>
      <w:r>
        <w:rPr>
          <w:rFonts w:hint="default"/>
          <w:sz w:val="24"/>
          <w:szCs w:val="24"/>
          <w:highlight w:val="none"/>
        </w:rPr>
        <w:t>（1）</w:t>
      </w:r>
      <w:r>
        <w:rPr>
          <w:rFonts w:hint="default"/>
          <w:sz w:val="24"/>
          <w:szCs w:val="24"/>
          <w:highlight w:val="none"/>
          <w:lang w:val="en-US" w:eastAsia="zh-CN"/>
        </w:rPr>
        <w:t>监测</w:t>
      </w:r>
      <w:r>
        <w:rPr>
          <w:rFonts w:hint="eastAsia"/>
          <w:sz w:val="24"/>
          <w:szCs w:val="24"/>
          <w:highlight w:val="none"/>
          <w:lang w:val="en-US" w:eastAsia="zh-CN"/>
        </w:rPr>
        <w:t>布点</w:t>
      </w:r>
      <w:bookmarkEnd w:id="237"/>
    </w:p>
    <w:p w14:paraId="14EE1C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000000"/>
          <w:kern w:val="2"/>
          <w:sz w:val="24"/>
          <w:szCs w:val="24"/>
          <w:highlight w:val="none"/>
        </w:rPr>
      </w:pPr>
      <w:bookmarkStart w:id="238" w:name="_Toc28514426"/>
      <w:r>
        <w:rPr>
          <w:rFonts w:hint="eastAsia" w:ascii="Times New Roman" w:hAnsi="Times New Roman" w:cs="Times New Roman"/>
          <w:sz w:val="24"/>
          <w:szCs w:val="24"/>
          <w:highlight w:val="none"/>
          <w:lang w:val="en-US" w:eastAsia="zh-CN"/>
        </w:rPr>
        <w:t>本项目</w:t>
      </w:r>
      <w:r>
        <w:rPr>
          <w:rFonts w:hint="eastAsia" w:cs="Times New Roman"/>
          <w:sz w:val="24"/>
          <w:szCs w:val="24"/>
          <w:highlight w:val="none"/>
          <w:lang w:val="en-US" w:eastAsia="zh-CN"/>
        </w:rPr>
        <w:t>地下水环境影响评价工作等级为一级评价</w:t>
      </w:r>
      <w:r>
        <w:rPr>
          <w:rFonts w:hint="eastAsia" w:cs="Times New Roman"/>
          <w:color w:val="000000"/>
          <w:sz w:val="24"/>
          <w:highlight w:val="none"/>
          <w:lang w:eastAsia="zh-CN"/>
        </w:rPr>
        <w:t>，</w:t>
      </w:r>
      <w:r>
        <w:rPr>
          <w:rFonts w:hint="default" w:ascii="Times New Roman" w:hAnsi="Times New Roman" w:cs="Times New Roman"/>
          <w:color w:val="000000"/>
          <w:kern w:val="2"/>
          <w:sz w:val="24"/>
          <w:szCs w:val="24"/>
          <w:highlight w:val="none"/>
        </w:rPr>
        <w:t>根据《环境影响评价技术导则 地下水环境》（HJ610-2016），地下水评价等级为一级时，根据现状监测点的布设原则，</w:t>
      </w:r>
      <w:r>
        <w:rPr>
          <w:rFonts w:hint="eastAsia" w:ascii="宋体" w:hAnsi="宋体" w:eastAsia="宋体" w:cs="宋体"/>
          <w:color w:val="000000"/>
          <w:kern w:val="2"/>
          <w:sz w:val="24"/>
          <w:szCs w:val="24"/>
          <w:highlight w:val="none"/>
        </w:rPr>
        <w:t>“</w:t>
      </w:r>
      <w:r>
        <w:rPr>
          <w:rFonts w:hint="default" w:ascii="Times New Roman" w:hAnsi="Times New Roman" w:cs="Times New Roman"/>
          <w:color w:val="000000"/>
          <w:kern w:val="2"/>
          <w:sz w:val="24"/>
          <w:szCs w:val="24"/>
          <w:highlight w:val="none"/>
        </w:rPr>
        <w:t>一级评价项目潜水含水层的水质监测点应不少于7个</w:t>
      </w:r>
      <w:r>
        <w:rPr>
          <w:rFonts w:hint="eastAsia" w:ascii="宋体" w:hAnsi="宋体" w:eastAsia="宋体" w:cs="宋体"/>
          <w:color w:val="000000"/>
          <w:kern w:val="2"/>
          <w:sz w:val="24"/>
          <w:szCs w:val="24"/>
          <w:highlight w:val="none"/>
        </w:rPr>
        <w:t>”</w:t>
      </w:r>
      <w:r>
        <w:rPr>
          <w:rFonts w:hint="default" w:ascii="Times New Roman" w:hAnsi="Times New Roman" w:cs="Times New Roman"/>
          <w:color w:val="000000"/>
          <w:kern w:val="2"/>
          <w:sz w:val="24"/>
          <w:szCs w:val="24"/>
          <w:highlight w:val="none"/>
        </w:rPr>
        <w:t>，项目共设有7个有效地下水水质监测点位，满足《环境影响评价技术导则 地下水环境》(HJ610-2016)的要求。</w:t>
      </w:r>
    </w:p>
    <w:p w14:paraId="2973F0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000000"/>
          <w:kern w:val="2"/>
          <w:sz w:val="24"/>
          <w:szCs w:val="24"/>
          <w:highlight w:val="none"/>
          <w:lang w:val="en-US" w:eastAsia="zh-CN"/>
        </w:rPr>
      </w:pPr>
      <w:r>
        <w:rPr>
          <w:rFonts w:hint="default" w:ascii="Times New Roman" w:hAnsi="Times New Roman" w:cs="Times New Roman"/>
          <w:color w:val="000000"/>
          <w:kern w:val="2"/>
          <w:sz w:val="24"/>
          <w:szCs w:val="24"/>
          <w:highlight w:val="none"/>
        </w:rPr>
        <w:t>根据《环境影响评价技术导则 地下水环境》（HJ610-2016），</w:t>
      </w:r>
      <w:r>
        <w:rPr>
          <w:rFonts w:hint="eastAsia" w:cs="Times New Roman"/>
          <w:color w:val="000000"/>
          <w:kern w:val="2"/>
          <w:sz w:val="24"/>
          <w:szCs w:val="24"/>
          <w:highlight w:val="none"/>
          <w:lang w:eastAsia="zh-CN"/>
        </w:rPr>
        <w:t>“</w:t>
      </w:r>
      <w:r>
        <w:rPr>
          <w:rFonts w:hint="eastAsia" w:cs="Times New Roman"/>
          <w:color w:val="000000"/>
          <w:kern w:val="2"/>
          <w:sz w:val="24"/>
          <w:szCs w:val="24"/>
          <w:highlight w:val="none"/>
          <w:lang w:val="en-US" w:eastAsia="zh-CN"/>
        </w:rPr>
        <w:t>丘陵山区</w:t>
      </w:r>
      <w:r>
        <w:rPr>
          <w:rFonts w:hint="default" w:ascii="Times New Roman" w:hAnsi="Times New Roman" w:cs="Times New Roman"/>
          <w:color w:val="000000"/>
          <w:kern w:val="2"/>
          <w:sz w:val="24"/>
          <w:szCs w:val="24"/>
          <w:highlight w:val="none"/>
        </w:rPr>
        <w:t>基本水质因子的水质监测频率</w:t>
      </w:r>
      <w:r>
        <w:rPr>
          <w:rFonts w:hint="eastAsia" w:cs="Times New Roman"/>
          <w:color w:val="000000"/>
          <w:kern w:val="2"/>
          <w:sz w:val="24"/>
          <w:szCs w:val="24"/>
          <w:highlight w:val="none"/>
          <w:lang w:val="en-US" w:eastAsia="zh-CN"/>
        </w:rPr>
        <w:t>为一期</w:t>
      </w:r>
      <w:r>
        <w:rPr>
          <w:rFonts w:hint="default" w:ascii="Times New Roman" w:hAnsi="Times New Roman" w:cs="Times New Roman"/>
          <w:color w:val="000000"/>
          <w:kern w:val="2"/>
          <w:sz w:val="24"/>
          <w:szCs w:val="24"/>
          <w:highlight w:val="none"/>
        </w:rPr>
        <w:t>，若掌握近3年至少一期水质监测数据，基本水质因子可在评价期补充开展一期现状监测；特征因子在评价期内应至少开展一期现状监测</w:t>
      </w:r>
      <w:r>
        <w:rPr>
          <w:rFonts w:hint="eastAsia" w:cs="Times New Roman"/>
          <w:color w:val="000000"/>
          <w:kern w:val="2"/>
          <w:sz w:val="24"/>
          <w:szCs w:val="24"/>
          <w:highlight w:val="none"/>
          <w:lang w:eastAsia="zh-CN"/>
        </w:rPr>
        <w:t>。”</w:t>
      </w:r>
      <w:r>
        <w:rPr>
          <w:rFonts w:hint="eastAsia" w:ascii="Times New Roman"/>
          <w:sz w:val="24"/>
          <w:szCs w:val="24"/>
          <w:highlight w:val="none"/>
          <w:lang w:val="en-US" w:eastAsia="zh-CN"/>
        </w:rPr>
        <w:t>本项目</w:t>
      </w:r>
      <w:r>
        <w:rPr>
          <w:rFonts w:ascii="Times New Roman"/>
          <w:sz w:val="24"/>
          <w:szCs w:val="24"/>
          <w:highlight w:val="none"/>
        </w:rPr>
        <w:t>引用</w:t>
      </w:r>
      <w:r>
        <w:rPr>
          <w:rFonts w:hint="default" w:ascii="Times New Roman" w:hAnsi="Times New Roman" w:cs="Times New Roman"/>
          <w:color w:val="000000"/>
          <w:sz w:val="24"/>
          <w:szCs w:val="32"/>
          <w:highlight w:val="none"/>
        </w:rPr>
        <w:t>《佰布沟与兰家沟尾矿库联合扩容项目区域环境质量现状监测》（（辽鹏环测）字PY2408625-001号）</w:t>
      </w:r>
      <w:r>
        <w:rPr>
          <w:rFonts w:hint="eastAsia" w:ascii="Times New Roman" w:hAnsi="Times New Roman" w:cs="Times New Roman"/>
          <w:color w:val="000000"/>
          <w:sz w:val="24"/>
          <w:szCs w:val="32"/>
          <w:highlight w:val="none"/>
          <w:lang w:val="en-US" w:eastAsia="zh-CN"/>
        </w:rPr>
        <w:t>中地下水监测数据，监测时间为2024年8月24日，为近3年内监测数据，</w:t>
      </w:r>
      <w:r>
        <w:rPr>
          <w:rFonts w:hint="eastAsia" w:cs="Times New Roman"/>
          <w:color w:val="000000"/>
          <w:sz w:val="24"/>
          <w:szCs w:val="32"/>
          <w:highlight w:val="none"/>
          <w:lang w:val="en-US" w:eastAsia="zh-CN"/>
        </w:rPr>
        <w:t>本项目接受委托时间为</w:t>
      </w:r>
      <w:r>
        <w:rPr>
          <w:rFonts w:hint="eastAsia" w:ascii="Times New Roman" w:hAnsi="Times New Roman" w:cs="Times New Roman"/>
          <w:color w:val="000000"/>
          <w:sz w:val="24"/>
          <w:szCs w:val="32"/>
          <w:highlight w:val="none"/>
          <w:lang w:val="en-US" w:eastAsia="zh-CN"/>
        </w:rPr>
        <w:t>2024年8月</w:t>
      </w:r>
      <w:r>
        <w:rPr>
          <w:rFonts w:hint="eastAsia" w:cs="Times New Roman"/>
          <w:color w:val="000000"/>
          <w:sz w:val="24"/>
          <w:szCs w:val="32"/>
          <w:highlight w:val="none"/>
          <w:lang w:val="en-US" w:eastAsia="zh-CN"/>
        </w:rPr>
        <w:t>19</w:t>
      </w:r>
      <w:r>
        <w:rPr>
          <w:rFonts w:hint="eastAsia" w:ascii="Times New Roman" w:hAnsi="Times New Roman" w:cs="Times New Roman"/>
          <w:color w:val="000000"/>
          <w:sz w:val="24"/>
          <w:szCs w:val="32"/>
          <w:highlight w:val="none"/>
          <w:lang w:val="en-US" w:eastAsia="zh-CN"/>
        </w:rPr>
        <w:t>日，</w:t>
      </w:r>
      <w:r>
        <w:rPr>
          <w:rFonts w:hint="eastAsia" w:cs="Times New Roman"/>
          <w:color w:val="000000"/>
          <w:sz w:val="24"/>
          <w:szCs w:val="32"/>
          <w:highlight w:val="none"/>
          <w:lang w:val="en-US" w:eastAsia="zh-CN"/>
        </w:rPr>
        <w:t>引用</w:t>
      </w:r>
      <w:r>
        <w:rPr>
          <w:rFonts w:hint="default" w:ascii="Times New Roman" w:hAnsi="Times New Roman" w:cs="Times New Roman"/>
          <w:color w:val="000000"/>
          <w:kern w:val="2"/>
          <w:sz w:val="24"/>
          <w:szCs w:val="24"/>
          <w:highlight w:val="none"/>
        </w:rPr>
        <w:t>特征因子</w:t>
      </w:r>
      <w:r>
        <w:rPr>
          <w:rFonts w:hint="eastAsia" w:cs="Times New Roman"/>
          <w:color w:val="000000"/>
          <w:kern w:val="2"/>
          <w:sz w:val="24"/>
          <w:szCs w:val="24"/>
          <w:highlight w:val="none"/>
          <w:lang w:val="en-US" w:eastAsia="zh-CN"/>
        </w:rPr>
        <w:t>监测</w:t>
      </w:r>
      <w:r>
        <w:rPr>
          <w:rFonts w:hint="eastAsia" w:cs="Times New Roman"/>
          <w:color w:val="000000"/>
          <w:sz w:val="24"/>
          <w:szCs w:val="32"/>
          <w:highlight w:val="none"/>
          <w:lang w:val="en-US" w:eastAsia="zh-CN"/>
        </w:rPr>
        <w:t>数据在评价期内，</w:t>
      </w:r>
      <w:r>
        <w:rPr>
          <w:rFonts w:hint="eastAsia" w:ascii="Times New Roman" w:hAnsi="Times New Roman" w:cs="Times New Roman"/>
          <w:color w:val="000000"/>
          <w:sz w:val="24"/>
          <w:szCs w:val="32"/>
          <w:highlight w:val="none"/>
          <w:lang w:val="en-US" w:eastAsia="zh-CN"/>
        </w:rPr>
        <w:t>满足《环境影响评价技术导则 地下水环境》(HJ610-2016)要求。</w:t>
      </w:r>
    </w:p>
    <w:p w14:paraId="41F3D3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000000"/>
          <w:kern w:val="2"/>
          <w:sz w:val="24"/>
          <w:szCs w:val="24"/>
          <w:highlight w:val="none"/>
        </w:rPr>
      </w:pPr>
      <w:bookmarkStart w:id="239" w:name="_Toc20070"/>
      <w:r>
        <w:rPr>
          <w:rFonts w:hint="default" w:ascii="Times New Roman" w:hAnsi="Times New Roman" w:cs="Times New Roman"/>
          <w:color w:val="000000"/>
          <w:kern w:val="2"/>
          <w:sz w:val="24"/>
          <w:szCs w:val="24"/>
          <w:highlight w:val="none"/>
        </w:rPr>
        <w:t>该区域监测点位布置情况见下表。</w:t>
      </w:r>
    </w:p>
    <w:p w14:paraId="490087F5">
      <w:pPr>
        <w:pageBreakBefore w:val="0"/>
        <w:widowControl w:val="0"/>
        <w:numPr>
          <w:ilvl w:val="0"/>
          <w:numId w:val="22"/>
        </w:numPr>
        <w:kinsoku/>
        <w:wordWrap/>
        <w:overflowPunct/>
        <w:topLinePunct w:val="0"/>
        <w:autoSpaceDE/>
        <w:autoSpaceDN/>
        <w:bidi w:val="0"/>
        <w:adjustRightInd w:val="0"/>
        <w:snapToGrid w:val="0"/>
        <w:spacing w:line="360" w:lineRule="auto"/>
        <w:ind w:left="425" w:leftChars="0" w:hanging="425" w:firstLineChars="0"/>
        <w:jc w:val="center"/>
        <w:textAlignment w:val="auto"/>
        <w:rPr>
          <w:rFonts w:hint="default" w:ascii="Times New Roman" w:hAnsi="Times New Roman" w:eastAsia="宋体" w:cs="Times New Roman"/>
          <w:b/>
          <w:sz w:val="21"/>
          <w:szCs w:val="21"/>
          <w:highlight w:val="none"/>
          <w:lang w:val="en-US" w:eastAsia="zh-CN"/>
        </w:rPr>
      </w:pPr>
      <w:r>
        <w:rPr>
          <w:rFonts w:hint="default" w:ascii="Times New Roman" w:hAnsi="Times New Roman" w:eastAsia="宋体" w:cs="Times New Roman"/>
          <w:b/>
          <w:sz w:val="21"/>
          <w:szCs w:val="21"/>
          <w:highlight w:val="none"/>
          <w:lang w:val="en-US" w:eastAsia="zh-CN"/>
        </w:rPr>
        <w:t>地下水监测点位布置一览表</w:t>
      </w:r>
    </w:p>
    <w:tbl>
      <w:tblPr>
        <w:tblStyle w:val="58"/>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310"/>
        <w:gridCol w:w="2784"/>
        <w:gridCol w:w="2084"/>
        <w:gridCol w:w="2347"/>
      </w:tblGrid>
      <w:tr w14:paraId="30922C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7B87CDA3">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序号</w:t>
            </w:r>
          </w:p>
        </w:tc>
        <w:tc>
          <w:tcPr>
            <w:tcW w:w="1632" w:type="pct"/>
            <w:tcBorders>
              <w:tl2br w:val="nil"/>
              <w:tr2bl w:val="nil"/>
            </w:tcBorders>
            <w:noWrap w:val="0"/>
            <w:vAlign w:val="center"/>
          </w:tcPr>
          <w:p w14:paraId="381BE599">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监测点位</w:t>
            </w:r>
          </w:p>
        </w:tc>
        <w:tc>
          <w:tcPr>
            <w:tcW w:w="1222" w:type="pct"/>
            <w:tcBorders>
              <w:tl2br w:val="nil"/>
              <w:tr2bl w:val="nil"/>
            </w:tcBorders>
            <w:noWrap w:val="0"/>
            <w:vAlign w:val="center"/>
          </w:tcPr>
          <w:p w14:paraId="511DD26C">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监测时间</w:t>
            </w:r>
          </w:p>
        </w:tc>
        <w:tc>
          <w:tcPr>
            <w:tcW w:w="1376" w:type="pct"/>
            <w:tcBorders>
              <w:tl2br w:val="nil"/>
              <w:tr2bl w:val="nil"/>
            </w:tcBorders>
            <w:noWrap w:val="0"/>
            <w:vAlign w:val="center"/>
          </w:tcPr>
          <w:p w14:paraId="70192084">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eastAsia="宋体" w:cs="Times New Roman"/>
                <w:b/>
                <w:bCs/>
                <w:kern w:val="2"/>
                <w:sz w:val="21"/>
                <w:szCs w:val="21"/>
                <w:highlight w:val="none"/>
                <w:lang w:val="en-US" w:eastAsia="zh-CN" w:bidi="ar-SA"/>
              </w:rPr>
            </w:pPr>
            <w:r>
              <w:rPr>
                <w:rFonts w:hint="eastAsia" w:ascii="Times New Roman" w:hAnsi="Times New Roman" w:cs="Times New Roman"/>
                <w:b/>
                <w:bCs/>
                <w:sz w:val="21"/>
                <w:szCs w:val="21"/>
                <w:highlight w:val="none"/>
                <w:lang w:val="en-US" w:eastAsia="zh-CN"/>
              </w:rPr>
              <w:t>备注</w:t>
            </w:r>
          </w:p>
        </w:tc>
      </w:tr>
      <w:tr w14:paraId="5BC384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4F0C78E9">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Dx1#</w:t>
            </w:r>
          </w:p>
        </w:tc>
        <w:tc>
          <w:tcPr>
            <w:tcW w:w="1632" w:type="pct"/>
            <w:tcBorders>
              <w:tl2br w:val="nil"/>
              <w:tr2bl w:val="nil"/>
            </w:tcBorders>
            <w:noWrap w:val="0"/>
            <w:vAlign w:val="center"/>
          </w:tcPr>
          <w:p w14:paraId="56772F6F">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兰家沟尾矿库坝址下游</w:t>
            </w:r>
          </w:p>
        </w:tc>
        <w:tc>
          <w:tcPr>
            <w:tcW w:w="1222" w:type="pct"/>
            <w:tcBorders>
              <w:tl2br w:val="nil"/>
              <w:tr2bl w:val="nil"/>
            </w:tcBorders>
            <w:noWrap w:val="0"/>
            <w:vAlign w:val="center"/>
          </w:tcPr>
          <w:p w14:paraId="0849A67A">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2024.8.24</w:t>
            </w:r>
          </w:p>
        </w:tc>
        <w:tc>
          <w:tcPr>
            <w:tcW w:w="1376" w:type="pct"/>
            <w:vMerge w:val="restart"/>
            <w:tcBorders>
              <w:tl2br w:val="nil"/>
              <w:tr2bl w:val="nil"/>
            </w:tcBorders>
            <w:noWrap w:val="0"/>
            <w:vAlign w:val="center"/>
          </w:tcPr>
          <w:p w14:paraId="37C392B6">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引用《佰布沟与兰家沟尾矿库联合扩容项目区域环境质量现状监测》</w:t>
            </w:r>
          </w:p>
        </w:tc>
      </w:tr>
      <w:tr w14:paraId="11C906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10154E3B">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Dx2#</w:t>
            </w:r>
          </w:p>
        </w:tc>
        <w:tc>
          <w:tcPr>
            <w:tcW w:w="1632" w:type="pct"/>
            <w:tcBorders>
              <w:tl2br w:val="nil"/>
              <w:tr2bl w:val="nil"/>
            </w:tcBorders>
            <w:noWrap w:val="0"/>
            <w:vAlign w:val="center"/>
          </w:tcPr>
          <w:p w14:paraId="6B302C1E">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佰布沟尾矿库坝址下游</w:t>
            </w:r>
          </w:p>
        </w:tc>
        <w:tc>
          <w:tcPr>
            <w:tcW w:w="1222" w:type="pct"/>
            <w:tcBorders>
              <w:tl2br w:val="nil"/>
              <w:tr2bl w:val="nil"/>
            </w:tcBorders>
            <w:noWrap w:val="0"/>
            <w:vAlign w:val="center"/>
          </w:tcPr>
          <w:p w14:paraId="2B254B3F">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2024.8.24</w:t>
            </w:r>
          </w:p>
        </w:tc>
        <w:tc>
          <w:tcPr>
            <w:tcW w:w="1376" w:type="pct"/>
            <w:vMerge w:val="continue"/>
            <w:tcBorders>
              <w:tl2br w:val="nil"/>
              <w:tr2bl w:val="nil"/>
            </w:tcBorders>
            <w:noWrap w:val="0"/>
            <w:vAlign w:val="center"/>
          </w:tcPr>
          <w:p w14:paraId="4139404F">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p>
        </w:tc>
      </w:tr>
      <w:tr w14:paraId="45473D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400DF3C9">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Dx3#</w:t>
            </w:r>
          </w:p>
        </w:tc>
        <w:tc>
          <w:tcPr>
            <w:tcW w:w="1632" w:type="pct"/>
            <w:tcBorders>
              <w:tl2br w:val="nil"/>
              <w:tr2bl w:val="nil"/>
            </w:tcBorders>
            <w:noWrap w:val="0"/>
            <w:vAlign w:val="center"/>
          </w:tcPr>
          <w:p w14:paraId="75E30953">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东兴村</w:t>
            </w:r>
          </w:p>
        </w:tc>
        <w:tc>
          <w:tcPr>
            <w:tcW w:w="1222" w:type="pct"/>
            <w:tcBorders>
              <w:tl2br w:val="nil"/>
              <w:tr2bl w:val="nil"/>
            </w:tcBorders>
            <w:noWrap w:val="0"/>
            <w:vAlign w:val="center"/>
          </w:tcPr>
          <w:p w14:paraId="363A5D7C">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2024.8.24</w:t>
            </w:r>
          </w:p>
        </w:tc>
        <w:tc>
          <w:tcPr>
            <w:tcW w:w="1376" w:type="pct"/>
            <w:vMerge w:val="continue"/>
            <w:tcBorders>
              <w:tl2br w:val="nil"/>
              <w:tr2bl w:val="nil"/>
            </w:tcBorders>
            <w:noWrap w:val="0"/>
            <w:vAlign w:val="center"/>
          </w:tcPr>
          <w:p w14:paraId="42229BAF">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p>
        </w:tc>
      </w:tr>
      <w:tr w14:paraId="6B8AAD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1BB2F73F">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Dx</w:t>
            </w:r>
            <w:r>
              <w:rPr>
                <w:rFonts w:hint="eastAsia" w:ascii="Times New Roman" w:hAnsi="Times New Roman" w:cs="Times New Roman"/>
                <w:sz w:val="21"/>
                <w:szCs w:val="21"/>
                <w:highlight w:val="none"/>
                <w:lang w:val="en-US" w:eastAsia="zh-CN"/>
              </w:rPr>
              <w:t>4</w:t>
            </w:r>
            <w:r>
              <w:rPr>
                <w:rFonts w:hint="default" w:ascii="Times New Roman" w:hAnsi="Times New Roman" w:cs="Times New Roman"/>
                <w:sz w:val="21"/>
                <w:szCs w:val="21"/>
                <w:highlight w:val="none"/>
                <w:lang w:val="en-US" w:eastAsia="zh-CN"/>
              </w:rPr>
              <w:t>#</w:t>
            </w:r>
          </w:p>
        </w:tc>
        <w:tc>
          <w:tcPr>
            <w:tcW w:w="1632" w:type="pct"/>
            <w:tcBorders>
              <w:tl2br w:val="nil"/>
              <w:tr2bl w:val="nil"/>
            </w:tcBorders>
            <w:noWrap w:val="0"/>
            <w:vAlign w:val="center"/>
          </w:tcPr>
          <w:p w14:paraId="04584874">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东兴村下游</w:t>
            </w:r>
          </w:p>
        </w:tc>
        <w:tc>
          <w:tcPr>
            <w:tcW w:w="1222" w:type="pct"/>
            <w:tcBorders>
              <w:tl2br w:val="nil"/>
              <w:tr2bl w:val="nil"/>
            </w:tcBorders>
            <w:noWrap w:val="0"/>
            <w:vAlign w:val="center"/>
          </w:tcPr>
          <w:p w14:paraId="658CA302">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2024.8.24</w:t>
            </w:r>
          </w:p>
        </w:tc>
        <w:tc>
          <w:tcPr>
            <w:tcW w:w="1376" w:type="pct"/>
            <w:vMerge w:val="continue"/>
            <w:tcBorders>
              <w:tl2br w:val="nil"/>
              <w:tr2bl w:val="nil"/>
            </w:tcBorders>
            <w:noWrap w:val="0"/>
            <w:vAlign w:val="center"/>
          </w:tcPr>
          <w:p w14:paraId="15CC3681">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p>
        </w:tc>
      </w:tr>
      <w:tr w14:paraId="789A14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53B9F2B7">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Dx</w:t>
            </w:r>
            <w:r>
              <w:rPr>
                <w:rFonts w:hint="eastAsia"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lang w:val="en-US" w:eastAsia="zh-CN"/>
              </w:rPr>
              <w:t>#</w:t>
            </w:r>
          </w:p>
        </w:tc>
        <w:tc>
          <w:tcPr>
            <w:tcW w:w="1632" w:type="pct"/>
            <w:tcBorders>
              <w:tl2br w:val="nil"/>
              <w:tr2bl w:val="nil"/>
            </w:tcBorders>
            <w:noWrap w:val="0"/>
            <w:vAlign w:val="center"/>
          </w:tcPr>
          <w:p w14:paraId="497362FE">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韩三沟门村上游处</w:t>
            </w:r>
          </w:p>
        </w:tc>
        <w:tc>
          <w:tcPr>
            <w:tcW w:w="1222" w:type="pct"/>
            <w:tcBorders>
              <w:tl2br w:val="nil"/>
              <w:tr2bl w:val="nil"/>
            </w:tcBorders>
            <w:noWrap w:val="0"/>
            <w:vAlign w:val="center"/>
          </w:tcPr>
          <w:p w14:paraId="35CAA9D3">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2024.8.24</w:t>
            </w:r>
          </w:p>
        </w:tc>
        <w:tc>
          <w:tcPr>
            <w:tcW w:w="1376" w:type="pct"/>
            <w:vMerge w:val="continue"/>
            <w:tcBorders>
              <w:tl2br w:val="nil"/>
              <w:tr2bl w:val="nil"/>
            </w:tcBorders>
            <w:noWrap w:val="0"/>
            <w:vAlign w:val="center"/>
          </w:tcPr>
          <w:p w14:paraId="2E1498CB">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eastAsia="宋体" w:cs="Times New Roman"/>
                <w:kern w:val="2"/>
                <w:sz w:val="21"/>
                <w:szCs w:val="21"/>
                <w:highlight w:val="none"/>
                <w:lang w:val="en-US" w:eastAsia="zh-CN" w:bidi="ar-SA"/>
              </w:rPr>
            </w:pPr>
          </w:p>
        </w:tc>
      </w:tr>
      <w:tr w14:paraId="055D91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43F49AB4">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Dx</w:t>
            </w:r>
            <w:r>
              <w:rPr>
                <w:rFonts w:hint="eastAsia" w:ascii="Times New Roman" w:hAnsi="Times New Roman" w:cs="Times New Roman"/>
                <w:sz w:val="21"/>
                <w:szCs w:val="21"/>
                <w:highlight w:val="none"/>
                <w:lang w:val="en-US" w:eastAsia="zh-CN"/>
              </w:rPr>
              <w:t>6</w:t>
            </w:r>
            <w:r>
              <w:rPr>
                <w:rFonts w:hint="default" w:ascii="Times New Roman" w:hAnsi="Times New Roman" w:cs="Times New Roman"/>
                <w:sz w:val="21"/>
                <w:szCs w:val="21"/>
                <w:highlight w:val="none"/>
                <w:lang w:val="en-US" w:eastAsia="zh-CN"/>
              </w:rPr>
              <w:t>#</w:t>
            </w:r>
          </w:p>
        </w:tc>
        <w:tc>
          <w:tcPr>
            <w:tcW w:w="1632" w:type="pct"/>
            <w:tcBorders>
              <w:tl2br w:val="nil"/>
              <w:tr2bl w:val="nil"/>
            </w:tcBorders>
            <w:noWrap w:val="0"/>
            <w:vAlign w:val="center"/>
          </w:tcPr>
          <w:p w14:paraId="53A046A6">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韩三沟门村下游处</w:t>
            </w:r>
          </w:p>
        </w:tc>
        <w:tc>
          <w:tcPr>
            <w:tcW w:w="1222" w:type="pct"/>
            <w:tcBorders>
              <w:tl2br w:val="nil"/>
              <w:tr2bl w:val="nil"/>
            </w:tcBorders>
            <w:noWrap w:val="0"/>
            <w:vAlign w:val="center"/>
          </w:tcPr>
          <w:p w14:paraId="2BBC670C">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2024.8.24</w:t>
            </w:r>
          </w:p>
        </w:tc>
        <w:tc>
          <w:tcPr>
            <w:tcW w:w="1376" w:type="pct"/>
            <w:vMerge w:val="continue"/>
            <w:tcBorders>
              <w:tl2br w:val="nil"/>
              <w:tr2bl w:val="nil"/>
            </w:tcBorders>
            <w:noWrap w:val="0"/>
            <w:vAlign w:val="center"/>
          </w:tcPr>
          <w:p w14:paraId="58AAC11D">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p>
        </w:tc>
      </w:tr>
      <w:tr w14:paraId="5BF6B7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12" w:hRule="atLeast"/>
        </w:trPr>
        <w:tc>
          <w:tcPr>
            <w:tcW w:w="768" w:type="pct"/>
            <w:tcBorders>
              <w:tl2br w:val="nil"/>
              <w:tr2bl w:val="nil"/>
            </w:tcBorders>
            <w:noWrap w:val="0"/>
            <w:vAlign w:val="center"/>
          </w:tcPr>
          <w:p w14:paraId="2F11C9A6">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Dx</w:t>
            </w:r>
            <w:r>
              <w:rPr>
                <w:rFonts w:hint="eastAsia" w:ascii="Times New Roman" w:hAnsi="Times New Roman" w:cs="Times New Roman"/>
                <w:sz w:val="21"/>
                <w:szCs w:val="21"/>
                <w:highlight w:val="none"/>
                <w:lang w:val="en-US" w:eastAsia="zh-CN"/>
              </w:rPr>
              <w:t>7</w:t>
            </w:r>
            <w:r>
              <w:rPr>
                <w:rFonts w:hint="default" w:ascii="Times New Roman" w:hAnsi="Times New Roman" w:cs="Times New Roman"/>
                <w:sz w:val="21"/>
                <w:szCs w:val="21"/>
                <w:highlight w:val="none"/>
                <w:lang w:val="en-US" w:eastAsia="zh-CN"/>
              </w:rPr>
              <w:t>#</w:t>
            </w:r>
          </w:p>
        </w:tc>
        <w:tc>
          <w:tcPr>
            <w:tcW w:w="1632" w:type="pct"/>
            <w:tcBorders>
              <w:tl2br w:val="nil"/>
              <w:tr2bl w:val="nil"/>
            </w:tcBorders>
            <w:noWrap w:val="0"/>
            <w:vAlign w:val="center"/>
          </w:tcPr>
          <w:p w14:paraId="0BA81755">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东兴村西侧</w:t>
            </w:r>
          </w:p>
        </w:tc>
        <w:tc>
          <w:tcPr>
            <w:tcW w:w="1222" w:type="pct"/>
            <w:tcBorders>
              <w:tl2br w:val="nil"/>
              <w:tr2bl w:val="nil"/>
            </w:tcBorders>
            <w:noWrap w:val="0"/>
            <w:vAlign w:val="center"/>
          </w:tcPr>
          <w:p w14:paraId="78F87E0A">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2025.3.</w:t>
            </w:r>
            <w:r>
              <w:rPr>
                <w:rFonts w:hint="eastAsia" w:cs="Times New Roman"/>
                <w:sz w:val="21"/>
                <w:szCs w:val="21"/>
                <w:highlight w:val="none"/>
                <w:lang w:val="en-US" w:eastAsia="zh-CN"/>
              </w:rPr>
              <w:t>6</w:t>
            </w:r>
          </w:p>
        </w:tc>
        <w:tc>
          <w:tcPr>
            <w:tcW w:w="1376" w:type="pct"/>
            <w:tcBorders>
              <w:tl2br w:val="nil"/>
              <w:tr2bl w:val="nil"/>
            </w:tcBorders>
            <w:noWrap w:val="0"/>
            <w:vAlign w:val="center"/>
          </w:tcPr>
          <w:p w14:paraId="09508336">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本项目布设</w:t>
            </w:r>
          </w:p>
        </w:tc>
      </w:tr>
    </w:tbl>
    <w:p w14:paraId="5B54720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eastAsia="zh-CN"/>
        </w:rPr>
        <w:drawing>
          <wp:inline distT="0" distB="0" distL="114300" distR="114300">
            <wp:extent cx="5464810" cy="2602230"/>
            <wp:effectExtent l="0" t="0" r="6350" b="3810"/>
            <wp:docPr id="40" name="图片 40" descr="地下水环境监测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地下水环境监测点位"/>
                    <pic:cNvPicPr>
                      <a:picLocks noChangeAspect="1"/>
                    </pic:cNvPicPr>
                  </pic:nvPicPr>
                  <pic:blipFill>
                    <a:blip r:embed="rId21"/>
                    <a:srcRect b="4888"/>
                    <a:stretch>
                      <a:fillRect/>
                    </a:stretch>
                  </pic:blipFill>
                  <pic:spPr>
                    <a:xfrm>
                      <a:off x="0" y="0"/>
                      <a:ext cx="5464810" cy="2602230"/>
                    </a:xfrm>
                    <a:prstGeom prst="rect">
                      <a:avLst/>
                    </a:prstGeom>
                  </pic:spPr>
                </pic:pic>
              </a:graphicData>
            </a:graphic>
          </wp:inline>
        </w:drawing>
      </w:r>
    </w:p>
    <w:p w14:paraId="55B0A465">
      <w:pPr>
        <w:pStyle w:val="147"/>
        <w:keepNext w:val="0"/>
        <w:keepLines w:val="0"/>
        <w:pageBreakBefore w:val="0"/>
        <w:numPr>
          <w:ilvl w:val="0"/>
          <w:numId w:val="23"/>
        </w:numPr>
        <w:tabs>
          <w:tab w:val="left" w:pos="420"/>
          <w:tab w:val="clear" w:pos="0"/>
        </w:tabs>
        <w:kinsoku/>
        <w:wordWrap/>
        <w:overflowPunct/>
        <w:topLinePunct w:val="0"/>
        <w:autoSpaceDE/>
        <w:autoSpaceDN/>
        <w:bidi w:val="0"/>
        <w:spacing w:line="36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地下水环境监测点位</w:t>
      </w:r>
    </w:p>
    <w:p w14:paraId="1FC086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2</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监测因子</w:t>
      </w:r>
      <w:bookmarkEnd w:id="239"/>
    </w:p>
    <w:p w14:paraId="1FF1091E">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①</w:t>
      </w:r>
      <w:r>
        <w:rPr>
          <w:rFonts w:hint="default" w:ascii="Times New Roman" w:hAnsi="Times New Roman" w:cs="Times New Roman"/>
          <w:sz w:val="24"/>
          <w:szCs w:val="24"/>
          <w:highlight w:val="none"/>
        </w:rPr>
        <w:t>K</w:t>
      </w:r>
      <w:r>
        <w:rPr>
          <w:rFonts w:hint="default" w:ascii="Times New Roman" w:hAnsi="Times New Roman" w:cs="Times New Roman"/>
          <w:sz w:val="24"/>
          <w:szCs w:val="24"/>
          <w:highlight w:val="none"/>
          <w:vertAlign w:val="superscript"/>
        </w:rPr>
        <w:t>+</w:t>
      </w:r>
      <w:r>
        <w:rPr>
          <w:rFonts w:hint="default" w:ascii="Times New Roman" w:hAnsi="Times New Roman" w:cs="Times New Roman"/>
          <w:sz w:val="24"/>
          <w:szCs w:val="24"/>
          <w:highlight w:val="none"/>
        </w:rPr>
        <w:t>、Na</w:t>
      </w:r>
      <w:r>
        <w:rPr>
          <w:rFonts w:hint="default" w:ascii="Times New Roman" w:hAnsi="Times New Roman" w:cs="Times New Roman"/>
          <w:sz w:val="24"/>
          <w:szCs w:val="24"/>
          <w:highlight w:val="none"/>
          <w:vertAlign w:val="superscript"/>
        </w:rPr>
        <w:t>+</w:t>
      </w:r>
      <w:r>
        <w:rPr>
          <w:rFonts w:hint="default" w:ascii="Times New Roman" w:hAnsi="Times New Roman" w:cs="Times New Roman"/>
          <w:sz w:val="24"/>
          <w:szCs w:val="24"/>
          <w:highlight w:val="none"/>
        </w:rPr>
        <w:t>、Ca</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、Mg</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、CO</w:t>
      </w:r>
      <w:r>
        <w:rPr>
          <w:rFonts w:hint="default" w:ascii="Times New Roman" w:hAnsi="Times New Roman" w:cs="Times New Roman"/>
          <w:sz w:val="24"/>
          <w:szCs w:val="24"/>
          <w:highlight w:val="none"/>
          <w:vertAlign w:val="subscript"/>
        </w:rPr>
        <w:t>3</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、HCO</w:t>
      </w:r>
      <w:r>
        <w:rPr>
          <w:rFonts w:hint="default" w:ascii="Times New Roman" w:hAnsi="Times New Roman" w:cs="Times New Roman"/>
          <w:sz w:val="24"/>
          <w:szCs w:val="24"/>
          <w:highlight w:val="none"/>
          <w:vertAlign w:val="subscript"/>
        </w:rPr>
        <w:t>3</w:t>
      </w:r>
      <w:r>
        <w:rPr>
          <w:rFonts w:hint="default" w:ascii="Times New Roman" w:hAnsi="Times New Roman" w:cs="Times New Roman"/>
          <w:sz w:val="24"/>
          <w:szCs w:val="24"/>
          <w:highlight w:val="none"/>
          <w:vertAlign w:val="superscript"/>
        </w:rPr>
        <w:t>-</w:t>
      </w:r>
      <w:r>
        <w:rPr>
          <w:rFonts w:hint="default" w:ascii="Times New Roman" w:hAnsi="Times New Roman" w:cs="Times New Roman"/>
          <w:sz w:val="24"/>
          <w:szCs w:val="24"/>
          <w:highlight w:val="none"/>
        </w:rPr>
        <w:t>、Cl</w:t>
      </w:r>
      <w:r>
        <w:rPr>
          <w:rFonts w:hint="default" w:ascii="Times New Roman" w:hAnsi="Times New Roman" w:cs="Times New Roman"/>
          <w:sz w:val="24"/>
          <w:szCs w:val="24"/>
          <w:highlight w:val="none"/>
          <w:vertAlign w:val="superscript"/>
        </w:rPr>
        <w:t>-</w:t>
      </w:r>
      <w:r>
        <w:rPr>
          <w:rFonts w:hint="default" w:ascii="Times New Roman" w:hAnsi="Times New Roman" w:cs="Times New Roman"/>
          <w:sz w:val="24"/>
          <w:szCs w:val="24"/>
          <w:highlight w:val="none"/>
        </w:rPr>
        <w:t>、SO</w:t>
      </w:r>
      <w:r>
        <w:rPr>
          <w:rFonts w:hint="default" w:ascii="Times New Roman" w:hAnsi="Times New Roman" w:cs="Times New Roman"/>
          <w:sz w:val="24"/>
          <w:szCs w:val="24"/>
          <w:highlight w:val="none"/>
          <w:vertAlign w:val="subscript"/>
        </w:rPr>
        <w:t>4</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的浓度。</w:t>
      </w:r>
    </w:p>
    <w:p w14:paraId="1001F214">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sz w:val="24"/>
          <w:szCs w:val="24"/>
          <w:highlight w:val="none"/>
          <w:lang w:val="en-US" w:eastAsia="zh-CN"/>
        </w:rPr>
        <w:t>②</w:t>
      </w:r>
      <w:r>
        <w:rPr>
          <w:rFonts w:hint="default" w:ascii="Times New Roman" w:hAnsi="Times New Roman" w:cs="Times New Roman"/>
          <w:b w:val="0"/>
          <w:bCs/>
          <w:color w:val="000000"/>
          <w:sz w:val="24"/>
          <w:szCs w:val="24"/>
          <w:highlight w:val="none"/>
        </w:rPr>
        <w:t>色（铂钴色度单位）、嗅和味、浑浊度/NTU</w:t>
      </w:r>
      <w:r>
        <w:rPr>
          <w:rFonts w:hint="default" w:ascii="Times New Roman" w:hAnsi="Times New Roman" w:cs="Times New Roman"/>
          <w:b w:val="0"/>
          <w:bCs/>
          <w:color w:val="000000"/>
          <w:sz w:val="24"/>
          <w:szCs w:val="24"/>
          <w:highlight w:val="none"/>
          <w:vertAlign w:val="superscript"/>
        </w:rPr>
        <w:t>a</w:t>
      </w:r>
      <w:r>
        <w:rPr>
          <w:rFonts w:hint="default" w:ascii="Times New Roman" w:hAnsi="Times New Roman" w:cs="Times New Roman"/>
          <w:b w:val="0"/>
          <w:bCs/>
          <w:color w:val="000000"/>
          <w:sz w:val="24"/>
          <w:szCs w:val="24"/>
          <w:highlight w:val="none"/>
        </w:rPr>
        <w:t>、肉眼可见物、</w:t>
      </w:r>
      <w:r>
        <w:rPr>
          <w:rFonts w:hint="default" w:ascii="Times New Roman" w:hAnsi="Times New Roman" w:cs="Times New Roman"/>
          <w:b w:val="0"/>
          <w:bCs/>
          <w:sz w:val="24"/>
          <w:szCs w:val="24"/>
          <w:highlight w:val="none"/>
        </w:rPr>
        <w:t>pH、总硬度（以CaCO</w:t>
      </w:r>
      <w:r>
        <w:rPr>
          <w:rFonts w:hint="default" w:ascii="Times New Roman" w:hAnsi="Times New Roman" w:cs="Times New Roman"/>
          <w:b w:val="0"/>
          <w:bCs/>
          <w:sz w:val="24"/>
          <w:szCs w:val="24"/>
          <w:highlight w:val="none"/>
          <w:vertAlign w:val="subscript"/>
        </w:rPr>
        <w:t>3</w:t>
      </w:r>
      <w:r>
        <w:rPr>
          <w:rFonts w:hint="default" w:ascii="Times New Roman" w:hAnsi="Times New Roman" w:cs="Times New Roman"/>
          <w:b w:val="0"/>
          <w:bCs/>
          <w:sz w:val="24"/>
          <w:szCs w:val="24"/>
          <w:highlight w:val="none"/>
        </w:rPr>
        <w:t>计）、溶解性总固体、</w:t>
      </w:r>
      <w:r>
        <w:rPr>
          <w:rFonts w:hint="default" w:ascii="Times New Roman" w:hAnsi="Times New Roman" w:cs="Times New Roman"/>
          <w:b w:val="0"/>
          <w:bCs/>
          <w:snapToGrid w:val="0"/>
          <w:kern w:val="0"/>
          <w:sz w:val="24"/>
          <w:szCs w:val="24"/>
          <w:highlight w:val="none"/>
        </w:rPr>
        <w:t>硫酸盐、</w:t>
      </w:r>
      <w:r>
        <w:rPr>
          <w:rFonts w:hint="default" w:ascii="Times New Roman" w:hAnsi="Times New Roman" w:cs="Times New Roman"/>
          <w:b w:val="0"/>
          <w:bCs/>
          <w:sz w:val="24"/>
          <w:szCs w:val="24"/>
          <w:highlight w:val="none"/>
        </w:rPr>
        <w:t>氯化物、</w:t>
      </w:r>
      <w:r>
        <w:rPr>
          <w:rFonts w:hint="default" w:ascii="Times New Roman" w:hAnsi="Times New Roman" w:cs="Times New Roman"/>
          <w:b w:val="0"/>
          <w:bCs/>
          <w:spacing w:val="-8"/>
          <w:sz w:val="24"/>
          <w:szCs w:val="24"/>
          <w:highlight w:val="none"/>
        </w:rPr>
        <w:t>铁、锰、</w:t>
      </w:r>
      <w:r>
        <w:rPr>
          <w:rFonts w:hint="default" w:ascii="Times New Roman" w:hAnsi="Times New Roman" w:cs="Times New Roman"/>
          <w:b w:val="0"/>
          <w:bCs/>
          <w:color w:val="000000"/>
          <w:sz w:val="24"/>
          <w:szCs w:val="24"/>
          <w:highlight w:val="none"/>
        </w:rPr>
        <w:t>铜、锌、</w:t>
      </w:r>
      <w:r>
        <w:rPr>
          <w:rFonts w:hint="default" w:ascii="Times New Roman" w:hAnsi="Times New Roman" w:cs="Times New Roman"/>
          <w:b w:val="0"/>
          <w:bCs/>
          <w:color w:val="000000"/>
          <w:sz w:val="24"/>
          <w:szCs w:val="24"/>
          <w:highlight w:val="none"/>
          <w:lang w:val="en-US" w:eastAsia="zh-CN"/>
        </w:rPr>
        <w:t>铝</w:t>
      </w:r>
      <w:r>
        <w:rPr>
          <w:rFonts w:hint="default" w:ascii="Times New Roman" w:hAnsi="Times New Roman" w:cs="Times New Roman"/>
          <w:b w:val="0"/>
          <w:bCs/>
          <w:color w:val="000000"/>
          <w:sz w:val="24"/>
          <w:szCs w:val="24"/>
          <w:highlight w:val="none"/>
        </w:rPr>
        <w:t>、</w:t>
      </w:r>
      <w:r>
        <w:rPr>
          <w:rFonts w:hint="default" w:ascii="Times New Roman" w:hAnsi="Times New Roman" w:cs="Times New Roman"/>
          <w:b w:val="0"/>
          <w:bCs/>
          <w:spacing w:val="-8"/>
          <w:sz w:val="24"/>
          <w:szCs w:val="24"/>
          <w:highlight w:val="none"/>
        </w:rPr>
        <w:t>挥发性酚类（以苯酚计）、</w:t>
      </w:r>
      <w:r>
        <w:rPr>
          <w:rFonts w:hint="default" w:ascii="Times New Roman" w:hAnsi="Times New Roman" w:cs="Times New Roman"/>
          <w:b w:val="0"/>
          <w:bCs/>
          <w:color w:val="000000"/>
          <w:sz w:val="24"/>
          <w:szCs w:val="24"/>
          <w:highlight w:val="none"/>
        </w:rPr>
        <w:t>阴离子表面活性剂、</w:t>
      </w:r>
      <w:r>
        <w:rPr>
          <w:rFonts w:hint="default" w:ascii="Times New Roman" w:hAnsi="Times New Roman" w:cs="Times New Roman"/>
          <w:b w:val="0"/>
          <w:bCs/>
          <w:sz w:val="24"/>
          <w:szCs w:val="24"/>
          <w:highlight w:val="none"/>
          <w:lang w:val="en-US" w:eastAsia="zh-CN"/>
        </w:rPr>
        <w:t>耗氧量</w:t>
      </w:r>
      <w:r>
        <w:rPr>
          <w:rFonts w:hint="default" w:ascii="Times New Roman" w:hAnsi="Times New Roman" w:cs="Times New Roman"/>
          <w:b w:val="0"/>
          <w:bCs/>
          <w:sz w:val="24"/>
          <w:szCs w:val="24"/>
          <w:highlight w:val="none"/>
        </w:rPr>
        <w:t>（COD</w:t>
      </w:r>
      <w:r>
        <w:rPr>
          <w:rFonts w:hint="default" w:ascii="Times New Roman" w:hAnsi="Times New Roman" w:cs="Times New Roman"/>
          <w:b w:val="0"/>
          <w:bCs/>
          <w:sz w:val="24"/>
          <w:szCs w:val="24"/>
          <w:highlight w:val="none"/>
          <w:vertAlign w:val="subscript"/>
        </w:rPr>
        <w:t>Mn</w:t>
      </w:r>
      <w:r>
        <w:rPr>
          <w:rFonts w:hint="default" w:ascii="Times New Roman" w:hAnsi="Times New Roman" w:cs="Times New Roman"/>
          <w:b w:val="0"/>
          <w:bCs/>
          <w:sz w:val="24"/>
          <w:szCs w:val="24"/>
          <w:highlight w:val="none"/>
        </w:rPr>
        <w:t>法，以O</w:t>
      </w:r>
      <w:r>
        <w:rPr>
          <w:rFonts w:hint="default" w:ascii="Times New Roman" w:hAnsi="Times New Roman" w:cs="Times New Roman"/>
          <w:b w:val="0"/>
          <w:bCs/>
          <w:sz w:val="24"/>
          <w:szCs w:val="24"/>
          <w:highlight w:val="none"/>
          <w:vertAlign w:val="subscript"/>
        </w:rPr>
        <w:t>2</w:t>
      </w:r>
      <w:r>
        <w:rPr>
          <w:rFonts w:hint="default" w:ascii="Times New Roman" w:hAnsi="Times New Roman" w:cs="Times New Roman"/>
          <w:b w:val="0"/>
          <w:bCs/>
          <w:sz w:val="24"/>
          <w:szCs w:val="24"/>
          <w:highlight w:val="none"/>
        </w:rPr>
        <w:t>计）、氨氮、</w:t>
      </w:r>
      <w:r>
        <w:rPr>
          <w:rFonts w:hint="default" w:ascii="Times New Roman" w:hAnsi="Times New Roman" w:cs="Times New Roman"/>
          <w:b w:val="0"/>
          <w:bCs/>
          <w:color w:val="000000"/>
          <w:sz w:val="24"/>
          <w:szCs w:val="24"/>
          <w:highlight w:val="none"/>
        </w:rPr>
        <w:t>硫化物、钠、</w:t>
      </w:r>
      <w:r>
        <w:rPr>
          <w:rFonts w:hint="default" w:ascii="Times New Roman" w:hAnsi="Times New Roman" w:cs="Times New Roman"/>
          <w:b w:val="0"/>
          <w:bCs/>
          <w:snapToGrid w:val="0"/>
          <w:kern w:val="0"/>
          <w:sz w:val="24"/>
          <w:szCs w:val="24"/>
          <w:highlight w:val="none"/>
        </w:rPr>
        <w:t>总大肠菌群</w:t>
      </w:r>
      <w:r>
        <w:rPr>
          <w:rFonts w:hint="default" w:ascii="Times New Roman" w:hAnsi="Times New Roman" w:cs="Times New Roman"/>
          <w:b w:val="0"/>
          <w:bCs/>
          <w:spacing w:val="-8"/>
          <w:sz w:val="24"/>
          <w:szCs w:val="24"/>
          <w:highlight w:val="none"/>
        </w:rPr>
        <w:t>数</w:t>
      </w:r>
      <w:r>
        <w:rPr>
          <w:rFonts w:hint="default" w:ascii="Times New Roman" w:hAnsi="Times New Roman" w:cs="Times New Roman"/>
          <w:b w:val="0"/>
          <w:bCs/>
          <w:color w:val="000000"/>
          <w:sz w:val="24"/>
          <w:szCs w:val="24"/>
          <w:highlight w:val="none"/>
        </w:rPr>
        <w:t>、菌落总数</w:t>
      </w:r>
      <w:r>
        <w:rPr>
          <w:rFonts w:hint="default" w:ascii="Times New Roman" w:hAnsi="Times New Roman" w:cs="Times New Roman"/>
          <w:b w:val="0"/>
          <w:bCs/>
          <w:snapToGrid w:val="0"/>
          <w:kern w:val="0"/>
          <w:sz w:val="24"/>
          <w:szCs w:val="24"/>
          <w:highlight w:val="none"/>
        </w:rPr>
        <w:t>、</w:t>
      </w:r>
      <w:r>
        <w:rPr>
          <w:rFonts w:hint="default" w:ascii="Times New Roman" w:hAnsi="Times New Roman" w:cs="Times New Roman"/>
          <w:b w:val="0"/>
          <w:bCs/>
          <w:sz w:val="24"/>
          <w:szCs w:val="24"/>
          <w:highlight w:val="none"/>
        </w:rPr>
        <w:t>亚硝酸盐(以N计)</w:t>
      </w:r>
      <w:r>
        <w:rPr>
          <w:rFonts w:hint="default" w:ascii="Times New Roman" w:hAnsi="Times New Roman" w:cs="Times New Roman"/>
          <w:b w:val="0"/>
          <w:bCs/>
          <w:snapToGrid w:val="0"/>
          <w:kern w:val="0"/>
          <w:sz w:val="24"/>
          <w:szCs w:val="24"/>
          <w:highlight w:val="none"/>
        </w:rPr>
        <w:t>、</w:t>
      </w:r>
      <w:r>
        <w:rPr>
          <w:rFonts w:hint="default" w:ascii="Times New Roman" w:hAnsi="Times New Roman" w:cs="Times New Roman"/>
          <w:b w:val="0"/>
          <w:bCs/>
          <w:sz w:val="24"/>
          <w:szCs w:val="24"/>
          <w:highlight w:val="none"/>
        </w:rPr>
        <w:t>硝酸盐(以N计)、</w:t>
      </w:r>
      <w:r>
        <w:rPr>
          <w:rFonts w:hint="default" w:ascii="Times New Roman" w:hAnsi="Times New Roman" w:cs="Times New Roman"/>
          <w:b w:val="0"/>
          <w:bCs/>
          <w:spacing w:val="-8"/>
          <w:sz w:val="24"/>
          <w:szCs w:val="24"/>
          <w:highlight w:val="none"/>
        </w:rPr>
        <w:t>氰化物、</w:t>
      </w:r>
      <w:r>
        <w:rPr>
          <w:rFonts w:hint="default" w:ascii="Times New Roman" w:hAnsi="Times New Roman" w:cs="Times New Roman"/>
          <w:b w:val="0"/>
          <w:bCs/>
          <w:sz w:val="24"/>
          <w:szCs w:val="24"/>
          <w:highlight w:val="none"/>
        </w:rPr>
        <w:t>氟化物</w:t>
      </w:r>
      <w:r>
        <w:rPr>
          <w:rFonts w:hint="default" w:ascii="Times New Roman" w:hAnsi="Times New Roman" w:cs="Times New Roman"/>
          <w:b w:val="0"/>
          <w:bCs/>
          <w:spacing w:val="-8"/>
          <w:sz w:val="24"/>
          <w:szCs w:val="24"/>
          <w:highlight w:val="none"/>
        </w:rPr>
        <w:t>、</w:t>
      </w:r>
      <w:r>
        <w:rPr>
          <w:rFonts w:hint="default" w:ascii="Times New Roman" w:hAnsi="Times New Roman" w:cs="Times New Roman"/>
          <w:b w:val="0"/>
          <w:bCs/>
          <w:color w:val="000000"/>
          <w:sz w:val="24"/>
          <w:szCs w:val="24"/>
          <w:highlight w:val="none"/>
        </w:rPr>
        <w:t>碘化物、</w:t>
      </w:r>
      <w:r>
        <w:rPr>
          <w:rFonts w:hint="default" w:ascii="Times New Roman" w:hAnsi="Times New Roman" w:cs="Times New Roman"/>
          <w:b w:val="0"/>
          <w:bCs/>
          <w:snapToGrid w:val="0"/>
          <w:kern w:val="0"/>
          <w:sz w:val="24"/>
          <w:szCs w:val="24"/>
          <w:highlight w:val="none"/>
        </w:rPr>
        <w:t>汞、砷、</w:t>
      </w:r>
      <w:r>
        <w:rPr>
          <w:rFonts w:hint="default" w:ascii="Times New Roman" w:hAnsi="Times New Roman" w:cs="Times New Roman"/>
          <w:b w:val="0"/>
          <w:bCs/>
          <w:color w:val="000000"/>
          <w:sz w:val="24"/>
          <w:szCs w:val="24"/>
          <w:highlight w:val="none"/>
        </w:rPr>
        <w:t>硒</w:t>
      </w:r>
      <w:r>
        <w:rPr>
          <w:rFonts w:hint="default" w:ascii="Times New Roman" w:hAnsi="Times New Roman" w:cs="Times New Roman"/>
          <w:b w:val="0"/>
          <w:bCs/>
          <w:color w:val="000000"/>
          <w:sz w:val="24"/>
          <w:szCs w:val="24"/>
          <w:highlight w:val="none"/>
          <w:lang w:eastAsia="zh-CN"/>
        </w:rPr>
        <w:t>、</w:t>
      </w:r>
      <w:r>
        <w:rPr>
          <w:rFonts w:hint="default" w:ascii="Times New Roman" w:hAnsi="Times New Roman" w:cs="Times New Roman"/>
          <w:b w:val="0"/>
          <w:bCs/>
          <w:snapToGrid w:val="0"/>
          <w:kern w:val="0"/>
          <w:sz w:val="24"/>
          <w:szCs w:val="24"/>
          <w:highlight w:val="none"/>
        </w:rPr>
        <w:t>镉、六价铬、铅</w:t>
      </w:r>
      <w:r>
        <w:rPr>
          <w:rFonts w:hint="default" w:ascii="Times New Roman" w:hAnsi="Times New Roman" w:cs="Times New Roman"/>
          <w:b w:val="0"/>
          <w:bCs/>
          <w:snapToGrid w:val="0"/>
          <w:kern w:val="0"/>
          <w:sz w:val="24"/>
          <w:szCs w:val="24"/>
          <w:highlight w:val="none"/>
          <w:lang w:eastAsia="zh-CN"/>
        </w:rPr>
        <w:t>、三氯甲烷、四氯化碳、苯、甲苯</w:t>
      </w:r>
      <w:r>
        <w:rPr>
          <w:rFonts w:hint="eastAsia" w:ascii="Times New Roman" w:hAnsi="Times New Roman" w:cs="Times New Roman"/>
          <w:b w:val="0"/>
          <w:bCs/>
          <w:snapToGrid w:val="0"/>
          <w:kern w:val="0"/>
          <w:sz w:val="24"/>
          <w:szCs w:val="24"/>
          <w:highlight w:val="none"/>
          <w:lang w:eastAsia="zh-CN"/>
        </w:rPr>
        <w:t>、</w:t>
      </w:r>
      <w:r>
        <w:rPr>
          <w:rFonts w:hint="eastAsia" w:cs="Times New Roman"/>
          <w:b w:val="0"/>
          <w:bCs/>
          <w:snapToGrid w:val="0"/>
          <w:kern w:val="0"/>
          <w:sz w:val="24"/>
          <w:szCs w:val="24"/>
          <w:highlight w:val="none"/>
          <w:lang w:eastAsia="zh-CN"/>
        </w:rPr>
        <w:t>石油类、总磷</w:t>
      </w:r>
      <w:r>
        <w:rPr>
          <w:rFonts w:hint="default" w:ascii="Times New Roman" w:hAnsi="Times New Roman" w:cs="Times New Roman"/>
          <w:b w:val="0"/>
          <w:bCs w:val="0"/>
          <w:color w:val="000000"/>
          <w:sz w:val="24"/>
          <w:szCs w:val="24"/>
          <w:highlight w:val="none"/>
        </w:rPr>
        <w:t>。</w:t>
      </w:r>
    </w:p>
    <w:p w14:paraId="6E5A83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40" w:name="_Toc4976"/>
      <w:r>
        <w:rPr>
          <w:rFonts w:hint="default" w:ascii="Times New Roman" w:hAnsi="Times New Roman" w:cs="Times New Roman"/>
          <w:color w:val="auto"/>
          <w:sz w:val="24"/>
          <w:szCs w:val="24"/>
          <w:highlight w:val="none"/>
        </w:rPr>
        <w:t>（3）监测时间和频次</w:t>
      </w:r>
      <w:bookmarkEnd w:id="240"/>
    </w:p>
    <w:p w14:paraId="526F85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监测时间为</w:t>
      </w:r>
      <w:r>
        <w:rPr>
          <w:rFonts w:hint="eastAsia" w:cs="Times New Roman"/>
          <w:color w:val="auto"/>
          <w:sz w:val="24"/>
          <w:szCs w:val="24"/>
          <w:highlight w:val="none"/>
          <w:lang w:eastAsia="zh-CN"/>
        </w:rPr>
        <w:t>2025年3月6日</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监测</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日，每日</w:t>
      </w:r>
      <w:r>
        <w:rPr>
          <w:rFonts w:hint="default" w:ascii="Times New Roman" w:hAnsi="Times New Roman" w:cs="Times New Roman"/>
          <w:color w:val="auto"/>
          <w:sz w:val="24"/>
          <w:szCs w:val="24"/>
          <w:highlight w:val="none"/>
        </w:rPr>
        <w:t>采样1次。</w:t>
      </w:r>
    </w:p>
    <w:p w14:paraId="08994C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41" w:name="_Toc2731"/>
      <w:r>
        <w:rPr>
          <w:rFonts w:hint="default" w:ascii="Times New Roman" w:hAnsi="Times New Roman" w:eastAsia="宋体" w:cs="Times New Roman"/>
          <w:sz w:val="24"/>
          <w:szCs w:val="24"/>
          <w:highlight w:val="none"/>
        </w:rPr>
        <w:t>（4）评价因子与评价标准</w:t>
      </w:r>
      <w:bookmarkEnd w:id="241"/>
    </w:p>
    <w:p w14:paraId="4C8A6753">
      <w:pPr>
        <w:pStyle w:val="185"/>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kern w:val="2"/>
          <w:sz w:val="24"/>
          <w:szCs w:val="24"/>
          <w:highlight w:val="none"/>
          <w:lang w:eastAsia="zh-CN"/>
        </w:rPr>
      </w:pPr>
      <w:r>
        <w:rPr>
          <w:rFonts w:hint="default" w:ascii="Times New Roman" w:hAnsi="Times New Roman" w:cs="Times New Roman"/>
          <w:color w:val="auto"/>
          <w:sz w:val="24"/>
          <w:szCs w:val="24"/>
          <w:highlight w:val="none"/>
        </w:rPr>
        <w:t>本次评价因子同监测因子</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评价标准采用</w:t>
      </w:r>
      <w:r>
        <w:rPr>
          <w:rFonts w:hint="default" w:ascii="Times New Roman" w:hAnsi="Times New Roman" w:cs="Times New Roman"/>
          <w:sz w:val="24"/>
          <w:szCs w:val="24"/>
          <w:highlight w:val="none"/>
        </w:rPr>
        <w:t>《地下水质量标准》（GB/T14848-</w:t>
      </w:r>
      <w:r>
        <w:rPr>
          <w:rFonts w:hint="default" w:ascii="Times New Roman" w:hAnsi="Times New Roman" w:cs="Times New Roman"/>
          <w:sz w:val="24"/>
          <w:szCs w:val="24"/>
          <w:highlight w:val="none"/>
          <w:lang w:val="en-US" w:eastAsia="zh-CN"/>
        </w:rPr>
        <w:t>2017</w:t>
      </w:r>
      <w:r>
        <w:rPr>
          <w:rFonts w:hint="default" w:ascii="Times New Roman" w:hAnsi="Times New Roman" w:cs="Times New Roman"/>
          <w:sz w:val="24"/>
          <w:szCs w:val="24"/>
          <w:highlight w:val="none"/>
        </w:rPr>
        <w:t>）Ⅲ类标准</w:t>
      </w:r>
      <w:r>
        <w:rPr>
          <w:rFonts w:hint="eastAsia" w:ascii="Times New Roman" w:hAnsi="Times New Roman" w:cs="Times New Roman"/>
          <w:sz w:val="24"/>
          <w:szCs w:val="24"/>
          <w:highlight w:val="none"/>
          <w:lang w:eastAsia="zh-CN"/>
        </w:rPr>
        <w:t>，</w:t>
      </w:r>
      <w:r>
        <w:rPr>
          <w:rFonts w:hint="default" w:ascii="Times New Roman" w:hAnsi="Times New Roman" w:cs="Times New Roman"/>
          <w:color w:val="000000"/>
          <w:sz w:val="24"/>
          <w:highlight w:val="none"/>
        </w:rPr>
        <w:t>石油类、总磷参照执行《地表水环境质量标准》（GB3838-2002）表1地表水环境质量标准基本项目标准限值中的Ⅲ类标准</w:t>
      </w:r>
      <w:r>
        <w:rPr>
          <w:rFonts w:hint="default" w:ascii="Times New Roman" w:hAnsi="Times New Roman" w:cs="Times New Roman"/>
          <w:color w:val="auto"/>
          <w:sz w:val="24"/>
          <w:szCs w:val="24"/>
          <w:highlight w:val="none"/>
        </w:rPr>
        <w:t>。</w:t>
      </w:r>
    </w:p>
    <w:bookmarkEnd w:id="238"/>
    <w:p w14:paraId="4F870C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eastAsia="zh-CN"/>
        </w:rPr>
      </w:pPr>
      <w:bookmarkStart w:id="242" w:name="_Toc13472"/>
      <w:bookmarkStart w:id="243" w:name="_Toc28514429"/>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5</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评价方法</w:t>
      </w:r>
      <w:bookmarkEnd w:id="242"/>
    </w:p>
    <w:p w14:paraId="3AA37797">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auto"/>
          <w:sz w:val="24"/>
          <w:szCs w:val="24"/>
          <w:highlight w:val="none"/>
        </w:rPr>
        <w:t>本次评价</w:t>
      </w:r>
      <w:r>
        <w:rPr>
          <w:rFonts w:hint="eastAsia" w:ascii="Times New Roman" w:hAnsi="Times New Roman" w:cs="Times New Roman"/>
          <w:color w:val="000000"/>
          <w:sz w:val="24"/>
          <w:highlight w:val="none"/>
          <w:lang w:val="en-US" w:eastAsia="zh-CN"/>
        </w:rPr>
        <w:t>采用</w:t>
      </w:r>
      <w:r>
        <w:rPr>
          <w:rFonts w:hint="default" w:ascii="Times New Roman" w:hAnsi="Times New Roman" w:cs="Times New Roman"/>
          <w:color w:val="000000"/>
          <w:sz w:val="24"/>
          <w:highlight w:val="none"/>
        </w:rPr>
        <w:t>单项标准指数法评价。</w:t>
      </w:r>
    </w:p>
    <w:bookmarkEnd w:id="243"/>
    <w:p w14:paraId="57D517B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sz w:val="24"/>
          <w:szCs w:val="24"/>
          <w:highlight w:val="none"/>
        </w:rPr>
      </w:pPr>
      <w:bookmarkStart w:id="244" w:name="_Toc8130"/>
      <w:bookmarkStart w:id="245" w:name="_Toc28514430"/>
      <w:r>
        <w:rPr>
          <w:rFonts w:hint="default"/>
          <w:b/>
          <w:bCs/>
          <w:sz w:val="24"/>
          <w:szCs w:val="24"/>
          <w:highlight w:val="none"/>
        </w:rPr>
        <w:t>单项水质参数i在j点的污染指数，用下式：</w:t>
      </w:r>
      <w:bookmarkEnd w:id="244"/>
    </w:p>
    <w:p w14:paraId="7C2149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26"/>
          <w:sz w:val="24"/>
          <w:szCs w:val="24"/>
          <w:highlight w:val="none"/>
        </w:rPr>
        <w:object>
          <v:shape id="_x0000_i1025" o:spt="75" type="#_x0000_t75" style="height:30.65pt;width:63.2pt;" o:ole="t" filled="f" o:preferrelative="t" stroked="f" coordsize="21600,21600">
            <v:path/>
            <v:fill on="f" focussize="0,0"/>
            <v:stroke on="f"/>
            <v:imagedata r:id="rId23" o:title=""/>
            <o:lock v:ext="edit" aspectratio="t"/>
            <w10:wrap type="none"/>
            <w10:anchorlock/>
          </v:shape>
          <o:OLEObject Type="Embed" ProgID="Equation.3" ShapeID="_x0000_i1025" DrawAspect="Content" ObjectID="_1468075725" r:id="rId22">
            <o:LockedField>false</o:LockedField>
          </o:OLEObject>
        </w:object>
      </w:r>
    </w:p>
    <w:p w14:paraId="75A499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p>
    <w:p w14:paraId="761691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S</w:t>
      </w:r>
      <w:r>
        <w:rPr>
          <w:rFonts w:hint="default" w:ascii="Times New Roman" w:hAnsi="Times New Roman" w:cs="Times New Roman"/>
          <w:color w:val="auto"/>
          <w:sz w:val="24"/>
          <w:szCs w:val="24"/>
          <w:highlight w:val="none"/>
          <w:vertAlign w:val="subscript"/>
        </w:rPr>
        <w:t>i，j</w:t>
      </w:r>
      <w:r>
        <w:rPr>
          <w:rFonts w:hint="default" w:ascii="Times New Roman" w:hAnsi="Times New Roman" w:cs="Times New Roman"/>
          <w:color w:val="auto"/>
          <w:sz w:val="24"/>
          <w:szCs w:val="24"/>
          <w:highlight w:val="none"/>
        </w:rPr>
        <w:t>——单项水质参数i在第j点的污染指数；</w:t>
      </w:r>
    </w:p>
    <w:p w14:paraId="161F73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vertAlign w:val="subscript"/>
        </w:rPr>
        <w:t>i，j</w:t>
      </w:r>
      <w:r>
        <w:rPr>
          <w:rFonts w:hint="default" w:ascii="Times New Roman" w:hAnsi="Times New Roman" w:cs="Times New Roman"/>
          <w:color w:val="auto"/>
          <w:sz w:val="24"/>
          <w:szCs w:val="24"/>
          <w:highlight w:val="none"/>
        </w:rPr>
        <w:t>——污染物i在监测点j的浓度，mg/</w:t>
      </w:r>
      <w:r>
        <w:rPr>
          <w:rFonts w:hint="eastAsia" w:cs="Times New Roman"/>
          <w:color w:val="auto"/>
          <w:sz w:val="24"/>
          <w:szCs w:val="24"/>
          <w:highlight w:val="none"/>
          <w:lang w:val="en-US" w:eastAsia="zh-CN"/>
        </w:rPr>
        <w:t>L</w:t>
      </w:r>
      <w:r>
        <w:rPr>
          <w:rFonts w:hint="default" w:ascii="Times New Roman" w:hAnsi="Times New Roman" w:cs="Times New Roman"/>
          <w:color w:val="auto"/>
          <w:sz w:val="24"/>
          <w:szCs w:val="24"/>
          <w:highlight w:val="none"/>
        </w:rPr>
        <w:t>；</w:t>
      </w:r>
    </w:p>
    <w:p w14:paraId="4775FD8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vertAlign w:val="subscript"/>
        </w:rPr>
        <w:t>si</w:t>
      </w:r>
      <w:r>
        <w:rPr>
          <w:rFonts w:hint="default" w:ascii="Times New Roman" w:hAnsi="Times New Roman" w:cs="Times New Roman"/>
          <w:color w:val="auto"/>
          <w:sz w:val="24"/>
          <w:szCs w:val="24"/>
          <w:highlight w:val="none"/>
        </w:rPr>
        <w:t>——水质参数Sij的地表水质标准， mg/</w:t>
      </w:r>
      <w:r>
        <w:rPr>
          <w:rFonts w:hint="eastAsia" w:cs="Times New Roman"/>
          <w:color w:val="auto"/>
          <w:sz w:val="24"/>
          <w:szCs w:val="24"/>
          <w:highlight w:val="none"/>
          <w:lang w:val="en-US" w:eastAsia="zh-CN"/>
        </w:rPr>
        <w:t>L</w:t>
      </w:r>
      <w:r>
        <w:rPr>
          <w:rFonts w:hint="default" w:ascii="Times New Roman" w:hAnsi="Times New Roman" w:cs="Times New Roman"/>
          <w:color w:val="auto"/>
          <w:sz w:val="24"/>
          <w:szCs w:val="24"/>
          <w:highlight w:val="none"/>
        </w:rPr>
        <w:t>；</w:t>
      </w:r>
    </w:p>
    <w:p w14:paraId="0E8AA68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highlight w:val="none"/>
        </w:rPr>
      </w:pPr>
      <w:bookmarkStart w:id="246" w:name="_Toc7051"/>
      <w:r>
        <w:rPr>
          <w:rFonts w:hint="default" w:ascii="Times New Roman" w:hAnsi="Times New Roman" w:eastAsia="宋体" w:cs="Times New Roman"/>
          <w:b/>
          <w:bCs/>
          <w:sz w:val="24"/>
          <w:szCs w:val="24"/>
          <w:highlight w:val="none"/>
        </w:rPr>
        <w:t>pH值污染指数用下式：</w:t>
      </w:r>
      <w:bookmarkEnd w:id="246"/>
    </w:p>
    <w:p w14:paraId="3C39593E">
      <w:pPr>
        <w:keepNext w:val="0"/>
        <w:keepLines w:val="0"/>
        <w:pageBreakBefore w:val="0"/>
        <w:widowControl w:val="0"/>
        <w:kinsoku/>
        <w:wordWrap/>
        <w:overflowPunct/>
        <w:topLinePunct w:val="0"/>
        <w:autoSpaceDE/>
        <w:autoSpaceDN/>
        <w:bidi w:val="0"/>
        <w:snapToGrid/>
        <w:spacing w:line="360" w:lineRule="auto"/>
        <w:ind w:firstLine="480" w:firstLineChars="200"/>
        <w:rPr>
          <w:rFonts w:hint="default" w:ascii="Times New Roman" w:hAnsi="Times New Roman" w:cs="Times New Roman"/>
          <w:color w:val="000000"/>
          <w:kern w:val="0"/>
          <w:sz w:val="24"/>
          <w:szCs w:val="24"/>
          <w:highlight w:val="none"/>
        </w:rPr>
      </w:pPr>
      <w:r>
        <w:rPr>
          <w:rFonts w:hint="default" w:ascii="Times New Roman" w:hAnsi="Times New Roman" w:cs="Times New Roman"/>
          <w:bCs/>
          <w:color w:val="000000"/>
          <w:sz w:val="24"/>
          <w:szCs w:val="24"/>
          <w:highlight w:val="none"/>
        </w:rPr>
        <w:t>当</w:t>
      </w:r>
      <w:r>
        <w:rPr>
          <w:rFonts w:hint="default" w:ascii="Times New Roman" w:hAnsi="Times New Roman" w:cs="Times New Roman"/>
          <w:color w:val="000000"/>
          <w:kern w:val="0"/>
          <w:position w:val="-14"/>
          <w:sz w:val="24"/>
          <w:szCs w:val="24"/>
          <w:highlight w:val="none"/>
        </w:rPr>
        <w:drawing>
          <wp:inline distT="0" distB="0" distL="114300" distR="114300">
            <wp:extent cx="673100" cy="241300"/>
            <wp:effectExtent l="0" t="0" r="0" b="2540"/>
            <wp:docPr id="1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
                    <pic:cNvPicPr>
                      <a:picLocks noChangeAspect="1"/>
                    </pic:cNvPicPr>
                  </pic:nvPicPr>
                  <pic:blipFill>
                    <a:blip r:embed="rId24"/>
                    <a:stretch>
                      <a:fillRect/>
                    </a:stretch>
                  </pic:blipFill>
                  <pic:spPr>
                    <a:xfrm>
                      <a:off x="0" y="0"/>
                      <a:ext cx="673100" cy="241300"/>
                    </a:xfrm>
                    <a:prstGeom prst="rect">
                      <a:avLst/>
                    </a:prstGeom>
                    <a:noFill/>
                    <a:ln>
                      <a:noFill/>
                    </a:ln>
                  </pic:spPr>
                </pic:pic>
              </a:graphicData>
            </a:graphic>
          </wp:inline>
        </w:drawing>
      </w:r>
      <w:r>
        <w:rPr>
          <w:rFonts w:hint="default" w:ascii="Times New Roman" w:hAnsi="Times New Roman" w:cs="Times New Roman"/>
          <w:bCs/>
          <w:color w:val="000000"/>
          <w:spacing w:val="4"/>
          <w:sz w:val="24"/>
          <w:szCs w:val="24"/>
          <w:highlight w:val="none"/>
        </w:rPr>
        <w:t>时，</w:t>
      </w:r>
      <w:r>
        <w:rPr>
          <w:rFonts w:hint="default" w:ascii="Times New Roman" w:hAnsi="Times New Roman" w:cs="Times New Roman"/>
          <w:color w:val="000000"/>
          <w:kern w:val="0"/>
          <w:position w:val="-14"/>
          <w:sz w:val="24"/>
          <w:szCs w:val="24"/>
          <w:highlight w:val="none"/>
        </w:rPr>
        <w:drawing>
          <wp:inline distT="0" distB="0" distL="114300" distR="114300">
            <wp:extent cx="2057400" cy="241300"/>
            <wp:effectExtent l="0" t="0" r="0" b="1905"/>
            <wp:docPr id="1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1"/>
                    <pic:cNvPicPr>
                      <a:picLocks noChangeAspect="1"/>
                    </pic:cNvPicPr>
                  </pic:nvPicPr>
                  <pic:blipFill>
                    <a:blip r:embed="rId25"/>
                    <a:stretch>
                      <a:fillRect/>
                    </a:stretch>
                  </pic:blipFill>
                  <pic:spPr>
                    <a:xfrm>
                      <a:off x="0" y="0"/>
                      <a:ext cx="2057400" cy="241300"/>
                    </a:xfrm>
                    <a:prstGeom prst="rect">
                      <a:avLst/>
                    </a:prstGeom>
                    <a:noFill/>
                    <a:ln>
                      <a:noFill/>
                    </a:ln>
                  </pic:spPr>
                </pic:pic>
              </a:graphicData>
            </a:graphic>
          </wp:inline>
        </w:drawing>
      </w:r>
    </w:p>
    <w:p w14:paraId="68ABD871">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baseline"/>
        <w:rPr>
          <w:rFonts w:hint="default" w:ascii="Times New Roman" w:hAnsi="Times New Roman" w:cs="Times New Roman"/>
          <w:bCs/>
          <w:color w:val="000000"/>
          <w:spacing w:val="4"/>
          <w:kern w:val="0"/>
          <w:sz w:val="24"/>
          <w:szCs w:val="24"/>
          <w:highlight w:val="none"/>
        </w:rPr>
      </w:pPr>
      <w:r>
        <w:rPr>
          <w:rFonts w:hint="default" w:ascii="Times New Roman" w:hAnsi="Times New Roman" w:cs="Times New Roman"/>
          <w:bCs/>
          <w:color w:val="000000"/>
          <w:kern w:val="0"/>
          <w:sz w:val="24"/>
          <w:szCs w:val="24"/>
          <w:highlight w:val="none"/>
        </w:rPr>
        <w:t>当</w:t>
      </w:r>
      <w:r>
        <w:rPr>
          <w:rFonts w:hint="default" w:ascii="Times New Roman" w:hAnsi="Times New Roman" w:cs="Times New Roman"/>
          <w:color w:val="000000"/>
          <w:kern w:val="0"/>
          <w:position w:val="-14"/>
          <w:sz w:val="24"/>
          <w:szCs w:val="24"/>
          <w:highlight w:val="none"/>
        </w:rPr>
        <w:drawing>
          <wp:inline distT="0" distB="0" distL="114300" distR="114300">
            <wp:extent cx="673100" cy="241300"/>
            <wp:effectExtent l="0" t="0" r="12700" b="1905"/>
            <wp:docPr id="1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2"/>
                    <pic:cNvPicPr>
                      <a:picLocks noChangeAspect="1"/>
                    </pic:cNvPicPr>
                  </pic:nvPicPr>
                  <pic:blipFill>
                    <a:blip r:embed="rId26"/>
                    <a:stretch>
                      <a:fillRect/>
                    </a:stretch>
                  </pic:blipFill>
                  <pic:spPr>
                    <a:xfrm>
                      <a:off x="0" y="0"/>
                      <a:ext cx="673100" cy="241300"/>
                    </a:xfrm>
                    <a:prstGeom prst="rect">
                      <a:avLst/>
                    </a:prstGeom>
                    <a:noFill/>
                    <a:ln>
                      <a:noFill/>
                    </a:ln>
                  </pic:spPr>
                </pic:pic>
              </a:graphicData>
            </a:graphic>
          </wp:inline>
        </w:drawing>
      </w:r>
      <w:r>
        <w:rPr>
          <w:rFonts w:hint="default" w:ascii="Times New Roman" w:hAnsi="Times New Roman" w:cs="Times New Roman"/>
          <w:bCs/>
          <w:color w:val="000000"/>
          <w:spacing w:val="4"/>
          <w:kern w:val="0"/>
          <w:sz w:val="24"/>
          <w:szCs w:val="24"/>
          <w:highlight w:val="none"/>
        </w:rPr>
        <w:t>时，</w:t>
      </w:r>
      <w:r>
        <w:rPr>
          <w:rFonts w:hint="default" w:ascii="Times New Roman" w:hAnsi="Times New Roman" w:cs="Times New Roman"/>
          <w:color w:val="000000"/>
          <w:kern w:val="0"/>
          <w:position w:val="-14"/>
          <w:sz w:val="24"/>
          <w:szCs w:val="24"/>
          <w:highlight w:val="none"/>
        </w:rPr>
        <w:drawing>
          <wp:inline distT="0" distB="0" distL="114300" distR="114300">
            <wp:extent cx="2057400" cy="241300"/>
            <wp:effectExtent l="0" t="0" r="0" b="1905"/>
            <wp:docPr id="1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3"/>
                    <pic:cNvPicPr>
                      <a:picLocks noChangeAspect="1"/>
                    </pic:cNvPicPr>
                  </pic:nvPicPr>
                  <pic:blipFill>
                    <a:blip r:embed="rId27"/>
                    <a:stretch>
                      <a:fillRect/>
                    </a:stretch>
                  </pic:blipFill>
                  <pic:spPr>
                    <a:xfrm>
                      <a:off x="0" y="0"/>
                      <a:ext cx="2057400" cy="241300"/>
                    </a:xfrm>
                    <a:prstGeom prst="rect">
                      <a:avLst/>
                    </a:prstGeom>
                    <a:noFill/>
                    <a:ln>
                      <a:noFill/>
                    </a:ln>
                  </pic:spPr>
                </pic:pic>
              </a:graphicData>
            </a:graphic>
          </wp:inline>
        </w:drawing>
      </w:r>
    </w:p>
    <w:p w14:paraId="0CD55A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p>
    <w:p w14:paraId="51062C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S</w:t>
      </w:r>
      <w:r>
        <w:rPr>
          <w:rFonts w:hint="default" w:ascii="Times New Roman" w:hAnsi="Times New Roman" w:cs="Times New Roman"/>
          <w:color w:val="auto"/>
          <w:sz w:val="24"/>
          <w:szCs w:val="24"/>
          <w:highlight w:val="none"/>
          <w:vertAlign w:val="subscript"/>
        </w:rPr>
        <w:t>PHj</w:t>
      </w:r>
      <w:r>
        <w:rPr>
          <w:rFonts w:hint="default" w:ascii="Times New Roman" w:hAnsi="Times New Roman" w:cs="Times New Roman"/>
          <w:color w:val="auto"/>
          <w:sz w:val="24"/>
          <w:szCs w:val="24"/>
          <w:highlight w:val="none"/>
        </w:rPr>
        <w:t>——单项水质参数PH在第j点的污染指数；</w:t>
      </w:r>
    </w:p>
    <w:p w14:paraId="71AC7F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p</w:t>
      </w:r>
      <w:r>
        <w:rPr>
          <w:rFonts w:hint="default" w:ascii="Times New Roman" w:hAnsi="Times New Roman" w:cs="Times New Roman"/>
          <w:color w:val="auto"/>
          <w:sz w:val="24"/>
          <w:szCs w:val="24"/>
          <w:highlight w:val="none"/>
          <w:vertAlign w:val="baseline"/>
          <w:lang w:val="en-US" w:eastAsia="zh-CN"/>
        </w:rPr>
        <w:t>H</w:t>
      </w:r>
      <w:r>
        <w:rPr>
          <w:rFonts w:hint="default" w:ascii="Times New Roman" w:hAnsi="Times New Roman" w:cs="Times New Roman"/>
          <w:color w:val="auto"/>
          <w:sz w:val="24"/>
          <w:szCs w:val="24"/>
          <w:highlight w:val="none"/>
          <w:vertAlign w:val="subscript"/>
        </w:rPr>
        <w:t>j</w:t>
      </w:r>
      <w:r>
        <w:rPr>
          <w:rFonts w:hint="default" w:ascii="Times New Roman" w:hAnsi="Times New Roman" w:cs="Times New Roman"/>
          <w:color w:val="auto"/>
          <w:sz w:val="24"/>
          <w:szCs w:val="24"/>
          <w:highlight w:val="none"/>
        </w:rPr>
        <w:t>——j点的PH值；</w:t>
      </w:r>
    </w:p>
    <w:p w14:paraId="73A8FA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pH</w:t>
      </w:r>
      <w:r>
        <w:rPr>
          <w:rFonts w:hint="default" w:ascii="Times New Roman" w:hAnsi="Times New Roman" w:cs="Times New Roman"/>
          <w:color w:val="auto"/>
          <w:sz w:val="24"/>
          <w:szCs w:val="24"/>
          <w:highlight w:val="none"/>
          <w:vertAlign w:val="subscript"/>
        </w:rPr>
        <w:t>su</w:t>
      </w:r>
      <w:r>
        <w:rPr>
          <w:rFonts w:hint="default" w:ascii="Times New Roman" w:hAnsi="Times New Roman" w:cs="Times New Roman"/>
          <w:color w:val="auto"/>
          <w:sz w:val="24"/>
          <w:szCs w:val="24"/>
          <w:highlight w:val="none"/>
        </w:rPr>
        <w:t>——地表水水质标准中规定的pH值上限；</w:t>
      </w:r>
    </w:p>
    <w:p w14:paraId="47980608">
      <w:pPr>
        <w:pStyle w:val="185"/>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auto"/>
          <w:sz w:val="24"/>
          <w:szCs w:val="24"/>
          <w:highlight w:val="none"/>
        </w:rPr>
        <w:t>pH</w:t>
      </w:r>
      <w:r>
        <w:rPr>
          <w:rFonts w:hint="default" w:ascii="Times New Roman" w:hAnsi="Times New Roman" w:cs="Times New Roman"/>
          <w:color w:val="auto"/>
          <w:sz w:val="24"/>
          <w:szCs w:val="24"/>
          <w:highlight w:val="none"/>
          <w:vertAlign w:val="subscript"/>
        </w:rPr>
        <w:t>sd</w:t>
      </w:r>
      <w:r>
        <w:rPr>
          <w:rFonts w:hint="default" w:ascii="Times New Roman" w:hAnsi="Times New Roman" w:cs="Times New Roman"/>
          <w:color w:val="auto"/>
          <w:sz w:val="24"/>
          <w:szCs w:val="24"/>
          <w:highlight w:val="none"/>
        </w:rPr>
        <w:t>——地表水水质标准中规定的pH值下限</w:t>
      </w:r>
      <w:r>
        <w:rPr>
          <w:rFonts w:hint="default" w:ascii="Times New Roman" w:hAnsi="Times New Roman" w:cs="Times New Roman"/>
          <w:color w:val="000000"/>
          <w:sz w:val="24"/>
          <w:szCs w:val="24"/>
          <w:highlight w:val="none"/>
        </w:rPr>
        <w:t>。</w:t>
      </w:r>
    </w:p>
    <w:bookmarkEnd w:id="245"/>
    <w:p w14:paraId="371D65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bookmarkStart w:id="247" w:name="_Toc18450"/>
      <w:r>
        <w:rPr>
          <w:rFonts w:hint="default" w:ascii="Times New Roman" w:hAnsi="Times New Roman" w:cs="Times New Roman"/>
          <w:snapToGrid w:val="0"/>
          <w:color w:val="000000"/>
          <w:kern w:val="0"/>
          <w:sz w:val="24"/>
          <w:szCs w:val="24"/>
          <w:highlight w:val="none"/>
        </w:rPr>
        <w:t>（</w:t>
      </w:r>
      <w:r>
        <w:rPr>
          <w:rFonts w:hint="default"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rPr>
        <w:t>）监测结果统计</w:t>
      </w:r>
      <w:bookmarkEnd w:id="247"/>
    </w:p>
    <w:p w14:paraId="00B3EF8A">
      <w:pPr>
        <w:pStyle w:val="147"/>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cs="Times New Roman"/>
          <w:color w:val="000000"/>
          <w:highlight w:val="none"/>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000000"/>
          <w:highlight w:val="none"/>
        </w:rPr>
        <w:t>地下水环境质量现状监测与统计结果见</w:t>
      </w:r>
      <w:r>
        <w:rPr>
          <w:rFonts w:hint="eastAsia" w:ascii="Times New Roman" w:hAnsi="Times New Roman" w:cs="Times New Roman"/>
          <w:color w:val="000000"/>
          <w:highlight w:val="none"/>
          <w:lang w:val="en-US" w:eastAsia="zh-CN"/>
        </w:rPr>
        <w:t>下表。</w:t>
      </w:r>
    </w:p>
    <w:p w14:paraId="0E925C62">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sz w:val="21"/>
          <w:szCs w:val="21"/>
          <w:highlight w:val="none"/>
          <w:lang w:val="en-US" w:eastAsia="zh-CN"/>
        </w:rPr>
      </w:pPr>
      <w:r>
        <w:rPr>
          <w:rFonts w:hint="default" w:ascii="Times New Roman" w:hAnsi="Times New Roman" w:eastAsia="宋体" w:cs="Times New Roman"/>
          <w:b/>
          <w:sz w:val="21"/>
          <w:szCs w:val="21"/>
          <w:highlight w:val="none"/>
          <w:lang w:val="en-US" w:eastAsia="zh-CN"/>
        </w:rPr>
        <w:t>八大离子监测结果数据表</w:t>
      </w:r>
      <w:r>
        <w:rPr>
          <w:rFonts w:hint="eastAsia" w:ascii="Times New Roman" w:hAnsi="Times New Roman" w:eastAsia="宋体" w:cs="Times New Roman"/>
          <w:b/>
          <w:sz w:val="21"/>
          <w:szCs w:val="21"/>
          <w:highlight w:val="none"/>
          <w:lang w:val="en-US" w:eastAsia="zh-CN"/>
        </w:rPr>
        <w:t xml:space="preserve"> 单位：mg/L</w:t>
      </w:r>
    </w:p>
    <w:tbl>
      <w:tblPr>
        <w:tblStyle w:val="58"/>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78"/>
        <w:gridCol w:w="2152"/>
        <w:gridCol w:w="1576"/>
        <w:gridCol w:w="1576"/>
        <w:gridCol w:w="1576"/>
        <w:gridCol w:w="1576"/>
        <w:gridCol w:w="1576"/>
        <w:gridCol w:w="1576"/>
        <w:gridCol w:w="1577"/>
      </w:tblGrid>
      <w:tr w14:paraId="34FBB0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0C98C061">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759" w:type="pct"/>
            <w:tcBorders>
              <w:tl2br w:val="nil"/>
              <w:tr2bl w:val="nil"/>
            </w:tcBorders>
            <w:noWrap w:val="0"/>
            <w:vAlign w:val="center"/>
          </w:tcPr>
          <w:p w14:paraId="67CA4C20">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监测项目</w:t>
            </w:r>
          </w:p>
        </w:tc>
        <w:tc>
          <w:tcPr>
            <w:tcW w:w="556" w:type="pct"/>
            <w:tcBorders>
              <w:tl2br w:val="nil"/>
              <w:tr2bl w:val="nil"/>
            </w:tcBorders>
            <w:noWrap w:val="0"/>
            <w:vAlign w:val="center"/>
          </w:tcPr>
          <w:p w14:paraId="6B4B06B6">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Dx</w:t>
            </w:r>
            <w:r>
              <w:rPr>
                <w:rFonts w:hint="eastAsia" w:ascii="Times New Roman" w:hAnsi="Times New Roman" w:cs="Times New Roman"/>
                <w:b/>
                <w:bCs/>
                <w:sz w:val="21"/>
                <w:szCs w:val="21"/>
                <w:highlight w:val="none"/>
                <w:lang w:val="en-US" w:eastAsia="zh-CN"/>
              </w:rPr>
              <w:t>s</w:t>
            </w:r>
            <w:r>
              <w:rPr>
                <w:rFonts w:hint="default" w:ascii="Times New Roman" w:hAnsi="Times New Roman" w:cs="Times New Roman"/>
                <w:b/>
                <w:bCs/>
                <w:sz w:val="21"/>
                <w:szCs w:val="21"/>
                <w:highlight w:val="none"/>
                <w:lang w:val="en-US" w:eastAsia="zh-CN"/>
              </w:rPr>
              <w:t>1#</w:t>
            </w:r>
          </w:p>
        </w:tc>
        <w:tc>
          <w:tcPr>
            <w:tcW w:w="556" w:type="pct"/>
            <w:tcBorders>
              <w:tl2br w:val="nil"/>
              <w:tr2bl w:val="nil"/>
            </w:tcBorders>
            <w:noWrap w:val="0"/>
            <w:vAlign w:val="center"/>
          </w:tcPr>
          <w:p w14:paraId="26F15984">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Dx</w:t>
            </w:r>
            <w:r>
              <w:rPr>
                <w:rFonts w:hint="eastAsia" w:ascii="Times New Roman" w:hAnsi="Times New Roman" w:cs="Times New Roman"/>
                <w:b/>
                <w:bCs/>
                <w:sz w:val="21"/>
                <w:szCs w:val="21"/>
                <w:highlight w:val="none"/>
                <w:lang w:val="en-US" w:eastAsia="zh-CN"/>
              </w:rPr>
              <w:t>s</w:t>
            </w:r>
            <w:r>
              <w:rPr>
                <w:rFonts w:hint="default" w:ascii="Times New Roman" w:hAnsi="Times New Roman" w:cs="Times New Roman"/>
                <w:b/>
                <w:bCs/>
                <w:sz w:val="21"/>
                <w:szCs w:val="21"/>
                <w:highlight w:val="none"/>
                <w:lang w:val="en-US" w:eastAsia="zh-CN"/>
              </w:rPr>
              <w:t>2#</w:t>
            </w:r>
          </w:p>
        </w:tc>
        <w:tc>
          <w:tcPr>
            <w:tcW w:w="556" w:type="pct"/>
            <w:tcBorders>
              <w:tl2br w:val="nil"/>
              <w:tr2bl w:val="nil"/>
            </w:tcBorders>
            <w:noWrap w:val="0"/>
            <w:vAlign w:val="center"/>
          </w:tcPr>
          <w:p w14:paraId="77A5D10C">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Dx</w:t>
            </w:r>
            <w:r>
              <w:rPr>
                <w:rFonts w:hint="eastAsia" w:ascii="Times New Roman" w:hAnsi="Times New Roman" w:cs="Times New Roman"/>
                <w:b/>
                <w:bCs/>
                <w:sz w:val="21"/>
                <w:szCs w:val="21"/>
                <w:highlight w:val="none"/>
                <w:lang w:val="en-US" w:eastAsia="zh-CN"/>
              </w:rPr>
              <w:t>s</w:t>
            </w:r>
            <w:r>
              <w:rPr>
                <w:rFonts w:hint="default" w:ascii="Times New Roman" w:hAnsi="Times New Roman" w:cs="Times New Roman"/>
                <w:b/>
                <w:bCs/>
                <w:sz w:val="21"/>
                <w:szCs w:val="21"/>
                <w:highlight w:val="none"/>
                <w:lang w:val="en-US" w:eastAsia="zh-CN"/>
              </w:rPr>
              <w:t>3#</w:t>
            </w:r>
          </w:p>
        </w:tc>
        <w:tc>
          <w:tcPr>
            <w:tcW w:w="556" w:type="pct"/>
            <w:tcBorders>
              <w:tl2br w:val="nil"/>
              <w:tr2bl w:val="nil"/>
            </w:tcBorders>
            <w:noWrap w:val="0"/>
            <w:vAlign w:val="center"/>
          </w:tcPr>
          <w:p w14:paraId="62F546BC">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Dx</w:t>
            </w:r>
            <w:r>
              <w:rPr>
                <w:rFonts w:hint="eastAsia" w:ascii="Times New Roman" w:hAnsi="Times New Roman" w:cs="Times New Roman"/>
                <w:b/>
                <w:bCs/>
                <w:sz w:val="21"/>
                <w:szCs w:val="21"/>
                <w:highlight w:val="none"/>
                <w:lang w:val="en-US" w:eastAsia="zh-CN"/>
              </w:rPr>
              <w:t>s4</w:t>
            </w:r>
            <w:r>
              <w:rPr>
                <w:rFonts w:hint="default" w:ascii="Times New Roman" w:hAnsi="Times New Roman" w:cs="Times New Roman"/>
                <w:b/>
                <w:bCs/>
                <w:sz w:val="21"/>
                <w:szCs w:val="21"/>
                <w:highlight w:val="none"/>
                <w:lang w:val="en-US" w:eastAsia="zh-CN"/>
              </w:rPr>
              <w:t>#</w:t>
            </w:r>
          </w:p>
        </w:tc>
        <w:tc>
          <w:tcPr>
            <w:tcW w:w="556" w:type="pct"/>
            <w:tcBorders>
              <w:tl2br w:val="nil"/>
              <w:tr2bl w:val="nil"/>
            </w:tcBorders>
            <w:noWrap w:val="0"/>
            <w:vAlign w:val="center"/>
          </w:tcPr>
          <w:p w14:paraId="0C08131B">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Dx</w:t>
            </w:r>
            <w:r>
              <w:rPr>
                <w:rFonts w:hint="eastAsia" w:ascii="Times New Roman" w:hAnsi="Times New Roman" w:cs="Times New Roman"/>
                <w:b/>
                <w:bCs/>
                <w:sz w:val="21"/>
                <w:szCs w:val="21"/>
                <w:highlight w:val="none"/>
                <w:lang w:val="en-US" w:eastAsia="zh-CN"/>
              </w:rPr>
              <w:t>s5</w:t>
            </w:r>
            <w:r>
              <w:rPr>
                <w:rFonts w:hint="default" w:ascii="Times New Roman" w:hAnsi="Times New Roman" w:cs="Times New Roman"/>
                <w:b/>
                <w:bCs/>
                <w:sz w:val="21"/>
                <w:szCs w:val="21"/>
                <w:highlight w:val="none"/>
                <w:lang w:val="en-US" w:eastAsia="zh-CN"/>
              </w:rPr>
              <w:t>#</w:t>
            </w:r>
          </w:p>
        </w:tc>
        <w:tc>
          <w:tcPr>
            <w:tcW w:w="556" w:type="pct"/>
            <w:tcBorders>
              <w:tl2br w:val="nil"/>
              <w:tr2bl w:val="nil"/>
            </w:tcBorders>
            <w:noWrap w:val="0"/>
            <w:vAlign w:val="center"/>
          </w:tcPr>
          <w:p w14:paraId="3B7BE214">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Dx</w:t>
            </w:r>
            <w:r>
              <w:rPr>
                <w:rFonts w:hint="eastAsia" w:ascii="Times New Roman" w:hAnsi="Times New Roman" w:cs="Times New Roman"/>
                <w:b/>
                <w:bCs/>
                <w:sz w:val="21"/>
                <w:szCs w:val="21"/>
                <w:highlight w:val="none"/>
                <w:lang w:val="en-US" w:eastAsia="zh-CN"/>
              </w:rPr>
              <w:t>s6</w:t>
            </w:r>
            <w:r>
              <w:rPr>
                <w:rFonts w:hint="default" w:ascii="Times New Roman" w:hAnsi="Times New Roman" w:cs="Times New Roman"/>
                <w:b/>
                <w:bCs/>
                <w:sz w:val="21"/>
                <w:szCs w:val="21"/>
                <w:highlight w:val="none"/>
                <w:lang w:val="en-US" w:eastAsia="zh-CN"/>
              </w:rPr>
              <w:t>#</w:t>
            </w:r>
          </w:p>
        </w:tc>
        <w:tc>
          <w:tcPr>
            <w:tcW w:w="556" w:type="pct"/>
            <w:tcBorders>
              <w:tl2br w:val="nil"/>
              <w:tr2bl w:val="nil"/>
            </w:tcBorders>
            <w:noWrap w:val="0"/>
            <w:vAlign w:val="center"/>
          </w:tcPr>
          <w:p w14:paraId="141B1F66">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Dx</w:t>
            </w:r>
            <w:r>
              <w:rPr>
                <w:rFonts w:hint="eastAsia" w:ascii="Times New Roman" w:hAnsi="Times New Roman" w:cs="Times New Roman"/>
                <w:b/>
                <w:bCs/>
                <w:sz w:val="21"/>
                <w:szCs w:val="21"/>
                <w:highlight w:val="none"/>
                <w:lang w:val="en-US" w:eastAsia="zh-CN"/>
              </w:rPr>
              <w:t>s7</w:t>
            </w:r>
            <w:r>
              <w:rPr>
                <w:rFonts w:hint="default" w:ascii="Times New Roman" w:hAnsi="Times New Roman" w:cs="Times New Roman"/>
                <w:b/>
                <w:bCs/>
                <w:sz w:val="21"/>
                <w:szCs w:val="21"/>
                <w:highlight w:val="none"/>
                <w:lang w:val="en-US" w:eastAsia="zh-CN"/>
              </w:rPr>
              <w:t>#</w:t>
            </w:r>
          </w:p>
        </w:tc>
      </w:tr>
      <w:tr w14:paraId="76CB91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49CAD699">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59" w:type="pct"/>
            <w:tcBorders>
              <w:tl2br w:val="nil"/>
              <w:tr2bl w:val="nil"/>
            </w:tcBorders>
            <w:noWrap w:val="0"/>
            <w:vAlign w:val="center"/>
          </w:tcPr>
          <w:p w14:paraId="2AC52EBB">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K</w:t>
            </w:r>
            <w:r>
              <w:rPr>
                <w:rFonts w:hint="default" w:ascii="Times New Roman" w:hAnsi="Times New Roman" w:cs="Times New Roman"/>
                <w:sz w:val="21"/>
                <w:szCs w:val="21"/>
                <w:highlight w:val="none"/>
                <w:vertAlign w:val="superscript"/>
              </w:rPr>
              <w:t>+</w:t>
            </w:r>
          </w:p>
        </w:tc>
        <w:tc>
          <w:tcPr>
            <w:tcW w:w="556" w:type="pct"/>
            <w:tcBorders>
              <w:tl2br w:val="nil"/>
              <w:tr2bl w:val="nil"/>
            </w:tcBorders>
            <w:shd w:val="clear" w:color="auto" w:fill="auto"/>
            <w:noWrap w:val="0"/>
            <w:vAlign w:val="center"/>
          </w:tcPr>
          <w:p w14:paraId="589378E8">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1.51</w:t>
            </w:r>
          </w:p>
        </w:tc>
        <w:tc>
          <w:tcPr>
            <w:tcW w:w="556" w:type="pct"/>
            <w:tcBorders>
              <w:tl2br w:val="nil"/>
              <w:tr2bl w:val="nil"/>
            </w:tcBorders>
            <w:shd w:val="clear" w:color="auto" w:fill="auto"/>
            <w:noWrap w:val="0"/>
            <w:vAlign w:val="center"/>
          </w:tcPr>
          <w:p w14:paraId="7B617748">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1.47</w:t>
            </w:r>
          </w:p>
        </w:tc>
        <w:tc>
          <w:tcPr>
            <w:tcW w:w="556" w:type="pct"/>
            <w:tcBorders>
              <w:tl2br w:val="nil"/>
              <w:tr2bl w:val="nil"/>
            </w:tcBorders>
            <w:shd w:val="clear" w:color="auto" w:fill="auto"/>
            <w:noWrap w:val="0"/>
            <w:vAlign w:val="center"/>
          </w:tcPr>
          <w:p w14:paraId="5DFCC237">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1.52</w:t>
            </w:r>
          </w:p>
        </w:tc>
        <w:tc>
          <w:tcPr>
            <w:tcW w:w="556" w:type="pct"/>
            <w:tcBorders>
              <w:tl2br w:val="nil"/>
              <w:tr2bl w:val="nil"/>
            </w:tcBorders>
            <w:shd w:val="clear" w:color="auto" w:fill="auto"/>
            <w:noWrap w:val="0"/>
            <w:vAlign w:val="center"/>
          </w:tcPr>
          <w:p w14:paraId="42A97F32">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1.56</w:t>
            </w:r>
          </w:p>
        </w:tc>
        <w:tc>
          <w:tcPr>
            <w:tcW w:w="556" w:type="pct"/>
            <w:tcBorders>
              <w:tl2br w:val="nil"/>
              <w:tr2bl w:val="nil"/>
            </w:tcBorders>
            <w:shd w:val="clear" w:color="auto" w:fill="auto"/>
            <w:noWrap w:val="0"/>
            <w:vAlign w:val="center"/>
          </w:tcPr>
          <w:p w14:paraId="4930DDC5">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1.06</w:t>
            </w:r>
          </w:p>
        </w:tc>
        <w:tc>
          <w:tcPr>
            <w:tcW w:w="556" w:type="pct"/>
            <w:tcBorders>
              <w:tl2br w:val="nil"/>
              <w:tr2bl w:val="nil"/>
            </w:tcBorders>
            <w:shd w:val="clear" w:color="auto" w:fill="auto"/>
            <w:noWrap w:val="0"/>
            <w:vAlign w:val="center"/>
          </w:tcPr>
          <w:p w14:paraId="0EF616DD">
            <w:pPr>
              <w:pStyle w:val="161"/>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1.08</w:t>
            </w:r>
          </w:p>
        </w:tc>
        <w:tc>
          <w:tcPr>
            <w:tcW w:w="556" w:type="pct"/>
            <w:tcBorders>
              <w:tl2br w:val="nil"/>
              <w:tr2bl w:val="nil"/>
            </w:tcBorders>
            <w:shd w:val="clear" w:color="auto" w:fill="auto"/>
            <w:noWrap w:val="0"/>
            <w:vAlign w:val="center"/>
          </w:tcPr>
          <w:p w14:paraId="25034495">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1.87</w:t>
            </w:r>
          </w:p>
        </w:tc>
      </w:tr>
      <w:tr w14:paraId="322D65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5E7D9722">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759" w:type="pct"/>
            <w:tcBorders>
              <w:tl2br w:val="nil"/>
              <w:tr2bl w:val="nil"/>
            </w:tcBorders>
            <w:noWrap w:val="0"/>
            <w:vAlign w:val="center"/>
          </w:tcPr>
          <w:p w14:paraId="38439B99">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Na</w:t>
            </w:r>
            <w:r>
              <w:rPr>
                <w:rFonts w:hint="default" w:ascii="Times New Roman" w:hAnsi="Times New Roman" w:cs="Times New Roman"/>
                <w:sz w:val="21"/>
                <w:szCs w:val="21"/>
                <w:highlight w:val="none"/>
                <w:vertAlign w:val="superscript"/>
              </w:rPr>
              <w:t>+</w:t>
            </w:r>
          </w:p>
        </w:tc>
        <w:tc>
          <w:tcPr>
            <w:tcW w:w="556" w:type="pct"/>
            <w:tcBorders>
              <w:tl2br w:val="nil"/>
              <w:tr2bl w:val="nil"/>
            </w:tcBorders>
            <w:shd w:val="clear" w:color="auto" w:fill="auto"/>
            <w:noWrap w:val="0"/>
            <w:vAlign w:val="center"/>
          </w:tcPr>
          <w:p w14:paraId="5B60155B">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37.7</w:t>
            </w:r>
          </w:p>
        </w:tc>
        <w:tc>
          <w:tcPr>
            <w:tcW w:w="556" w:type="pct"/>
            <w:tcBorders>
              <w:tl2br w:val="nil"/>
              <w:tr2bl w:val="nil"/>
            </w:tcBorders>
            <w:shd w:val="clear" w:color="auto" w:fill="auto"/>
            <w:noWrap w:val="0"/>
            <w:vAlign w:val="center"/>
          </w:tcPr>
          <w:p w14:paraId="0F6321E9">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38.5</w:t>
            </w:r>
          </w:p>
        </w:tc>
        <w:tc>
          <w:tcPr>
            <w:tcW w:w="556" w:type="pct"/>
            <w:tcBorders>
              <w:tl2br w:val="nil"/>
              <w:tr2bl w:val="nil"/>
            </w:tcBorders>
            <w:shd w:val="clear" w:color="auto" w:fill="auto"/>
            <w:noWrap w:val="0"/>
            <w:vAlign w:val="center"/>
          </w:tcPr>
          <w:p w14:paraId="595F9BC4">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37.0</w:t>
            </w:r>
          </w:p>
        </w:tc>
        <w:tc>
          <w:tcPr>
            <w:tcW w:w="556" w:type="pct"/>
            <w:tcBorders>
              <w:tl2br w:val="nil"/>
              <w:tr2bl w:val="nil"/>
            </w:tcBorders>
            <w:shd w:val="clear" w:color="auto" w:fill="auto"/>
            <w:noWrap w:val="0"/>
            <w:vAlign w:val="center"/>
          </w:tcPr>
          <w:p w14:paraId="70A5C5D5">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39.3</w:t>
            </w:r>
          </w:p>
        </w:tc>
        <w:tc>
          <w:tcPr>
            <w:tcW w:w="556" w:type="pct"/>
            <w:tcBorders>
              <w:tl2br w:val="nil"/>
              <w:tr2bl w:val="nil"/>
            </w:tcBorders>
            <w:shd w:val="clear" w:color="auto" w:fill="auto"/>
            <w:noWrap w:val="0"/>
            <w:vAlign w:val="center"/>
          </w:tcPr>
          <w:p w14:paraId="1376E5B4">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32.7</w:t>
            </w:r>
          </w:p>
        </w:tc>
        <w:tc>
          <w:tcPr>
            <w:tcW w:w="556" w:type="pct"/>
            <w:tcBorders>
              <w:tl2br w:val="nil"/>
              <w:tr2bl w:val="nil"/>
            </w:tcBorders>
            <w:shd w:val="clear" w:color="auto" w:fill="auto"/>
            <w:noWrap w:val="0"/>
            <w:vAlign w:val="center"/>
          </w:tcPr>
          <w:p w14:paraId="1DEB3829">
            <w:pPr>
              <w:pStyle w:val="161"/>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32.5</w:t>
            </w:r>
          </w:p>
        </w:tc>
        <w:tc>
          <w:tcPr>
            <w:tcW w:w="556" w:type="pct"/>
            <w:tcBorders>
              <w:tl2br w:val="nil"/>
              <w:tr2bl w:val="nil"/>
            </w:tcBorders>
            <w:shd w:val="clear" w:color="auto" w:fill="auto"/>
            <w:noWrap w:val="0"/>
            <w:vAlign w:val="center"/>
          </w:tcPr>
          <w:p w14:paraId="0EDDAE67">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w:t>
            </w:r>
          </w:p>
        </w:tc>
      </w:tr>
      <w:tr w14:paraId="182BEA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5DF7EFDC">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w:t>
            </w:r>
          </w:p>
        </w:tc>
        <w:tc>
          <w:tcPr>
            <w:tcW w:w="759" w:type="pct"/>
            <w:tcBorders>
              <w:tl2br w:val="nil"/>
              <w:tr2bl w:val="nil"/>
            </w:tcBorders>
            <w:noWrap w:val="0"/>
            <w:vAlign w:val="center"/>
          </w:tcPr>
          <w:p w14:paraId="58262FA9">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val="en-US" w:eastAsia="zh-CN"/>
              </w:rPr>
              <w:t>Mg</w:t>
            </w:r>
            <w:r>
              <w:rPr>
                <w:rFonts w:hint="default" w:ascii="Times New Roman" w:hAnsi="Times New Roman" w:cs="Times New Roman"/>
                <w:sz w:val="21"/>
                <w:szCs w:val="21"/>
                <w:highlight w:val="none"/>
                <w:vertAlign w:val="superscript"/>
                <w:lang w:val="en-US" w:eastAsia="zh-CN"/>
              </w:rPr>
              <w:t>2+</w:t>
            </w:r>
          </w:p>
        </w:tc>
        <w:tc>
          <w:tcPr>
            <w:tcW w:w="556" w:type="pct"/>
            <w:tcBorders>
              <w:tl2br w:val="nil"/>
              <w:tr2bl w:val="nil"/>
            </w:tcBorders>
            <w:shd w:val="clear" w:color="auto" w:fill="auto"/>
            <w:noWrap w:val="0"/>
            <w:vAlign w:val="center"/>
          </w:tcPr>
          <w:p w14:paraId="6B9A9FA9">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18.1</w:t>
            </w:r>
          </w:p>
        </w:tc>
        <w:tc>
          <w:tcPr>
            <w:tcW w:w="556" w:type="pct"/>
            <w:tcBorders>
              <w:tl2br w:val="nil"/>
              <w:tr2bl w:val="nil"/>
            </w:tcBorders>
            <w:shd w:val="clear" w:color="auto" w:fill="auto"/>
            <w:noWrap w:val="0"/>
            <w:vAlign w:val="center"/>
          </w:tcPr>
          <w:p w14:paraId="469DF2F5">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17.1</w:t>
            </w:r>
          </w:p>
        </w:tc>
        <w:tc>
          <w:tcPr>
            <w:tcW w:w="556" w:type="pct"/>
            <w:tcBorders>
              <w:tl2br w:val="nil"/>
              <w:tr2bl w:val="nil"/>
            </w:tcBorders>
            <w:shd w:val="clear" w:color="auto" w:fill="auto"/>
            <w:noWrap w:val="0"/>
            <w:vAlign w:val="center"/>
          </w:tcPr>
          <w:p w14:paraId="66DA3947">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17.0</w:t>
            </w:r>
          </w:p>
        </w:tc>
        <w:tc>
          <w:tcPr>
            <w:tcW w:w="556" w:type="pct"/>
            <w:tcBorders>
              <w:tl2br w:val="nil"/>
              <w:tr2bl w:val="nil"/>
            </w:tcBorders>
            <w:shd w:val="clear" w:color="auto" w:fill="auto"/>
            <w:noWrap w:val="0"/>
            <w:vAlign w:val="center"/>
          </w:tcPr>
          <w:p w14:paraId="7F87C2E9">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17.8</w:t>
            </w:r>
          </w:p>
        </w:tc>
        <w:tc>
          <w:tcPr>
            <w:tcW w:w="556" w:type="pct"/>
            <w:tcBorders>
              <w:tl2br w:val="nil"/>
              <w:tr2bl w:val="nil"/>
            </w:tcBorders>
            <w:shd w:val="clear" w:color="auto" w:fill="auto"/>
            <w:noWrap w:val="0"/>
            <w:vAlign w:val="center"/>
          </w:tcPr>
          <w:p w14:paraId="07AA2117">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10.8</w:t>
            </w:r>
          </w:p>
        </w:tc>
        <w:tc>
          <w:tcPr>
            <w:tcW w:w="556" w:type="pct"/>
            <w:tcBorders>
              <w:tl2br w:val="nil"/>
              <w:tr2bl w:val="nil"/>
            </w:tcBorders>
            <w:shd w:val="clear" w:color="auto" w:fill="auto"/>
            <w:noWrap w:val="0"/>
            <w:vAlign w:val="center"/>
          </w:tcPr>
          <w:p w14:paraId="394FB6C9">
            <w:pPr>
              <w:pStyle w:val="16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9.64</w:t>
            </w:r>
          </w:p>
        </w:tc>
        <w:tc>
          <w:tcPr>
            <w:tcW w:w="556" w:type="pct"/>
            <w:tcBorders>
              <w:tl2br w:val="nil"/>
              <w:tr2bl w:val="nil"/>
            </w:tcBorders>
            <w:shd w:val="clear" w:color="auto" w:fill="auto"/>
            <w:noWrap w:val="0"/>
            <w:vAlign w:val="center"/>
          </w:tcPr>
          <w:p w14:paraId="466F1758">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19.9</w:t>
            </w:r>
          </w:p>
        </w:tc>
      </w:tr>
      <w:tr w14:paraId="737F73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335994F7">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w:t>
            </w:r>
          </w:p>
        </w:tc>
        <w:tc>
          <w:tcPr>
            <w:tcW w:w="759" w:type="pct"/>
            <w:tcBorders>
              <w:tl2br w:val="nil"/>
              <w:tr2bl w:val="nil"/>
            </w:tcBorders>
            <w:noWrap w:val="0"/>
            <w:vAlign w:val="center"/>
          </w:tcPr>
          <w:p w14:paraId="10CC29E0">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val="en-US" w:eastAsia="zh-CN"/>
              </w:rPr>
              <w:t>Ca</w:t>
            </w:r>
            <w:r>
              <w:rPr>
                <w:rFonts w:hint="default" w:ascii="Times New Roman" w:hAnsi="Times New Roman" w:cs="Times New Roman"/>
                <w:sz w:val="21"/>
                <w:szCs w:val="21"/>
                <w:highlight w:val="none"/>
                <w:vertAlign w:val="superscript"/>
                <w:lang w:val="en-US" w:eastAsia="zh-CN"/>
              </w:rPr>
              <w:t>2+</w:t>
            </w:r>
          </w:p>
        </w:tc>
        <w:tc>
          <w:tcPr>
            <w:tcW w:w="556" w:type="pct"/>
            <w:tcBorders>
              <w:tl2br w:val="nil"/>
              <w:tr2bl w:val="nil"/>
            </w:tcBorders>
            <w:shd w:val="clear" w:color="auto" w:fill="auto"/>
            <w:noWrap w:val="0"/>
            <w:vAlign w:val="center"/>
          </w:tcPr>
          <w:p w14:paraId="3B7A86FB">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69.3</w:t>
            </w:r>
          </w:p>
        </w:tc>
        <w:tc>
          <w:tcPr>
            <w:tcW w:w="556" w:type="pct"/>
            <w:tcBorders>
              <w:tl2br w:val="nil"/>
              <w:tr2bl w:val="nil"/>
            </w:tcBorders>
            <w:shd w:val="clear" w:color="auto" w:fill="auto"/>
            <w:noWrap w:val="0"/>
            <w:vAlign w:val="center"/>
          </w:tcPr>
          <w:p w14:paraId="37D126C9">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66.1</w:t>
            </w:r>
          </w:p>
        </w:tc>
        <w:tc>
          <w:tcPr>
            <w:tcW w:w="556" w:type="pct"/>
            <w:tcBorders>
              <w:tl2br w:val="nil"/>
              <w:tr2bl w:val="nil"/>
            </w:tcBorders>
            <w:shd w:val="clear" w:color="auto" w:fill="auto"/>
            <w:noWrap w:val="0"/>
            <w:vAlign w:val="center"/>
          </w:tcPr>
          <w:p w14:paraId="4BD27F17">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66.3</w:t>
            </w:r>
          </w:p>
        </w:tc>
        <w:tc>
          <w:tcPr>
            <w:tcW w:w="556" w:type="pct"/>
            <w:tcBorders>
              <w:tl2br w:val="nil"/>
              <w:tr2bl w:val="nil"/>
            </w:tcBorders>
            <w:shd w:val="clear" w:color="auto" w:fill="auto"/>
            <w:noWrap w:val="0"/>
            <w:vAlign w:val="center"/>
          </w:tcPr>
          <w:p w14:paraId="60EF0E70">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67.2</w:t>
            </w:r>
          </w:p>
        </w:tc>
        <w:tc>
          <w:tcPr>
            <w:tcW w:w="556" w:type="pct"/>
            <w:tcBorders>
              <w:tl2br w:val="nil"/>
              <w:tr2bl w:val="nil"/>
            </w:tcBorders>
            <w:shd w:val="clear" w:color="auto" w:fill="auto"/>
            <w:noWrap w:val="0"/>
            <w:vAlign w:val="center"/>
          </w:tcPr>
          <w:p w14:paraId="0D8C016A">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59.6</w:t>
            </w:r>
          </w:p>
        </w:tc>
        <w:tc>
          <w:tcPr>
            <w:tcW w:w="556" w:type="pct"/>
            <w:tcBorders>
              <w:tl2br w:val="nil"/>
              <w:tr2bl w:val="nil"/>
            </w:tcBorders>
            <w:shd w:val="clear" w:color="auto" w:fill="auto"/>
            <w:noWrap w:val="0"/>
            <w:vAlign w:val="center"/>
          </w:tcPr>
          <w:p w14:paraId="3E3166ED">
            <w:pPr>
              <w:pStyle w:val="16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59.4</w:t>
            </w:r>
          </w:p>
        </w:tc>
        <w:tc>
          <w:tcPr>
            <w:tcW w:w="556" w:type="pct"/>
            <w:tcBorders>
              <w:tl2br w:val="nil"/>
              <w:tr2bl w:val="nil"/>
            </w:tcBorders>
            <w:shd w:val="clear" w:color="auto" w:fill="auto"/>
            <w:noWrap w:val="0"/>
            <w:vAlign w:val="center"/>
          </w:tcPr>
          <w:p w14:paraId="72282BC7">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64.0</w:t>
            </w:r>
          </w:p>
        </w:tc>
      </w:tr>
      <w:tr w14:paraId="5B348A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3B39AF02">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w:t>
            </w:r>
          </w:p>
        </w:tc>
        <w:tc>
          <w:tcPr>
            <w:tcW w:w="759" w:type="pct"/>
            <w:tcBorders>
              <w:tl2br w:val="nil"/>
              <w:tr2bl w:val="nil"/>
            </w:tcBorders>
            <w:noWrap w:val="0"/>
            <w:vAlign w:val="center"/>
          </w:tcPr>
          <w:p w14:paraId="70683826">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CO</w:t>
            </w:r>
            <w:r>
              <w:rPr>
                <w:rFonts w:hint="default" w:ascii="Times New Roman" w:hAnsi="Times New Roman" w:cs="Times New Roman"/>
                <w:sz w:val="21"/>
                <w:szCs w:val="21"/>
                <w:highlight w:val="none"/>
                <w:vertAlign w:val="subscript"/>
              </w:rPr>
              <w:t>3</w:t>
            </w:r>
            <w:r>
              <w:rPr>
                <w:rFonts w:hint="default" w:ascii="Times New Roman" w:hAnsi="Times New Roman" w:cs="Times New Roman"/>
                <w:sz w:val="21"/>
                <w:szCs w:val="21"/>
                <w:highlight w:val="none"/>
                <w:vertAlign w:val="superscript"/>
              </w:rPr>
              <w:t>2-</w:t>
            </w:r>
          </w:p>
        </w:tc>
        <w:tc>
          <w:tcPr>
            <w:tcW w:w="556" w:type="pct"/>
            <w:tcBorders>
              <w:tl2br w:val="nil"/>
              <w:tr2bl w:val="nil"/>
            </w:tcBorders>
            <w:noWrap w:val="0"/>
            <w:vAlign w:val="center"/>
          </w:tcPr>
          <w:p w14:paraId="335ACA55">
            <w:pPr>
              <w:pStyle w:val="161"/>
              <w:bidi w:val="0"/>
              <w:rPr>
                <w:rFonts w:hint="default" w:ascii="Times New Roman" w:hAnsi="Times New Roman" w:cs="Times New Roman"/>
                <w:sz w:val="21"/>
                <w:szCs w:val="21"/>
                <w:highlight w:val="none"/>
                <w:lang w:val="en-US" w:eastAsia="zh-CN"/>
              </w:rPr>
            </w:pPr>
            <w:r>
              <w:rPr>
                <w:rFonts w:hint="default" w:ascii="Times New Roman" w:hAnsi="Times New Roman" w:cs="Times New Roman"/>
                <w:color w:val="auto"/>
                <w:highlight w:val="none"/>
                <w:lang w:val="en-US" w:eastAsia="zh-CN"/>
              </w:rPr>
              <w:t>5L</w:t>
            </w:r>
          </w:p>
        </w:tc>
        <w:tc>
          <w:tcPr>
            <w:tcW w:w="556" w:type="pct"/>
            <w:tcBorders>
              <w:tl2br w:val="nil"/>
              <w:tr2bl w:val="nil"/>
            </w:tcBorders>
            <w:noWrap w:val="0"/>
            <w:vAlign w:val="center"/>
          </w:tcPr>
          <w:p w14:paraId="37963184">
            <w:pPr>
              <w:pStyle w:val="161"/>
              <w:bidi w:val="0"/>
              <w:rPr>
                <w:rFonts w:hint="default" w:ascii="Times New Roman" w:hAnsi="Times New Roman" w:cs="Times New Roman"/>
                <w:sz w:val="21"/>
                <w:szCs w:val="21"/>
                <w:highlight w:val="none"/>
                <w:lang w:val="en-US" w:eastAsia="zh-CN"/>
              </w:rPr>
            </w:pPr>
            <w:r>
              <w:rPr>
                <w:rFonts w:hint="default" w:ascii="Times New Roman" w:hAnsi="Times New Roman" w:cs="Times New Roman"/>
                <w:color w:val="auto"/>
                <w:highlight w:val="none"/>
                <w:lang w:val="en-US" w:eastAsia="zh-CN"/>
              </w:rPr>
              <w:t>5L</w:t>
            </w:r>
          </w:p>
        </w:tc>
        <w:tc>
          <w:tcPr>
            <w:tcW w:w="556" w:type="pct"/>
            <w:tcBorders>
              <w:tl2br w:val="nil"/>
              <w:tr2bl w:val="nil"/>
            </w:tcBorders>
            <w:noWrap w:val="0"/>
            <w:vAlign w:val="center"/>
          </w:tcPr>
          <w:p w14:paraId="227C8C2D">
            <w:pPr>
              <w:pStyle w:val="161"/>
              <w:bidi w:val="0"/>
              <w:rPr>
                <w:rFonts w:hint="default" w:ascii="Times New Roman" w:hAnsi="Times New Roman" w:cs="Times New Roman"/>
                <w:sz w:val="21"/>
                <w:szCs w:val="21"/>
                <w:highlight w:val="none"/>
                <w:lang w:val="en-US" w:eastAsia="zh-CN"/>
              </w:rPr>
            </w:pPr>
            <w:r>
              <w:rPr>
                <w:rFonts w:hint="default" w:ascii="Times New Roman" w:hAnsi="Times New Roman" w:cs="Times New Roman"/>
                <w:color w:val="auto"/>
                <w:highlight w:val="none"/>
                <w:lang w:val="en-US" w:eastAsia="zh-CN"/>
              </w:rPr>
              <w:t>5L</w:t>
            </w:r>
          </w:p>
        </w:tc>
        <w:tc>
          <w:tcPr>
            <w:tcW w:w="556" w:type="pct"/>
            <w:tcBorders>
              <w:tl2br w:val="nil"/>
              <w:tr2bl w:val="nil"/>
            </w:tcBorders>
            <w:noWrap w:val="0"/>
            <w:vAlign w:val="center"/>
          </w:tcPr>
          <w:p w14:paraId="0ECDC1A9">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5L</w:t>
            </w:r>
          </w:p>
        </w:tc>
        <w:tc>
          <w:tcPr>
            <w:tcW w:w="556" w:type="pct"/>
            <w:tcBorders>
              <w:tl2br w:val="nil"/>
              <w:tr2bl w:val="nil"/>
            </w:tcBorders>
            <w:noWrap w:val="0"/>
            <w:vAlign w:val="center"/>
          </w:tcPr>
          <w:p w14:paraId="30222E41">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5L</w:t>
            </w:r>
          </w:p>
        </w:tc>
        <w:tc>
          <w:tcPr>
            <w:tcW w:w="556" w:type="pct"/>
            <w:tcBorders>
              <w:tl2br w:val="nil"/>
              <w:tr2bl w:val="nil"/>
            </w:tcBorders>
            <w:noWrap w:val="0"/>
            <w:vAlign w:val="center"/>
          </w:tcPr>
          <w:p w14:paraId="30A5239B">
            <w:pPr>
              <w:pStyle w:val="16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5L</w:t>
            </w:r>
          </w:p>
        </w:tc>
        <w:tc>
          <w:tcPr>
            <w:tcW w:w="556" w:type="pct"/>
            <w:tcBorders>
              <w:tl2br w:val="nil"/>
              <w:tr2bl w:val="nil"/>
            </w:tcBorders>
            <w:shd w:val="clear" w:color="auto" w:fill="auto"/>
            <w:noWrap w:val="0"/>
            <w:vAlign w:val="center"/>
          </w:tcPr>
          <w:p w14:paraId="57A2F4DE">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5L</w:t>
            </w:r>
          </w:p>
        </w:tc>
      </w:tr>
      <w:tr w14:paraId="4EF746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0644204E">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w:t>
            </w:r>
          </w:p>
        </w:tc>
        <w:tc>
          <w:tcPr>
            <w:tcW w:w="759" w:type="pct"/>
            <w:tcBorders>
              <w:tl2br w:val="nil"/>
              <w:tr2bl w:val="nil"/>
            </w:tcBorders>
            <w:noWrap w:val="0"/>
            <w:vAlign w:val="center"/>
          </w:tcPr>
          <w:p w14:paraId="0565077D">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HCO</w:t>
            </w:r>
            <w:r>
              <w:rPr>
                <w:rFonts w:hint="default" w:ascii="Times New Roman" w:hAnsi="Times New Roman" w:cs="Times New Roman"/>
                <w:sz w:val="21"/>
                <w:szCs w:val="21"/>
                <w:highlight w:val="none"/>
                <w:vertAlign w:val="superscript"/>
              </w:rPr>
              <w:t>3-</w:t>
            </w:r>
          </w:p>
        </w:tc>
        <w:tc>
          <w:tcPr>
            <w:tcW w:w="556" w:type="pct"/>
            <w:tcBorders>
              <w:tl2br w:val="nil"/>
              <w:tr2bl w:val="nil"/>
            </w:tcBorders>
            <w:noWrap w:val="0"/>
            <w:vAlign w:val="center"/>
          </w:tcPr>
          <w:p w14:paraId="78228C65">
            <w:pPr>
              <w:pStyle w:val="161"/>
              <w:bidi w:val="0"/>
              <w:rPr>
                <w:rFonts w:hint="default" w:ascii="Times New Roman" w:hAnsi="Times New Roman" w:cs="Times New Roman"/>
                <w:sz w:val="21"/>
                <w:szCs w:val="21"/>
                <w:highlight w:val="none"/>
                <w:lang w:val="en-US" w:eastAsia="zh-CN"/>
              </w:rPr>
            </w:pPr>
            <w:r>
              <w:rPr>
                <w:rFonts w:hint="default" w:ascii="Times New Roman" w:hAnsi="Times New Roman" w:cs="Times New Roman"/>
                <w:color w:val="auto"/>
                <w:highlight w:val="none"/>
                <w:lang w:val="en-US" w:eastAsia="zh-CN"/>
              </w:rPr>
              <w:t>224</w:t>
            </w:r>
          </w:p>
        </w:tc>
        <w:tc>
          <w:tcPr>
            <w:tcW w:w="556" w:type="pct"/>
            <w:tcBorders>
              <w:tl2br w:val="nil"/>
              <w:tr2bl w:val="nil"/>
            </w:tcBorders>
            <w:noWrap w:val="0"/>
            <w:vAlign w:val="center"/>
          </w:tcPr>
          <w:p w14:paraId="4FF773BB">
            <w:pPr>
              <w:pStyle w:val="161"/>
              <w:bidi w:val="0"/>
              <w:rPr>
                <w:rFonts w:hint="default" w:ascii="Times New Roman" w:hAnsi="Times New Roman" w:cs="Times New Roman"/>
                <w:sz w:val="21"/>
                <w:szCs w:val="21"/>
                <w:highlight w:val="none"/>
                <w:lang w:val="en-US" w:eastAsia="zh-CN"/>
              </w:rPr>
            </w:pPr>
            <w:r>
              <w:rPr>
                <w:rFonts w:hint="default" w:ascii="Times New Roman" w:hAnsi="Times New Roman" w:cs="Times New Roman"/>
                <w:color w:val="auto"/>
                <w:highlight w:val="none"/>
                <w:lang w:val="en-US" w:eastAsia="zh-CN"/>
              </w:rPr>
              <w:t>212</w:t>
            </w:r>
          </w:p>
        </w:tc>
        <w:tc>
          <w:tcPr>
            <w:tcW w:w="556" w:type="pct"/>
            <w:tcBorders>
              <w:tl2br w:val="nil"/>
              <w:tr2bl w:val="nil"/>
            </w:tcBorders>
            <w:noWrap w:val="0"/>
            <w:vAlign w:val="center"/>
          </w:tcPr>
          <w:p w14:paraId="23886C8E">
            <w:pPr>
              <w:pStyle w:val="161"/>
              <w:bidi w:val="0"/>
              <w:rPr>
                <w:rFonts w:hint="default" w:ascii="Times New Roman" w:hAnsi="Times New Roman" w:cs="Times New Roman"/>
                <w:sz w:val="21"/>
                <w:szCs w:val="21"/>
                <w:highlight w:val="none"/>
                <w:lang w:val="en-US" w:eastAsia="zh-CN"/>
              </w:rPr>
            </w:pPr>
            <w:r>
              <w:rPr>
                <w:rFonts w:hint="default" w:ascii="Times New Roman" w:hAnsi="Times New Roman" w:cs="Times New Roman"/>
                <w:color w:val="auto"/>
                <w:highlight w:val="none"/>
                <w:lang w:val="en-US" w:eastAsia="zh-CN"/>
              </w:rPr>
              <w:t>207</w:t>
            </w:r>
          </w:p>
        </w:tc>
        <w:tc>
          <w:tcPr>
            <w:tcW w:w="556" w:type="pct"/>
            <w:tcBorders>
              <w:tl2br w:val="nil"/>
              <w:tr2bl w:val="nil"/>
            </w:tcBorders>
            <w:noWrap w:val="0"/>
            <w:vAlign w:val="center"/>
          </w:tcPr>
          <w:p w14:paraId="4F55A3EB">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231</w:t>
            </w:r>
          </w:p>
        </w:tc>
        <w:tc>
          <w:tcPr>
            <w:tcW w:w="556" w:type="pct"/>
            <w:tcBorders>
              <w:tl2br w:val="nil"/>
              <w:tr2bl w:val="nil"/>
            </w:tcBorders>
            <w:noWrap w:val="0"/>
            <w:vAlign w:val="center"/>
          </w:tcPr>
          <w:p w14:paraId="43B4A068">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164</w:t>
            </w:r>
          </w:p>
        </w:tc>
        <w:tc>
          <w:tcPr>
            <w:tcW w:w="556" w:type="pct"/>
            <w:tcBorders>
              <w:tl2br w:val="nil"/>
              <w:tr2bl w:val="nil"/>
            </w:tcBorders>
            <w:noWrap w:val="0"/>
            <w:vAlign w:val="center"/>
          </w:tcPr>
          <w:p w14:paraId="462E1EE6">
            <w:pPr>
              <w:pStyle w:val="16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158</w:t>
            </w:r>
          </w:p>
        </w:tc>
        <w:tc>
          <w:tcPr>
            <w:tcW w:w="556" w:type="pct"/>
            <w:tcBorders>
              <w:tl2br w:val="nil"/>
              <w:tr2bl w:val="nil"/>
            </w:tcBorders>
            <w:shd w:val="clear" w:color="auto" w:fill="auto"/>
            <w:noWrap w:val="0"/>
            <w:vAlign w:val="center"/>
          </w:tcPr>
          <w:p w14:paraId="103F0374">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192</w:t>
            </w:r>
          </w:p>
        </w:tc>
      </w:tr>
      <w:tr w14:paraId="53DC0D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67007A10">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7</w:t>
            </w:r>
          </w:p>
        </w:tc>
        <w:tc>
          <w:tcPr>
            <w:tcW w:w="759" w:type="pct"/>
            <w:tcBorders>
              <w:tl2br w:val="nil"/>
              <w:tr2bl w:val="nil"/>
            </w:tcBorders>
            <w:shd w:val="clear" w:color="auto" w:fill="auto"/>
            <w:noWrap w:val="0"/>
            <w:vAlign w:val="center"/>
          </w:tcPr>
          <w:p w14:paraId="52ECB431">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Cl</w:t>
            </w:r>
            <w:r>
              <w:rPr>
                <w:rFonts w:hint="default" w:ascii="Times New Roman" w:hAnsi="Times New Roman" w:cs="Times New Roman"/>
                <w:sz w:val="21"/>
                <w:szCs w:val="21"/>
                <w:highlight w:val="none"/>
                <w:vertAlign w:val="superscript"/>
              </w:rPr>
              <w:t>-</w:t>
            </w:r>
          </w:p>
        </w:tc>
        <w:tc>
          <w:tcPr>
            <w:tcW w:w="556" w:type="pct"/>
            <w:tcBorders>
              <w:tl2br w:val="nil"/>
              <w:tr2bl w:val="nil"/>
            </w:tcBorders>
            <w:shd w:val="clear" w:color="auto" w:fill="auto"/>
            <w:noWrap w:val="0"/>
            <w:vAlign w:val="center"/>
          </w:tcPr>
          <w:p w14:paraId="05EFE048">
            <w:pPr>
              <w:pStyle w:val="161"/>
              <w:bidi w:val="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highlight w:val="none"/>
                <w:lang w:val="en-US" w:eastAsia="zh-CN"/>
              </w:rPr>
              <w:t>70.1</w:t>
            </w:r>
          </w:p>
        </w:tc>
        <w:tc>
          <w:tcPr>
            <w:tcW w:w="556" w:type="pct"/>
            <w:tcBorders>
              <w:tl2br w:val="nil"/>
              <w:tr2bl w:val="nil"/>
            </w:tcBorders>
            <w:shd w:val="clear" w:color="auto" w:fill="auto"/>
            <w:noWrap w:val="0"/>
            <w:vAlign w:val="center"/>
          </w:tcPr>
          <w:p w14:paraId="74CE3F85">
            <w:pPr>
              <w:pStyle w:val="161"/>
              <w:bidi w:val="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highlight w:val="none"/>
                <w:lang w:val="en-US" w:eastAsia="zh-CN"/>
              </w:rPr>
              <w:t>71.6</w:t>
            </w:r>
          </w:p>
        </w:tc>
        <w:tc>
          <w:tcPr>
            <w:tcW w:w="556" w:type="pct"/>
            <w:tcBorders>
              <w:tl2br w:val="nil"/>
              <w:tr2bl w:val="nil"/>
            </w:tcBorders>
            <w:shd w:val="clear" w:color="auto" w:fill="auto"/>
            <w:noWrap w:val="0"/>
            <w:vAlign w:val="center"/>
          </w:tcPr>
          <w:p w14:paraId="28196C48">
            <w:pPr>
              <w:pStyle w:val="161"/>
              <w:bidi w:val="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highlight w:val="none"/>
                <w:lang w:val="en-US" w:eastAsia="zh-CN"/>
              </w:rPr>
              <w:t>69.1</w:t>
            </w:r>
          </w:p>
        </w:tc>
        <w:tc>
          <w:tcPr>
            <w:tcW w:w="556" w:type="pct"/>
            <w:tcBorders>
              <w:tl2br w:val="nil"/>
              <w:tr2bl w:val="nil"/>
            </w:tcBorders>
            <w:shd w:val="clear" w:color="auto" w:fill="auto"/>
            <w:noWrap w:val="0"/>
            <w:vAlign w:val="center"/>
          </w:tcPr>
          <w:p w14:paraId="7D434A4C">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69.1</w:t>
            </w:r>
          </w:p>
        </w:tc>
        <w:tc>
          <w:tcPr>
            <w:tcW w:w="556" w:type="pct"/>
            <w:tcBorders>
              <w:tl2br w:val="nil"/>
              <w:tr2bl w:val="nil"/>
            </w:tcBorders>
            <w:shd w:val="clear" w:color="auto" w:fill="auto"/>
            <w:noWrap w:val="0"/>
            <w:vAlign w:val="center"/>
          </w:tcPr>
          <w:p w14:paraId="15B55388">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63.8</w:t>
            </w:r>
          </w:p>
        </w:tc>
        <w:tc>
          <w:tcPr>
            <w:tcW w:w="556" w:type="pct"/>
            <w:tcBorders>
              <w:tl2br w:val="nil"/>
              <w:tr2bl w:val="nil"/>
            </w:tcBorders>
            <w:shd w:val="clear" w:color="auto" w:fill="auto"/>
            <w:noWrap w:val="0"/>
            <w:vAlign w:val="center"/>
          </w:tcPr>
          <w:p w14:paraId="5A9A1E98">
            <w:pPr>
              <w:pStyle w:val="16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63.0</w:t>
            </w:r>
          </w:p>
        </w:tc>
        <w:tc>
          <w:tcPr>
            <w:tcW w:w="556" w:type="pct"/>
            <w:tcBorders>
              <w:tl2br w:val="nil"/>
              <w:tr2bl w:val="nil"/>
            </w:tcBorders>
            <w:shd w:val="clear" w:color="auto" w:fill="auto"/>
            <w:noWrap w:val="0"/>
            <w:vAlign w:val="center"/>
          </w:tcPr>
          <w:p w14:paraId="50FFAE94">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66.4</w:t>
            </w:r>
          </w:p>
        </w:tc>
      </w:tr>
      <w:tr w14:paraId="5EA6FB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45" w:type="pct"/>
            <w:tcBorders>
              <w:tl2br w:val="nil"/>
              <w:tr2bl w:val="nil"/>
            </w:tcBorders>
            <w:noWrap w:val="0"/>
            <w:vAlign w:val="center"/>
          </w:tcPr>
          <w:p w14:paraId="3E891640">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w:t>
            </w:r>
          </w:p>
        </w:tc>
        <w:tc>
          <w:tcPr>
            <w:tcW w:w="759" w:type="pct"/>
            <w:tcBorders>
              <w:tl2br w:val="nil"/>
              <w:tr2bl w:val="nil"/>
            </w:tcBorders>
            <w:shd w:val="clear" w:color="auto" w:fill="auto"/>
            <w:noWrap w:val="0"/>
            <w:vAlign w:val="center"/>
          </w:tcPr>
          <w:p w14:paraId="5A3ED530">
            <w:pPr>
              <w:keepNext w:val="0"/>
              <w:keepLines w:val="0"/>
              <w:pageBreakBefore w:val="0"/>
              <w:widowControl w:val="0"/>
              <w:tabs>
                <w:tab w:val="left" w:pos="1255"/>
              </w:tabs>
              <w:kinsoku/>
              <w:wordWrap/>
              <w:overflowPunct/>
              <w:topLinePunct w:val="0"/>
              <w:autoSpaceDE/>
              <w:autoSpaceDN/>
              <w:bidi w:val="0"/>
              <w:adjustRightInd w:val="0"/>
              <w:snapToGrid w:val="0"/>
              <w:spacing w:line="260" w:lineRule="exact"/>
              <w:ind w:left="0" w:leftChars="0" w:firstLine="0" w:firstLineChars="0"/>
              <w:jc w:val="center"/>
              <w:textAlignment w:val="auto"/>
              <w:outlineLvl w:val="9"/>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SO</w:t>
            </w:r>
            <w:r>
              <w:rPr>
                <w:rFonts w:hint="default" w:ascii="Times New Roman" w:hAnsi="Times New Roman" w:cs="Times New Roman"/>
                <w:sz w:val="21"/>
                <w:szCs w:val="21"/>
                <w:highlight w:val="none"/>
                <w:vertAlign w:val="subscript"/>
              </w:rPr>
              <w:t>4</w:t>
            </w:r>
            <w:r>
              <w:rPr>
                <w:rFonts w:hint="default" w:ascii="Times New Roman" w:hAnsi="Times New Roman" w:cs="Times New Roman"/>
                <w:sz w:val="21"/>
                <w:szCs w:val="21"/>
                <w:highlight w:val="none"/>
                <w:vertAlign w:val="superscript"/>
              </w:rPr>
              <w:t>2-</w:t>
            </w:r>
          </w:p>
        </w:tc>
        <w:tc>
          <w:tcPr>
            <w:tcW w:w="556" w:type="pct"/>
            <w:tcBorders>
              <w:tl2br w:val="nil"/>
              <w:tr2bl w:val="nil"/>
            </w:tcBorders>
            <w:shd w:val="clear" w:color="auto" w:fill="auto"/>
            <w:noWrap w:val="0"/>
            <w:vAlign w:val="center"/>
          </w:tcPr>
          <w:p w14:paraId="6457448D">
            <w:pPr>
              <w:pStyle w:val="161"/>
              <w:bidi w:val="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highlight w:val="none"/>
                <w:lang w:val="en-US" w:eastAsia="zh-CN"/>
              </w:rPr>
              <w:t>44.4</w:t>
            </w:r>
          </w:p>
        </w:tc>
        <w:tc>
          <w:tcPr>
            <w:tcW w:w="556" w:type="pct"/>
            <w:tcBorders>
              <w:tl2br w:val="nil"/>
              <w:tr2bl w:val="nil"/>
            </w:tcBorders>
            <w:shd w:val="clear" w:color="auto" w:fill="auto"/>
            <w:noWrap w:val="0"/>
            <w:vAlign w:val="center"/>
          </w:tcPr>
          <w:p w14:paraId="1F8FF1D6">
            <w:pPr>
              <w:pStyle w:val="161"/>
              <w:bidi w:val="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highlight w:val="none"/>
                <w:lang w:val="en-US" w:eastAsia="zh-CN"/>
              </w:rPr>
              <w:t>43.5</w:t>
            </w:r>
          </w:p>
        </w:tc>
        <w:tc>
          <w:tcPr>
            <w:tcW w:w="556" w:type="pct"/>
            <w:tcBorders>
              <w:tl2br w:val="nil"/>
              <w:tr2bl w:val="nil"/>
            </w:tcBorders>
            <w:shd w:val="clear" w:color="auto" w:fill="auto"/>
            <w:noWrap w:val="0"/>
            <w:vAlign w:val="center"/>
          </w:tcPr>
          <w:p w14:paraId="5275EC2E">
            <w:pPr>
              <w:pStyle w:val="161"/>
              <w:bidi w:val="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highlight w:val="none"/>
                <w:lang w:val="en-US" w:eastAsia="zh-CN"/>
              </w:rPr>
              <w:t>43.0</w:t>
            </w:r>
          </w:p>
        </w:tc>
        <w:tc>
          <w:tcPr>
            <w:tcW w:w="556" w:type="pct"/>
            <w:tcBorders>
              <w:tl2br w:val="nil"/>
              <w:tr2bl w:val="nil"/>
            </w:tcBorders>
            <w:shd w:val="clear" w:color="auto" w:fill="auto"/>
            <w:noWrap w:val="0"/>
            <w:vAlign w:val="center"/>
          </w:tcPr>
          <w:p w14:paraId="201F4098">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44.7</w:t>
            </w:r>
          </w:p>
        </w:tc>
        <w:tc>
          <w:tcPr>
            <w:tcW w:w="556" w:type="pct"/>
            <w:tcBorders>
              <w:tl2br w:val="nil"/>
              <w:tr2bl w:val="nil"/>
            </w:tcBorders>
            <w:shd w:val="clear" w:color="auto" w:fill="auto"/>
            <w:noWrap w:val="0"/>
            <w:vAlign w:val="center"/>
          </w:tcPr>
          <w:p w14:paraId="102D9F5D">
            <w:pPr>
              <w:pStyle w:val="161"/>
              <w:bidi w:val="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39.3</w:t>
            </w:r>
          </w:p>
        </w:tc>
        <w:tc>
          <w:tcPr>
            <w:tcW w:w="556" w:type="pct"/>
            <w:tcBorders>
              <w:tl2br w:val="nil"/>
              <w:tr2bl w:val="nil"/>
            </w:tcBorders>
            <w:shd w:val="clear" w:color="auto" w:fill="auto"/>
            <w:noWrap w:val="0"/>
            <w:vAlign w:val="center"/>
          </w:tcPr>
          <w:p w14:paraId="39BFF50C">
            <w:pPr>
              <w:pStyle w:val="161"/>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39.4</w:t>
            </w:r>
          </w:p>
        </w:tc>
        <w:tc>
          <w:tcPr>
            <w:tcW w:w="556" w:type="pct"/>
            <w:tcBorders>
              <w:tl2br w:val="nil"/>
              <w:tr2bl w:val="nil"/>
            </w:tcBorders>
            <w:shd w:val="clear" w:color="auto" w:fill="auto"/>
            <w:noWrap w:val="0"/>
            <w:vAlign w:val="center"/>
          </w:tcPr>
          <w:p w14:paraId="5C40FDDC">
            <w:pPr>
              <w:pStyle w:val="161"/>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50.4</w:t>
            </w:r>
          </w:p>
        </w:tc>
      </w:tr>
    </w:tbl>
    <w:p w14:paraId="3C570038">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sz w:val="21"/>
          <w:szCs w:val="21"/>
          <w:highlight w:val="none"/>
          <w:lang w:val="en-US" w:eastAsia="zh-CN"/>
        </w:rPr>
      </w:pPr>
      <w:r>
        <w:rPr>
          <w:rFonts w:hint="default" w:ascii="Times New Roman" w:hAnsi="Times New Roman" w:eastAsia="宋体" w:cs="Times New Roman"/>
          <w:b/>
          <w:sz w:val="21"/>
          <w:szCs w:val="21"/>
          <w:highlight w:val="none"/>
          <w:lang w:val="en-US" w:eastAsia="zh-CN"/>
        </w:rPr>
        <w:t>地下水现状评价结果一览表</w:t>
      </w:r>
    </w:p>
    <w:tbl>
      <w:tblPr>
        <w:tblStyle w:val="58"/>
        <w:tblW w:w="5015"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1469"/>
        <w:gridCol w:w="723"/>
        <w:gridCol w:w="725"/>
        <w:gridCol w:w="495"/>
        <w:gridCol w:w="725"/>
        <w:gridCol w:w="495"/>
        <w:gridCol w:w="725"/>
        <w:gridCol w:w="495"/>
        <w:gridCol w:w="725"/>
        <w:gridCol w:w="495"/>
        <w:gridCol w:w="725"/>
        <w:gridCol w:w="495"/>
        <w:gridCol w:w="725"/>
        <w:gridCol w:w="495"/>
        <w:gridCol w:w="725"/>
        <w:gridCol w:w="495"/>
        <w:gridCol w:w="725"/>
        <w:gridCol w:w="725"/>
        <w:gridCol w:w="499"/>
        <w:gridCol w:w="499"/>
        <w:gridCol w:w="415"/>
        <w:gridCol w:w="415"/>
      </w:tblGrid>
      <w:tr w14:paraId="04DB7A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6" w:hRule="atLeast"/>
        </w:trPr>
        <w:tc>
          <w:tcPr>
            <w:tcW w:w="524" w:type="pct"/>
            <w:vMerge w:val="restart"/>
            <w:tcBorders>
              <w:tl2br w:val="nil"/>
              <w:tr2bl w:val="nil"/>
            </w:tcBorders>
            <w:shd w:val="clear" w:color="auto" w:fill="auto"/>
            <w:noWrap w:val="0"/>
            <w:vAlign w:val="center"/>
          </w:tcPr>
          <w:p w14:paraId="38393A37">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     采样点位</w:t>
            </w:r>
          </w:p>
          <w:p w14:paraId="58FE1E82">
            <w:pPr>
              <w:pStyle w:val="324"/>
              <w:bidi w:val="0"/>
              <w:spacing w:line="240" w:lineRule="auto"/>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检测项目</w:t>
            </w:r>
          </w:p>
        </w:tc>
        <w:tc>
          <w:tcPr>
            <w:tcW w:w="257" w:type="pct"/>
            <w:vMerge w:val="restart"/>
            <w:tcBorders>
              <w:tl2br w:val="nil"/>
              <w:tr2bl w:val="nil"/>
            </w:tcBorders>
            <w:shd w:val="clear" w:color="auto" w:fill="auto"/>
            <w:noWrap w:val="0"/>
            <w:vAlign w:val="center"/>
          </w:tcPr>
          <w:p w14:paraId="12421507">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标准值</w:t>
            </w:r>
          </w:p>
        </w:tc>
        <w:tc>
          <w:tcPr>
            <w:tcW w:w="435" w:type="pct"/>
            <w:gridSpan w:val="2"/>
            <w:tcBorders>
              <w:tl2br w:val="nil"/>
              <w:tr2bl w:val="nil"/>
            </w:tcBorders>
            <w:shd w:val="clear" w:color="auto" w:fill="auto"/>
            <w:noWrap w:val="0"/>
            <w:vAlign w:val="center"/>
          </w:tcPr>
          <w:p w14:paraId="11120CF6">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Dx1#</w:t>
            </w:r>
          </w:p>
        </w:tc>
        <w:tc>
          <w:tcPr>
            <w:tcW w:w="435" w:type="pct"/>
            <w:gridSpan w:val="2"/>
            <w:tcBorders>
              <w:tl2br w:val="nil"/>
              <w:tr2bl w:val="nil"/>
            </w:tcBorders>
            <w:shd w:val="clear" w:color="auto" w:fill="auto"/>
            <w:noWrap w:val="0"/>
            <w:vAlign w:val="center"/>
          </w:tcPr>
          <w:p w14:paraId="59DC93F2">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Dx2#</w:t>
            </w:r>
          </w:p>
        </w:tc>
        <w:tc>
          <w:tcPr>
            <w:tcW w:w="435" w:type="pct"/>
            <w:gridSpan w:val="2"/>
            <w:tcBorders>
              <w:tl2br w:val="nil"/>
              <w:tr2bl w:val="nil"/>
            </w:tcBorders>
            <w:shd w:val="clear" w:color="auto" w:fill="auto"/>
            <w:noWrap w:val="0"/>
            <w:vAlign w:val="center"/>
          </w:tcPr>
          <w:p w14:paraId="2CCE1397">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Dx3#</w:t>
            </w:r>
          </w:p>
        </w:tc>
        <w:tc>
          <w:tcPr>
            <w:tcW w:w="435" w:type="pct"/>
            <w:gridSpan w:val="2"/>
            <w:tcBorders>
              <w:tl2br w:val="nil"/>
              <w:tr2bl w:val="nil"/>
            </w:tcBorders>
            <w:shd w:val="clear" w:color="auto" w:fill="auto"/>
            <w:noWrap w:val="0"/>
            <w:vAlign w:val="center"/>
          </w:tcPr>
          <w:p w14:paraId="23D9F876">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Dx4#</w:t>
            </w:r>
          </w:p>
        </w:tc>
        <w:tc>
          <w:tcPr>
            <w:tcW w:w="435" w:type="pct"/>
            <w:gridSpan w:val="2"/>
            <w:tcBorders>
              <w:tl2br w:val="nil"/>
              <w:tr2bl w:val="nil"/>
            </w:tcBorders>
            <w:shd w:val="clear" w:color="auto" w:fill="auto"/>
            <w:noWrap w:val="0"/>
            <w:vAlign w:val="center"/>
          </w:tcPr>
          <w:p w14:paraId="03411C97">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Dx5#</w:t>
            </w:r>
          </w:p>
        </w:tc>
        <w:tc>
          <w:tcPr>
            <w:tcW w:w="435" w:type="pct"/>
            <w:gridSpan w:val="2"/>
            <w:tcBorders>
              <w:tl2br w:val="nil"/>
              <w:tr2bl w:val="nil"/>
            </w:tcBorders>
            <w:shd w:val="clear" w:color="auto" w:fill="auto"/>
            <w:noWrap w:val="0"/>
            <w:vAlign w:val="center"/>
          </w:tcPr>
          <w:p w14:paraId="527D3B0D">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Dx6#</w:t>
            </w:r>
          </w:p>
        </w:tc>
        <w:tc>
          <w:tcPr>
            <w:tcW w:w="435" w:type="pct"/>
            <w:gridSpan w:val="2"/>
            <w:tcBorders>
              <w:tl2br w:val="nil"/>
              <w:tr2bl w:val="nil"/>
            </w:tcBorders>
            <w:shd w:val="clear" w:color="auto" w:fill="auto"/>
            <w:noWrap w:val="0"/>
            <w:vAlign w:val="center"/>
          </w:tcPr>
          <w:p w14:paraId="66EEA0F3">
            <w:pPr>
              <w:pStyle w:val="324"/>
              <w:bidi w:val="0"/>
              <w:spacing w:line="240" w:lineRule="auto"/>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Dx7#</w:t>
            </w:r>
          </w:p>
        </w:tc>
        <w:tc>
          <w:tcPr>
            <w:tcW w:w="258" w:type="pct"/>
            <w:vMerge w:val="restart"/>
            <w:tcBorders>
              <w:tl2br w:val="nil"/>
              <w:tr2bl w:val="nil"/>
            </w:tcBorders>
            <w:shd w:val="clear" w:color="auto" w:fill="auto"/>
            <w:noWrap w:val="0"/>
            <w:vAlign w:val="center"/>
          </w:tcPr>
          <w:p w14:paraId="579C0D88">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最大值</w:t>
            </w:r>
          </w:p>
        </w:tc>
        <w:tc>
          <w:tcPr>
            <w:tcW w:w="258" w:type="pct"/>
            <w:vMerge w:val="restart"/>
            <w:tcBorders>
              <w:tl2br w:val="nil"/>
              <w:tr2bl w:val="nil"/>
            </w:tcBorders>
            <w:shd w:val="clear" w:color="auto" w:fill="auto"/>
            <w:noWrap w:val="0"/>
            <w:vAlign w:val="center"/>
          </w:tcPr>
          <w:p w14:paraId="236ADA94">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最小值</w:t>
            </w:r>
          </w:p>
        </w:tc>
        <w:tc>
          <w:tcPr>
            <w:tcW w:w="178" w:type="pct"/>
            <w:vMerge w:val="restart"/>
            <w:tcBorders>
              <w:tl2br w:val="nil"/>
              <w:tr2bl w:val="nil"/>
            </w:tcBorders>
            <w:shd w:val="clear" w:color="auto" w:fill="auto"/>
            <w:noWrap w:val="0"/>
            <w:vAlign w:val="center"/>
          </w:tcPr>
          <w:p w14:paraId="69C25A11">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均值</w:t>
            </w:r>
          </w:p>
        </w:tc>
        <w:tc>
          <w:tcPr>
            <w:tcW w:w="178" w:type="pct"/>
            <w:vMerge w:val="restart"/>
            <w:tcBorders>
              <w:tl2br w:val="nil"/>
              <w:tr2bl w:val="nil"/>
            </w:tcBorders>
            <w:shd w:val="clear" w:color="auto" w:fill="auto"/>
            <w:noWrap w:val="0"/>
            <w:vAlign w:val="center"/>
          </w:tcPr>
          <w:p w14:paraId="25FA1F34">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标准差</w:t>
            </w:r>
          </w:p>
        </w:tc>
        <w:tc>
          <w:tcPr>
            <w:tcW w:w="148" w:type="pct"/>
            <w:vMerge w:val="restart"/>
            <w:tcBorders>
              <w:tl2br w:val="nil"/>
              <w:tr2bl w:val="nil"/>
            </w:tcBorders>
            <w:shd w:val="clear" w:color="auto" w:fill="auto"/>
            <w:noWrap w:val="0"/>
            <w:vAlign w:val="center"/>
          </w:tcPr>
          <w:p w14:paraId="7910E6DD">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检出率%</w:t>
            </w:r>
          </w:p>
        </w:tc>
        <w:tc>
          <w:tcPr>
            <w:tcW w:w="148" w:type="pct"/>
            <w:vMerge w:val="restart"/>
            <w:tcBorders>
              <w:tl2br w:val="nil"/>
              <w:tr2bl w:val="nil"/>
            </w:tcBorders>
            <w:shd w:val="clear" w:color="auto" w:fill="auto"/>
            <w:noWrap w:val="0"/>
            <w:vAlign w:val="center"/>
          </w:tcPr>
          <w:p w14:paraId="167AD921">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超标率%</w:t>
            </w:r>
          </w:p>
        </w:tc>
      </w:tr>
      <w:tr w14:paraId="6ED7DD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67" w:hRule="atLeast"/>
        </w:trPr>
        <w:tc>
          <w:tcPr>
            <w:tcW w:w="524" w:type="pct"/>
            <w:vMerge w:val="continue"/>
            <w:tcBorders>
              <w:tl2br w:val="nil"/>
              <w:tr2bl w:val="nil"/>
            </w:tcBorders>
            <w:shd w:val="clear" w:color="auto" w:fill="auto"/>
            <w:noWrap w:val="0"/>
            <w:vAlign w:val="center"/>
          </w:tcPr>
          <w:p w14:paraId="541D0D7D">
            <w:pPr>
              <w:pStyle w:val="324"/>
              <w:bidi w:val="0"/>
              <w:spacing w:line="240" w:lineRule="auto"/>
              <w:rPr>
                <w:rFonts w:hint="default" w:ascii="Times New Roman" w:hAnsi="Times New Roman" w:cs="Times New Roman"/>
                <w:color w:val="auto"/>
                <w:highlight w:val="none"/>
                <w:lang w:val="en-US" w:eastAsia="zh-CN"/>
              </w:rPr>
            </w:pPr>
          </w:p>
        </w:tc>
        <w:tc>
          <w:tcPr>
            <w:tcW w:w="257" w:type="pct"/>
            <w:vMerge w:val="continue"/>
            <w:tcBorders>
              <w:tl2br w:val="nil"/>
              <w:tr2bl w:val="nil"/>
            </w:tcBorders>
            <w:shd w:val="clear" w:color="auto" w:fill="auto"/>
            <w:noWrap w:val="0"/>
            <w:vAlign w:val="center"/>
          </w:tcPr>
          <w:p w14:paraId="47B245F2">
            <w:pPr>
              <w:pStyle w:val="324"/>
              <w:bidi w:val="0"/>
              <w:spacing w:line="240" w:lineRule="auto"/>
              <w:rPr>
                <w:rFonts w:hint="default" w:ascii="Times New Roman" w:hAnsi="Times New Roman" w:cs="Times New Roman"/>
                <w:color w:val="auto"/>
                <w:highlight w:val="none"/>
                <w:lang w:val="en-US" w:eastAsia="zh-CN"/>
              </w:rPr>
            </w:pPr>
          </w:p>
        </w:tc>
        <w:tc>
          <w:tcPr>
            <w:tcW w:w="258" w:type="pct"/>
            <w:tcBorders>
              <w:tl2br w:val="nil"/>
              <w:tr2bl w:val="nil"/>
            </w:tcBorders>
            <w:shd w:val="clear" w:color="auto" w:fill="auto"/>
            <w:noWrap w:val="0"/>
            <w:vAlign w:val="center"/>
          </w:tcPr>
          <w:p w14:paraId="334A70ED">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检测值</w:t>
            </w:r>
          </w:p>
        </w:tc>
        <w:tc>
          <w:tcPr>
            <w:tcW w:w="176" w:type="pct"/>
            <w:tcBorders>
              <w:tl2br w:val="nil"/>
              <w:tr2bl w:val="nil"/>
            </w:tcBorders>
            <w:shd w:val="clear" w:color="auto" w:fill="auto"/>
            <w:noWrap w:val="0"/>
            <w:vAlign w:val="center"/>
          </w:tcPr>
          <w:p w14:paraId="771ADD16">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标准指数</w:t>
            </w:r>
          </w:p>
        </w:tc>
        <w:tc>
          <w:tcPr>
            <w:tcW w:w="258" w:type="pct"/>
            <w:tcBorders>
              <w:tl2br w:val="nil"/>
              <w:tr2bl w:val="nil"/>
            </w:tcBorders>
            <w:shd w:val="clear" w:color="auto" w:fill="auto"/>
            <w:noWrap w:val="0"/>
            <w:vAlign w:val="center"/>
          </w:tcPr>
          <w:p w14:paraId="5C9FFC60">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检测值</w:t>
            </w:r>
          </w:p>
        </w:tc>
        <w:tc>
          <w:tcPr>
            <w:tcW w:w="176" w:type="pct"/>
            <w:tcBorders>
              <w:tl2br w:val="nil"/>
              <w:tr2bl w:val="nil"/>
            </w:tcBorders>
            <w:shd w:val="clear" w:color="auto" w:fill="auto"/>
            <w:noWrap w:val="0"/>
            <w:vAlign w:val="center"/>
          </w:tcPr>
          <w:p w14:paraId="1F0B6696">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标准指数</w:t>
            </w:r>
          </w:p>
        </w:tc>
        <w:tc>
          <w:tcPr>
            <w:tcW w:w="258" w:type="pct"/>
            <w:tcBorders>
              <w:tl2br w:val="nil"/>
              <w:tr2bl w:val="nil"/>
            </w:tcBorders>
            <w:shd w:val="clear" w:color="auto" w:fill="auto"/>
            <w:noWrap w:val="0"/>
            <w:vAlign w:val="center"/>
          </w:tcPr>
          <w:p w14:paraId="3D71A59F">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检测值</w:t>
            </w:r>
          </w:p>
        </w:tc>
        <w:tc>
          <w:tcPr>
            <w:tcW w:w="176" w:type="pct"/>
            <w:tcBorders>
              <w:tl2br w:val="nil"/>
              <w:tr2bl w:val="nil"/>
            </w:tcBorders>
            <w:shd w:val="clear" w:color="auto" w:fill="auto"/>
            <w:noWrap w:val="0"/>
            <w:vAlign w:val="center"/>
          </w:tcPr>
          <w:p w14:paraId="635A964B">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标准指数</w:t>
            </w:r>
          </w:p>
        </w:tc>
        <w:tc>
          <w:tcPr>
            <w:tcW w:w="258" w:type="pct"/>
            <w:tcBorders>
              <w:tl2br w:val="nil"/>
              <w:tr2bl w:val="nil"/>
            </w:tcBorders>
            <w:shd w:val="clear" w:color="auto" w:fill="auto"/>
            <w:noWrap w:val="0"/>
            <w:vAlign w:val="center"/>
          </w:tcPr>
          <w:p w14:paraId="262FB5DA">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检测值</w:t>
            </w:r>
          </w:p>
        </w:tc>
        <w:tc>
          <w:tcPr>
            <w:tcW w:w="176" w:type="pct"/>
            <w:tcBorders>
              <w:tl2br w:val="nil"/>
              <w:tr2bl w:val="nil"/>
            </w:tcBorders>
            <w:shd w:val="clear" w:color="auto" w:fill="auto"/>
            <w:noWrap w:val="0"/>
            <w:vAlign w:val="center"/>
          </w:tcPr>
          <w:p w14:paraId="4B0B8D31">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标准指数</w:t>
            </w:r>
          </w:p>
        </w:tc>
        <w:tc>
          <w:tcPr>
            <w:tcW w:w="258" w:type="pct"/>
            <w:tcBorders>
              <w:tl2br w:val="nil"/>
              <w:tr2bl w:val="nil"/>
            </w:tcBorders>
            <w:shd w:val="clear" w:color="auto" w:fill="auto"/>
            <w:noWrap w:val="0"/>
            <w:vAlign w:val="center"/>
          </w:tcPr>
          <w:p w14:paraId="5C29341B">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检测值</w:t>
            </w:r>
          </w:p>
        </w:tc>
        <w:tc>
          <w:tcPr>
            <w:tcW w:w="176" w:type="pct"/>
            <w:tcBorders>
              <w:tl2br w:val="nil"/>
              <w:tr2bl w:val="nil"/>
            </w:tcBorders>
            <w:shd w:val="clear" w:color="auto" w:fill="auto"/>
            <w:noWrap w:val="0"/>
            <w:vAlign w:val="center"/>
          </w:tcPr>
          <w:p w14:paraId="56DACFDA">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标准指数</w:t>
            </w:r>
          </w:p>
        </w:tc>
        <w:tc>
          <w:tcPr>
            <w:tcW w:w="258" w:type="pct"/>
            <w:tcBorders>
              <w:tl2br w:val="nil"/>
              <w:tr2bl w:val="nil"/>
            </w:tcBorders>
            <w:shd w:val="clear" w:color="auto" w:fill="auto"/>
            <w:noWrap w:val="0"/>
            <w:vAlign w:val="center"/>
          </w:tcPr>
          <w:p w14:paraId="2B4F5E88">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检测值</w:t>
            </w:r>
          </w:p>
        </w:tc>
        <w:tc>
          <w:tcPr>
            <w:tcW w:w="176" w:type="pct"/>
            <w:tcBorders>
              <w:tl2br w:val="nil"/>
              <w:tr2bl w:val="nil"/>
            </w:tcBorders>
            <w:shd w:val="clear" w:color="auto" w:fill="auto"/>
            <w:noWrap w:val="0"/>
            <w:vAlign w:val="center"/>
          </w:tcPr>
          <w:p w14:paraId="637EB8DB">
            <w:pPr>
              <w:pStyle w:val="324"/>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标准指数</w:t>
            </w:r>
          </w:p>
        </w:tc>
        <w:tc>
          <w:tcPr>
            <w:tcW w:w="258" w:type="pct"/>
            <w:tcBorders>
              <w:tl2br w:val="nil"/>
              <w:tr2bl w:val="nil"/>
            </w:tcBorders>
            <w:shd w:val="clear" w:color="auto" w:fill="auto"/>
            <w:noWrap w:val="0"/>
            <w:vAlign w:val="center"/>
          </w:tcPr>
          <w:p w14:paraId="03643B5E">
            <w:pPr>
              <w:pStyle w:val="324"/>
              <w:bidi w:val="0"/>
              <w:spacing w:line="240" w:lineRule="auto"/>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检测值</w:t>
            </w:r>
          </w:p>
        </w:tc>
        <w:tc>
          <w:tcPr>
            <w:tcW w:w="176" w:type="pct"/>
            <w:tcBorders>
              <w:tl2br w:val="nil"/>
              <w:tr2bl w:val="nil"/>
            </w:tcBorders>
            <w:shd w:val="clear" w:color="auto" w:fill="auto"/>
            <w:noWrap w:val="0"/>
            <w:vAlign w:val="center"/>
          </w:tcPr>
          <w:p w14:paraId="17576384">
            <w:pPr>
              <w:pStyle w:val="324"/>
              <w:bidi w:val="0"/>
              <w:spacing w:line="240" w:lineRule="auto"/>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标准指数</w:t>
            </w:r>
          </w:p>
        </w:tc>
        <w:tc>
          <w:tcPr>
            <w:tcW w:w="258" w:type="pct"/>
            <w:vMerge w:val="continue"/>
            <w:tcBorders>
              <w:tl2br w:val="nil"/>
              <w:tr2bl w:val="nil"/>
            </w:tcBorders>
            <w:shd w:val="clear" w:color="auto" w:fill="auto"/>
            <w:noWrap w:val="0"/>
            <w:vAlign w:val="center"/>
          </w:tcPr>
          <w:p w14:paraId="65B6D8B8">
            <w:pPr>
              <w:pStyle w:val="324"/>
              <w:bidi w:val="0"/>
              <w:spacing w:line="240" w:lineRule="auto"/>
              <w:rPr>
                <w:rFonts w:hint="default" w:ascii="Times New Roman" w:hAnsi="Times New Roman" w:cs="Times New Roman"/>
                <w:color w:val="auto"/>
                <w:highlight w:val="none"/>
                <w:lang w:val="en-US" w:eastAsia="zh-CN"/>
              </w:rPr>
            </w:pPr>
          </w:p>
        </w:tc>
        <w:tc>
          <w:tcPr>
            <w:tcW w:w="258" w:type="pct"/>
            <w:vMerge w:val="continue"/>
            <w:tcBorders>
              <w:tl2br w:val="nil"/>
              <w:tr2bl w:val="nil"/>
            </w:tcBorders>
            <w:shd w:val="clear" w:color="auto" w:fill="auto"/>
            <w:noWrap w:val="0"/>
            <w:vAlign w:val="center"/>
          </w:tcPr>
          <w:p w14:paraId="50C4FEE9">
            <w:pPr>
              <w:pStyle w:val="324"/>
              <w:bidi w:val="0"/>
              <w:spacing w:line="240" w:lineRule="auto"/>
              <w:rPr>
                <w:rFonts w:hint="default" w:ascii="Times New Roman" w:hAnsi="Times New Roman" w:cs="Times New Roman"/>
                <w:color w:val="auto"/>
                <w:highlight w:val="none"/>
                <w:lang w:val="en-US" w:eastAsia="zh-CN"/>
              </w:rPr>
            </w:pPr>
          </w:p>
        </w:tc>
        <w:tc>
          <w:tcPr>
            <w:tcW w:w="178" w:type="pct"/>
            <w:vMerge w:val="continue"/>
            <w:tcBorders>
              <w:tl2br w:val="nil"/>
              <w:tr2bl w:val="nil"/>
            </w:tcBorders>
            <w:shd w:val="clear" w:color="auto" w:fill="auto"/>
            <w:noWrap w:val="0"/>
            <w:vAlign w:val="center"/>
          </w:tcPr>
          <w:p w14:paraId="2A0E1F5A">
            <w:pPr>
              <w:pStyle w:val="324"/>
              <w:bidi w:val="0"/>
              <w:spacing w:line="240" w:lineRule="auto"/>
              <w:rPr>
                <w:rFonts w:hint="default" w:ascii="Times New Roman" w:hAnsi="Times New Roman" w:cs="Times New Roman"/>
                <w:color w:val="auto"/>
                <w:highlight w:val="none"/>
                <w:lang w:val="en-US" w:eastAsia="zh-CN"/>
              </w:rPr>
            </w:pPr>
          </w:p>
        </w:tc>
        <w:tc>
          <w:tcPr>
            <w:tcW w:w="178" w:type="pct"/>
            <w:vMerge w:val="continue"/>
            <w:tcBorders>
              <w:tl2br w:val="nil"/>
              <w:tr2bl w:val="nil"/>
            </w:tcBorders>
            <w:shd w:val="clear" w:color="auto" w:fill="auto"/>
            <w:noWrap w:val="0"/>
            <w:vAlign w:val="center"/>
          </w:tcPr>
          <w:p w14:paraId="77E1D4EA">
            <w:pPr>
              <w:pStyle w:val="324"/>
              <w:bidi w:val="0"/>
              <w:spacing w:line="240" w:lineRule="auto"/>
              <w:rPr>
                <w:rFonts w:hint="default" w:ascii="Times New Roman" w:hAnsi="Times New Roman" w:cs="Times New Roman"/>
                <w:color w:val="auto"/>
                <w:highlight w:val="none"/>
                <w:lang w:val="en-US" w:eastAsia="zh-CN"/>
              </w:rPr>
            </w:pPr>
          </w:p>
        </w:tc>
        <w:tc>
          <w:tcPr>
            <w:tcW w:w="148" w:type="pct"/>
            <w:vMerge w:val="continue"/>
            <w:tcBorders>
              <w:tl2br w:val="nil"/>
              <w:tr2bl w:val="nil"/>
            </w:tcBorders>
            <w:shd w:val="clear" w:color="auto" w:fill="auto"/>
            <w:noWrap w:val="0"/>
            <w:vAlign w:val="center"/>
          </w:tcPr>
          <w:p w14:paraId="65E6D009">
            <w:pPr>
              <w:pStyle w:val="324"/>
              <w:bidi w:val="0"/>
              <w:spacing w:line="240" w:lineRule="auto"/>
              <w:rPr>
                <w:rFonts w:hint="default" w:ascii="Times New Roman" w:hAnsi="Times New Roman" w:cs="Times New Roman"/>
                <w:color w:val="auto"/>
                <w:highlight w:val="none"/>
                <w:lang w:val="en-US" w:eastAsia="zh-CN"/>
              </w:rPr>
            </w:pPr>
          </w:p>
        </w:tc>
        <w:tc>
          <w:tcPr>
            <w:tcW w:w="148" w:type="pct"/>
            <w:vMerge w:val="continue"/>
            <w:tcBorders>
              <w:tl2br w:val="nil"/>
              <w:tr2bl w:val="nil"/>
            </w:tcBorders>
            <w:shd w:val="clear" w:color="auto" w:fill="auto"/>
            <w:noWrap w:val="0"/>
            <w:vAlign w:val="center"/>
          </w:tcPr>
          <w:p w14:paraId="6ACCFF52">
            <w:pPr>
              <w:pStyle w:val="324"/>
              <w:bidi w:val="0"/>
              <w:spacing w:line="240" w:lineRule="auto"/>
              <w:rPr>
                <w:rFonts w:hint="default" w:ascii="Times New Roman" w:hAnsi="Times New Roman" w:cs="Times New Roman"/>
                <w:color w:val="auto"/>
                <w:highlight w:val="none"/>
                <w:lang w:val="en-US" w:eastAsia="zh-CN"/>
              </w:rPr>
            </w:pPr>
          </w:p>
        </w:tc>
      </w:tr>
      <w:tr w14:paraId="270FBB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0ABC4F5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色度（度）</w:t>
            </w:r>
          </w:p>
        </w:tc>
        <w:tc>
          <w:tcPr>
            <w:tcW w:w="257" w:type="pct"/>
            <w:tcBorders>
              <w:tl2br w:val="nil"/>
              <w:tr2bl w:val="nil"/>
            </w:tcBorders>
            <w:shd w:val="clear" w:color="auto" w:fill="auto"/>
            <w:noWrap w:val="0"/>
            <w:vAlign w:val="center"/>
          </w:tcPr>
          <w:p w14:paraId="11B25EB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258" w:type="pct"/>
            <w:tcBorders>
              <w:tl2br w:val="nil"/>
              <w:tr2bl w:val="nil"/>
            </w:tcBorders>
            <w:shd w:val="clear" w:color="auto" w:fill="auto"/>
            <w:noWrap w:val="0"/>
            <w:vAlign w:val="center"/>
          </w:tcPr>
          <w:p w14:paraId="00CC3FC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5L</w:t>
            </w:r>
          </w:p>
        </w:tc>
        <w:tc>
          <w:tcPr>
            <w:tcW w:w="176" w:type="pct"/>
            <w:tcBorders>
              <w:tl2br w:val="nil"/>
              <w:tr2bl w:val="nil"/>
            </w:tcBorders>
            <w:shd w:val="clear" w:color="auto" w:fill="auto"/>
            <w:noWrap w:val="0"/>
            <w:vAlign w:val="center"/>
          </w:tcPr>
          <w:p w14:paraId="3C30AD3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96FBCB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5L</w:t>
            </w:r>
          </w:p>
        </w:tc>
        <w:tc>
          <w:tcPr>
            <w:tcW w:w="176" w:type="pct"/>
            <w:tcBorders>
              <w:tl2br w:val="nil"/>
              <w:tr2bl w:val="nil"/>
            </w:tcBorders>
            <w:shd w:val="clear" w:color="auto" w:fill="auto"/>
            <w:noWrap w:val="0"/>
            <w:vAlign w:val="center"/>
          </w:tcPr>
          <w:p w14:paraId="65BE97C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9BD78F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5L</w:t>
            </w:r>
          </w:p>
        </w:tc>
        <w:tc>
          <w:tcPr>
            <w:tcW w:w="176" w:type="pct"/>
            <w:tcBorders>
              <w:tl2br w:val="nil"/>
              <w:tr2bl w:val="nil"/>
            </w:tcBorders>
            <w:shd w:val="clear" w:color="auto" w:fill="auto"/>
            <w:noWrap w:val="0"/>
            <w:vAlign w:val="center"/>
          </w:tcPr>
          <w:p w14:paraId="1CDE1A1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50C786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5L</w:t>
            </w:r>
          </w:p>
        </w:tc>
        <w:tc>
          <w:tcPr>
            <w:tcW w:w="176" w:type="pct"/>
            <w:tcBorders>
              <w:tl2br w:val="nil"/>
              <w:tr2bl w:val="nil"/>
            </w:tcBorders>
            <w:shd w:val="clear" w:color="auto" w:fill="auto"/>
            <w:noWrap w:val="0"/>
            <w:vAlign w:val="center"/>
          </w:tcPr>
          <w:p w14:paraId="798433B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B3B6C8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5L</w:t>
            </w:r>
          </w:p>
        </w:tc>
        <w:tc>
          <w:tcPr>
            <w:tcW w:w="176" w:type="pct"/>
            <w:tcBorders>
              <w:tl2br w:val="nil"/>
              <w:tr2bl w:val="nil"/>
            </w:tcBorders>
            <w:shd w:val="clear" w:color="auto" w:fill="auto"/>
            <w:noWrap w:val="0"/>
            <w:vAlign w:val="center"/>
          </w:tcPr>
          <w:p w14:paraId="3590FA3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5156CC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5L</w:t>
            </w:r>
          </w:p>
        </w:tc>
        <w:tc>
          <w:tcPr>
            <w:tcW w:w="176" w:type="pct"/>
            <w:tcBorders>
              <w:tl2br w:val="nil"/>
              <w:tr2bl w:val="nil"/>
            </w:tcBorders>
            <w:shd w:val="clear" w:color="auto" w:fill="auto"/>
            <w:noWrap w:val="0"/>
            <w:vAlign w:val="center"/>
          </w:tcPr>
          <w:p w14:paraId="6645BC5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5F2646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5L</w:t>
            </w:r>
          </w:p>
        </w:tc>
        <w:tc>
          <w:tcPr>
            <w:tcW w:w="176" w:type="pct"/>
            <w:tcBorders>
              <w:tl2br w:val="nil"/>
              <w:tr2bl w:val="nil"/>
            </w:tcBorders>
            <w:shd w:val="clear" w:color="auto" w:fill="auto"/>
            <w:noWrap w:val="0"/>
            <w:vAlign w:val="center"/>
          </w:tcPr>
          <w:p w14:paraId="26ADDDA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A1F52A3">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E3526F9">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3372D89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32EA00D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189F647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667B5A9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48DA5F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613BA38E">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臭和味</w:t>
            </w:r>
          </w:p>
        </w:tc>
        <w:tc>
          <w:tcPr>
            <w:tcW w:w="257" w:type="pct"/>
            <w:tcBorders>
              <w:tl2br w:val="nil"/>
              <w:tr2bl w:val="nil"/>
            </w:tcBorders>
            <w:shd w:val="clear" w:color="auto" w:fill="auto"/>
            <w:noWrap w:val="0"/>
            <w:vAlign w:val="center"/>
          </w:tcPr>
          <w:p w14:paraId="35B26C1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258" w:type="pct"/>
            <w:tcBorders>
              <w:tl2br w:val="nil"/>
              <w:tr2bl w:val="nil"/>
            </w:tcBorders>
            <w:shd w:val="clear" w:color="auto" w:fill="auto"/>
            <w:noWrap w:val="0"/>
            <w:vAlign w:val="center"/>
          </w:tcPr>
          <w:p w14:paraId="13B7B2E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58AD173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75725C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776F028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B52460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28E89A8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6D434A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64097A9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AD559F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69897B3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8C8CC0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19D66CA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69B2EB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6A8FA3F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199F885">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E3D585B">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3EC352C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0519F41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5635D5E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5272F1D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5005AA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6C627A1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浑浊度（NTU）</w:t>
            </w:r>
          </w:p>
        </w:tc>
        <w:tc>
          <w:tcPr>
            <w:tcW w:w="257" w:type="pct"/>
            <w:tcBorders>
              <w:tl2br w:val="nil"/>
              <w:tr2bl w:val="nil"/>
            </w:tcBorders>
            <w:shd w:val="clear" w:color="auto" w:fill="auto"/>
            <w:noWrap w:val="0"/>
            <w:vAlign w:val="center"/>
          </w:tcPr>
          <w:p w14:paraId="34A887E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258" w:type="pct"/>
            <w:tcBorders>
              <w:tl2br w:val="nil"/>
              <w:tr2bl w:val="nil"/>
            </w:tcBorders>
            <w:shd w:val="clear" w:color="auto" w:fill="auto"/>
            <w:noWrap w:val="0"/>
            <w:vAlign w:val="center"/>
          </w:tcPr>
          <w:p w14:paraId="4CCE9A2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38DD540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0DC3A0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0093E68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449987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3C88183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5995EB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760BB0B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FFD59C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3C23D9B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046447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4BDFE1E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EA2BDF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277B7BF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B7E9C5D">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E2AAC9B">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78AC5DB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30E5C48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3659EE7E">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36FA002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B02B6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7807503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肉眼可见物</w:t>
            </w:r>
          </w:p>
        </w:tc>
        <w:tc>
          <w:tcPr>
            <w:tcW w:w="257" w:type="pct"/>
            <w:tcBorders>
              <w:tl2br w:val="nil"/>
              <w:tr2bl w:val="nil"/>
            </w:tcBorders>
            <w:shd w:val="clear" w:color="auto" w:fill="auto"/>
            <w:noWrap w:val="0"/>
            <w:vAlign w:val="center"/>
          </w:tcPr>
          <w:p w14:paraId="000E9F9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258" w:type="pct"/>
            <w:tcBorders>
              <w:tl2br w:val="nil"/>
              <w:tr2bl w:val="nil"/>
            </w:tcBorders>
            <w:shd w:val="clear" w:color="auto" w:fill="auto"/>
            <w:noWrap w:val="0"/>
            <w:vAlign w:val="center"/>
          </w:tcPr>
          <w:p w14:paraId="6DEB0D8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1561F72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6D022A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77EF357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F93731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1D42628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5A3887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2ABE140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C7AACD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540083C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6547D3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34C4E54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33F6A9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176" w:type="pct"/>
            <w:tcBorders>
              <w:tl2br w:val="nil"/>
              <w:tr2bl w:val="nil"/>
            </w:tcBorders>
            <w:shd w:val="clear" w:color="auto" w:fill="auto"/>
            <w:noWrap w:val="0"/>
            <w:vAlign w:val="center"/>
          </w:tcPr>
          <w:p w14:paraId="7121806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C4FEE91">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2A22C07">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189ADA0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5AFE0D0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6F9DEDA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5924DF19">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FD912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7F5D6BD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pH值（无量纲）</w:t>
            </w:r>
          </w:p>
        </w:tc>
        <w:tc>
          <w:tcPr>
            <w:tcW w:w="257" w:type="pct"/>
            <w:tcBorders>
              <w:tl2br w:val="nil"/>
              <w:tr2bl w:val="nil"/>
            </w:tcBorders>
            <w:shd w:val="clear" w:color="auto" w:fill="auto"/>
            <w:noWrap w:val="0"/>
            <w:vAlign w:val="center"/>
          </w:tcPr>
          <w:p w14:paraId="1C711DE8">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6.5~8.5</w:t>
            </w:r>
          </w:p>
        </w:tc>
        <w:tc>
          <w:tcPr>
            <w:tcW w:w="258" w:type="pct"/>
            <w:tcBorders>
              <w:tl2br w:val="nil"/>
              <w:tr2bl w:val="nil"/>
            </w:tcBorders>
            <w:shd w:val="clear" w:color="auto" w:fill="auto"/>
            <w:noWrap w:val="0"/>
            <w:vAlign w:val="center"/>
          </w:tcPr>
          <w:p w14:paraId="3BC025F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7.6</w:t>
            </w:r>
          </w:p>
        </w:tc>
        <w:tc>
          <w:tcPr>
            <w:tcW w:w="176" w:type="pct"/>
            <w:tcBorders>
              <w:tl2br w:val="nil"/>
              <w:tr2bl w:val="nil"/>
            </w:tcBorders>
            <w:shd w:val="clear" w:color="auto" w:fill="auto"/>
            <w:noWrap w:val="0"/>
            <w:vAlign w:val="center"/>
          </w:tcPr>
          <w:p w14:paraId="3C21B35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0.40</w:t>
            </w:r>
          </w:p>
        </w:tc>
        <w:tc>
          <w:tcPr>
            <w:tcW w:w="258" w:type="pct"/>
            <w:tcBorders>
              <w:tl2br w:val="nil"/>
              <w:tr2bl w:val="nil"/>
            </w:tcBorders>
            <w:shd w:val="clear" w:color="auto" w:fill="auto"/>
            <w:noWrap w:val="0"/>
            <w:vAlign w:val="center"/>
          </w:tcPr>
          <w:p w14:paraId="60557B9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w:t>
            </w:r>
          </w:p>
        </w:tc>
        <w:tc>
          <w:tcPr>
            <w:tcW w:w="176" w:type="pct"/>
            <w:tcBorders>
              <w:tl2br w:val="nil"/>
              <w:tr2bl w:val="nil"/>
            </w:tcBorders>
            <w:shd w:val="clear" w:color="auto" w:fill="auto"/>
            <w:noWrap w:val="0"/>
            <w:vAlign w:val="center"/>
          </w:tcPr>
          <w:p w14:paraId="775CAA1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0.33</w:t>
            </w:r>
          </w:p>
        </w:tc>
        <w:tc>
          <w:tcPr>
            <w:tcW w:w="258" w:type="pct"/>
            <w:tcBorders>
              <w:tl2br w:val="nil"/>
              <w:tr2bl w:val="nil"/>
            </w:tcBorders>
            <w:shd w:val="clear" w:color="auto" w:fill="auto"/>
            <w:noWrap w:val="0"/>
            <w:vAlign w:val="center"/>
          </w:tcPr>
          <w:p w14:paraId="60B0E6C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7.4</w:t>
            </w:r>
          </w:p>
        </w:tc>
        <w:tc>
          <w:tcPr>
            <w:tcW w:w="176" w:type="pct"/>
            <w:tcBorders>
              <w:tl2br w:val="nil"/>
              <w:tr2bl w:val="nil"/>
            </w:tcBorders>
            <w:shd w:val="clear" w:color="auto" w:fill="auto"/>
            <w:noWrap w:val="0"/>
            <w:vAlign w:val="center"/>
          </w:tcPr>
          <w:p w14:paraId="7CB8CF8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0.27</w:t>
            </w:r>
          </w:p>
        </w:tc>
        <w:tc>
          <w:tcPr>
            <w:tcW w:w="258" w:type="pct"/>
            <w:tcBorders>
              <w:tl2br w:val="nil"/>
              <w:tr2bl w:val="nil"/>
            </w:tcBorders>
            <w:shd w:val="clear" w:color="auto" w:fill="auto"/>
            <w:noWrap w:val="0"/>
            <w:vAlign w:val="center"/>
          </w:tcPr>
          <w:p w14:paraId="5AD7941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w:t>
            </w:r>
          </w:p>
        </w:tc>
        <w:tc>
          <w:tcPr>
            <w:tcW w:w="176" w:type="pct"/>
            <w:tcBorders>
              <w:tl2br w:val="nil"/>
              <w:tr2bl w:val="nil"/>
            </w:tcBorders>
            <w:shd w:val="clear" w:color="auto" w:fill="auto"/>
            <w:noWrap w:val="0"/>
            <w:vAlign w:val="center"/>
          </w:tcPr>
          <w:p w14:paraId="5116181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0.53</w:t>
            </w:r>
          </w:p>
        </w:tc>
        <w:tc>
          <w:tcPr>
            <w:tcW w:w="258" w:type="pct"/>
            <w:tcBorders>
              <w:tl2br w:val="nil"/>
              <w:tr2bl w:val="nil"/>
            </w:tcBorders>
            <w:shd w:val="clear" w:color="auto" w:fill="auto"/>
            <w:noWrap w:val="0"/>
            <w:vAlign w:val="center"/>
          </w:tcPr>
          <w:p w14:paraId="1D75886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w:t>
            </w:r>
          </w:p>
        </w:tc>
        <w:tc>
          <w:tcPr>
            <w:tcW w:w="176" w:type="pct"/>
            <w:tcBorders>
              <w:tl2br w:val="nil"/>
              <w:tr2bl w:val="nil"/>
            </w:tcBorders>
            <w:shd w:val="clear" w:color="auto" w:fill="auto"/>
            <w:noWrap w:val="0"/>
            <w:vAlign w:val="center"/>
          </w:tcPr>
          <w:p w14:paraId="250EDA4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0.33</w:t>
            </w:r>
          </w:p>
        </w:tc>
        <w:tc>
          <w:tcPr>
            <w:tcW w:w="258" w:type="pct"/>
            <w:tcBorders>
              <w:tl2br w:val="nil"/>
              <w:tr2bl w:val="nil"/>
            </w:tcBorders>
            <w:shd w:val="clear" w:color="auto" w:fill="auto"/>
            <w:noWrap w:val="0"/>
            <w:vAlign w:val="center"/>
          </w:tcPr>
          <w:p w14:paraId="7035F4E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7.6</w:t>
            </w:r>
          </w:p>
        </w:tc>
        <w:tc>
          <w:tcPr>
            <w:tcW w:w="176" w:type="pct"/>
            <w:tcBorders>
              <w:tl2br w:val="nil"/>
              <w:tr2bl w:val="nil"/>
            </w:tcBorders>
            <w:shd w:val="clear" w:color="auto" w:fill="auto"/>
            <w:noWrap w:val="0"/>
            <w:vAlign w:val="center"/>
          </w:tcPr>
          <w:p w14:paraId="20FCF51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0.40</w:t>
            </w:r>
          </w:p>
        </w:tc>
        <w:tc>
          <w:tcPr>
            <w:tcW w:w="258" w:type="pct"/>
            <w:tcBorders>
              <w:tl2br w:val="nil"/>
              <w:tr2bl w:val="nil"/>
            </w:tcBorders>
            <w:shd w:val="clear" w:color="auto" w:fill="auto"/>
            <w:noWrap w:val="0"/>
            <w:vAlign w:val="center"/>
          </w:tcPr>
          <w:p w14:paraId="0F8E477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7.7</w:t>
            </w:r>
          </w:p>
        </w:tc>
        <w:tc>
          <w:tcPr>
            <w:tcW w:w="176" w:type="pct"/>
            <w:tcBorders>
              <w:tl2br w:val="nil"/>
              <w:tr2bl w:val="nil"/>
            </w:tcBorders>
            <w:shd w:val="clear" w:color="auto" w:fill="auto"/>
            <w:noWrap w:val="0"/>
            <w:vAlign w:val="center"/>
          </w:tcPr>
          <w:p w14:paraId="67C8418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0.13</w:t>
            </w:r>
          </w:p>
        </w:tc>
        <w:tc>
          <w:tcPr>
            <w:tcW w:w="258" w:type="pct"/>
            <w:tcBorders>
              <w:tl2br w:val="nil"/>
              <w:tr2bl w:val="nil"/>
            </w:tcBorders>
            <w:shd w:val="clear" w:color="auto" w:fill="auto"/>
            <w:noWrap w:val="0"/>
            <w:vAlign w:val="center"/>
          </w:tcPr>
          <w:p w14:paraId="549755B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7.8</w:t>
            </w:r>
          </w:p>
        </w:tc>
        <w:tc>
          <w:tcPr>
            <w:tcW w:w="258" w:type="pct"/>
            <w:tcBorders>
              <w:tl2br w:val="nil"/>
              <w:tr2bl w:val="nil"/>
            </w:tcBorders>
            <w:shd w:val="clear" w:color="auto" w:fill="auto"/>
            <w:noWrap w:val="0"/>
            <w:vAlign w:val="center"/>
          </w:tcPr>
          <w:p w14:paraId="27085D6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7.4</w:t>
            </w:r>
          </w:p>
        </w:tc>
        <w:tc>
          <w:tcPr>
            <w:tcW w:w="178" w:type="pct"/>
            <w:tcBorders>
              <w:tl2br w:val="nil"/>
              <w:tr2bl w:val="nil"/>
            </w:tcBorders>
            <w:shd w:val="clear" w:color="auto" w:fill="auto"/>
            <w:noWrap w:val="0"/>
            <w:vAlign w:val="center"/>
          </w:tcPr>
          <w:p w14:paraId="5DC903DF">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7.6</w:t>
            </w:r>
          </w:p>
        </w:tc>
        <w:tc>
          <w:tcPr>
            <w:tcW w:w="178" w:type="pct"/>
            <w:tcBorders>
              <w:tl2br w:val="nil"/>
              <w:tr2bl w:val="nil"/>
            </w:tcBorders>
            <w:shd w:val="clear" w:color="auto" w:fill="auto"/>
            <w:noWrap w:val="0"/>
            <w:vAlign w:val="center"/>
          </w:tcPr>
          <w:p w14:paraId="1EE609A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0.13</w:t>
            </w:r>
          </w:p>
        </w:tc>
        <w:tc>
          <w:tcPr>
            <w:tcW w:w="148" w:type="pct"/>
            <w:tcBorders>
              <w:tl2br w:val="nil"/>
              <w:tr2bl w:val="nil"/>
            </w:tcBorders>
            <w:shd w:val="clear" w:color="auto" w:fill="auto"/>
            <w:noWrap w:val="0"/>
            <w:vAlign w:val="center"/>
          </w:tcPr>
          <w:p w14:paraId="1A2F6E0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6E8BA75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34BBEA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54D5220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总硬度（mg/L）</w:t>
            </w:r>
          </w:p>
        </w:tc>
        <w:tc>
          <w:tcPr>
            <w:tcW w:w="257" w:type="pct"/>
            <w:tcBorders>
              <w:tl2br w:val="nil"/>
              <w:tr2bl w:val="nil"/>
            </w:tcBorders>
            <w:shd w:val="clear" w:color="auto" w:fill="auto"/>
            <w:noWrap w:val="0"/>
            <w:vAlign w:val="center"/>
          </w:tcPr>
          <w:p w14:paraId="2A48CC4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450</w:t>
            </w:r>
          </w:p>
        </w:tc>
        <w:tc>
          <w:tcPr>
            <w:tcW w:w="258" w:type="pct"/>
            <w:tcBorders>
              <w:tl2br w:val="nil"/>
              <w:tr2bl w:val="nil"/>
            </w:tcBorders>
            <w:shd w:val="clear" w:color="auto" w:fill="auto"/>
            <w:noWrap w:val="0"/>
            <w:vAlign w:val="center"/>
          </w:tcPr>
          <w:p w14:paraId="2BA2172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254</w:t>
            </w:r>
          </w:p>
        </w:tc>
        <w:tc>
          <w:tcPr>
            <w:tcW w:w="176" w:type="pct"/>
            <w:tcBorders>
              <w:tl2br w:val="nil"/>
              <w:tr2bl w:val="nil"/>
            </w:tcBorders>
            <w:shd w:val="clear" w:color="auto" w:fill="auto"/>
            <w:noWrap w:val="0"/>
            <w:vAlign w:val="center"/>
          </w:tcPr>
          <w:p w14:paraId="7A39FCE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0.56</w:t>
            </w:r>
          </w:p>
        </w:tc>
        <w:tc>
          <w:tcPr>
            <w:tcW w:w="258" w:type="pct"/>
            <w:tcBorders>
              <w:tl2br w:val="nil"/>
              <w:tr2bl w:val="nil"/>
            </w:tcBorders>
            <w:shd w:val="clear" w:color="auto" w:fill="auto"/>
            <w:noWrap w:val="0"/>
            <w:vAlign w:val="center"/>
          </w:tcPr>
          <w:p w14:paraId="1502270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240</w:t>
            </w:r>
          </w:p>
        </w:tc>
        <w:tc>
          <w:tcPr>
            <w:tcW w:w="176" w:type="pct"/>
            <w:tcBorders>
              <w:tl2br w:val="nil"/>
              <w:tr2bl w:val="nil"/>
            </w:tcBorders>
            <w:shd w:val="clear" w:color="auto" w:fill="auto"/>
            <w:noWrap w:val="0"/>
            <w:vAlign w:val="center"/>
          </w:tcPr>
          <w:p w14:paraId="75ADA87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0.53</w:t>
            </w:r>
          </w:p>
        </w:tc>
        <w:tc>
          <w:tcPr>
            <w:tcW w:w="258" w:type="pct"/>
            <w:tcBorders>
              <w:tl2br w:val="nil"/>
              <w:tr2bl w:val="nil"/>
            </w:tcBorders>
            <w:shd w:val="clear" w:color="auto" w:fill="auto"/>
            <w:noWrap w:val="0"/>
            <w:vAlign w:val="center"/>
          </w:tcPr>
          <w:p w14:paraId="0B9E079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237</w:t>
            </w:r>
          </w:p>
        </w:tc>
        <w:tc>
          <w:tcPr>
            <w:tcW w:w="176" w:type="pct"/>
            <w:tcBorders>
              <w:tl2br w:val="nil"/>
              <w:tr2bl w:val="nil"/>
            </w:tcBorders>
            <w:shd w:val="clear" w:color="auto" w:fill="auto"/>
            <w:noWrap w:val="0"/>
            <w:vAlign w:val="center"/>
          </w:tcPr>
          <w:p w14:paraId="4D0D226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0.53</w:t>
            </w:r>
          </w:p>
        </w:tc>
        <w:tc>
          <w:tcPr>
            <w:tcW w:w="258" w:type="pct"/>
            <w:tcBorders>
              <w:tl2br w:val="nil"/>
              <w:tr2bl w:val="nil"/>
            </w:tcBorders>
            <w:shd w:val="clear" w:color="auto" w:fill="auto"/>
            <w:noWrap w:val="0"/>
            <w:vAlign w:val="center"/>
          </w:tcPr>
          <w:p w14:paraId="33A3148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249</w:t>
            </w:r>
          </w:p>
        </w:tc>
        <w:tc>
          <w:tcPr>
            <w:tcW w:w="176" w:type="pct"/>
            <w:tcBorders>
              <w:tl2br w:val="nil"/>
              <w:tr2bl w:val="nil"/>
            </w:tcBorders>
            <w:shd w:val="clear" w:color="auto" w:fill="auto"/>
            <w:noWrap w:val="0"/>
            <w:vAlign w:val="center"/>
          </w:tcPr>
          <w:p w14:paraId="07D6E8F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0.55</w:t>
            </w:r>
          </w:p>
        </w:tc>
        <w:tc>
          <w:tcPr>
            <w:tcW w:w="258" w:type="pct"/>
            <w:tcBorders>
              <w:tl2br w:val="nil"/>
              <w:tr2bl w:val="nil"/>
            </w:tcBorders>
            <w:shd w:val="clear" w:color="auto" w:fill="auto"/>
            <w:noWrap w:val="0"/>
            <w:vAlign w:val="center"/>
          </w:tcPr>
          <w:p w14:paraId="118C13A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201</w:t>
            </w:r>
          </w:p>
        </w:tc>
        <w:tc>
          <w:tcPr>
            <w:tcW w:w="176" w:type="pct"/>
            <w:tcBorders>
              <w:tl2br w:val="nil"/>
              <w:tr2bl w:val="nil"/>
            </w:tcBorders>
            <w:shd w:val="clear" w:color="auto" w:fill="auto"/>
            <w:noWrap w:val="0"/>
            <w:vAlign w:val="center"/>
          </w:tcPr>
          <w:p w14:paraId="36FD9B3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0.45</w:t>
            </w:r>
          </w:p>
        </w:tc>
        <w:tc>
          <w:tcPr>
            <w:tcW w:w="258" w:type="pct"/>
            <w:tcBorders>
              <w:tl2br w:val="nil"/>
              <w:tr2bl w:val="nil"/>
            </w:tcBorders>
            <w:shd w:val="clear" w:color="auto" w:fill="auto"/>
            <w:noWrap w:val="0"/>
            <w:vAlign w:val="center"/>
          </w:tcPr>
          <w:p w14:paraId="42F629C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186</w:t>
            </w:r>
          </w:p>
        </w:tc>
        <w:tc>
          <w:tcPr>
            <w:tcW w:w="176" w:type="pct"/>
            <w:tcBorders>
              <w:tl2br w:val="nil"/>
              <w:tr2bl w:val="nil"/>
            </w:tcBorders>
            <w:shd w:val="clear" w:color="auto" w:fill="auto"/>
            <w:noWrap w:val="0"/>
            <w:vAlign w:val="center"/>
          </w:tcPr>
          <w:p w14:paraId="5172917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0.41</w:t>
            </w:r>
          </w:p>
        </w:tc>
        <w:tc>
          <w:tcPr>
            <w:tcW w:w="258" w:type="pct"/>
            <w:tcBorders>
              <w:tl2br w:val="nil"/>
              <w:tr2bl w:val="nil"/>
            </w:tcBorders>
            <w:shd w:val="clear" w:color="auto" w:fill="auto"/>
            <w:noWrap w:val="0"/>
            <w:vAlign w:val="center"/>
          </w:tcPr>
          <w:p w14:paraId="1026C0F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245</w:t>
            </w:r>
          </w:p>
        </w:tc>
        <w:tc>
          <w:tcPr>
            <w:tcW w:w="176" w:type="pct"/>
            <w:tcBorders>
              <w:tl2br w:val="nil"/>
              <w:tr2bl w:val="nil"/>
            </w:tcBorders>
            <w:shd w:val="clear" w:color="auto" w:fill="auto"/>
            <w:noWrap w:val="0"/>
            <w:vAlign w:val="center"/>
          </w:tcPr>
          <w:p w14:paraId="2B1D11F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0.54</w:t>
            </w:r>
          </w:p>
        </w:tc>
        <w:tc>
          <w:tcPr>
            <w:tcW w:w="258" w:type="pct"/>
            <w:tcBorders>
              <w:tl2br w:val="nil"/>
              <w:tr2bl w:val="nil"/>
            </w:tcBorders>
            <w:shd w:val="clear" w:color="auto" w:fill="auto"/>
            <w:noWrap w:val="0"/>
            <w:vAlign w:val="center"/>
          </w:tcPr>
          <w:p w14:paraId="2ECEDFF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254</w:t>
            </w:r>
          </w:p>
        </w:tc>
        <w:tc>
          <w:tcPr>
            <w:tcW w:w="258" w:type="pct"/>
            <w:tcBorders>
              <w:tl2br w:val="nil"/>
              <w:tr2bl w:val="nil"/>
            </w:tcBorders>
            <w:shd w:val="clear" w:color="auto" w:fill="auto"/>
            <w:noWrap w:val="0"/>
            <w:vAlign w:val="center"/>
          </w:tcPr>
          <w:p w14:paraId="721D177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186</w:t>
            </w:r>
          </w:p>
        </w:tc>
        <w:tc>
          <w:tcPr>
            <w:tcW w:w="178" w:type="pct"/>
            <w:tcBorders>
              <w:tl2br w:val="nil"/>
              <w:tr2bl w:val="nil"/>
            </w:tcBorders>
            <w:shd w:val="clear" w:color="auto" w:fill="auto"/>
            <w:noWrap w:val="0"/>
            <w:vAlign w:val="center"/>
          </w:tcPr>
          <w:p w14:paraId="3FCED643">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230.3</w:t>
            </w:r>
          </w:p>
        </w:tc>
        <w:tc>
          <w:tcPr>
            <w:tcW w:w="178" w:type="pct"/>
            <w:tcBorders>
              <w:tl2br w:val="nil"/>
              <w:tr2bl w:val="nil"/>
            </w:tcBorders>
            <w:shd w:val="clear" w:color="auto" w:fill="auto"/>
            <w:noWrap w:val="0"/>
            <w:vAlign w:val="center"/>
          </w:tcPr>
          <w:p w14:paraId="595231B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28.86</w:t>
            </w:r>
          </w:p>
        </w:tc>
        <w:tc>
          <w:tcPr>
            <w:tcW w:w="148" w:type="pct"/>
            <w:tcBorders>
              <w:tl2br w:val="nil"/>
              <w:tr2bl w:val="nil"/>
            </w:tcBorders>
            <w:shd w:val="clear" w:color="auto" w:fill="auto"/>
            <w:noWrap w:val="0"/>
            <w:vAlign w:val="center"/>
          </w:tcPr>
          <w:p w14:paraId="010DA48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7AB3EBC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5F55B6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6A0640C8">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溶解性总固体（mg/L）</w:t>
            </w:r>
          </w:p>
        </w:tc>
        <w:tc>
          <w:tcPr>
            <w:tcW w:w="257" w:type="pct"/>
            <w:tcBorders>
              <w:tl2br w:val="nil"/>
              <w:tr2bl w:val="nil"/>
            </w:tcBorders>
            <w:shd w:val="clear" w:color="auto" w:fill="auto"/>
            <w:noWrap w:val="0"/>
            <w:vAlign w:val="center"/>
          </w:tcPr>
          <w:p w14:paraId="35225E5E">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1000</w:t>
            </w:r>
          </w:p>
        </w:tc>
        <w:tc>
          <w:tcPr>
            <w:tcW w:w="258" w:type="pct"/>
            <w:tcBorders>
              <w:tl2br w:val="nil"/>
              <w:tr2bl w:val="nil"/>
            </w:tcBorders>
            <w:shd w:val="clear" w:color="auto" w:fill="auto"/>
            <w:noWrap w:val="0"/>
            <w:vAlign w:val="center"/>
          </w:tcPr>
          <w:p w14:paraId="184A640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356</w:t>
            </w:r>
          </w:p>
        </w:tc>
        <w:tc>
          <w:tcPr>
            <w:tcW w:w="176" w:type="pct"/>
            <w:tcBorders>
              <w:tl2br w:val="nil"/>
              <w:tr2bl w:val="nil"/>
            </w:tcBorders>
            <w:shd w:val="clear" w:color="auto" w:fill="auto"/>
            <w:noWrap w:val="0"/>
            <w:vAlign w:val="center"/>
          </w:tcPr>
          <w:p w14:paraId="70B3F62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0.36</w:t>
            </w:r>
          </w:p>
        </w:tc>
        <w:tc>
          <w:tcPr>
            <w:tcW w:w="258" w:type="pct"/>
            <w:tcBorders>
              <w:tl2br w:val="nil"/>
              <w:tr2bl w:val="nil"/>
            </w:tcBorders>
            <w:shd w:val="clear" w:color="auto" w:fill="auto"/>
            <w:noWrap w:val="0"/>
            <w:vAlign w:val="center"/>
          </w:tcPr>
          <w:p w14:paraId="77AB5B0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347</w:t>
            </w:r>
          </w:p>
        </w:tc>
        <w:tc>
          <w:tcPr>
            <w:tcW w:w="176" w:type="pct"/>
            <w:tcBorders>
              <w:tl2br w:val="nil"/>
              <w:tr2bl w:val="nil"/>
            </w:tcBorders>
            <w:shd w:val="clear" w:color="auto" w:fill="auto"/>
            <w:noWrap w:val="0"/>
            <w:vAlign w:val="center"/>
          </w:tcPr>
          <w:p w14:paraId="4F50A6B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0.35</w:t>
            </w:r>
          </w:p>
        </w:tc>
        <w:tc>
          <w:tcPr>
            <w:tcW w:w="258" w:type="pct"/>
            <w:tcBorders>
              <w:tl2br w:val="nil"/>
              <w:tr2bl w:val="nil"/>
            </w:tcBorders>
            <w:shd w:val="clear" w:color="auto" w:fill="auto"/>
            <w:noWrap w:val="0"/>
            <w:vAlign w:val="center"/>
          </w:tcPr>
          <w:p w14:paraId="6E2F075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340</w:t>
            </w:r>
          </w:p>
        </w:tc>
        <w:tc>
          <w:tcPr>
            <w:tcW w:w="176" w:type="pct"/>
            <w:tcBorders>
              <w:tl2br w:val="nil"/>
              <w:tr2bl w:val="nil"/>
            </w:tcBorders>
            <w:shd w:val="clear" w:color="auto" w:fill="auto"/>
            <w:noWrap w:val="0"/>
            <w:vAlign w:val="center"/>
          </w:tcPr>
          <w:p w14:paraId="0BB54DC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0.34</w:t>
            </w:r>
          </w:p>
        </w:tc>
        <w:tc>
          <w:tcPr>
            <w:tcW w:w="258" w:type="pct"/>
            <w:tcBorders>
              <w:tl2br w:val="nil"/>
              <w:tr2bl w:val="nil"/>
            </w:tcBorders>
            <w:shd w:val="clear" w:color="auto" w:fill="auto"/>
            <w:noWrap w:val="0"/>
            <w:vAlign w:val="center"/>
          </w:tcPr>
          <w:p w14:paraId="555599A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358</w:t>
            </w:r>
          </w:p>
        </w:tc>
        <w:tc>
          <w:tcPr>
            <w:tcW w:w="176" w:type="pct"/>
            <w:tcBorders>
              <w:tl2br w:val="nil"/>
              <w:tr2bl w:val="nil"/>
            </w:tcBorders>
            <w:shd w:val="clear" w:color="auto" w:fill="auto"/>
            <w:noWrap w:val="0"/>
            <w:vAlign w:val="center"/>
          </w:tcPr>
          <w:p w14:paraId="5D56F96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0.36</w:t>
            </w:r>
          </w:p>
        </w:tc>
        <w:tc>
          <w:tcPr>
            <w:tcW w:w="258" w:type="pct"/>
            <w:tcBorders>
              <w:tl2br w:val="nil"/>
              <w:tr2bl w:val="nil"/>
            </w:tcBorders>
            <w:shd w:val="clear" w:color="auto" w:fill="auto"/>
            <w:noWrap w:val="0"/>
            <w:vAlign w:val="center"/>
          </w:tcPr>
          <w:p w14:paraId="65353DF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293</w:t>
            </w:r>
          </w:p>
        </w:tc>
        <w:tc>
          <w:tcPr>
            <w:tcW w:w="176" w:type="pct"/>
            <w:tcBorders>
              <w:tl2br w:val="nil"/>
              <w:tr2bl w:val="nil"/>
            </w:tcBorders>
            <w:shd w:val="clear" w:color="auto" w:fill="auto"/>
            <w:noWrap w:val="0"/>
            <w:vAlign w:val="center"/>
          </w:tcPr>
          <w:p w14:paraId="5937B28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0.29</w:t>
            </w:r>
          </w:p>
        </w:tc>
        <w:tc>
          <w:tcPr>
            <w:tcW w:w="258" w:type="pct"/>
            <w:tcBorders>
              <w:tl2br w:val="nil"/>
              <w:tr2bl w:val="nil"/>
            </w:tcBorders>
            <w:shd w:val="clear" w:color="auto" w:fill="auto"/>
            <w:noWrap w:val="0"/>
            <w:vAlign w:val="center"/>
          </w:tcPr>
          <w:p w14:paraId="75DF811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255</w:t>
            </w:r>
          </w:p>
        </w:tc>
        <w:tc>
          <w:tcPr>
            <w:tcW w:w="176" w:type="pct"/>
            <w:tcBorders>
              <w:tl2br w:val="nil"/>
              <w:tr2bl w:val="nil"/>
            </w:tcBorders>
            <w:shd w:val="clear" w:color="auto" w:fill="auto"/>
            <w:noWrap w:val="0"/>
            <w:vAlign w:val="center"/>
          </w:tcPr>
          <w:p w14:paraId="0FCB89A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0.26</w:t>
            </w:r>
          </w:p>
        </w:tc>
        <w:tc>
          <w:tcPr>
            <w:tcW w:w="258" w:type="pct"/>
            <w:tcBorders>
              <w:tl2br w:val="nil"/>
              <w:tr2bl w:val="nil"/>
            </w:tcBorders>
            <w:shd w:val="clear" w:color="auto" w:fill="auto"/>
            <w:noWrap w:val="0"/>
            <w:vAlign w:val="center"/>
          </w:tcPr>
          <w:p w14:paraId="3D71858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335</w:t>
            </w:r>
          </w:p>
        </w:tc>
        <w:tc>
          <w:tcPr>
            <w:tcW w:w="176" w:type="pct"/>
            <w:tcBorders>
              <w:tl2br w:val="nil"/>
              <w:tr2bl w:val="nil"/>
            </w:tcBorders>
            <w:shd w:val="clear" w:color="auto" w:fill="auto"/>
            <w:noWrap w:val="0"/>
            <w:vAlign w:val="center"/>
          </w:tcPr>
          <w:p w14:paraId="5985887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0.34</w:t>
            </w:r>
          </w:p>
        </w:tc>
        <w:tc>
          <w:tcPr>
            <w:tcW w:w="258" w:type="pct"/>
            <w:tcBorders>
              <w:tl2br w:val="nil"/>
              <w:tr2bl w:val="nil"/>
            </w:tcBorders>
            <w:shd w:val="clear" w:color="auto" w:fill="auto"/>
            <w:noWrap w:val="0"/>
            <w:vAlign w:val="center"/>
          </w:tcPr>
          <w:p w14:paraId="03C3A69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358</w:t>
            </w:r>
          </w:p>
        </w:tc>
        <w:tc>
          <w:tcPr>
            <w:tcW w:w="258" w:type="pct"/>
            <w:tcBorders>
              <w:tl2br w:val="nil"/>
              <w:tr2bl w:val="nil"/>
            </w:tcBorders>
            <w:shd w:val="clear" w:color="auto" w:fill="auto"/>
            <w:noWrap w:val="0"/>
            <w:vAlign w:val="center"/>
          </w:tcPr>
          <w:p w14:paraId="063D801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255</w:t>
            </w:r>
          </w:p>
        </w:tc>
        <w:tc>
          <w:tcPr>
            <w:tcW w:w="178" w:type="pct"/>
            <w:tcBorders>
              <w:tl2br w:val="nil"/>
              <w:tr2bl w:val="nil"/>
            </w:tcBorders>
            <w:shd w:val="clear" w:color="auto" w:fill="auto"/>
            <w:noWrap w:val="0"/>
            <w:vAlign w:val="center"/>
          </w:tcPr>
          <w:p w14:paraId="066ADD25">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326.3</w:t>
            </w:r>
          </w:p>
        </w:tc>
        <w:tc>
          <w:tcPr>
            <w:tcW w:w="178" w:type="pct"/>
            <w:tcBorders>
              <w:tl2br w:val="nil"/>
              <w:tr2bl w:val="nil"/>
            </w:tcBorders>
            <w:shd w:val="clear" w:color="auto" w:fill="auto"/>
            <w:noWrap w:val="0"/>
            <w:vAlign w:val="center"/>
          </w:tcPr>
          <w:p w14:paraId="343F470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41.20</w:t>
            </w:r>
          </w:p>
        </w:tc>
        <w:tc>
          <w:tcPr>
            <w:tcW w:w="148" w:type="pct"/>
            <w:tcBorders>
              <w:tl2br w:val="nil"/>
              <w:tr2bl w:val="nil"/>
            </w:tcBorders>
            <w:shd w:val="clear" w:color="auto" w:fill="auto"/>
            <w:noWrap w:val="0"/>
            <w:vAlign w:val="center"/>
          </w:tcPr>
          <w:p w14:paraId="350F29D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2A19BC4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CEBA0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5C2CDB6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硫酸盐（mg/L）</w:t>
            </w:r>
          </w:p>
        </w:tc>
        <w:tc>
          <w:tcPr>
            <w:tcW w:w="257" w:type="pct"/>
            <w:tcBorders>
              <w:tl2br w:val="nil"/>
              <w:tr2bl w:val="nil"/>
            </w:tcBorders>
            <w:shd w:val="clear" w:color="auto" w:fill="auto"/>
            <w:noWrap w:val="0"/>
            <w:vAlign w:val="center"/>
          </w:tcPr>
          <w:p w14:paraId="3F6D3F6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258" w:type="pct"/>
            <w:tcBorders>
              <w:tl2br w:val="nil"/>
              <w:tr2bl w:val="nil"/>
            </w:tcBorders>
            <w:shd w:val="clear" w:color="auto" w:fill="auto"/>
            <w:noWrap w:val="0"/>
            <w:vAlign w:val="center"/>
          </w:tcPr>
          <w:p w14:paraId="63E4253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45.1</w:t>
            </w:r>
          </w:p>
        </w:tc>
        <w:tc>
          <w:tcPr>
            <w:tcW w:w="176" w:type="pct"/>
            <w:tcBorders>
              <w:tl2br w:val="nil"/>
              <w:tr2bl w:val="nil"/>
            </w:tcBorders>
            <w:shd w:val="clear" w:color="auto" w:fill="auto"/>
            <w:noWrap w:val="0"/>
            <w:vAlign w:val="center"/>
          </w:tcPr>
          <w:p w14:paraId="0631666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0.18</w:t>
            </w:r>
          </w:p>
        </w:tc>
        <w:tc>
          <w:tcPr>
            <w:tcW w:w="258" w:type="pct"/>
            <w:tcBorders>
              <w:tl2br w:val="nil"/>
              <w:tr2bl w:val="nil"/>
            </w:tcBorders>
            <w:shd w:val="clear" w:color="auto" w:fill="auto"/>
            <w:noWrap w:val="0"/>
            <w:vAlign w:val="center"/>
          </w:tcPr>
          <w:p w14:paraId="7EFA242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43.4</w:t>
            </w:r>
          </w:p>
        </w:tc>
        <w:tc>
          <w:tcPr>
            <w:tcW w:w="176" w:type="pct"/>
            <w:tcBorders>
              <w:tl2br w:val="nil"/>
              <w:tr2bl w:val="nil"/>
            </w:tcBorders>
            <w:shd w:val="clear" w:color="auto" w:fill="auto"/>
            <w:noWrap w:val="0"/>
            <w:vAlign w:val="center"/>
          </w:tcPr>
          <w:p w14:paraId="3F78B1F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0.17</w:t>
            </w:r>
          </w:p>
        </w:tc>
        <w:tc>
          <w:tcPr>
            <w:tcW w:w="258" w:type="pct"/>
            <w:tcBorders>
              <w:tl2br w:val="nil"/>
              <w:tr2bl w:val="nil"/>
            </w:tcBorders>
            <w:shd w:val="clear" w:color="auto" w:fill="auto"/>
            <w:noWrap w:val="0"/>
            <w:vAlign w:val="center"/>
          </w:tcPr>
          <w:p w14:paraId="769100F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42.8</w:t>
            </w:r>
          </w:p>
        </w:tc>
        <w:tc>
          <w:tcPr>
            <w:tcW w:w="176" w:type="pct"/>
            <w:tcBorders>
              <w:tl2br w:val="nil"/>
              <w:tr2bl w:val="nil"/>
            </w:tcBorders>
            <w:shd w:val="clear" w:color="auto" w:fill="auto"/>
            <w:noWrap w:val="0"/>
            <w:vAlign w:val="center"/>
          </w:tcPr>
          <w:p w14:paraId="473F632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0.17</w:t>
            </w:r>
          </w:p>
        </w:tc>
        <w:tc>
          <w:tcPr>
            <w:tcW w:w="258" w:type="pct"/>
            <w:tcBorders>
              <w:tl2br w:val="nil"/>
              <w:tr2bl w:val="nil"/>
            </w:tcBorders>
            <w:shd w:val="clear" w:color="auto" w:fill="auto"/>
            <w:noWrap w:val="0"/>
            <w:vAlign w:val="center"/>
          </w:tcPr>
          <w:p w14:paraId="78EBDC2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44.2</w:t>
            </w:r>
          </w:p>
        </w:tc>
        <w:tc>
          <w:tcPr>
            <w:tcW w:w="176" w:type="pct"/>
            <w:tcBorders>
              <w:tl2br w:val="nil"/>
              <w:tr2bl w:val="nil"/>
            </w:tcBorders>
            <w:shd w:val="clear" w:color="auto" w:fill="auto"/>
            <w:noWrap w:val="0"/>
            <w:vAlign w:val="center"/>
          </w:tcPr>
          <w:p w14:paraId="6AD0E22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0.18</w:t>
            </w:r>
          </w:p>
        </w:tc>
        <w:tc>
          <w:tcPr>
            <w:tcW w:w="258" w:type="pct"/>
            <w:tcBorders>
              <w:tl2br w:val="nil"/>
              <w:tr2bl w:val="nil"/>
            </w:tcBorders>
            <w:shd w:val="clear" w:color="auto" w:fill="auto"/>
            <w:noWrap w:val="0"/>
            <w:vAlign w:val="center"/>
          </w:tcPr>
          <w:p w14:paraId="0CC564A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39.7</w:t>
            </w:r>
          </w:p>
        </w:tc>
        <w:tc>
          <w:tcPr>
            <w:tcW w:w="176" w:type="pct"/>
            <w:tcBorders>
              <w:tl2br w:val="nil"/>
              <w:tr2bl w:val="nil"/>
            </w:tcBorders>
            <w:shd w:val="clear" w:color="auto" w:fill="auto"/>
            <w:noWrap w:val="0"/>
            <w:vAlign w:val="center"/>
          </w:tcPr>
          <w:p w14:paraId="68EABCD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258" w:type="pct"/>
            <w:tcBorders>
              <w:tl2br w:val="nil"/>
              <w:tr2bl w:val="nil"/>
            </w:tcBorders>
            <w:shd w:val="clear" w:color="auto" w:fill="auto"/>
            <w:noWrap w:val="0"/>
            <w:vAlign w:val="center"/>
          </w:tcPr>
          <w:p w14:paraId="4539200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39.1</w:t>
            </w:r>
          </w:p>
        </w:tc>
        <w:tc>
          <w:tcPr>
            <w:tcW w:w="176" w:type="pct"/>
            <w:tcBorders>
              <w:tl2br w:val="nil"/>
              <w:tr2bl w:val="nil"/>
            </w:tcBorders>
            <w:shd w:val="clear" w:color="auto" w:fill="auto"/>
            <w:noWrap w:val="0"/>
            <w:vAlign w:val="center"/>
          </w:tcPr>
          <w:p w14:paraId="1B15957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258" w:type="pct"/>
            <w:tcBorders>
              <w:tl2br w:val="nil"/>
              <w:tr2bl w:val="nil"/>
            </w:tcBorders>
            <w:shd w:val="clear" w:color="auto" w:fill="auto"/>
            <w:noWrap w:val="0"/>
            <w:vAlign w:val="center"/>
          </w:tcPr>
          <w:p w14:paraId="1DE2CB6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50.6</w:t>
            </w:r>
          </w:p>
        </w:tc>
        <w:tc>
          <w:tcPr>
            <w:tcW w:w="176" w:type="pct"/>
            <w:tcBorders>
              <w:tl2br w:val="nil"/>
              <w:tr2bl w:val="nil"/>
            </w:tcBorders>
            <w:shd w:val="clear" w:color="auto" w:fill="auto"/>
            <w:noWrap w:val="0"/>
            <w:vAlign w:val="center"/>
          </w:tcPr>
          <w:p w14:paraId="23DF142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0.20</w:t>
            </w:r>
          </w:p>
        </w:tc>
        <w:tc>
          <w:tcPr>
            <w:tcW w:w="258" w:type="pct"/>
            <w:tcBorders>
              <w:tl2br w:val="nil"/>
              <w:tr2bl w:val="nil"/>
            </w:tcBorders>
            <w:shd w:val="clear" w:color="auto" w:fill="auto"/>
            <w:noWrap w:val="0"/>
            <w:vAlign w:val="center"/>
          </w:tcPr>
          <w:p w14:paraId="7522102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50.6</w:t>
            </w:r>
          </w:p>
        </w:tc>
        <w:tc>
          <w:tcPr>
            <w:tcW w:w="258" w:type="pct"/>
            <w:tcBorders>
              <w:tl2br w:val="nil"/>
              <w:tr2bl w:val="nil"/>
            </w:tcBorders>
            <w:shd w:val="clear" w:color="auto" w:fill="auto"/>
            <w:noWrap w:val="0"/>
            <w:vAlign w:val="center"/>
          </w:tcPr>
          <w:p w14:paraId="62F1466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39.1</w:t>
            </w:r>
          </w:p>
        </w:tc>
        <w:tc>
          <w:tcPr>
            <w:tcW w:w="178" w:type="pct"/>
            <w:tcBorders>
              <w:tl2br w:val="nil"/>
              <w:tr2bl w:val="nil"/>
            </w:tcBorders>
            <w:shd w:val="clear" w:color="auto" w:fill="auto"/>
            <w:noWrap w:val="0"/>
            <w:vAlign w:val="center"/>
          </w:tcPr>
          <w:p w14:paraId="07476AFB">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43.6</w:t>
            </w:r>
          </w:p>
        </w:tc>
        <w:tc>
          <w:tcPr>
            <w:tcW w:w="178" w:type="pct"/>
            <w:tcBorders>
              <w:tl2br w:val="nil"/>
              <w:tr2bl w:val="nil"/>
            </w:tcBorders>
            <w:shd w:val="clear" w:color="auto" w:fill="auto"/>
            <w:noWrap w:val="0"/>
            <w:vAlign w:val="center"/>
          </w:tcPr>
          <w:p w14:paraId="3980D4E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2.39</w:t>
            </w:r>
          </w:p>
        </w:tc>
        <w:tc>
          <w:tcPr>
            <w:tcW w:w="148" w:type="pct"/>
            <w:tcBorders>
              <w:tl2br w:val="nil"/>
              <w:tr2bl w:val="nil"/>
            </w:tcBorders>
            <w:shd w:val="clear" w:color="auto" w:fill="auto"/>
            <w:noWrap w:val="0"/>
            <w:vAlign w:val="center"/>
          </w:tcPr>
          <w:p w14:paraId="5BEE596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65D0812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204181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280ED23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氯化物（mg/L）</w:t>
            </w:r>
          </w:p>
        </w:tc>
        <w:tc>
          <w:tcPr>
            <w:tcW w:w="257" w:type="pct"/>
            <w:tcBorders>
              <w:tl2br w:val="nil"/>
              <w:tr2bl w:val="nil"/>
            </w:tcBorders>
            <w:shd w:val="clear" w:color="auto" w:fill="auto"/>
            <w:noWrap w:val="0"/>
            <w:vAlign w:val="center"/>
          </w:tcPr>
          <w:p w14:paraId="3092643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258" w:type="pct"/>
            <w:tcBorders>
              <w:tl2br w:val="nil"/>
              <w:tr2bl w:val="nil"/>
            </w:tcBorders>
            <w:shd w:val="clear" w:color="auto" w:fill="auto"/>
            <w:noWrap w:val="0"/>
            <w:vAlign w:val="center"/>
          </w:tcPr>
          <w:p w14:paraId="7531946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70.7</w:t>
            </w:r>
          </w:p>
        </w:tc>
        <w:tc>
          <w:tcPr>
            <w:tcW w:w="176" w:type="pct"/>
            <w:tcBorders>
              <w:tl2br w:val="nil"/>
              <w:tr2bl w:val="nil"/>
            </w:tcBorders>
            <w:shd w:val="clear" w:color="auto" w:fill="auto"/>
            <w:noWrap w:val="0"/>
            <w:vAlign w:val="center"/>
          </w:tcPr>
          <w:p w14:paraId="60320A1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0.28</w:t>
            </w:r>
          </w:p>
        </w:tc>
        <w:tc>
          <w:tcPr>
            <w:tcW w:w="258" w:type="pct"/>
            <w:tcBorders>
              <w:tl2br w:val="nil"/>
              <w:tr2bl w:val="nil"/>
            </w:tcBorders>
            <w:shd w:val="clear" w:color="auto" w:fill="auto"/>
            <w:noWrap w:val="0"/>
            <w:vAlign w:val="center"/>
          </w:tcPr>
          <w:p w14:paraId="7B1A2D4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72</w:t>
            </w:r>
          </w:p>
        </w:tc>
        <w:tc>
          <w:tcPr>
            <w:tcW w:w="176" w:type="pct"/>
            <w:tcBorders>
              <w:tl2br w:val="nil"/>
              <w:tr2bl w:val="nil"/>
            </w:tcBorders>
            <w:shd w:val="clear" w:color="auto" w:fill="auto"/>
            <w:noWrap w:val="0"/>
            <w:vAlign w:val="center"/>
          </w:tcPr>
          <w:p w14:paraId="079A52C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0.29</w:t>
            </w:r>
          </w:p>
        </w:tc>
        <w:tc>
          <w:tcPr>
            <w:tcW w:w="258" w:type="pct"/>
            <w:tcBorders>
              <w:tl2br w:val="nil"/>
              <w:tr2bl w:val="nil"/>
            </w:tcBorders>
            <w:shd w:val="clear" w:color="auto" w:fill="auto"/>
            <w:noWrap w:val="0"/>
            <w:vAlign w:val="center"/>
          </w:tcPr>
          <w:p w14:paraId="56107FD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68.8</w:t>
            </w:r>
          </w:p>
        </w:tc>
        <w:tc>
          <w:tcPr>
            <w:tcW w:w="176" w:type="pct"/>
            <w:tcBorders>
              <w:tl2br w:val="nil"/>
              <w:tr2bl w:val="nil"/>
            </w:tcBorders>
            <w:shd w:val="clear" w:color="auto" w:fill="auto"/>
            <w:noWrap w:val="0"/>
            <w:vAlign w:val="center"/>
          </w:tcPr>
          <w:p w14:paraId="21556DB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0.28</w:t>
            </w:r>
          </w:p>
        </w:tc>
        <w:tc>
          <w:tcPr>
            <w:tcW w:w="258" w:type="pct"/>
            <w:tcBorders>
              <w:tl2br w:val="nil"/>
              <w:tr2bl w:val="nil"/>
            </w:tcBorders>
            <w:shd w:val="clear" w:color="auto" w:fill="auto"/>
            <w:noWrap w:val="0"/>
            <w:vAlign w:val="center"/>
          </w:tcPr>
          <w:p w14:paraId="67FDF59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69.2</w:t>
            </w:r>
          </w:p>
        </w:tc>
        <w:tc>
          <w:tcPr>
            <w:tcW w:w="176" w:type="pct"/>
            <w:tcBorders>
              <w:tl2br w:val="nil"/>
              <w:tr2bl w:val="nil"/>
            </w:tcBorders>
            <w:shd w:val="clear" w:color="auto" w:fill="auto"/>
            <w:noWrap w:val="0"/>
            <w:vAlign w:val="center"/>
          </w:tcPr>
          <w:p w14:paraId="6859FDF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0.28</w:t>
            </w:r>
          </w:p>
        </w:tc>
        <w:tc>
          <w:tcPr>
            <w:tcW w:w="258" w:type="pct"/>
            <w:tcBorders>
              <w:tl2br w:val="nil"/>
              <w:tr2bl w:val="nil"/>
            </w:tcBorders>
            <w:shd w:val="clear" w:color="auto" w:fill="auto"/>
            <w:noWrap w:val="0"/>
            <w:vAlign w:val="center"/>
          </w:tcPr>
          <w:p w14:paraId="54252CB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63.7</w:t>
            </w:r>
          </w:p>
        </w:tc>
        <w:tc>
          <w:tcPr>
            <w:tcW w:w="176" w:type="pct"/>
            <w:tcBorders>
              <w:tl2br w:val="nil"/>
              <w:tr2bl w:val="nil"/>
            </w:tcBorders>
            <w:shd w:val="clear" w:color="auto" w:fill="auto"/>
            <w:noWrap w:val="0"/>
            <w:vAlign w:val="center"/>
          </w:tcPr>
          <w:p w14:paraId="4AEDD9B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258" w:type="pct"/>
            <w:tcBorders>
              <w:tl2br w:val="nil"/>
              <w:tr2bl w:val="nil"/>
            </w:tcBorders>
            <w:shd w:val="clear" w:color="auto" w:fill="auto"/>
            <w:noWrap w:val="0"/>
            <w:vAlign w:val="center"/>
          </w:tcPr>
          <w:p w14:paraId="41B3204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63.2</w:t>
            </w:r>
          </w:p>
        </w:tc>
        <w:tc>
          <w:tcPr>
            <w:tcW w:w="176" w:type="pct"/>
            <w:tcBorders>
              <w:tl2br w:val="nil"/>
              <w:tr2bl w:val="nil"/>
            </w:tcBorders>
            <w:shd w:val="clear" w:color="auto" w:fill="auto"/>
            <w:noWrap w:val="0"/>
            <w:vAlign w:val="center"/>
          </w:tcPr>
          <w:p w14:paraId="3246F86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258" w:type="pct"/>
            <w:tcBorders>
              <w:tl2br w:val="nil"/>
              <w:tr2bl w:val="nil"/>
            </w:tcBorders>
            <w:shd w:val="clear" w:color="auto" w:fill="auto"/>
            <w:noWrap w:val="0"/>
            <w:vAlign w:val="center"/>
          </w:tcPr>
          <w:p w14:paraId="49E465F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66.9</w:t>
            </w:r>
          </w:p>
        </w:tc>
        <w:tc>
          <w:tcPr>
            <w:tcW w:w="176" w:type="pct"/>
            <w:tcBorders>
              <w:tl2br w:val="nil"/>
              <w:tr2bl w:val="nil"/>
            </w:tcBorders>
            <w:shd w:val="clear" w:color="auto" w:fill="auto"/>
            <w:noWrap w:val="0"/>
            <w:vAlign w:val="center"/>
          </w:tcPr>
          <w:p w14:paraId="6B9B8B6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0.27</w:t>
            </w:r>
          </w:p>
        </w:tc>
        <w:tc>
          <w:tcPr>
            <w:tcW w:w="258" w:type="pct"/>
            <w:tcBorders>
              <w:tl2br w:val="nil"/>
              <w:tr2bl w:val="nil"/>
            </w:tcBorders>
            <w:shd w:val="clear" w:color="auto" w:fill="auto"/>
            <w:noWrap w:val="0"/>
            <w:vAlign w:val="center"/>
          </w:tcPr>
          <w:p w14:paraId="6F6EFF5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72</w:t>
            </w:r>
          </w:p>
        </w:tc>
        <w:tc>
          <w:tcPr>
            <w:tcW w:w="258" w:type="pct"/>
            <w:tcBorders>
              <w:tl2br w:val="nil"/>
              <w:tr2bl w:val="nil"/>
            </w:tcBorders>
            <w:shd w:val="clear" w:color="auto" w:fill="auto"/>
            <w:noWrap w:val="0"/>
            <w:vAlign w:val="center"/>
          </w:tcPr>
          <w:p w14:paraId="12978B1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63.2</w:t>
            </w:r>
          </w:p>
        </w:tc>
        <w:tc>
          <w:tcPr>
            <w:tcW w:w="178" w:type="pct"/>
            <w:tcBorders>
              <w:tl2br w:val="nil"/>
              <w:tr2bl w:val="nil"/>
            </w:tcBorders>
            <w:shd w:val="clear" w:color="auto" w:fill="auto"/>
            <w:noWrap w:val="0"/>
            <w:vAlign w:val="center"/>
          </w:tcPr>
          <w:p w14:paraId="57F8129D">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67.8</w:t>
            </w:r>
          </w:p>
        </w:tc>
        <w:tc>
          <w:tcPr>
            <w:tcW w:w="178" w:type="pct"/>
            <w:tcBorders>
              <w:tl2br w:val="nil"/>
              <w:tr2bl w:val="nil"/>
            </w:tcBorders>
            <w:shd w:val="clear" w:color="auto" w:fill="auto"/>
            <w:noWrap w:val="0"/>
            <w:vAlign w:val="center"/>
          </w:tcPr>
          <w:p w14:paraId="4F36102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3.57</w:t>
            </w:r>
          </w:p>
        </w:tc>
        <w:tc>
          <w:tcPr>
            <w:tcW w:w="148" w:type="pct"/>
            <w:tcBorders>
              <w:tl2br w:val="nil"/>
              <w:tr2bl w:val="nil"/>
            </w:tcBorders>
            <w:shd w:val="clear" w:color="auto" w:fill="auto"/>
            <w:noWrap w:val="0"/>
            <w:vAlign w:val="center"/>
          </w:tcPr>
          <w:p w14:paraId="10F77CF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0BE4258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402B5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0819F5E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铁（mg/L）</w:t>
            </w:r>
          </w:p>
        </w:tc>
        <w:tc>
          <w:tcPr>
            <w:tcW w:w="257" w:type="pct"/>
            <w:tcBorders>
              <w:tl2br w:val="nil"/>
              <w:tr2bl w:val="nil"/>
            </w:tcBorders>
            <w:shd w:val="clear" w:color="auto" w:fill="auto"/>
            <w:noWrap w:val="0"/>
            <w:vAlign w:val="center"/>
          </w:tcPr>
          <w:p w14:paraId="0FC795F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258" w:type="pct"/>
            <w:tcBorders>
              <w:tl2br w:val="nil"/>
              <w:tr2bl w:val="nil"/>
            </w:tcBorders>
            <w:shd w:val="clear" w:color="auto" w:fill="auto"/>
            <w:noWrap w:val="0"/>
            <w:vAlign w:val="center"/>
          </w:tcPr>
          <w:p w14:paraId="1D97D6B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176" w:type="pct"/>
            <w:tcBorders>
              <w:tl2br w:val="nil"/>
              <w:tr2bl w:val="nil"/>
            </w:tcBorders>
            <w:shd w:val="clear" w:color="auto" w:fill="auto"/>
            <w:noWrap w:val="0"/>
            <w:vAlign w:val="center"/>
          </w:tcPr>
          <w:p w14:paraId="67F809D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0.67</w:t>
            </w:r>
          </w:p>
        </w:tc>
        <w:tc>
          <w:tcPr>
            <w:tcW w:w="258" w:type="pct"/>
            <w:tcBorders>
              <w:tl2br w:val="nil"/>
              <w:tr2bl w:val="nil"/>
            </w:tcBorders>
            <w:shd w:val="clear" w:color="auto" w:fill="auto"/>
            <w:noWrap w:val="0"/>
            <w:vAlign w:val="center"/>
          </w:tcPr>
          <w:p w14:paraId="2A4DFB1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0.22</w:t>
            </w:r>
          </w:p>
        </w:tc>
        <w:tc>
          <w:tcPr>
            <w:tcW w:w="176" w:type="pct"/>
            <w:tcBorders>
              <w:tl2br w:val="nil"/>
              <w:tr2bl w:val="nil"/>
            </w:tcBorders>
            <w:shd w:val="clear" w:color="auto" w:fill="auto"/>
            <w:noWrap w:val="0"/>
            <w:vAlign w:val="center"/>
          </w:tcPr>
          <w:p w14:paraId="6D26BDA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0.73</w:t>
            </w:r>
          </w:p>
        </w:tc>
        <w:tc>
          <w:tcPr>
            <w:tcW w:w="258" w:type="pct"/>
            <w:tcBorders>
              <w:tl2br w:val="nil"/>
              <w:tr2bl w:val="nil"/>
            </w:tcBorders>
            <w:shd w:val="clear" w:color="auto" w:fill="auto"/>
            <w:noWrap w:val="0"/>
            <w:vAlign w:val="center"/>
          </w:tcPr>
          <w:p w14:paraId="4BFB966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0.14</w:t>
            </w:r>
          </w:p>
        </w:tc>
        <w:tc>
          <w:tcPr>
            <w:tcW w:w="176" w:type="pct"/>
            <w:tcBorders>
              <w:tl2br w:val="nil"/>
              <w:tr2bl w:val="nil"/>
            </w:tcBorders>
            <w:shd w:val="clear" w:color="auto" w:fill="auto"/>
            <w:noWrap w:val="0"/>
            <w:vAlign w:val="center"/>
          </w:tcPr>
          <w:p w14:paraId="0CFB882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0.47</w:t>
            </w:r>
          </w:p>
        </w:tc>
        <w:tc>
          <w:tcPr>
            <w:tcW w:w="258" w:type="pct"/>
            <w:tcBorders>
              <w:tl2br w:val="nil"/>
              <w:tr2bl w:val="nil"/>
            </w:tcBorders>
            <w:shd w:val="clear" w:color="auto" w:fill="auto"/>
            <w:noWrap w:val="0"/>
            <w:vAlign w:val="center"/>
          </w:tcPr>
          <w:p w14:paraId="0908EBD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176" w:type="pct"/>
            <w:tcBorders>
              <w:tl2br w:val="nil"/>
              <w:tr2bl w:val="nil"/>
            </w:tcBorders>
            <w:shd w:val="clear" w:color="auto" w:fill="auto"/>
            <w:noWrap w:val="0"/>
            <w:vAlign w:val="center"/>
          </w:tcPr>
          <w:p w14:paraId="46ECCF6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0.53</w:t>
            </w:r>
          </w:p>
        </w:tc>
        <w:tc>
          <w:tcPr>
            <w:tcW w:w="258" w:type="pct"/>
            <w:tcBorders>
              <w:tl2br w:val="nil"/>
              <w:tr2bl w:val="nil"/>
            </w:tcBorders>
            <w:shd w:val="clear" w:color="auto" w:fill="auto"/>
            <w:noWrap w:val="0"/>
            <w:vAlign w:val="center"/>
          </w:tcPr>
          <w:p w14:paraId="19D1A09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0.12</w:t>
            </w:r>
          </w:p>
        </w:tc>
        <w:tc>
          <w:tcPr>
            <w:tcW w:w="176" w:type="pct"/>
            <w:tcBorders>
              <w:tl2br w:val="nil"/>
              <w:tr2bl w:val="nil"/>
            </w:tcBorders>
            <w:shd w:val="clear" w:color="auto" w:fill="auto"/>
            <w:noWrap w:val="0"/>
            <w:vAlign w:val="center"/>
          </w:tcPr>
          <w:p w14:paraId="28DE9B8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0.40</w:t>
            </w:r>
          </w:p>
        </w:tc>
        <w:tc>
          <w:tcPr>
            <w:tcW w:w="258" w:type="pct"/>
            <w:tcBorders>
              <w:tl2br w:val="nil"/>
              <w:tr2bl w:val="nil"/>
            </w:tcBorders>
            <w:shd w:val="clear" w:color="auto" w:fill="auto"/>
            <w:noWrap w:val="0"/>
            <w:vAlign w:val="center"/>
          </w:tcPr>
          <w:p w14:paraId="2D0BD48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0.14</w:t>
            </w:r>
          </w:p>
        </w:tc>
        <w:tc>
          <w:tcPr>
            <w:tcW w:w="176" w:type="pct"/>
            <w:tcBorders>
              <w:tl2br w:val="nil"/>
              <w:tr2bl w:val="nil"/>
            </w:tcBorders>
            <w:shd w:val="clear" w:color="auto" w:fill="auto"/>
            <w:noWrap w:val="0"/>
            <w:vAlign w:val="center"/>
          </w:tcPr>
          <w:p w14:paraId="6D55D99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0.47</w:t>
            </w:r>
          </w:p>
        </w:tc>
        <w:tc>
          <w:tcPr>
            <w:tcW w:w="258" w:type="pct"/>
            <w:tcBorders>
              <w:tl2br w:val="nil"/>
              <w:tr2bl w:val="nil"/>
            </w:tcBorders>
            <w:shd w:val="clear" w:color="auto" w:fill="auto"/>
            <w:noWrap w:val="0"/>
            <w:vAlign w:val="center"/>
          </w:tcPr>
          <w:p w14:paraId="124B337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0.03L</w:t>
            </w:r>
          </w:p>
        </w:tc>
        <w:tc>
          <w:tcPr>
            <w:tcW w:w="176" w:type="pct"/>
            <w:tcBorders>
              <w:tl2br w:val="nil"/>
              <w:tr2bl w:val="nil"/>
            </w:tcBorders>
            <w:shd w:val="clear" w:color="auto" w:fill="auto"/>
            <w:noWrap w:val="0"/>
            <w:vAlign w:val="center"/>
          </w:tcPr>
          <w:p w14:paraId="6419679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258" w:type="pct"/>
            <w:tcBorders>
              <w:tl2br w:val="nil"/>
              <w:tr2bl w:val="nil"/>
            </w:tcBorders>
            <w:shd w:val="clear" w:color="auto" w:fill="auto"/>
            <w:noWrap w:val="0"/>
            <w:vAlign w:val="center"/>
          </w:tcPr>
          <w:p w14:paraId="1B92E1B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0.22</w:t>
            </w:r>
          </w:p>
        </w:tc>
        <w:tc>
          <w:tcPr>
            <w:tcW w:w="258" w:type="pct"/>
            <w:tcBorders>
              <w:tl2br w:val="nil"/>
              <w:tr2bl w:val="nil"/>
            </w:tcBorders>
            <w:shd w:val="clear" w:color="auto" w:fill="auto"/>
            <w:noWrap w:val="0"/>
            <w:vAlign w:val="center"/>
          </w:tcPr>
          <w:p w14:paraId="161A842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0.12</w:t>
            </w:r>
          </w:p>
        </w:tc>
        <w:tc>
          <w:tcPr>
            <w:tcW w:w="178" w:type="pct"/>
            <w:tcBorders>
              <w:tl2br w:val="nil"/>
              <w:tr2bl w:val="nil"/>
            </w:tcBorders>
            <w:shd w:val="clear" w:color="auto" w:fill="auto"/>
            <w:noWrap w:val="0"/>
            <w:vAlign w:val="center"/>
          </w:tcPr>
          <w:p w14:paraId="33050DDE">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0.16</w:t>
            </w:r>
          </w:p>
        </w:tc>
        <w:tc>
          <w:tcPr>
            <w:tcW w:w="178" w:type="pct"/>
            <w:tcBorders>
              <w:tl2br w:val="nil"/>
              <w:tr2bl w:val="nil"/>
            </w:tcBorders>
            <w:shd w:val="clear" w:color="auto" w:fill="auto"/>
            <w:noWrap w:val="0"/>
            <w:vAlign w:val="center"/>
          </w:tcPr>
          <w:p w14:paraId="7029A39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w:t>
            </w:r>
          </w:p>
        </w:tc>
        <w:tc>
          <w:tcPr>
            <w:tcW w:w="148" w:type="pct"/>
            <w:tcBorders>
              <w:tl2br w:val="nil"/>
              <w:tr2bl w:val="nil"/>
            </w:tcBorders>
            <w:shd w:val="clear" w:color="auto" w:fill="auto"/>
            <w:noWrap w:val="0"/>
            <w:vAlign w:val="center"/>
          </w:tcPr>
          <w:p w14:paraId="50F8A7DA">
            <w:pPr>
              <w:pStyle w:val="161"/>
              <w:bidi w:val="0"/>
              <w:spacing w:line="240" w:lineRule="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85.7</w:t>
            </w:r>
          </w:p>
        </w:tc>
        <w:tc>
          <w:tcPr>
            <w:tcW w:w="148" w:type="pct"/>
            <w:tcBorders>
              <w:tl2br w:val="nil"/>
              <w:tr2bl w:val="nil"/>
            </w:tcBorders>
            <w:shd w:val="clear" w:color="auto" w:fill="auto"/>
            <w:noWrap w:val="0"/>
            <w:vAlign w:val="center"/>
          </w:tcPr>
          <w:p w14:paraId="62C9F06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83F9A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6795C098">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锰（mg/L）</w:t>
            </w:r>
          </w:p>
        </w:tc>
        <w:tc>
          <w:tcPr>
            <w:tcW w:w="257" w:type="pct"/>
            <w:tcBorders>
              <w:tl2br w:val="nil"/>
              <w:tr2bl w:val="nil"/>
            </w:tcBorders>
            <w:shd w:val="clear" w:color="auto" w:fill="auto"/>
            <w:noWrap w:val="0"/>
            <w:vAlign w:val="center"/>
          </w:tcPr>
          <w:p w14:paraId="015631B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w:t>
            </w:r>
          </w:p>
        </w:tc>
        <w:tc>
          <w:tcPr>
            <w:tcW w:w="258" w:type="pct"/>
            <w:tcBorders>
              <w:tl2br w:val="nil"/>
              <w:tr2bl w:val="nil"/>
            </w:tcBorders>
            <w:shd w:val="clear" w:color="auto" w:fill="auto"/>
            <w:noWrap w:val="0"/>
            <w:vAlign w:val="center"/>
          </w:tcPr>
          <w:p w14:paraId="27EFD17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3B80DE6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F120E7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3040DED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3B049D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47B50A2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B52014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32D5313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348205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6EAB08D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ED5C72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3147C8C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3F3359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3FAB650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35C969A">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3D78E68">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6F39FEE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0661401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05DDA58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17873CB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DBA03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0327C8C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铜（mg/L）</w:t>
            </w:r>
          </w:p>
        </w:tc>
        <w:tc>
          <w:tcPr>
            <w:tcW w:w="257" w:type="pct"/>
            <w:tcBorders>
              <w:tl2br w:val="nil"/>
              <w:tr2bl w:val="nil"/>
            </w:tcBorders>
            <w:shd w:val="clear" w:color="auto" w:fill="auto"/>
            <w:noWrap w:val="0"/>
            <w:vAlign w:val="center"/>
          </w:tcPr>
          <w:p w14:paraId="4552ECC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58" w:type="pct"/>
            <w:tcBorders>
              <w:tl2br w:val="nil"/>
              <w:tr2bl w:val="nil"/>
            </w:tcBorders>
            <w:shd w:val="clear" w:color="auto" w:fill="auto"/>
            <w:noWrap w:val="0"/>
            <w:vAlign w:val="center"/>
          </w:tcPr>
          <w:p w14:paraId="193DE0B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7F7404F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38D4CC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627DDDF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F1B175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6BE22A7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45E447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23D2DEA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5C11AE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07DAF3E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503BCB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2E53476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44A3E6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28A8001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F411C56">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AA80BE5">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4CB7567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762E0E6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2798BAA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63D6B64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F1838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4CE3F1E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锌（mg/L）</w:t>
            </w:r>
          </w:p>
        </w:tc>
        <w:tc>
          <w:tcPr>
            <w:tcW w:w="257" w:type="pct"/>
            <w:tcBorders>
              <w:tl2br w:val="nil"/>
              <w:tr2bl w:val="nil"/>
            </w:tcBorders>
            <w:shd w:val="clear" w:color="auto" w:fill="auto"/>
            <w:noWrap w:val="0"/>
            <w:vAlign w:val="center"/>
          </w:tcPr>
          <w:p w14:paraId="7F2B356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58" w:type="pct"/>
            <w:tcBorders>
              <w:tl2br w:val="nil"/>
              <w:tr2bl w:val="nil"/>
            </w:tcBorders>
            <w:shd w:val="clear" w:color="auto" w:fill="auto"/>
            <w:noWrap w:val="0"/>
            <w:vAlign w:val="center"/>
          </w:tcPr>
          <w:p w14:paraId="4FC12F6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619402B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D5E8EB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77DD8BE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1FD754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466D009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201783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6F8A643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6AF0D3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2735C63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5DEA39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06B9FF8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14C295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04B32E9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24C4C03">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FE4A0BF">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096EC00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3F11C34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7B26049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7C66950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41F4EF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1D8589B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铝（mg/L）</w:t>
            </w:r>
          </w:p>
        </w:tc>
        <w:tc>
          <w:tcPr>
            <w:tcW w:w="257" w:type="pct"/>
            <w:tcBorders>
              <w:tl2br w:val="nil"/>
              <w:tr2bl w:val="nil"/>
            </w:tcBorders>
            <w:shd w:val="clear" w:color="auto" w:fill="auto"/>
            <w:noWrap w:val="0"/>
            <w:vAlign w:val="center"/>
          </w:tcPr>
          <w:p w14:paraId="5C089BC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258" w:type="pct"/>
            <w:tcBorders>
              <w:tl2br w:val="nil"/>
              <w:tr2bl w:val="nil"/>
            </w:tcBorders>
            <w:shd w:val="clear" w:color="auto" w:fill="auto"/>
            <w:noWrap w:val="0"/>
            <w:vAlign w:val="center"/>
          </w:tcPr>
          <w:p w14:paraId="55D5F55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0.008L</w:t>
            </w:r>
          </w:p>
        </w:tc>
        <w:tc>
          <w:tcPr>
            <w:tcW w:w="176" w:type="pct"/>
            <w:tcBorders>
              <w:tl2br w:val="nil"/>
              <w:tr2bl w:val="nil"/>
            </w:tcBorders>
            <w:shd w:val="clear" w:color="auto" w:fill="auto"/>
            <w:noWrap w:val="0"/>
            <w:vAlign w:val="center"/>
          </w:tcPr>
          <w:p w14:paraId="0A4E2BA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7D21A5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0.008L</w:t>
            </w:r>
          </w:p>
        </w:tc>
        <w:tc>
          <w:tcPr>
            <w:tcW w:w="176" w:type="pct"/>
            <w:tcBorders>
              <w:tl2br w:val="nil"/>
              <w:tr2bl w:val="nil"/>
            </w:tcBorders>
            <w:shd w:val="clear" w:color="auto" w:fill="auto"/>
            <w:noWrap w:val="0"/>
            <w:vAlign w:val="center"/>
          </w:tcPr>
          <w:p w14:paraId="55651F1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D8ACEC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0.008L</w:t>
            </w:r>
          </w:p>
        </w:tc>
        <w:tc>
          <w:tcPr>
            <w:tcW w:w="176" w:type="pct"/>
            <w:tcBorders>
              <w:tl2br w:val="nil"/>
              <w:tr2bl w:val="nil"/>
            </w:tcBorders>
            <w:shd w:val="clear" w:color="auto" w:fill="auto"/>
            <w:noWrap w:val="0"/>
            <w:vAlign w:val="center"/>
          </w:tcPr>
          <w:p w14:paraId="28384D1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AB80B8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0.008L</w:t>
            </w:r>
          </w:p>
        </w:tc>
        <w:tc>
          <w:tcPr>
            <w:tcW w:w="176" w:type="pct"/>
            <w:tcBorders>
              <w:tl2br w:val="nil"/>
              <w:tr2bl w:val="nil"/>
            </w:tcBorders>
            <w:shd w:val="clear" w:color="auto" w:fill="auto"/>
            <w:noWrap w:val="0"/>
            <w:vAlign w:val="center"/>
          </w:tcPr>
          <w:p w14:paraId="450E9C0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A20694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0.008L</w:t>
            </w:r>
          </w:p>
        </w:tc>
        <w:tc>
          <w:tcPr>
            <w:tcW w:w="176" w:type="pct"/>
            <w:tcBorders>
              <w:tl2br w:val="nil"/>
              <w:tr2bl w:val="nil"/>
            </w:tcBorders>
            <w:shd w:val="clear" w:color="auto" w:fill="auto"/>
            <w:noWrap w:val="0"/>
            <w:vAlign w:val="center"/>
          </w:tcPr>
          <w:p w14:paraId="154BDC3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D5A503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0.008L</w:t>
            </w:r>
          </w:p>
        </w:tc>
        <w:tc>
          <w:tcPr>
            <w:tcW w:w="176" w:type="pct"/>
            <w:tcBorders>
              <w:tl2br w:val="nil"/>
              <w:tr2bl w:val="nil"/>
            </w:tcBorders>
            <w:shd w:val="clear" w:color="auto" w:fill="auto"/>
            <w:noWrap w:val="0"/>
            <w:vAlign w:val="center"/>
          </w:tcPr>
          <w:p w14:paraId="46A4D1F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750232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0.008L</w:t>
            </w:r>
          </w:p>
        </w:tc>
        <w:tc>
          <w:tcPr>
            <w:tcW w:w="176" w:type="pct"/>
            <w:tcBorders>
              <w:tl2br w:val="nil"/>
              <w:tr2bl w:val="nil"/>
            </w:tcBorders>
            <w:shd w:val="clear" w:color="auto" w:fill="auto"/>
            <w:noWrap w:val="0"/>
            <w:vAlign w:val="center"/>
          </w:tcPr>
          <w:p w14:paraId="0C9E2D4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2D872F9">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BAF107C">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5A306A4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26ACDCE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44E6C36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2D3D18A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457C2E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786B132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挥发酚类（mg/L）</w:t>
            </w:r>
          </w:p>
        </w:tc>
        <w:tc>
          <w:tcPr>
            <w:tcW w:w="257" w:type="pct"/>
            <w:tcBorders>
              <w:tl2br w:val="nil"/>
              <w:tr2bl w:val="nil"/>
            </w:tcBorders>
            <w:shd w:val="clear" w:color="auto" w:fill="auto"/>
            <w:noWrap w:val="0"/>
            <w:vAlign w:val="center"/>
          </w:tcPr>
          <w:p w14:paraId="415C34B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w:t>
            </w:r>
          </w:p>
        </w:tc>
        <w:tc>
          <w:tcPr>
            <w:tcW w:w="258" w:type="pct"/>
            <w:tcBorders>
              <w:tl2br w:val="nil"/>
              <w:tr2bl w:val="nil"/>
            </w:tcBorders>
            <w:shd w:val="clear" w:color="auto" w:fill="auto"/>
            <w:noWrap w:val="0"/>
            <w:vAlign w:val="center"/>
          </w:tcPr>
          <w:p w14:paraId="31BBF79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76" w:type="pct"/>
            <w:tcBorders>
              <w:tl2br w:val="nil"/>
              <w:tr2bl w:val="nil"/>
            </w:tcBorders>
            <w:shd w:val="clear" w:color="auto" w:fill="auto"/>
            <w:noWrap w:val="0"/>
            <w:vAlign w:val="center"/>
          </w:tcPr>
          <w:p w14:paraId="15D48CF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351EBC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76" w:type="pct"/>
            <w:tcBorders>
              <w:tl2br w:val="nil"/>
              <w:tr2bl w:val="nil"/>
            </w:tcBorders>
            <w:shd w:val="clear" w:color="auto" w:fill="auto"/>
            <w:noWrap w:val="0"/>
            <w:vAlign w:val="center"/>
          </w:tcPr>
          <w:p w14:paraId="5FFB516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0374CE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76" w:type="pct"/>
            <w:tcBorders>
              <w:tl2br w:val="nil"/>
              <w:tr2bl w:val="nil"/>
            </w:tcBorders>
            <w:shd w:val="clear" w:color="auto" w:fill="auto"/>
            <w:noWrap w:val="0"/>
            <w:vAlign w:val="center"/>
          </w:tcPr>
          <w:p w14:paraId="5C5C252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FC0157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76" w:type="pct"/>
            <w:tcBorders>
              <w:tl2br w:val="nil"/>
              <w:tr2bl w:val="nil"/>
            </w:tcBorders>
            <w:shd w:val="clear" w:color="auto" w:fill="auto"/>
            <w:noWrap w:val="0"/>
            <w:vAlign w:val="center"/>
          </w:tcPr>
          <w:p w14:paraId="76C79B4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547279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76" w:type="pct"/>
            <w:tcBorders>
              <w:tl2br w:val="nil"/>
              <w:tr2bl w:val="nil"/>
            </w:tcBorders>
            <w:shd w:val="clear" w:color="auto" w:fill="auto"/>
            <w:noWrap w:val="0"/>
            <w:vAlign w:val="center"/>
          </w:tcPr>
          <w:p w14:paraId="63D3D81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87D2DF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76" w:type="pct"/>
            <w:tcBorders>
              <w:tl2br w:val="nil"/>
              <w:tr2bl w:val="nil"/>
            </w:tcBorders>
            <w:shd w:val="clear" w:color="auto" w:fill="auto"/>
            <w:noWrap w:val="0"/>
            <w:vAlign w:val="center"/>
          </w:tcPr>
          <w:p w14:paraId="2EBB45C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CAEAB6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0.0003L</w:t>
            </w:r>
          </w:p>
        </w:tc>
        <w:tc>
          <w:tcPr>
            <w:tcW w:w="176" w:type="pct"/>
            <w:tcBorders>
              <w:tl2br w:val="nil"/>
              <w:tr2bl w:val="nil"/>
            </w:tcBorders>
            <w:shd w:val="clear" w:color="auto" w:fill="auto"/>
            <w:noWrap w:val="0"/>
            <w:vAlign w:val="center"/>
          </w:tcPr>
          <w:p w14:paraId="7FEFC30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5C45B89">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67C5DF5">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740469F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0A87868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7926AAE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76E6AEF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20D455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1296C8E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阴离子表面活性剂（mg/L）</w:t>
            </w:r>
          </w:p>
        </w:tc>
        <w:tc>
          <w:tcPr>
            <w:tcW w:w="257" w:type="pct"/>
            <w:tcBorders>
              <w:tl2br w:val="nil"/>
              <w:tr2bl w:val="nil"/>
            </w:tcBorders>
            <w:shd w:val="clear" w:color="auto" w:fill="auto"/>
            <w:noWrap w:val="0"/>
            <w:vAlign w:val="center"/>
          </w:tcPr>
          <w:p w14:paraId="3A8C4B6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w:t>
            </w:r>
          </w:p>
        </w:tc>
        <w:tc>
          <w:tcPr>
            <w:tcW w:w="258" w:type="pct"/>
            <w:tcBorders>
              <w:tl2br w:val="nil"/>
              <w:tr2bl w:val="nil"/>
            </w:tcBorders>
            <w:shd w:val="clear" w:color="auto" w:fill="auto"/>
            <w:noWrap w:val="0"/>
            <w:vAlign w:val="center"/>
          </w:tcPr>
          <w:p w14:paraId="1ECE644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0.050L</w:t>
            </w:r>
          </w:p>
        </w:tc>
        <w:tc>
          <w:tcPr>
            <w:tcW w:w="176" w:type="pct"/>
            <w:tcBorders>
              <w:tl2br w:val="nil"/>
              <w:tr2bl w:val="nil"/>
            </w:tcBorders>
            <w:shd w:val="clear" w:color="auto" w:fill="auto"/>
            <w:noWrap w:val="0"/>
            <w:vAlign w:val="center"/>
          </w:tcPr>
          <w:p w14:paraId="1FEDB01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038E88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0.050L</w:t>
            </w:r>
          </w:p>
        </w:tc>
        <w:tc>
          <w:tcPr>
            <w:tcW w:w="176" w:type="pct"/>
            <w:tcBorders>
              <w:tl2br w:val="nil"/>
              <w:tr2bl w:val="nil"/>
            </w:tcBorders>
            <w:shd w:val="clear" w:color="auto" w:fill="auto"/>
            <w:noWrap w:val="0"/>
            <w:vAlign w:val="center"/>
          </w:tcPr>
          <w:p w14:paraId="1F94174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E83B39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0.050L</w:t>
            </w:r>
          </w:p>
        </w:tc>
        <w:tc>
          <w:tcPr>
            <w:tcW w:w="176" w:type="pct"/>
            <w:tcBorders>
              <w:tl2br w:val="nil"/>
              <w:tr2bl w:val="nil"/>
            </w:tcBorders>
            <w:shd w:val="clear" w:color="auto" w:fill="auto"/>
            <w:noWrap w:val="0"/>
            <w:vAlign w:val="center"/>
          </w:tcPr>
          <w:p w14:paraId="51B17CF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59BF3F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0.050L</w:t>
            </w:r>
          </w:p>
        </w:tc>
        <w:tc>
          <w:tcPr>
            <w:tcW w:w="176" w:type="pct"/>
            <w:tcBorders>
              <w:tl2br w:val="nil"/>
              <w:tr2bl w:val="nil"/>
            </w:tcBorders>
            <w:shd w:val="clear" w:color="auto" w:fill="auto"/>
            <w:noWrap w:val="0"/>
            <w:vAlign w:val="center"/>
          </w:tcPr>
          <w:p w14:paraId="5402A93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F72D20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0.050L</w:t>
            </w:r>
          </w:p>
        </w:tc>
        <w:tc>
          <w:tcPr>
            <w:tcW w:w="176" w:type="pct"/>
            <w:tcBorders>
              <w:tl2br w:val="nil"/>
              <w:tr2bl w:val="nil"/>
            </w:tcBorders>
            <w:shd w:val="clear" w:color="auto" w:fill="auto"/>
            <w:noWrap w:val="0"/>
            <w:vAlign w:val="center"/>
          </w:tcPr>
          <w:p w14:paraId="0CE6581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2657CA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0.050L</w:t>
            </w:r>
          </w:p>
        </w:tc>
        <w:tc>
          <w:tcPr>
            <w:tcW w:w="176" w:type="pct"/>
            <w:tcBorders>
              <w:tl2br w:val="nil"/>
              <w:tr2bl w:val="nil"/>
            </w:tcBorders>
            <w:shd w:val="clear" w:color="auto" w:fill="auto"/>
            <w:noWrap w:val="0"/>
            <w:vAlign w:val="center"/>
          </w:tcPr>
          <w:p w14:paraId="3962B00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CDE47B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0.050L</w:t>
            </w:r>
          </w:p>
        </w:tc>
        <w:tc>
          <w:tcPr>
            <w:tcW w:w="176" w:type="pct"/>
            <w:tcBorders>
              <w:tl2br w:val="nil"/>
              <w:tr2bl w:val="nil"/>
            </w:tcBorders>
            <w:shd w:val="clear" w:color="auto" w:fill="auto"/>
            <w:noWrap w:val="0"/>
            <w:vAlign w:val="center"/>
          </w:tcPr>
          <w:p w14:paraId="5BCF65C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5CC6480">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0A3E643">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4E72F68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4F55D6F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0C633DD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5164BC6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24F202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5174565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耗氧量（mg/L）</w:t>
            </w:r>
          </w:p>
        </w:tc>
        <w:tc>
          <w:tcPr>
            <w:tcW w:w="257" w:type="pct"/>
            <w:tcBorders>
              <w:tl2br w:val="nil"/>
              <w:tr2bl w:val="nil"/>
            </w:tcBorders>
            <w:shd w:val="clear" w:color="auto" w:fill="auto"/>
            <w:noWrap w:val="0"/>
            <w:vAlign w:val="center"/>
          </w:tcPr>
          <w:p w14:paraId="0D8BDF5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258" w:type="pct"/>
            <w:tcBorders>
              <w:tl2br w:val="nil"/>
              <w:tr2bl w:val="nil"/>
            </w:tcBorders>
            <w:shd w:val="clear" w:color="auto" w:fill="auto"/>
            <w:noWrap w:val="0"/>
            <w:vAlign w:val="center"/>
          </w:tcPr>
          <w:p w14:paraId="413153F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1.08</w:t>
            </w:r>
          </w:p>
        </w:tc>
        <w:tc>
          <w:tcPr>
            <w:tcW w:w="176" w:type="pct"/>
            <w:tcBorders>
              <w:tl2br w:val="nil"/>
              <w:tr2bl w:val="nil"/>
            </w:tcBorders>
            <w:shd w:val="clear" w:color="auto" w:fill="auto"/>
            <w:noWrap w:val="0"/>
            <w:vAlign w:val="center"/>
          </w:tcPr>
          <w:p w14:paraId="6693C99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0.36</w:t>
            </w:r>
          </w:p>
        </w:tc>
        <w:tc>
          <w:tcPr>
            <w:tcW w:w="258" w:type="pct"/>
            <w:tcBorders>
              <w:tl2br w:val="nil"/>
              <w:tr2bl w:val="nil"/>
            </w:tcBorders>
            <w:shd w:val="clear" w:color="auto" w:fill="auto"/>
            <w:noWrap w:val="0"/>
            <w:vAlign w:val="center"/>
          </w:tcPr>
          <w:p w14:paraId="6F7DDD6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176" w:type="pct"/>
            <w:tcBorders>
              <w:tl2br w:val="nil"/>
              <w:tr2bl w:val="nil"/>
            </w:tcBorders>
            <w:shd w:val="clear" w:color="auto" w:fill="auto"/>
            <w:noWrap w:val="0"/>
            <w:vAlign w:val="center"/>
          </w:tcPr>
          <w:p w14:paraId="5E0C1D2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0.47</w:t>
            </w:r>
          </w:p>
        </w:tc>
        <w:tc>
          <w:tcPr>
            <w:tcW w:w="258" w:type="pct"/>
            <w:tcBorders>
              <w:tl2br w:val="nil"/>
              <w:tr2bl w:val="nil"/>
            </w:tcBorders>
            <w:shd w:val="clear" w:color="auto" w:fill="auto"/>
            <w:noWrap w:val="0"/>
            <w:vAlign w:val="center"/>
          </w:tcPr>
          <w:p w14:paraId="4DF0BBA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1.26</w:t>
            </w:r>
          </w:p>
        </w:tc>
        <w:tc>
          <w:tcPr>
            <w:tcW w:w="176" w:type="pct"/>
            <w:tcBorders>
              <w:tl2br w:val="nil"/>
              <w:tr2bl w:val="nil"/>
            </w:tcBorders>
            <w:shd w:val="clear" w:color="auto" w:fill="auto"/>
            <w:noWrap w:val="0"/>
            <w:vAlign w:val="center"/>
          </w:tcPr>
          <w:p w14:paraId="7A45107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0.42</w:t>
            </w:r>
          </w:p>
        </w:tc>
        <w:tc>
          <w:tcPr>
            <w:tcW w:w="258" w:type="pct"/>
            <w:tcBorders>
              <w:tl2br w:val="nil"/>
              <w:tr2bl w:val="nil"/>
            </w:tcBorders>
            <w:shd w:val="clear" w:color="auto" w:fill="auto"/>
            <w:noWrap w:val="0"/>
            <w:vAlign w:val="center"/>
          </w:tcPr>
          <w:p w14:paraId="4856095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1.13</w:t>
            </w:r>
          </w:p>
        </w:tc>
        <w:tc>
          <w:tcPr>
            <w:tcW w:w="176" w:type="pct"/>
            <w:tcBorders>
              <w:tl2br w:val="nil"/>
              <w:tr2bl w:val="nil"/>
            </w:tcBorders>
            <w:shd w:val="clear" w:color="auto" w:fill="auto"/>
            <w:noWrap w:val="0"/>
            <w:vAlign w:val="center"/>
          </w:tcPr>
          <w:p w14:paraId="35A3151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0.38</w:t>
            </w:r>
          </w:p>
        </w:tc>
        <w:tc>
          <w:tcPr>
            <w:tcW w:w="258" w:type="pct"/>
            <w:tcBorders>
              <w:tl2br w:val="nil"/>
              <w:tr2bl w:val="nil"/>
            </w:tcBorders>
            <w:shd w:val="clear" w:color="auto" w:fill="auto"/>
            <w:noWrap w:val="0"/>
            <w:vAlign w:val="center"/>
          </w:tcPr>
          <w:p w14:paraId="7B781D5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1.52</w:t>
            </w:r>
          </w:p>
        </w:tc>
        <w:tc>
          <w:tcPr>
            <w:tcW w:w="176" w:type="pct"/>
            <w:tcBorders>
              <w:tl2br w:val="nil"/>
              <w:tr2bl w:val="nil"/>
            </w:tcBorders>
            <w:shd w:val="clear" w:color="auto" w:fill="auto"/>
            <w:noWrap w:val="0"/>
            <w:vAlign w:val="center"/>
          </w:tcPr>
          <w:p w14:paraId="3D13254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0.51</w:t>
            </w:r>
          </w:p>
        </w:tc>
        <w:tc>
          <w:tcPr>
            <w:tcW w:w="258" w:type="pct"/>
            <w:tcBorders>
              <w:tl2br w:val="nil"/>
              <w:tr2bl w:val="nil"/>
            </w:tcBorders>
            <w:shd w:val="clear" w:color="auto" w:fill="auto"/>
            <w:noWrap w:val="0"/>
            <w:vAlign w:val="center"/>
          </w:tcPr>
          <w:p w14:paraId="4697272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w:t>
            </w:r>
          </w:p>
        </w:tc>
        <w:tc>
          <w:tcPr>
            <w:tcW w:w="176" w:type="pct"/>
            <w:tcBorders>
              <w:tl2br w:val="nil"/>
              <w:tr2bl w:val="nil"/>
            </w:tcBorders>
            <w:shd w:val="clear" w:color="auto" w:fill="auto"/>
            <w:noWrap w:val="0"/>
            <w:vAlign w:val="center"/>
          </w:tcPr>
          <w:p w14:paraId="47AF008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0.53</w:t>
            </w:r>
          </w:p>
        </w:tc>
        <w:tc>
          <w:tcPr>
            <w:tcW w:w="258" w:type="pct"/>
            <w:tcBorders>
              <w:tl2br w:val="nil"/>
              <w:tr2bl w:val="nil"/>
            </w:tcBorders>
            <w:shd w:val="clear" w:color="auto" w:fill="auto"/>
            <w:noWrap w:val="0"/>
            <w:vAlign w:val="center"/>
          </w:tcPr>
          <w:p w14:paraId="19317BC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1.46</w:t>
            </w:r>
          </w:p>
        </w:tc>
        <w:tc>
          <w:tcPr>
            <w:tcW w:w="176" w:type="pct"/>
            <w:tcBorders>
              <w:tl2br w:val="nil"/>
              <w:tr2bl w:val="nil"/>
            </w:tcBorders>
            <w:shd w:val="clear" w:color="auto" w:fill="auto"/>
            <w:noWrap w:val="0"/>
            <w:vAlign w:val="center"/>
          </w:tcPr>
          <w:p w14:paraId="19FE25D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0.49</w:t>
            </w:r>
          </w:p>
        </w:tc>
        <w:tc>
          <w:tcPr>
            <w:tcW w:w="258" w:type="pct"/>
            <w:tcBorders>
              <w:tl2br w:val="nil"/>
              <w:tr2bl w:val="nil"/>
            </w:tcBorders>
            <w:shd w:val="clear" w:color="auto" w:fill="auto"/>
            <w:noWrap w:val="0"/>
            <w:vAlign w:val="center"/>
          </w:tcPr>
          <w:p w14:paraId="300A89F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1.67</w:t>
            </w:r>
          </w:p>
        </w:tc>
        <w:tc>
          <w:tcPr>
            <w:tcW w:w="258" w:type="pct"/>
            <w:tcBorders>
              <w:tl2br w:val="nil"/>
              <w:tr2bl w:val="nil"/>
            </w:tcBorders>
            <w:shd w:val="clear" w:color="auto" w:fill="auto"/>
            <w:noWrap w:val="0"/>
            <w:vAlign w:val="center"/>
          </w:tcPr>
          <w:p w14:paraId="35069A6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1.08</w:t>
            </w:r>
          </w:p>
        </w:tc>
        <w:tc>
          <w:tcPr>
            <w:tcW w:w="178" w:type="pct"/>
            <w:tcBorders>
              <w:tl2br w:val="nil"/>
              <w:tr2bl w:val="nil"/>
            </w:tcBorders>
            <w:shd w:val="clear" w:color="auto" w:fill="auto"/>
            <w:noWrap w:val="0"/>
            <w:vAlign w:val="center"/>
          </w:tcPr>
          <w:p w14:paraId="3C6CE289">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1.35 </w:t>
            </w:r>
          </w:p>
        </w:tc>
        <w:tc>
          <w:tcPr>
            <w:tcW w:w="178" w:type="pct"/>
            <w:tcBorders>
              <w:tl2br w:val="nil"/>
              <w:tr2bl w:val="nil"/>
            </w:tcBorders>
            <w:shd w:val="clear" w:color="auto" w:fill="auto"/>
            <w:noWrap w:val="0"/>
            <w:vAlign w:val="center"/>
          </w:tcPr>
          <w:p w14:paraId="0BB7DFD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0.23</w:t>
            </w:r>
          </w:p>
        </w:tc>
        <w:tc>
          <w:tcPr>
            <w:tcW w:w="148" w:type="pct"/>
            <w:tcBorders>
              <w:tl2br w:val="nil"/>
              <w:tr2bl w:val="nil"/>
            </w:tcBorders>
            <w:shd w:val="clear" w:color="auto" w:fill="auto"/>
            <w:noWrap w:val="0"/>
            <w:vAlign w:val="center"/>
          </w:tcPr>
          <w:p w14:paraId="422EA6F9">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3C34791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DB99B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3288A8D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氨氮（mg/L）</w:t>
            </w:r>
          </w:p>
        </w:tc>
        <w:tc>
          <w:tcPr>
            <w:tcW w:w="257" w:type="pct"/>
            <w:tcBorders>
              <w:tl2br w:val="nil"/>
              <w:tr2bl w:val="nil"/>
            </w:tcBorders>
            <w:shd w:val="clear" w:color="auto" w:fill="auto"/>
            <w:noWrap w:val="0"/>
            <w:vAlign w:val="center"/>
          </w:tcPr>
          <w:p w14:paraId="08C26C9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0.5</w:t>
            </w:r>
          </w:p>
        </w:tc>
        <w:tc>
          <w:tcPr>
            <w:tcW w:w="258" w:type="pct"/>
            <w:tcBorders>
              <w:tl2br w:val="nil"/>
              <w:tr2bl w:val="nil"/>
            </w:tcBorders>
            <w:shd w:val="clear" w:color="auto" w:fill="auto"/>
            <w:noWrap w:val="0"/>
            <w:vAlign w:val="center"/>
          </w:tcPr>
          <w:p w14:paraId="71D9DA2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0.109</w:t>
            </w:r>
          </w:p>
        </w:tc>
        <w:tc>
          <w:tcPr>
            <w:tcW w:w="176" w:type="pct"/>
            <w:tcBorders>
              <w:tl2br w:val="nil"/>
              <w:tr2bl w:val="nil"/>
            </w:tcBorders>
            <w:shd w:val="clear" w:color="auto" w:fill="auto"/>
            <w:noWrap w:val="0"/>
            <w:vAlign w:val="center"/>
          </w:tcPr>
          <w:p w14:paraId="01B447C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0.22</w:t>
            </w:r>
          </w:p>
        </w:tc>
        <w:tc>
          <w:tcPr>
            <w:tcW w:w="258" w:type="pct"/>
            <w:tcBorders>
              <w:tl2br w:val="nil"/>
              <w:tr2bl w:val="nil"/>
            </w:tcBorders>
            <w:shd w:val="clear" w:color="auto" w:fill="auto"/>
            <w:noWrap w:val="0"/>
            <w:vAlign w:val="center"/>
          </w:tcPr>
          <w:p w14:paraId="1686167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0.103</w:t>
            </w:r>
          </w:p>
        </w:tc>
        <w:tc>
          <w:tcPr>
            <w:tcW w:w="176" w:type="pct"/>
            <w:tcBorders>
              <w:tl2br w:val="nil"/>
              <w:tr2bl w:val="nil"/>
            </w:tcBorders>
            <w:shd w:val="clear" w:color="auto" w:fill="auto"/>
            <w:noWrap w:val="0"/>
            <w:vAlign w:val="center"/>
          </w:tcPr>
          <w:p w14:paraId="23EAAF7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0.21</w:t>
            </w:r>
          </w:p>
        </w:tc>
        <w:tc>
          <w:tcPr>
            <w:tcW w:w="258" w:type="pct"/>
            <w:tcBorders>
              <w:tl2br w:val="nil"/>
              <w:tr2bl w:val="nil"/>
            </w:tcBorders>
            <w:shd w:val="clear" w:color="auto" w:fill="auto"/>
            <w:noWrap w:val="0"/>
            <w:vAlign w:val="center"/>
          </w:tcPr>
          <w:p w14:paraId="70A15ED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0.14</w:t>
            </w:r>
          </w:p>
        </w:tc>
        <w:tc>
          <w:tcPr>
            <w:tcW w:w="176" w:type="pct"/>
            <w:tcBorders>
              <w:tl2br w:val="nil"/>
              <w:tr2bl w:val="nil"/>
            </w:tcBorders>
            <w:shd w:val="clear" w:color="auto" w:fill="auto"/>
            <w:noWrap w:val="0"/>
            <w:vAlign w:val="center"/>
          </w:tcPr>
          <w:p w14:paraId="457576E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0.28</w:t>
            </w:r>
          </w:p>
        </w:tc>
        <w:tc>
          <w:tcPr>
            <w:tcW w:w="258" w:type="pct"/>
            <w:tcBorders>
              <w:tl2br w:val="nil"/>
              <w:tr2bl w:val="nil"/>
            </w:tcBorders>
            <w:shd w:val="clear" w:color="auto" w:fill="auto"/>
            <w:noWrap w:val="0"/>
            <w:vAlign w:val="center"/>
          </w:tcPr>
          <w:p w14:paraId="642A268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0.115</w:t>
            </w:r>
          </w:p>
        </w:tc>
        <w:tc>
          <w:tcPr>
            <w:tcW w:w="176" w:type="pct"/>
            <w:tcBorders>
              <w:tl2br w:val="nil"/>
              <w:tr2bl w:val="nil"/>
            </w:tcBorders>
            <w:shd w:val="clear" w:color="auto" w:fill="auto"/>
            <w:noWrap w:val="0"/>
            <w:vAlign w:val="center"/>
          </w:tcPr>
          <w:p w14:paraId="273CA75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0.23</w:t>
            </w:r>
          </w:p>
        </w:tc>
        <w:tc>
          <w:tcPr>
            <w:tcW w:w="258" w:type="pct"/>
            <w:tcBorders>
              <w:tl2br w:val="nil"/>
              <w:tr2bl w:val="nil"/>
            </w:tcBorders>
            <w:shd w:val="clear" w:color="auto" w:fill="auto"/>
            <w:noWrap w:val="0"/>
            <w:vAlign w:val="center"/>
          </w:tcPr>
          <w:p w14:paraId="6331311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0.123</w:t>
            </w:r>
          </w:p>
        </w:tc>
        <w:tc>
          <w:tcPr>
            <w:tcW w:w="176" w:type="pct"/>
            <w:tcBorders>
              <w:tl2br w:val="nil"/>
              <w:tr2bl w:val="nil"/>
            </w:tcBorders>
            <w:shd w:val="clear" w:color="auto" w:fill="auto"/>
            <w:noWrap w:val="0"/>
            <w:vAlign w:val="center"/>
          </w:tcPr>
          <w:p w14:paraId="7914A8A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258" w:type="pct"/>
            <w:tcBorders>
              <w:tl2br w:val="nil"/>
              <w:tr2bl w:val="nil"/>
            </w:tcBorders>
            <w:shd w:val="clear" w:color="auto" w:fill="auto"/>
            <w:noWrap w:val="0"/>
            <w:vAlign w:val="center"/>
          </w:tcPr>
          <w:p w14:paraId="3F1DDD5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0.128</w:t>
            </w:r>
          </w:p>
        </w:tc>
        <w:tc>
          <w:tcPr>
            <w:tcW w:w="176" w:type="pct"/>
            <w:tcBorders>
              <w:tl2br w:val="nil"/>
              <w:tr2bl w:val="nil"/>
            </w:tcBorders>
            <w:shd w:val="clear" w:color="auto" w:fill="auto"/>
            <w:noWrap w:val="0"/>
            <w:vAlign w:val="center"/>
          </w:tcPr>
          <w:p w14:paraId="33F78A1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0.26</w:t>
            </w:r>
          </w:p>
        </w:tc>
        <w:tc>
          <w:tcPr>
            <w:tcW w:w="258" w:type="pct"/>
            <w:tcBorders>
              <w:tl2br w:val="nil"/>
              <w:tr2bl w:val="nil"/>
            </w:tcBorders>
            <w:shd w:val="clear" w:color="auto" w:fill="auto"/>
            <w:noWrap w:val="0"/>
            <w:vAlign w:val="center"/>
          </w:tcPr>
          <w:p w14:paraId="580D7DE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0.139</w:t>
            </w:r>
          </w:p>
        </w:tc>
        <w:tc>
          <w:tcPr>
            <w:tcW w:w="176" w:type="pct"/>
            <w:tcBorders>
              <w:tl2br w:val="nil"/>
              <w:tr2bl w:val="nil"/>
            </w:tcBorders>
            <w:shd w:val="clear" w:color="auto" w:fill="auto"/>
            <w:noWrap w:val="0"/>
            <w:vAlign w:val="center"/>
          </w:tcPr>
          <w:p w14:paraId="361D165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0.28</w:t>
            </w:r>
          </w:p>
        </w:tc>
        <w:tc>
          <w:tcPr>
            <w:tcW w:w="258" w:type="pct"/>
            <w:tcBorders>
              <w:tl2br w:val="nil"/>
              <w:tr2bl w:val="nil"/>
            </w:tcBorders>
            <w:shd w:val="clear" w:color="auto" w:fill="auto"/>
            <w:noWrap w:val="0"/>
            <w:vAlign w:val="center"/>
          </w:tcPr>
          <w:p w14:paraId="1FEEADB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0.14</w:t>
            </w:r>
          </w:p>
        </w:tc>
        <w:tc>
          <w:tcPr>
            <w:tcW w:w="258" w:type="pct"/>
            <w:tcBorders>
              <w:tl2br w:val="nil"/>
              <w:tr2bl w:val="nil"/>
            </w:tcBorders>
            <w:shd w:val="clear" w:color="auto" w:fill="auto"/>
            <w:noWrap w:val="0"/>
            <w:vAlign w:val="center"/>
          </w:tcPr>
          <w:p w14:paraId="282E6F1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0.091</w:t>
            </w:r>
          </w:p>
        </w:tc>
        <w:tc>
          <w:tcPr>
            <w:tcW w:w="178" w:type="pct"/>
            <w:tcBorders>
              <w:tl2br w:val="nil"/>
              <w:tr2bl w:val="nil"/>
            </w:tcBorders>
            <w:shd w:val="clear" w:color="auto" w:fill="auto"/>
            <w:noWrap w:val="0"/>
            <w:vAlign w:val="center"/>
          </w:tcPr>
          <w:p w14:paraId="5F7A8EBD">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 xml:space="preserve">0.122 </w:t>
            </w:r>
          </w:p>
        </w:tc>
        <w:tc>
          <w:tcPr>
            <w:tcW w:w="178" w:type="pct"/>
            <w:tcBorders>
              <w:tl2br w:val="nil"/>
              <w:tr2bl w:val="nil"/>
            </w:tcBorders>
            <w:shd w:val="clear" w:color="auto" w:fill="auto"/>
            <w:noWrap w:val="0"/>
            <w:vAlign w:val="center"/>
          </w:tcPr>
          <w:p w14:paraId="4C29AFE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148" w:type="pct"/>
            <w:tcBorders>
              <w:tl2br w:val="nil"/>
              <w:tr2bl w:val="nil"/>
            </w:tcBorders>
            <w:shd w:val="clear" w:color="auto" w:fill="auto"/>
            <w:noWrap w:val="0"/>
            <w:vAlign w:val="center"/>
          </w:tcPr>
          <w:p w14:paraId="496EAF18">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1008579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0A6B7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06B7CBF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硫化物（mg/L）</w:t>
            </w:r>
          </w:p>
        </w:tc>
        <w:tc>
          <w:tcPr>
            <w:tcW w:w="257" w:type="pct"/>
            <w:tcBorders>
              <w:tl2br w:val="nil"/>
              <w:tr2bl w:val="nil"/>
            </w:tcBorders>
            <w:shd w:val="clear" w:color="auto" w:fill="auto"/>
            <w:noWrap w:val="0"/>
            <w:vAlign w:val="center"/>
          </w:tcPr>
          <w:p w14:paraId="0004D0F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258" w:type="pct"/>
            <w:tcBorders>
              <w:tl2br w:val="nil"/>
              <w:tr2bl w:val="nil"/>
            </w:tcBorders>
            <w:shd w:val="clear" w:color="auto" w:fill="auto"/>
            <w:noWrap w:val="0"/>
            <w:vAlign w:val="center"/>
          </w:tcPr>
          <w:p w14:paraId="365F06D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3CC5D94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487E1E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0B66B5C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C66CF6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734F961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9DBA0E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76B24F5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F1506F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3DA8E2B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956D46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17C97F1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CEEFD2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2038483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3F9EE8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044D232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3B6B4A3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523B6D7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087551B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5AF45BD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37C66B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0A3CA11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钠（mg/L）</w:t>
            </w:r>
          </w:p>
        </w:tc>
        <w:tc>
          <w:tcPr>
            <w:tcW w:w="257" w:type="pct"/>
            <w:tcBorders>
              <w:tl2br w:val="nil"/>
              <w:tr2bl w:val="nil"/>
            </w:tcBorders>
            <w:shd w:val="clear" w:color="auto" w:fill="auto"/>
            <w:noWrap w:val="0"/>
            <w:vAlign w:val="center"/>
          </w:tcPr>
          <w:p w14:paraId="494567DA">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258" w:type="pct"/>
            <w:tcBorders>
              <w:tl2br w:val="nil"/>
              <w:tr2bl w:val="nil"/>
            </w:tcBorders>
            <w:shd w:val="clear" w:color="auto" w:fill="auto"/>
            <w:noWrap w:val="0"/>
            <w:vAlign w:val="center"/>
          </w:tcPr>
          <w:p w14:paraId="3EB901A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37.7</w:t>
            </w:r>
          </w:p>
        </w:tc>
        <w:tc>
          <w:tcPr>
            <w:tcW w:w="176" w:type="pct"/>
            <w:tcBorders>
              <w:tl2br w:val="nil"/>
              <w:tr2bl w:val="nil"/>
            </w:tcBorders>
            <w:shd w:val="clear" w:color="auto" w:fill="auto"/>
            <w:noWrap w:val="0"/>
            <w:vAlign w:val="center"/>
          </w:tcPr>
          <w:p w14:paraId="6EA2B94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0.19</w:t>
            </w:r>
          </w:p>
        </w:tc>
        <w:tc>
          <w:tcPr>
            <w:tcW w:w="258" w:type="pct"/>
            <w:tcBorders>
              <w:tl2br w:val="nil"/>
              <w:tr2bl w:val="nil"/>
            </w:tcBorders>
            <w:shd w:val="clear" w:color="auto" w:fill="auto"/>
            <w:noWrap w:val="0"/>
            <w:vAlign w:val="center"/>
          </w:tcPr>
          <w:p w14:paraId="0D3A54A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38.5</w:t>
            </w:r>
          </w:p>
        </w:tc>
        <w:tc>
          <w:tcPr>
            <w:tcW w:w="176" w:type="pct"/>
            <w:tcBorders>
              <w:tl2br w:val="nil"/>
              <w:tr2bl w:val="nil"/>
            </w:tcBorders>
            <w:shd w:val="clear" w:color="auto" w:fill="auto"/>
            <w:noWrap w:val="0"/>
            <w:vAlign w:val="center"/>
          </w:tcPr>
          <w:p w14:paraId="7D4333F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0.19</w:t>
            </w:r>
          </w:p>
        </w:tc>
        <w:tc>
          <w:tcPr>
            <w:tcW w:w="258" w:type="pct"/>
            <w:tcBorders>
              <w:tl2br w:val="nil"/>
              <w:tr2bl w:val="nil"/>
            </w:tcBorders>
            <w:shd w:val="clear" w:color="auto" w:fill="auto"/>
            <w:noWrap w:val="0"/>
            <w:vAlign w:val="center"/>
          </w:tcPr>
          <w:p w14:paraId="66C0D1C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w:t>
            </w:r>
          </w:p>
        </w:tc>
        <w:tc>
          <w:tcPr>
            <w:tcW w:w="176" w:type="pct"/>
            <w:tcBorders>
              <w:tl2br w:val="nil"/>
              <w:tr2bl w:val="nil"/>
            </w:tcBorders>
            <w:shd w:val="clear" w:color="auto" w:fill="auto"/>
            <w:noWrap w:val="0"/>
            <w:vAlign w:val="center"/>
          </w:tcPr>
          <w:p w14:paraId="7A1D660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0.19</w:t>
            </w:r>
          </w:p>
        </w:tc>
        <w:tc>
          <w:tcPr>
            <w:tcW w:w="258" w:type="pct"/>
            <w:tcBorders>
              <w:tl2br w:val="nil"/>
              <w:tr2bl w:val="nil"/>
            </w:tcBorders>
            <w:shd w:val="clear" w:color="auto" w:fill="auto"/>
            <w:noWrap w:val="0"/>
            <w:vAlign w:val="center"/>
          </w:tcPr>
          <w:p w14:paraId="2494869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39.3</w:t>
            </w:r>
          </w:p>
        </w:tc>
        <w:tc>
          <w:tcPr>
            <w:tcW w:w="176" w:type="pct"/>
            <w:tcBorders>
              <w:tl2br w:val="nil"/>
              <w:tr2bl w:val="nil"/>
            </w:tcBorders>
            <w:shd w:val="clear" w:color="auto" w:fill="auto"/>
            <w:noWrap w:val="0"/>
            <w:vAlign w:val="center"/>
          </w:tcPr>
          <w:p w14:paraId="7A0FE52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0.20</w:t>
            </w:r>
          </w:p>
        </w:tc>
        <w:tc>
          <w:tcPr>
            <w:tcW w:w="258" w:type="pct"/>
            <w:tcBorders>
              <w:tl2br w:val="nil"/>
              <w:tr2bl w:val="nil"/>
            </w:tcBorders>
            <w:shd w:val="clear" w:color="auto" w:fill="auto"/>
            <w:noWrap w:val="0"/>
            <w:vAlign w:val="center"/>
          </w:tcPr>
          <w:p w14:paraId="20DB51B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32.7</w:t>
            </w:r>
          </w:p>
        </w:tc>
        <w:tc>
          <w:tcPr>
            <w:tcW w:w="176" w:type="pct"/>
            <w:tcBorders>
              <w:tl2br w:val="nil"/>
              <w:tr2bl w:val="nil"/>
            </w:tcBorders>
            <w:shd w:val="clear" w:color="auto" w:fill="auto"/>
            <w:noWrap w:val="0"/>
            <w:vAlign w:val="center"/>
          </w:tcPr>
          <w:p w14:paraId="210BF11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258" w:type="pct"/>
            <w:tcBorders>
              <w:tl2br w:val="nil"/>
              <w:tr2bl w:val="nil"/>
            </w:tcBorders>
            <w:shd w:val="clear" w:color="auto" w:fill="auto"/>
            <w:noWrap w:val="0"/>
            <w:vAlign w:val="center"/>
          </w:tcPr>
          <w:p w14:paraId="7BB2110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32.5</w:t>
            </w:r>
          </w:p>
        </w:tc>
        <w:tc>
          <w:tcPr>
            <w:tcW w:w="176" w:type="pct"/>
            <w:tcBorders>
              <w:tl2br w:val="nil"/>
              <w:tr2bl w:val="nil"/>
            </w:tcBorders>
            <w:shd w:val="clear" w:color="auto" w:fill="auto"/>
            <w:noWrap w:val="0"/>
            <w:vAlign w:val="center"/>
          </w:tcPr>
          <w:p w14:paraId="37A6277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258" w:type="pct"/>
            <w:tcBorders>
              <w:tl2br w:val="nil"/>
              <w:tr2bl w:val="nil"/>
            </w:tcBorders>
            <w:shd w:val="clear" w:color="auto" w:fill="auto"/>
            <w:noWrap w:val="0"/>
            <w:vAlign w:val="center"/>
          </w:tcPr>
          <w:p w14:paraId="2F2D018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26</w:t>
            </w:r>
          </w:p>
        </w:tc>
        <w:tc>
          <w:tcPr>
            <w:tcW w:w="176" w:type="pct"/>
            <w:tcBorders>
              <w:tl2br w:val="nil"/>
              <w:tr2bl w:val="nil"/>
            </w:tcBorders>
            <w:shd w:val="clear" w:color="auto" w:fill="auto"/>
            <w:noWrap w:val="0"/>
            <w:vAlign w:val="center"/>
          </w:tcPr>
          <w:p w14:paraId="6F41612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0.13</w:t>
            </w:r>
          </w:p>
        </w:tc>
        <w:tc>
          <w:tcPr>
            <w:tcW w:w="258" w:type="pct"/>
            <w:tcBorders>
              <w:tl2br w:val="nil"/>
              <w:tr2bl w:val="nil"/>
            </w:tcBorders>
            <w:shd w:val="clear" w:color="auto" w:fill="auto"/>
            <w:noWrap w:val="0"/>
            <w:vAlign w:val="center"/>
          </w:tcPr>
          <w:p w14:paraId="76838CC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39.3</w:t>
            </w:r>
          </w:p>
        </w:tc>
        <w:tc>
          <w:tcPr>
            <w:tcW w:w="258" w:type="pct"/>
            <w:tcBorders>
              <w:tl2br w:val="nil"/>
              <w:tr2bl w:val="nil"/>
            </w:tcBorders>
            <w:shd w:val="clear" w:color="auto" w:fill="auto"/>
            <w:noWrap w:val="0"/>
            <w:vAlign w:val="center"/>
          </w:tcPr>
          <w:p w14:paraId="5D35FD0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30.7</w:t>
            </w:r>
          </w:p>
        </w:tc>
        <w:tc>
          <w:tcPr>
            <w:tcW w:w="178" w:type="pct"/>
            <w:tcBorders>
              <w:tl2br w:val="nil"/>
              <w:tr2bl w:val="nil"/>
            </w:tcBorders>
            <w:shd w:val="clear" w:color="auto" w:fill="auto"/>
            <w:noWrap w:val="0"/>
            <w:vAlign w:val="center"/>
          </w:tcPr>
          <w:p w14:paraId="5287AC4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34.8</w:t>
            </w:r>
          </w:p>
        </w:tc>
        <w:tc>
          <w:tcPr>
            <w:tcW w:w="178" w:type="pct"/>
            <w:tcBorders>
              <w:tl2br w:val="nil"/>
              <w:tr2bl w:val="nil"/>
            </w:tcBorders>
            <w:shd w:val="clear" w:color="auto" w:fill="auto"/>
            <w:noWrap w:val="0"/>
            <w:vAlign w:val="center"/>
          </w:tcPr>
          <w:p w14:paraId="36AF87A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3.43</w:t>
            </w:r>
          </w:p>
        </w:tc>
        <w:tc>
          <w:tcPr>
            <w:tcW w:w="148" w:type="pct"/>
            <w:tcBorders>
              <w:tl2br w:val="nil"/>
              <w:tr2bl w:val="nil"/>
            </w:tcBorders>
            <w:shd w:val="clear" w:color="auto" w:fill="auto"/>
            <w:noWrap w:val="0"/>
            <w:vAlign w:val="center"/>
          </w:tcPr>
          <w:p w14:paraId="76A2EEF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408831B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6DC776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705A098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总大肠菌群（MPN/100mL）</w:t>
            </w:r>
          </w:p>
        </w:tc>
        <w:tc>
          <w:tcPr>
            <w:tcW w:w="257" w:type="pct"/>
            <w:tcBorders>
              <w:tl2br w:val="nil"/>
              <w:tr2bl w:val="nil"/>
            </w:tcBorders>
            <w:shd w:val="clear" w:color="auto" w:fill="auto"/>
            <w:noWrap w:val="0"/>
            <w:vAlign w:val="center"/>
          </w:tcPr>
          <w:p w14:paraId="7091B58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258" w:type="pct"/>
            <w:tcBorders>
              <w:tl2br w:val="nil"/>
              <w:tr2bl w:val="nil"/>
            </w:tcBorders>
            <w:shd w:val="clear" w:color="auto" w:fill="auto"/>
            <w:noWrap w:val="0"/>
            <w:vAlign w:val="center"/>
          </w:tcPr>
          <w:p w14:paraId="688286D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未检出</w:t>
            </w:r>
          </w:p>
        </w:tc>
        <w:tc>
          <w:tcPr>
            <w:tcW w:w="176" w:type="pct"/>
            <w:tcBorders>
              <w:tl2br w:val="nil"/>
              <w:tr2bl w:val="nil"/>
            </w:tcBorders>
            <w:shd w:val="clear" w:color="auto" w:fill="auto"/>
            <w:noWrap w:val="0"/>
            <w:vAlign w:val="center"/>
          </w:tcPr>
          <w:p w14:paraId="5B0E143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CE5570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未检出</w:t>
            </w:r>
          </w:p>
        </w:tc>
        <w:tc>
          <w:tcPr>
            <w:tcW w:w="176" w:type="pct"/>
            <w:tcBorders>
              <w:tl2br w:val="nil"/>
              <w:tr2bl w:val="nil"/>
            </w:tcBorders>
            <w:shd w:val="clear" w:color="auto" w:fill="auto"/>
            <w:noWrap w:val="0"/>
            <w:vAlign w:val="center"/>
          </w:tcPr>
          <w:p w14:paraId="6B41A0E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7AC43D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未检出</w:t>
            </w:r>
          </w:p>
        </w:tc>
        <w:tc>
          <w:tcPr>
            <w:tcW w:w="176" w:type="pct"/>
            <w:tcBorders>
              <w:tl2br w:val="nil"/>
              <w:tr2bl w:val="nil"/>
            </w:tcBorders>
            <w:shd w:val="clear" w:color="auto" w:fill="auto"/>
            <w:noWrap w:val="0"/>
            <w:vAlign w:val="center"/>
          </w:tcPr>
          <w:p w14:paraId="0D980B3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042956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未检出</w:t>
            </w:r>
          </w:p>
        </w:tc>
        <w:tc>
          <w:tcPr>
            <w:tcW w:w="176" w:type="pct"/>
            <w:tcBorders>
              <w:tl2br w:val="nil"/>
              <w:tr2bl w:val="nil"/>
            </w:tcBorders>
            <w:shd w:val="clear" w:color="auto" w:fill="auto"/>
            <w:noWrap w:val="0"/>
            <w:vAlign w:val="center"/>
          </w:tcPr>
          <w:p w14:paraId="2124E49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9592FA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未检出</w:t>
            </w:r>
          </w:p>
        </w:tc>
        <w:tc>
          <w:tcPr>
            <w:tcW w:w="176" w:type="pct"/>
            <w:tcBorders>
              <w:tl2br w:val="nil"/>
              <w:tr2bl w:val="nil"/>
            </w:tcBorders>
            <w:shd w:val="clear" w:color="auto" w:fill="auto"/>
            <w:noWrap w:val="0"/>
            <w:vAlign w:val="center"/>
          </w:tcPr>
          <w:p w14:paraId="3998AA7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131EA4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未检出</w:t>
            </w:r>
          </w:p>
        </w:tc>
        <w:tc>
          <w:tcPr>
            <w:tcW w:w="176" w:type="pct"/>
            <w:tcBorders>
              <w:tl2br w:val="nil"/>
              <w:tr2bl w:val="nil"/>
            </w:tcBorders>
            <w:shd w:val="clear" w:color="auto" w:fill="auto"/>
            <w:noWrap w:val="0"/>
            <w:vAlign w:val="center"/>
          </w:tcPr>
          <w:p w14:paraId="3423AB2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4FE2E9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未检出</w:t>
            </w:r>
          </w:p>
        </w:tc>
        <w:tc>
          <w:tcPr>
            <w:tcW w:w="176" w:type="pct"/>
            <w:tcBorders>
              <w:tl2br w:val="nil"/>
              <w:tr2bl w:val="nil"/>
            </w:tcBorders>
            <w:shd w:val="clear" w:color="auto" w:fill="auto"/>
            <w:noWrap w:val="0"/>
            <w:vAlign w:val="center"/>
          </w:tcPr>
          <w:p w14:paraId="1E55DD5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DB71DA6">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0146CDB">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2F13DB0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4AAF17B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3E9283F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7AA90AC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5DBFD2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0AE7EB8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菌落总数（CFU/mL）</w:t>
            </w:r>
          </w:p>
        </w:tc>
        <w:tc>
          <w:tcPr>
            <w:tcW w:w="257" w:type="pct"/>
            <w:tcBorders>
              <w:tl2br w:val="nil"/>
              <w:tr2bl w:val="nil"/>
            </w:tcBorders>
            <w:shd w:val="clear" w:color="auto" w:fill="auto"/>
            <w:noWrap w:val="0"/>
            <w:vAlign w:val="center"/>
          </w:tcPr>
          <w:p w14:paraId="7A8A5BA9">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258" w:type="pct"/>
            <w:tcBorders>
              <w:tl2br w:val="nil"/>
              <w:tr2bl w:val="nil"/>
            </w:tcBorders>
            <w:shd w:val="clear" w:color="auto" w:fill="auto"/>
            <w:noWrap w:val="0"/>
            <w:vAlign w:val="center"/>
          </w:tcPr>
          <w:p w14:paraId="5EFEB35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w:t>
            </w:r>
          </w:p>
        </w:tc>
        <w:tc>
          <w:tcPr>
            <w:tcW w:w="176" w:type="pct"/>
            <w:tcBorders>
              <w:tl2br w:val="nil"/>
              <w:tr2bl w:val="nil"/>
            </w:tcBorders>
            <w:shd w:val="clear" w:color="auto" w:fill="auto"/>
            <w:noWrap w:val="0"/>
            <w:vAlign w:val="center"/>
          </w:tcPr>
          <w:p w14:paraId="12E054B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0.33</w:t>
            </w:r>
          </w:p>
        </w:tc>
        <w:tc>
          <w:tcPr>
            <w:tcW w:w="258" w:type="pct"/>
            <w:tcBorders>
              <w:tl2br w:val="nil"/>
              <w:tr2bl w:val="nil"/>
            </w:tcBorders>
            <w:shd w:val="clear" w:color="auto" w:fill="auto"/>
            <w:noWrap w:val="0"/>
            <w:vAlign w:val="center"/>
          </w:tcPr>
          <w:p w14:paraId="611D39E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176" w:type="pct"/>
            <w:tcBorders>
              <w:tl2br w:val="nil"/>
              <w:tr2bl w:val="nil"/>
            </w:tcBorders>
            <w:shd w:val="clear" w:color="auto" w:fill="auto"/>
            <w:noWrap w:val="0"/>
            <w:vAlign w:val="center"/>
          </w:tcPr>
          <w:p w14:paraId="5FB3B80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0.41</w:t>
            </w:r>
          </w:p>
        </w:tc>
        <w:tc>
          <w:tcPr>
            <w:tcW w:w="258" w:type="pct"/>
            <w:tcBorders>
              <w:tl2br w:val="nil"/>
              <w:tr2bl w:val="nil"/>
            </w:tcBorders>
            <w:shd w:val="clear" w:color="auto" w:fill="auto"/>
            <w:noWrap w:val="0"/>
            <w:vAlign w:val="center"/>
          </w:tcPr>
          <w:p w14:paraId="1DCB587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w:t>
            </w:r>
          </w:p>
        </w:tc>
        <w:tc>
          <w:tcPr>
            <w:tcW w:w="176" w:type="pct"/>
            <w:tcBorders>
              <w:tl2br w:val="nil"/>
              <w:tr2bl w:val="nil"/>
            </w:tcBorders>
            <w:shd w:val="clear" w:color="auto" w:fill="auto"/>
            <w:noWrap w:val="0"/>
            <w:vAlign w:val="center"/>
          </w:tcPr>
          <w:p w14:paraId="6F73DE4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0.36</w:t>
            </w:r>
          </w:p>
        </w:tc>
        <w:tc>
          <w:tcPr>
            <w:tcW w:w="258" w:type="pct"/>
            <w:tcBorders>
              <w:tl2br w:val="nil"/>
              <w:tr2bl w:val="nil"/>
            </w:tcBorders>
            <w:shd w:val="clear" w:color="auto" w:fill="auto"/>
            <w:noWrap w:val="0"/>
            <w:vAlign w:val="center"/>
          </w:tcPr>
          <w:p w14:paraId="0F3B42C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w:t>
            </w:r>
          </w:p>
        </w:tc>
        <w:tc>
          <w:tcPr>
            <w:tcW w:w="176" w:type="pct"/>
            <w:tcBorders>
              <w:tl2br w:val="nil"/>
              <w:tr2bl w:val="nil"/>
            </w:tcBorders>
            <w:shd w:val="clear" w:color="auto" w:fill="auto"/>
            <w:noWrap w:val="0"/>
            <w:vAlign w:val="center"/>
          </w:tcPr>
          <w:p w14:paraId="0A85C3C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0.34</w:t>
            </w:r>
          </w:p>
        </w:tc>
        <w:tc>
          <w:tcPr>
            <w:tcW w:w="258" w:type="pct"/>
            <w:tcBorders>
              <w:tl2br w:val="nil"/>
              <w:tr2bl w:val="nil"/>
            </w:tcBorders>
            <w:shd w:val="clear" w:color="auto" w:fill="auto"/>
            <w:noWrap w:val="0"/>
            <w:vAlign w:val="center"/>
          </w:tcPr>
          <w:p w14:paraId="4E8343B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176" w:type="pct"/>
            <w:tcBorders>
              <w:tl2br w:val="nil"/>
              <w:tr2bl w:val="nil"/>
            </w:tcBorders>
            <w:shd w:val="clear" w:color="auto" w:fill="auto"/>
            <w:noWrap w:val="0"/>
            <w:vAlign w:val="center"/>
          </w:tcPr>
          <w:p w14:paraId="5E2BCF7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258" w:type="pct"/>
            <w:tcBorders>
              <w:tl2br w:val="nil"/>
              <w:tr2bl w:val="nil"/>
            </w:tcBorders>
            <w:shd w:val="clear" w:color="auto" w:fill="auto"/>
            <w:noWrap w:val="0"/>
            <w:vAlign w:val="center"/>
          </w:tcPr>
          <w:p w14:paraId="73C6DE6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176" w:type="pct"/>
            <w:tcBorders>
              <w:tl2br w:val="nil"/>
              <w:tr2bl w:val="nil"/>
            </w:tcBorders>
            <w:shd w:val="clear" w:color="auto" w:fill="auto"/>
            <w:noWrap w:val="0"/>
            <w:vAlign w:val="center"/>
          </w:tcPr>
          <w:p w14:paraId="19681BC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0.41</w:t>
            </w:r>
          </w:p>
        </w:tc>
        <w:tc>
          <w:tcPr>
            <w:tcW w:w="258" w:type="pct"/>
            <w:tcBorders>
              <w:tl2br w:val="nil"/>
              <w:tr2bl w:val="nil"/>
            </w:tcBorders>
            <w:shd w:val="clear" w:color="auto" w:fill="auto"/>
            <w:noWrap w:val="0"/>
            <w:vAlign w:val="center"/>
          </w:tcPr>
          <w:p w14:paraId="0125DE7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35</w:t>
            </w:r>
          </w:p>
        </w:tc>
        <w:tc>
          <w:tcPr>
            <w:tcW w:w="176" w:type="pct"/>
            <w:tcBorders>
              <w:tl2br w:val="nil"/>
              <w:tr2bl w:val="nil"/>
            </w:tcBorders>
            <w:shd w:val="clear" w:color="auto" w:fill="auto"/>
            <w:noWrap w:val="0"/>
            <w:vAlign w:val="center"/>
          </w:tcPr>
          <w:p w14:paraId="43D803C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0.35</w:t>
            </w:r>
          </w:p>
        </w:tc>
        <w:tc>
          <w:tcPr>
            <w:tcW w:w="258" w:type="pct"/>
            <w:tcBorders>
              <w:tl2br w:val="nil"/>
              <w:tr2bl w:val="nil"/>
            </w:tcBorders>
            <w:shd w:val="clear" w:color="auto" w:fill="auto"/>
            <w:noWrap w:val="0"/>
            <w:vAlign w:val="center"/>
          </w:tcPr>
          <w:p w14:paraId="449EACB7">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258" w:type="pct"/>
            <w:tcBorders>
              <w:tl2br w:val="nil"/>
              <w:tr2bl w:val="nil"/>
            </w:tcBorders>
            <w:shd w:val="clear" w:color="auto" w:fill="auto"/>
            <w:noWrap w:val="0"/>
            <w:vAlign w:val="center"/>
          </w:tcPr>
          <w:p w14:paraId="1CFE674C">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178" w:type="pct"/>
            <w:tcBorders>
              <w:tl2br w:val="nil"/>
              <w:tr2bl w:val="nil"/>
            </w:tcBorders>
            <w:shd w:val="clear" w:color="auto" w:fill="auto"/>
            <w:noWrap w:val="0"/>
            <w:vAlign w:val="center"/>
          </w:tcPr>
          <w:p w14:paraId="0E3C5FA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w:t>
            </w:r>
          </w:p>
        </w:tc>
        <w:tc>
          <w:tcPr>
            <w:tcW w:w="178" w:type="pct"/>
            <w:tcBorders>
              <w:tl2br w:val="nil"/>
              <w:tr2bl w:val="nil"/>
            </w:tcBorders>
            <w:shd w:val="clear" w:color="auto" w:fill="auto"/>
            <w:noWrap w:val="0"/>
            <w:vAlign w:val="center"/>
          </w:tcPr>
          <w:p w14:paraId="527D0EF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5.56</w:t>
            </w:r>
          </w:p>
        </w:tc>
        <w:tc>
          <w:tcPr>
            <w:tcW w:w="148" w:type="pct"/>
            <w:tcBorders>
              <w:tl2br w:val="nil"/>
              <w:tr2bl w:val="nil"/>
            </w:tcBorders>
            <w:shd w:val="clear" w:color="auto" w:fill="auto"/>
            <w:noWrap w:val="0"/>
            <w:vAlign w:val="center"/>
          </w:tcPr>
          <w:p w14:paraId="5D11B20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4663C7F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24A04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27BDC5E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亚硝酸盐氮（mg/L）</w:t>
            </w:r>
          </w:p>
        </w:tc>
        <w:tc>
          <w:tcPr>
            <w:tcW w:w="257" w:type="pct"/>
            <w:tcBorders>
              <w:tl2br w:val="nil"/>
              <w:tr2bl w:val="nil"/>
            </w:tcBorders>
            <w:shd w:val="clear" w:color="auto" w:fill="auto"/>
            <w:noWrap w:val="0"/>
            <w:vAlign w:val="center"/>
          </w:tcPr>
          <w:p w14:paraId="5DF4CB8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58" w:type="pct"/>
            <w:tcBorders>
              <w:tl2br w:val="nil"/>
              <w:tr2bl w:val="nil"/>
            </w:tcBorders>
            <w:shd w:val="clear" w:color="auto" w:fill="auto"/>
            <w:noWrap w:val="0"/>
            <w:vAlign w:val="center"/>
          </w:tcPr>
          <w:p w14:paraId="0330A85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1E4E623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E5CCE7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757868C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AD031B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583628A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FCC5D6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0C3EBF6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BC0C90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55BFFB5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294BEE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468B6F5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8E0BBD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0.003L</w:t>
            </w:r>
          </w:p>
        </w:tc>
        <w:tc>
          <w:tcPr>
            <w:tcW w:w="176" w:type="pct"/>
            <w:tcBorders>
              <w:tl2br w:val="nil"/>
              <w:tr2bl w:val="nil"/>
            </w:tcBorders>
            <w:shd w:val="clear" w:color="auto" w:fill="auto"/>
            <w:noWrap w:val="0"/>
            <w:vAlign w:val="center"/>
          </w:tcPr>
          <w:p w14:paraId="69B985C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214A6B3">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B6C5FC1">
            <w:pPr>
              <w:pStyle w:val="16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625D0DC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73B7205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20BB3B9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0092B90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4C4959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6658F20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硝酸盐氮（mg/L）</w:t>
            </w:r>
          </w:p>
        </w:tc>
        <w:tc>
          <w:tcPr>
            <w:tcW w:w="257" w:type="pct"/>
            <w:tcBorders>
              <w:tl2br w:val="nil"/>
              <w:tr2bl w:val="nil"/>
            </w:tcBorders>
            <w:shd w:val="clear" w:color="auto" w:fill="auto"/>
            <w:noWrap w:val="0"/>
            <w:vAlign w:val="center"/>
          </w:tcPr>
          <w:p w14:paraId="26A5F62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258" w:type="pct"/>
            <w:tcBorders>
              <w:tl2br w:val="nil"/>
              <w:tr2bl w:val="nil"/>
            </w:tcBorders>
            <w:shd w:val="clear" w:color="auto" w:fill="auto"/>
            <w:noWrap w:val="0"/>
            <w:vAlign w:val="center"/>
          </w:tcPr>
          <w:p w14:paraId="1433B6F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7.16</w:t>
            </w:r>
          </w:p>
        </w:tc>
        <w:tc>
          <w:tcPr>
            <w:tcW w:w="176" w:type="pct"/>
            <w:tcBorders>
              <w:tl2br w:val="nil"/>
              <w:tr2bl w:val="nil"/>
            </w:tcBorders>
            <w:shd w:val="clear" w:color="auto" w:fill="auto"/>
            <w:noWrap w:val="0"/>
            <w:vAlign w:val="center"/>
          </w:tcPr>
          <w:p w14:paraId="17EA37C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0.36</w:t>
            </w:r>
          </w:p>
        </w:tc>
        <w:tc>
          <w:tcPr>
            <w:tcW w:w="258" w:type="pct"/>
            <w:tcBorders>
              <w:tl2br w:val="nil"/>
              <w:tr2bl w:val="nil"/>
            </w:tcBorders>
            <w:shd w:val="clear" w:color="auto" w:fill="auto"/>
            <w:noWrap w:val="0"/>
            <w:vAlign w:val="center"/>
          </w:tcPr>
          <w:p w14:paraId="6A83EAE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6.48</w:t>
            </w:r>
          </w:p>
        </w:tc>
        <w:tc>
          <w:tcPr>
            <w:tcW w:w="176" w:type="pct"/>
            <w:tcBorders>
              <w:tl2br w:val="nil"/>
              <w:tr2bl w:val="nil"/>
            </w:tcBorders>
            <w:shd w:val="clear" w:color="auto" w:fill="auto"/>
            <w:noWrap w:val="0"/>
            <w:vAlign w:val="center"/>
          </w:tcPr>
          <w:p w14:paraId="31263C3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0.32</w:t>
            </w:r>
          </w:p>
        </w:tc>
        <w:tc>
          <w:tcPr>
            <w:tcW w:w="258" w:type="pct"/>
            <w:tcBorders>
              <w:tl2br w:val="nil"/>
              <w:tr2bl w:val="nil"/>
            </w:tcBorders>
            <w:shd w:val="clear" w:color="auto" w:fill="auto"/>
            <w:noWrap w:val="0"/>
            <w:vAlign w:val="center"/>
          </w:tcPr>
          <w:p w14:paraId="61981E1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7.11</w:t>
            </w:r>
          </w:p>
        </w:tc>
        <w:tc>
          <w:tcPr>
            <w:tcW w:w="176" w:type="pct"/>
            <w:tcBorders>
              <w:tl2br w:val="nil"/>
              <w:tr2bl w:val="nil"/>
            </w:tcBorders>
            <w:shd w:val="clear" w:color="auto" w:fill="auto"/>
            <w:noWrap w:val="0"/>
            <w:vAlign w:val="center"/>
          </w:tcPr>
          <w:p w14:paraId="04D0B7A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0.36</w:t>
            </w:r>
          </w:p>
        </w:tc>
        <w:tc>
          <w:tcPr>
            <w:tcW w:w="258" w:type="pct"/>
            <w:tcBorders>
              <w:tl2br w:val="nil"/>
              <w:tr2bl w:val="nil"/>
            </w:tcBorders>
            <w:shd w:val="clear" w:color="auto" w:fill="auto"/>
            <w:noWrap w:val="0"/>
            <w:vAlign w:val="center"/>
          </w:tcPr>
          <w:p w14:paraId="1116496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6.34</w:t>
            </w:r>
          </w:p>
        </w:tc>
        <w:tc>
          <w:tcPr>
            <w:tcW w:w="176" w:type="pct"/>
            <w:tcBorders>
              <w:tl2br w:val="nil"/>
              <w:tr2bl w:val="nil"/>
            </w:tcBorders>
            <w:shd w:val="clear" w:color="auto" w:fill="auto"/>
            <w:noWrap w:val="0"/>
            <w:vAlign w:val="center"/>
          </w:tcPr>
          <w:p w14:paraId="6162EB6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0.32</w:t>
            </w:r>
          </w:p>
        </w:tc>
        <w:tc>
          <w:tcPr>
            <w:tcW w:w="258" w:type="pct"/>
            <w:tcBorders>
              <w:tl2br w:val="nil"/>
              <w:tr2bl w:val="nil"/>
            </w:tcBorders>
            <w:shd w:val="clear" w:color="auto" w:fill="auto"/>
            <w:noWrap w:val="0"/>
            <w:vAlign w:val="center"/>
          </w:tcPr>
          <w:p w14:paraId="69E699E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6.75</w:t>
            </w:r>
          </w:p>
        </w:tc>
        <w:tc>
          <w:tcPr>
            <w:tcW w:w="176" w:type="pct"/>
            <w:tcBorders>
              <w:tl2br w:val="nil"/>
              <w:tr2bl w:val="nil"/>
            </w:tcBorders>
            <w:shd w:val="clear" w:color="auto" w:fill="auto"/>
            <w:noWrap w:val="0"/>
            <w:vAlign w:val="center"/>
          </w:tcPr>
          <w:p w14:paraId="4BD9ACB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0.34</w:t>
            </w:r>
          </w:p>
        </w:tc>
        <w:tc>
          <w:tcPr>
            <w:tcW w:w="258" w:type="pct"/>
            <w:tcBorders>
              <w:tl2br w:val="nil"/>
              <w:tr2bl w:val="nil"/>
            </w:tcBorders>
            <w:shd w:val="clear" w:color="auto" w:fill="auto"/>
            <w:noWrap w:val="0"/>
            <w:vAlign w:val="center"/>
          </w:tcPr>
          <w:p w14:paraId="72B147E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7.41</w:t>
            </w:r>
          </w:p>
        </w:tc>
        <w:tc>
          <w:tcPr>
            <w:tcW w:w="176" w:type="pct"/>
            <w:tcBorders>
              <w:tl2br w:val="nil"/>
              <w:tr2bl w:val="nil"/>
            </w:tcBorders>
            <w:shd w:val="clear" w:color="auto" w:fill="auto"/>
            <w:noWrap w:val="0"/>
            <w:vAlign w:val="center"/>
          </w:tcPr>
          <w:p w14:paraId="33B5488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0.37</w:t>
            </w:r>
          </w:p>
        </w:tc>
        <w:tc>
          <w:tcPr>
            <w:tcW w:w="258" w:type="pct"/>
            <w:tcBorders>
              <w:tl2br w:val="nil"/>
              <w:tr2bl w:val="nil"/>
            </w:tcBorders>
            <w:shd w:val="clear" w:color="auto" w:fill="auto"/>
            <w:noWrap w:val="0"/>
            <w:vAlign w:val="center"/>
          </w:tcPr>
          <w:p w14:paraId="3D462DE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7.1</w:t>
            </w:r>
          </w:p>
        </w:tc>
        <w:tc>
          <w:tcPr>
            <w:tcW w:w="176" w:type="pct"/>
            <w:tcBorders>
              <w:tl2br w:val="nil"/>
              <w:tr2bl w:val="nil"/>
            </w:tcBorders>
            <w:shd w:val="clear" w:color="auto" w:fill="auto"/>
            <w:noWrap w:val="0"/>
            <w:vAlign w:val="center"/>
          </w:tcPr>
          <w:p w14:paraId="62D3B84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0.36</w:t>
            </w:r>
          </w:p>
        </w:tc>
        <w:tc>
          <w:tcPr>
            <w:tcW w:w="258" w:type="pct"/>
            <w:tcBorders>
              <w:tl2br w:val="nil"/>
              <w:tr2bl w:val="nil"/>
            </w:tcBorders>
            <w:shd w:val="clear" w:color="auto" w:fill="auto"/>
            <w:noWrap w:val="0"/>
            <w:vAlign w:val="center"/>
          </w:tcPr>
          <w:p w14:paraId="567E991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7.41</w:t>
            </w:r>
          </w:p>
        </w:tc>
        <w:tc>
          <w:tcPr>
            <w:tcW w:w="258" w:type="pct"/>
            <w:tcBorders>
              <w:tl2br w:val="nil"/>
              <w:tr2bl w:val="nil"/>
            </w:tcBorders>
            <w:shd w:val="clear" w:color="auto" w:fill="auto"/>
            <w:noWrap w:val="0"/>
            <w:vAlign w:val="center"/>
          </w:tcPr>
          <w:p w14:paraId="1EFF6D1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5.65</w:t>
            </w:r>
          </w:p>
        </w:tc>
        <w:tc>
          <w:tcPr>
            <w:tcW w:w="178" w:type="pct"/>
            <w:tcBorders>
              <w:tl2br w:val="nil"/>
              <w:tr2bl w:val="nil"/>
            </w:tcBorders>
            <w:shd w:val="clear" w:color="auto" w:fill="auto"/>
            <w:noWrap w:val="0"/>
            <w:vAlign w:val="center"/>
          </w:tcPr>
          <w:p w14:paraId="2E48195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r>
              <w:rPr>
                <w:rFonts w:hint="eastAsia" w:cs="Times New Roman"/>
                <w:color w:val="auto"/>
                <w:highlight w:val="none"/>
                <w:lang w:val="en-US" w:eastAsia="zh-CN"/>
              </w:rPr>
              <w:t>91</w:t>
            </w:r>
          </w:p>
        </w:tc>
        <w:tc>
          <w:tcPr>
            <w:tcW w:w="178" w:type="pct"/>
            <w:tcBorders>
              <w:tl2br w:val="nil"/>
              <w:tr2bl w:val="nil"/>
            </w:tcBorders>
            <w:shd w:val="clear" w:color="auto" w:fill="auto"/>
            <w:noWrap w:val="0"/>
            <w:vAlign w:val="center"/>
          </w:tcPr>
          <w:p w14:paraId="5325995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0.60</w:t>
            </w:r>
          </w:p>
        </w:tc>
        <w:tc>
          <w:tcPr>
            <w:tcW w:w="148" w:type="pct"/>
            <w:tcBorders>
              <w:tl2br w:val="nil"/>
              <w:tr2bl w:val="nil"/>
            </w:tcBorders>
            <w:shd w:val="clear" w:color="auto" w:fill="auto"/>
            <w:noWrap w:val="0"/>
            <w:vAlign w:val="center"/>
          </w:tcPr>
          <w:p w14:paraId="5B5B1C7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73CE0C08">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7EEBF4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680FC738">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氰化物（mg/L）</w:t>
            </w:r>
          </w:p>
        </w:tc>
        <w:tc>
          <w:tcPr>
            <w:tcW w:w="257" w:type="pct"/>
            <w:tcBorders>
              <w:tl2br w:val="nil"/>
              <w:tr2bl w:val="nil"/>
            </w:tcBorders>
            <w:shd w:val="clear" w:color="auto" w:fill="auto"/>
            <w:noWrap w:val="0"/>
            <w:vAlign w:val="center"/>
          </w:tcPr>
          <w:p w14:paraId="74C94A5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258" w:type="pct"/>
            <w:tcBorders>
              <w:tl2br w:val="nil"/>
              <w:tr2bl w:val="nil"/>
            </w:tcBorders>
            <w:shd w:val="clear" w:color="auto" w:fill="auto"/>
            <w:noWrap w:val="0"/>
            <w:vAlign w:val="center"/>
          </w:tcPr>
          <w:p w14:paraId="058D8FD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6A0FCA7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2A4EC2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7540099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5DBA72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105701E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EB9B24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4654402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705893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0C88D2C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CE2683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4135770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4AC486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57FAE2B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C5E76F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0B50D85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54875D8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398BB50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1842F3A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148C3FA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602D80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2A99C01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氟化物（mg/L）</w:t>
            </w:r>
          </w:p>
        </w:tc>
        <w:tc>
          <w:tcPr>
            <w:tcW w:w="257" w:type="pct"/>
            <w:tcBorders>
              <w:tl2br w:val="nil"/>
              <w:tr2bl w:val="nil"/>
            </w:tcBorders>
            <w:shd w:val="clear" w:color="auto" w:fill="auto"/>
            <w:noWrap w:val="0"/>
            <w:vAlign w:val="center"/>
          </w:tcPr>
          <w:p w14:paraId="38739E9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58" w:type="pct"/>
            <w:tcBorders>
              <w:tl2br w:val="nil"/>
              <w:tr2bl w:val="nil"/>
            </w:tcBorders>
            <w:shd w:val="clear" w:color="auto" w:fill="auto"/>
            <w:noWrap w:val="0"/>
            <w:vAlign w:val="center"/>
          </w:tcPr>
          <w:p w14:paraId="2C9B321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176" w:type="pct"/>
            <w:tcBorders>
              <w:tl2br w:val="nil"/>
              <w:tr2bl w:val="nil"/>
            </w:tcBorders>
            <w:shd w:val="clear" w:color="auto" w:fill="auto"/>
            <w:noWrap w:val="0"/>
            <w:vAlign w:val="center"/>
          </w:tcPr>
          <w:p w14:paraId="361984D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0.20</w:t>
            </w:r>
          </w:p>
        </w:tc>
        <w:tc>
          <w:tcPr>
            <w:tcW w:w="258" w:type="pct"/>
            <w:tcBorders>
              <w:tl2br w:val="nil"/>
              <w:tr2bl w:val="nil"/>
            </w:tcBorders>
            <w:shd w:val="clear" w:color="auto" w:fill="auto"/>
            <w:noWrap w:val="0"/>
            <w:vAlign w:val="center"/>
          </w:tcPr>
          <w:p w14:paraId="1E73D42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176" w:type="pct"/>
            <w:tcBorders>
              <w:tl2br w:val="nil"/>
              <w:tr2bl w:val="nil"/>
            </w:tcBorders>
            <w:shd w:val="clear" w:color="auto" w:fill="auto"/>
            <w:noWrap w:val="0"/>
            <w:vAlign w:val="center"/>
          </w:tcPr>
          <w:p w14:paraId="34CA096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258" w:type="pct"/>
            <w:tcBorders>
              <w:tl2br w:val="nil"/>
              <w:tr2bl w:val="nil"/>
            </w:tcBorders>
            <w:shd w:val="clear" w:color="auto" w:fill="auto"/>
            <w:noWrap w:val="0"/>
            <w:vAlign w:val="center"/>
          </w:tcPr>
          <w:p w14:paraId="23B69B2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0.32</w:t>
            </w:r>
          </w:p>
        </w:tc>
        <w:tc>
          <w:tcPr>
            <w:tcW w:w="176" w:type="pct"/>
            <w:tcBorders>
              <w:tl2br w:val="nil"/>
              <w:tr2bl w:val="nil"/>
            </w:tcBorders>
            <w:shd w:val="clear" w:color="auto" w:fill="auto"/>
            <w:noWrap w:val="0"/>
            <w:vAlign w:val="center"/>
          </w:tcPr>
          <w:p w14:paraId="3CE0BCA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0.32</w:t>
            </w:r>
          </w:p>
        </w:tc>
        <w:tc>
          <w:tcPr>
            <w:tcW w:w="258" w:type="pct"/>
            <w:tcBorders>
              <w:tl2br w:val="nil"/>
              <w:tr2bl w:val="nil"/>
            </w:tcBorders>
            <w:shd w:val="clear" w:color="auto" w:fill="auto"/>
            <w:noWrap w:val="0"/>
            <w:vAlign w:val="center"/>
          </w:tcPr>
          <w:p w14:paraId="756D6E8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0.23</w:t>
            </w:r>
          </w:p>
        </w:tc>
        <w:tc>
          <w:tcPr>
            <w:tcW w:w="176" w:type="pct"/>
            <w:tcBorders>
              <w:tl2br w:val="nil"/>
              <w:tr2bl w:val="nil"/>
            </w:tcBorders>
            <w:shd w:val="clear" w:color="auto" w:fill="auto"/>
            <w:noWrap w:val="0"/>
            <w:vAlign w:val="center"/>
          </w:tcPr>
          <w:p w14:paraId="5A490B4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0.23</w:t>
            </w:r>
          </w:p>
        </w:tc>
        <w:tc>
          <w:tcPr>
            <w:tcW w:w="258" w:type="pct"/>
            <w:tcBorders>
              <w:tl2br w:val="nil"/>
              <w:tr2bl w:val="nil"/>
            </w:tcBorders>
            <w:shd w:val="clear" w:color="auto" w:fill="auto"/>
            <w:noWrap w:val="0"/>
            <w:vAlign w:val="center"/>
          </w:tcPr>
          <w:p w14:paraId="3E60D24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0.19</w:t>
            </w:r>
          </w:p>
        </w:tc>
        <w:tc>
          <w:tcPr>
            <w:tcW w:w="176" w:type="pct"/>
            <w:tcBorders>
              <w:tl2br w:val="nil"/>
              <w:tr2bl w:val="nil"/>
            </w:tcBorders>
            <w:shd w:val="clear" w:color="auto" w:fill="auto"/>
            <w:noWrap w:val="0"/>
            <w:vAlign w:val="center"/>
          </w:tcPr>
          <w:p w14:paraId="7219E88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0.19</w:t>
            </w:r>
          </w:p>
        </w:tc>
        <w:tc>
          <w:tcPr>
            <w:tcW w:w="258" w:type="pct"/>
            <w:tcBorders>
              <w:tl2br w:val="nil"/>
              <w:tr2bl w:val="nil"/>
            </w:tcBorders>
            <w:shd w:val="clear" w:color="auto" w:fill="auto"/>
            <w:noWrap w:val="0"/>
            <w:vAlign w:val="center"/>
          </w:tcPr>
          <w:p w14:paraId="44C4FA6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0.33</w:t>
            </w:r>
          </w:p>
        </w:tc>
        <w:tc>
          <w:tcPr>
            <w:tcW w:w="176" w:type="pct"/>
            <w:tcBorders>
              <w:tl2br w:val="nil"/>
              <w:tr2bl w:val="nil"/>
            </w:tcBorders>
            <w:shd w:val="clear" w:color="auto" w:fill="auto"/>
            <w:noWrap w:val="0"/>
            <w:vAlign w:val="center"/>
          </w:tcPr>
          <w:p w14:paraId="2431ED8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0.33</w:t>
            </w:r>
          </w:p>
        </w:tc>
        <w:tc>
          <w:tcPr>
            <w:tcW w:w="258" w:type="pct"/>
            <w:tcBorders>
              <w:tl2br w:val="nil"/>
              <w:tr2bl w:val="nil"/>
            </w:tcBorders>
            <w:shd w:val="clear" w:color="auto" w:fill="auto"/>
            <w:noWrap w:val="0"/>
            <w:vAlign w:val="center"/>
          </w:tcPr>
          <w:p w14:paraId="2159EB4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0.26</w:t>
            </w:r>
          </w:p>
        </w:tc>
        <w:tc>
          <w:tcPr>
            <w:tcW w:w="176" w:type="pct"/>
            <w:tcBorders>
              <w:tl2br w:val="nil"/>
              <w:tr2bl w:val="nil"/>
            </w:tcBorders>
            <w:shd w:val="clear" w:color="auto" w:fill="auto"/>
            <w:noWrap w:val="0"/>
            <w:vAlign w:val="center"/>
          </w:tcPr>
          <w:p w14:paraId="1B97716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0.26</w:t>
            </w:r>
          </w:p>
        </w:tc>
        <w:tc>
          <w:tcPr>
            <w:tcW w:w="258" w:type="pct"/>
            <w:tcBorders>
              <w:tl2br w:val="nil"/>
              <w:tr2bl w:val="nil"/>
            </w:tcBorders>
            <w:shd w:val="clear" w:color="auto" w:fill="auto"/>
            <w:noWrap w:val="0"/>
            <w:vAlign w:val="center"/>
          </w:tcPr>
          <w:p w14:paraId="5D7411B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0.33</w:t>
            </w:r>
          </w:p>
        </w:tc>
        <w:tc>
          <w:tcPr>
            <w:tcW w:w="258" w:type="pct"/>
            <w:tcBorders>
              <w:tl2br w:val="nil"/>
              <w:tr2bl w:val="nil"/>
            </w:tcBorders>
            <w:shd w:val="clear" w:color="auto" w:fill="auto"/>
            <w:noWrap w:val="0"/>
            <w:vAlign w:val="center"/>
          </w:tcPr>
          <w:p w14:paraId="713F2FF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0.19</w:t>
            </w:r>
          </w:p>
        </w:tc>
        <w:tc>
          <w:tcPr>
            <w:tcW w:w="178" w:type="pct"/>
            <w:tcBorders>
              <w:tl2br w:val="nil"/>
              <w:tr2bl w:val="nil"/>
            </w:tcBorders>
            <w:shd w:val="clear" w:color="auto" w:fill="auto"/>
            <w:noWrap w:val="0"/>
            <w:vAlign w:val="center"/>
          </w:tcPr>
          <w:p w14:paraId="317A669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w:t>
            </w:r>
          </w:p>
        </w:tc>
        <w:tc>
          <w:tcPr>
            <w:tcW w:w="178" w:type="pct"/>
            <w:tcBorders>
              <w:tl2br w:val="nil"/>
              <w:tr2bl w:val="nil"/>
            </w:tcBorders>
            <w:shd w:val="clear" w:color="auto" w:fill="auto"/>
            <w:noWrap w:val="0"/>
            <w:vAlign w:val="center"/>
          </w:tcPr>
          <w:p w14:paraId="7F199AA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0.06</w:t>
            </w:r>
          </w:p>
        </w:tc>
        <w:tc>
          <w:tcPr>
            <w:tcW w:w="148" w:type="pct"/>
            <w:tcBorders>
              <w:tl2br w:val="nil"/>
              <w:tr2bl w:val="nil"/>
            </w:tcBorders>
            <w:shd w:val="clear" w:color="auto" w:fill="auto"/>
            <w:noWrap w:val="0"/>
            <w:vAlign w:val="center"/>
          </w:tcPr>
          <w:p w14:paraId="3D89F4D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148" w:type="pct"/>
            <w:tcBorders>
              <w:tl2br w:val="nil"/>
              <w:tr2bl w:val="nil"/>
            </w:tcBorders>
            <w:shd w:val="clear" w:color="auto" w:fill="auto"/>
            <w:noWrap w:val="0"/>
            <w:vAlign w:val="center"/>
          </w:tcPr>
          <w:p w14:paraId="2D41FD5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36412B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50604DC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碘化物（mg/L）</w:t>
            </w:r>
          </w:p>
        </w:tc>
        <w:tc>
          <w:tcPr>
            <w:tcW w:w="257" w:type="pct"/>
            <w:tcBorders>
              <w:tl2br w:val="nil"/>
              <w:tr2bl w:val="nil"/>
            </w:tcBorders>
            <w:shd w:val="clear" w:color="auto" w:fill="auto"/>
            <w:noWrap w:val="0"/>
            <w:vAlign w:val="center"/>
          </w:tcPr>
          <w:p w14:paraId="3888DC8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0.08</w:t>
            </w:r>
          </w:p>
        </w:tc>
        <w:tc>
          <w:tcPr>
            <w:tcW w:w="258" w:type="pct"/>
            <w:tcBorders>
              <w:tl2br w:val="nil"/>
              <w:tr2bl w:val="nil"/>
            </w:tcBorders>
            <w:shd w:val="clear" w:color="auto" w:fill="auto"/>
            <w:noWrap w:val="0"/>
            <w:vAlign w:val="center"/>
          </w:tcPr>
          <w:p w14:paraId="568E5D9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4B2DF93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6B33D8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53D8C42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2FA7B2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4766058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EF5CF4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45472D8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B9FE61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6BF66A5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0F0B4D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51752A1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6EF2FE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0.002L</w:t>
            </w:r>
          </w:p>
        </w:tc>
        <w:tc>
          <w:tcPr>
            <w:tcW w:w="176" w:type="pct"/>
            <w:tcBorders>
              <w:tl2br w:val="nil"/>
              <w:tr2bl w:val="nil"/>
            </w:tcBorders>
            <w:shd w:val="clear" w:color="auto" w:fill="auto"/>
            <w:noWrap w:val="0"/>
            <w:vAlign w:val="center"/>
          </w:tcPr>
          <w:p w14:paraId="7377ACE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0CF9BD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4B269E0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5AE0258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0DE7D18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1CA43C3E">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6E3812F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AA767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63D84FE9">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汞（μg/L）</w:t>
            </w:r>
          </w:p>
        </w:tc>
        <w:tc>
          <w:tcPr>
            <w:tcW w:w="257" w:type="pct"/>
            <w:tcBorders>
              <w:tl2br w:val="nil"/>
              <w:tr2bl w:val="nil"/>
            </w:tcBorders>
            <w:shd w:val="clear" w:color="auto" w:fill="auto"/>
            <w:noWrap w:val="0"/>
            <w:vAlign w:val="center"/>
          </w:tcPr>
          <w:p w14:paraId="51CC6DB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258" w:type="pct"/>
            <w:tcBorders>
              <w:tl2br w:val="nil"/>
              <w:tr2bl w:val="nil"/>
            </w:tcBorders>
            <w:shd w:val="clear" w:color="auto" w:fill="auto"/>
            <w:noWrap w:val="0"/>
            <w:vAlign w:val="center"/>
          </w:tcPr>
          <w:p w14:paraId="2D64802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0.04L</w:t>
            </w:r>
          </w:p>
        </w:tc>
        <w:tc>
          <w:tcPr>
            <w:tcW w:w="176" w:type="pct"/>
            <w:tcBorders>
              <w:tl2br w:val="nil"/>
              <w:tr2bl w:val="nil"/>
            </w:tcBorders>
            <w:shd w:val="clear" w:color="auto" w:fill="auto"/>
            <w:noWrap w:val="0"/>
            <w:vAlign w:val="center"/>
          </w:tcPr>
          <w:p w14:paraId="74C8369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70CE6F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0.04L</w:t>
            </w:r>
          </w:p>
        </w:tc>
        <w:tc>
          <w:tcPr>
            <w:tcW w:w="176" w:type="pct"/>
            <w:tcBorders>
              <w:tl2br w:val="nil"/>
              <w:tr2bl w:val="nil"/>
            </w:tcBorders>
            <w:shd w:val="clear" w:color="auto" w:fill="auto"/>
            <w:noWrap w:val="0"/>
            <w:vAlign w:val="center"/>
          </w:tcPr>
          <w:p w14:paraId="33C3EE4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257504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0.04L</w:t>
            </w:r>
          </w:p>
        </w:tc>
        <w:tc>
          <w:tcPr>
            <w:tcW w:w="176" w:type="pct"/>
            <w:tcBorders>
              <w:tl2br w:val="nil"/>
              <w:tr2bl w:val="nil"/>
            </w:tcBorders>
            <w:shd w:val="clear" w:color="auto" w:fill="auto"/>
            <w:noWrap w:val="0"/>
            <w:vAlign w:val="center"/>
          </w:tcPr>
          <w:p w14:paraId="1B4EBB2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9E1BCC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0.04L</w:t>
            </w:r>
          </w:p>
        </w:tc>
        <w:tc>
          <w:tcPr>
            <w:tcW w:w="176" w:type="pct"/>
            <w:tcBorders>
              <w:tl2br w:val="nil"/>
              <w:tr2bl w:val="nil"/>
            </w:tcBorders>
            <w:shd w:val="clear" w:color="auto" w:fill="auto"/>
            <w:noWrap w:val="0"/>
            <w:vAlign w:val="center"/>
          </w:tcPr>
          <w:p w14:paraId="100BCEB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7824F1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0.04L</w:t>
            </w:r>
          </w:p>
        </w:tc>
        <w:tc>
          <w:tcPr>
            <w:tcW w:w="176" w:type="pct"/>
            <w:tcBorders>
              <w:tl2br w:val="nil"/>
              <w:tr2bl w:val="nil"/>
            </w:tcBorders>
            <w:shd w:val="clear" w:color="auto" w:fill="auto"/>
            <w:noWrap w:val="0"/>
            <w:vAlign w:val="center"/>
          </w:tcPr>
          <w:p w14:paraId="368D848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00E8E3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0.04L</w:t>
            </w:r>
          </w:p>
        </w:tc>
        <w:tc>
          <w:tcPr>
            <w:tcW w:w="176" w:type="pct"/>
            <w:tcBorders>
              <w:tl2br w:val="nil"/>
              <w:tr2bl w:val="nil"/>
            </w:tcBorders>
            <w:shd w:val="clear" w:color="auto" w:fill="auto"/>
            <w:noWrap w:val="0"/>
            <w:vAlign w:val="center"/>
          </w:tcPr>
          <w:p w14:paraId="0228AE2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CA48F1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0.04L</w:t>
            </w:r>
          </w:p>
        </w:tc>
        <w:tc>
          <w:tcPr>
            <w:tcW w:w="176" w:type="pct"/>
            <w:tcBorders>
              <w:tl2br w:val="nil"/>
              <w:tr2bl w:val="nil"/>
            </w:tcBorders>
            <w:shd w:val="clear" w:color="auto" w:fill="auto"/>
            <w:noWrap w:val="0"/>
            <w:vAlign w:val="center"/>
          </w:tcPr>
          <w:p w14:paraId="5384D9C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65FFC3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7FC5BDC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06B4D98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1574E98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4AD312F8">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2DF9D27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5182F7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3CCAEA7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砷（μg/L）</w:t>
            </w:r>
          </w:p>
        </w:tc>
        <w:tc>
          <w:tcPr>
            <w:tcW w:w="257" w:type="pct"/>
            <w:tcBorders>
              <w:tl2br w:val="nil"/>
              <w:tr2bl w:val="nil"/>
            </w:tcBorders>
            <w:shd w:val="clear" w:color="auto" w:fill="auto"/>
            <w:noWrap w:val="0"/>
            <w:vAlign w:val="center"/>
          </w:tcPr>
          <w:p w14:paraId="0B0BCF5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258" w:type="pct"/>
            <w:tcBorders>
              <w:tl2br w:val="nil"/>
              <w:tr2bl w:val="nil"/>
            </w:tcBorders>
            <w:shd w:val="clear" w:color="auto" w:fill="auto"/>
            <w:noWrap w:val="0"/>
            <w:vAlign w:val="center"/>
          </w:tcPr>
          <w:p w14:paraId="36E5428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402D309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E42502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2EFBA28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56AE33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0E1272B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FDE7CB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188350D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730AAC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00A52CC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600ADD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2F25466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B66F0F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0.3L</w:t>
            </w:r>
          </w:p>
        </w:tc>
        <w:tc>
          <w:tcPr>
            <w:tcW w:w="176" w:type="pct"/>
            <w:tcBorders>
              <w:tl2br w:val="nil"/>
              <w:tr2bl w:val="nil"/>
            </w:tcBorders>
            <w:shd w:val="clear" w:color="auto" w:fill="auto"/>
            <w:noWrap w:val="0"/>
            <w:vAlign w:val="center"/>
          </w:tcPr>
          <w:p w14:paraId="018214C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15D984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596EB36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52ED6E0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396E234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111E89B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43C8E83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4BCA93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54336C5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硒（μg/L）</w:t>
            </w:r>
          </w:p>
        </w:tc>
        <w:tc>
          <w:tcPr>
            <w:tcW w:w="257" w:type="pct"/>
            <w:tcBorders>
              <w:tl2br w:val="nil"/>
              <w:tr2bl w:val="nil"/>
            </w:tcBorders>
            <w:shd w:val="clear" w:color="auto" w:fill="auto"/>
            <w:noWrap w:val="0"/>
            <w:vAlign w:val="center"/>
          </w:tcPr>
          <w:p w14:paraId="70261785">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258" w:type="pct"/>
            <w:tcBorders>
              <w:tl2br w:val="nil"/>
              <w:tr2bl w:val="nil"/>
            </w:tcBorders>
            <w:shd w:val="clear" w:color="auto" w:fill="auto"/>
            <w:noWrap w:val="0"/>
            <w:vAlign w:val="center"/>
          </w:tcPr>
          <w:p w14:paraId="3B9AECC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0.4L</w:t>
            </w:r>
          </w:p>
        </w:tc>
        <w:tc>
          <w:tcPr>
            <w:tcW w:w="176" w:type="pct"/>
            <w:tcBorders>
              <w:tl2br w:val="nil"/>
              <w:tr2bl w:val="nil"/>
            </w:tcBorders>
            <w:shd w:val="clear" w:color="auto" w:fill="auto"/>
            <w:noWrap w:val="0"/>
            <w:vAlign w:val="center"/>
          </w:tcPr>
          <w:p w14:paraId="5FAED0B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70DC1F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0.4L</w:t>
            </w:r>
          </w:p>
        </w:tc>
        <w:tc>
          <w:tcPr>
            <w:tcW w:w="176" w:type="pct"/>
            <w:tcBorders>
              <w:tl2br w:val="nil"/>
              <w:tr2bl w:val="nil"/>
            </w:tcBorders>
            <w:shd w:val="clear" w:color="auto" w:fill="auto"/>
            <w:noWrap w:val="0"/>
            <w:vAlign w:val="center"/>
          </w:tcPr>
          <w:p w14:paraId="2DA1C63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5BC4FE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0.4L</w:t>
            </w:r>
          </w:p>
        </w:tc>
        <w:tc>
          <w:tcPr>
            <w:tcW w:w="176" w:type="pct"/>
            <w:tcBorders>
              <w:tl2br w:val="nil"/>
              <w:tr2bl w:val="nil"/>
            </w:tcBorders>
            <w:shd w:val="clear" w:color="auto" w:fill="auto"/>
            <w:noWrap w:val="0"/>
            <w:vAlign w:val="center"/>
          </w:tcPr>
          <w:p w14:paraId="3B72ED4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0D2987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0.4L</w:t>
            </w:r>
          </w:p>
        </w:tc>
        <w:tc>
          <w:tcPr>
            <w:tcW w:w="176" w:type="pct"/>
            <w:tcBorders>
              <w:tl2br w:val="nil"/>
              <w:tr2bl w:val="nil"/>
            </w:tcBorders>
            <w:shd w:val="clear" w:color="auto" w:fill="auto"/>
            <w:noWrap w:val="0"/>
            <w:vAlign w:val="center"/>
          </w:tcPr>
          <w:p w14:paraId="2EF7589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238818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0.4L</w:t>
            </w:r>
          </w:p>
        </w:tc>
        <w:tc>
          <w:tcPr>
            <w:tcW w:w="176" w:type="pct"/>
            <w:tcBorders>
              <w:tl2br w:val="nil"/>
              <w:tr2bl w:val="nil"/>
            </w:tcBorders>
            <w:shd w:val="clear" w:color="auto" w:fill="auto"/>
            <w:noWrap w:val="0"/>
            <w:vAlign w:val="center"/>
          </w:tcPr>
          <w:p w14:paraId="6B26872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F38E18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0.4L</w:t>
            </w:r>
          </w:p>
        </w:tc>
        <w:tc>
          <w:tcPr>
            <w:tcW w:w="176" w:type="pct"/>
            <w:tcBorders>
              <w:tl2br w:val="nil"/>
              <w:tr2bl w:val="nil"/>
            </w:tcBorders>
            <w:shd w:val="clear" w:color="auto" w:fill="auto"/>
            <w:noWrap w:val="0"/>
            <w:vAlign w:val="center"/>
          </w:tcPr>
          <w:p w14:paraId="285BBC3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D55795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0.4L</w:t>
            </w:r>
          </w:p>
        </w:tc>
        <w:tc>
          <w:tcPr>
            <w:tcW w:w="176" w:type="pct"/>
            <w:tcBorders>
              <w:tl2br w:val="nil"/>
              <w:tr2bl w:val="nil"/>
            </w:tcBorders>
            <w:shd w:val="clear" w:color="auto" w:fill="auto"/>
            <w:noWrap w:val="0"/>
            <w:vAlign w:val="center"/>
          </w:tcPr>
          <w:p w14:paraId="54D2AE2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47A6D2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54AD77B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49772C0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2219EE0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12E2BC1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76BAE68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5175B6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0EDE0783">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镉（μg/L）</w:t>
            </w:r>
          </w:p>
        </w:tc>
        <w:tc>
          <w:tcPr>
            <w:tcW w:w="257" w:type="pct"/>
            <w:tcBorders>
              <w:tl2br w:val="nil"/>
              <w:tr2bl w:val="nil"/>
            </w:tcBorders>
            <w:shd w:val="clear" w:color="auto" w:fill="auto"/>
            <w:noWrap w:val="0"/>
            <w:vAlign w:val="center"/>
          </w:tcPr>
          <w:p w14:paraId="0C8DC65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258" w:type="pct"/>
            <w:tcBorders>
              <w:tl2br w:val="nil"/>
              <w:tr2bl w:val="nil"/>
            </w:tcBorders>
            <w:shd w:val="clear" w:color="auto" w:fill="auto"/>
            <w:noWrap w:val="0"/>
            <w:vAlign w:val="center"/>
          </w:tcPr>
          <w:p w14:paraId="08AA5CC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18EC292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996704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38F8FB3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ECD264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000C1AF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72EEB5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3670C51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72CDED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41C3BA9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6ADB27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6D1CA9E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EE9CC8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0.05L</w:t>
            </w:r>
          </w:p>
        </w:tc>
        <w:tc>
          <w:tcPr>
            <w:tcW w:w="176" w:type="pct"/>
            <w:tcBorders>
              <w:tl2br w:val="nil"/>
              <w:tr2bl w:val="nil"/>
            </w:tcBorders>
            <w:shd w:val="clear" w:color="auto" w:fill="auto"/>
            <w:noWrap w:val="0"/>
            <w:vAlign w:val="center"/>
          </w:tcPr>
          <w:p w14:paraId="36EC392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683970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4F38F4D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569B9B5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23AEEF0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263A48D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71231299">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287C2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7B64B25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六价铬（mg/L）</w:t>
            </w:r>
          </w:p>
        </w:tc>
        <w:tc>
          <w:tcPr>
            <w:tcW w:w="257" w:type="pct"/>
            <w:tcBorders>
              <w:tl2br w:val="nil"/>
              <w:tr2bl w:val="nil"/>
            </w:tcBorders>
            <w:shd w:val="clear" w:color="auto" w:fill="auto"/>
            <w:noWrap w:val="0"/>
            <w:vAlign w:val="center"/>
          </w:tcPr>
          <w:p w14:paraId="08FAAC0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258" w:type="pct"/>
            <w:tcBorders>
              <w:tl2br w:val="nil"/>
              <w:tr2bl w:val="nil"/>
            </w:tcBorders>
            <w:shd w:val="clear" w:color="auto" w:fill="auto"/>
            <w:noWrap w:val="0"/>
            <w:vAlign w:val="center"/>
          </w:tcPr>
          <w:p w14:paraId="1824BE3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76" w:type="pct"/>
            <w:tcBorders>
              <w:tl2br w:val="nil"/>
              <w:tr2bl w:val="nil"/>
            </w:tcBorders>
            <w:shd w:val="clear" w:color="auto" w:fill="auto"/>
            <w:noWrap w:val="0"/>
            <w:vAlign w:val="center"/>
          </w:tcPr>
          <w:p w14:paraId="1F2D98E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2547EE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76" w:type="pct"/>
            <w:tcBorders>
              <w:tl2br w:val="nil"/>
              <w:tr2bl w:val="nil"/>
            </w:tcBorders>
            <w:shd w:val="clear" w:color="auto" w:fill="auto"/>
            <w:noWrap w:val="0"/>
            <w:vAlign w:val="center"/>
          </w:tcPr>
          <w:p w14:paraId="66EC9B9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81F069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76" w:type="pct"/>
            <w:tcBorders>
              <w:tl2br w:val="nil"/>
              <w:tr2bl w:val="nil"/>
            </w:tcBorders>
            <w:shd w:val="clear" w:color="auto" w:fill="auto"/>
            <w:noWrap w:val="0"/>
            <w:vAlign w:val="center"/>
          </w:tcPr>
          <w:p w14:paraId="1A08068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05C2B7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76" w:type="pct"/>
            <w:tcBorders>
              <w:tl2br w:val="nil"/>
              <w:tr2bl w:val="nil"/>
            </w:tcBorders>
            <w:shd w:val="clear" w:color="auto" w:fill="auto"/>
            <w:noWrap w:val="0"/>
            <w:vAlign w:val="center"/>
          </w:tcPr>
          <w:p w14:paraId="5833B9F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00C6EA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76" w:type="pct"/>
            <w:tcBorders>
              <w:tl2br w:val="nil"/>
              <w:tr2bl w:val="nil"/>
            </w:tcBorders>
            <w:shd w:val="clear" w:color="auto" w:fill="auto"/>
            <w:noWrap w:val="0"/>
            <w:vAlign w:val="center"/>
          </w:tcPr>
          <w:p w14:paraId="58EB198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EB6385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76" w:type="pct"/>
            <w:tcBorders>
              <w:tl2br w:val="nil"/>
              <w:tr2bl w:val="nil"/>
            </w:tcBorders>
            <w:shd w:val="clear" w:color="auto" w:fill="auto"/>
            <w:noWrap w:val="0"/>
            <w:vAlign w:val="center"/>
          </w:tcPr>
          <w:p w14:paraId="1B5ABA2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DD28C7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0.004L</w:t>
            </w:r>
          </w:p>
        </w:tc>
        <w:tc>
          <w:tcPr>
            <w:tcW w:w="176" w:type="pct"/>
            <w:tcBorders>
              <w:tl2br w:val="nil"/>
              <w:tr2bl w:val="nil"/>
            </w:tcBorders>
            <w:shd w:val="clear" w:color="auto" w:fill="auto"/>
            <w:noWrap w:val="0"/>
            <w:vAlign w:val="center"/>
          </w:tcPr>
          <w:p w14:paraId="07E5483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6E4AAA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35B4A2E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1A72319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4837368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3677526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42D261D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44A51F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42B27C5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铅（μg/L）</w:t>
            </w:r>
          </w:p>
        </w:tc>
        <w:tc>
          <w:tcPr>
            <w:tcW w:w="257" w:type="pct"/>
            <w:tcBorders>
              <w:tl2br w:val="nil"/>
              <w:tr2bl w:val="nil"/>
            </w:tcBorders>
            <w:shd w:val="clear" w:color="auto" w:fill="auto"/>
            <w:noWrap w:val="0"/>
            <w:vAlign w:val="center"/>
          </w:tcPr>
          <w:p w14:paraId="74A81D0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258" w:type="pct"/>
            <w:tcBorders>
              <w:tl2br w:val="nil"/>
              <w:tr2bl w:val="nil"/>
            </w:tcBorders>
            <w:shd w:val="clear" w:color="auto" w:fill="auto"/>
            <w:noWrap w:val="0"/>
            <w:vAlign w:val="center"/>
          </w:tcPr>
          <w:p w14:paraId="1253740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0.09L</w:t>
            </w:r>
          </w:p>
        </w:tc>
        <w:tc>
          <w:tcPr>
            <w:tcW w:w="176" w:type="pct"/>
            <w:tcBorders>
              <w:tl2br w:val="nil"/>
              <w:tr2bl w:val="nil"/>
            </w:tcBorders>
            <w:shd w:val="clear" w:color="auto" w:fill="auto"/>
            <w:noWrap w:val="0"/>
            <w:vAlign w:val="center"/>
          </w:tcPr>
          <w:p w14:paraId="1306487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3AABDC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0.09L</w:t>
            </w:r>
          </w:p>
        </w:tc>
        <w:tc>
          <w:tcPr>
            <w:tcW w:w="176" w:type="pct"/>
            <w:tcBorders>
              <w:tl2br w:val="nil"/>
              <w:tr2bl w:val="nil"/>
            </w:tcBorders>
            <w:shd w:val="clear" w:color="auto" w:fill="auto"/>
            <w:noWrap w:val="0"/>
            <w:vAlign w:val="center"/>
          </w:tcPr>
          <w:p w14:paraId="5765C81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EB6DD1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0.09L</w:t>
            </w:r>
          </w:p>
        </w:tc>
        <w:tc>
          <w:tcPr>
            <w:tcW w:w="176" w:type="pct"/>
            <w:tcBorders>
              <w:tl2br w:val="nil"/>
              <w:tr2bl w:val="nil"/>
            </w:tcBorders>
            <w:shd w:val="clear" w:color="auto" w:fill="auto"/>
            <w:noWrap w:val="0"/>
            <w:vAlign w:val="center"/>
          </w:tcPr>
          <w:p w14:paraId="37330BC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B72D20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0.09L</w:t>
            </w:r>
          </w:p>
        </w:tc>
        <w:tc>
          <w:tcPr>
            <w:tcW w:w="176" w:type="pct"/>
            <w:tcBorders>
              <w:tl2br w:val="nil"/>
              <w:tr2bl w:val="nil"/>
            </w:tcBorders>
            <w:shd w:val="clear" w:color="auto" w:fill="auto"/>
            <w:noWrap w:val="0"/>
            <w:vAlign w:val="center"/>
          </w:tcPr>
          <w:p w14:paraId="1213F47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36E750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0.09L</w:t>
            </w:r>
          </w:p>
        </w:tc>
        <w:tc>
          <w:tcPr>
            <w:tcW w:w="176" w:type="pct"/>
            <w:tcBorders>
              <w:tl2br w:val="nil"/>
              <w:tr2bl w:val="nil"/>
            </w:tcBorders>
            <w:shd w:val="clear" w:color="auto" w:fill="auto"/>
            <w:noWrap w:val="0"/>
            <w:vAlign w:val="center"/>
          </w:tcPr>
          <w:p w14:paraId="6BB9F90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D1D736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0.09L</w:t>
            </w:r>
          </w:p>
        </w:tc>
        <w:tc>
          <w:tcPr>
            <w:tcW w:w="176" w:type="pct"/>
            <w:tcBorders>
              <w:tl2br w:val="nil"/>
              <w:tr2bl w:val="nil"/>
            </w:tcBorders>
            <w:shd w:val="clear" w:color="auto" w:fill="auto"/>
            <w:noWrap w:val="0"/>
            <w:vAlign w:val="center"/>
          </w:tcPr>
          <w:p w14:paraId="7F3D4A8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450D53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0.09L</w:t>
            </w:r>
          </w:p>
        </w:tc>
        <w:tc>
          <w:tcPr>
            <w:tcW w:w="176" w:type="pct"/>
            <w:tcBorders>
              <w:tl2br w:val="nil"/>
              <w:tr2bl w:val="nil"/>
            </w:tcBorders>
            <w:shd w:val="clear" w:color="auto" w:fill="auto"/>
            <w:noWrap w:val="0"/>
            <w:vAlign w:val="center"/>
          </w:tcPr>
          <w:p w14:paraId="6A4C85F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43810B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2C4A651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141E0C0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1904FD3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3048EB8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4574311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0049E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98" w:hRule="atLeast"/>
        </w:trPr>
        <w:tc>
          <w:tcPr>
            <w:tcW w:w="524" w:type="pct"/>
            <w:tcBorders>
              <w:tl2br w:val="nil"/>
              <w:tr2bl w:val="nil"/>
            </w:tcBorders>
            <w:shd w:val="clear" w:color="auto" w:fill="auto"/>
            <w:noWrap w:val="0"/>
            <w:vAlign w:val="center"/>
          </w:tcPr>
          <w:p w14:paraId="49F22913">
            <w:pPr>
              <w:pStyle w:val="161"/>
              <w:bidi w:val="0"/>
              <w:spacing w:line="240" w:lineRule="auto"/>
              <w:rPr>
                <w:rFonts w:hint="default" w:ascii="Times New Roman" w:hAnsi="Times New Roman"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三氯甲烷</w:t>
            </w:r>
            <w:r>
              <w:rPr>
                <w:rFonts w:hint="default" w:ascii="Times New Roman" w:hAnsi="Times New Roman" w:cs="Times New Roman"/>
                <w:color w:val="auto"/>
                <w:highlight w:val="none"/>
                <w:lang w:val="en-US" w:eastAsia="zh-CN"/>
              </w:rPr>
              <w:t>（μg/L）</w:t>
            </w:r>
          </w:p>
        </w:tc>
        <w:tc>
          <w:tcPr>
            <w:tcW w:w="257" w:type="pct"/>
            <w:tcBorders>
              <w:tl2br w:val="nil"/>
              <w:tr2bl w:val="nil"/>
            </w:tcBorders>
            <w:shd w:val="clear" w:color="auto" w:fill="auto"/>
            <w:noWrap w:val="0"/>
            <w:vAlign w:val="center"/>
          </w:tcPr>
          <w:p w14:paraId="1B3AEBA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258" w:type="pct"/>
            <w:tcBorders>
              <w:tl2br w:val="nil"/>
              <w:tr2bl w:val="nil"/>
            </w:tcBorders>
            <w:shd w:val="clear" w:color="auto" w:fill="auto"/>
            <w:noWrap w:val="0"/>
            <w:vAlign w:val="center"/>
          </w:tcPr>
          <w:p w14:paraId="7D0762F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0.02L</w:t>
            </w:r>
          </w:p>
        </w:tc>
        <w:tc>
          <w:tcPr>
            <w:tcW w:w="176" w:type="pct"/>
            <w:tcBorders>
              <w:tl2br w:val="nil"/>
              <w:tr2bl w:val="nil"/>
            </w:tcBorders>
            <w:shd w:val="clear" w:color="auto" w:fill="auto"/>
            <w:noWrap w:val="0"/>
            <w:vAlign w:val="center"/>
          </w:tcPr>
          <w:p w14:paraId="164C91D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7C85B2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0.02L</w:t>
            </w:r>
          </w:p>
        </w:tc>
        <w:tc>
          <w:tcPr>
            <w:tcW w:w="176" w:type="pct"/>
            <w:tcBorders>
              <w:tl2br w:val="nil"/>
              <w:tr2bl w:val="nil"/>
            </w:tcBorders>
            <w:shd w:val="clear" w:color="auto" w:fill="auto"/>
            <w:noWrap w:val="0"/>
            <w:vAlign w:val="center"/>
          </w:tcPr>
          <w:p w14:paraId="2E15A6A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6FDB28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0.02L</w:t>
            </w:r>
          </w:p>
        </w:tc>
        <w:tc>
          <w:tcPr>
            <w:tcW w:w="176" w:type="pct"/>
            <w:tcBorders>
              <w:tl2br w:val="nil"/>
              <w:tr2bl w:val="nil"/>
            </w:tcBorders>
            <w:shd w:val="clear" w:color="auto" w:fill="auto"/>
            <w:noWrap w:val="0"/>
            <w:vAlign w:val="center"/>
          </w:tcPr>
          <w:p w14:paraId="2F7E8CE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C3A34A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0.02L</w:t>
            </w:r>
          </w:p>
        </w:tc>
        <w:tc>
          <w:tcPr>
            <w:tcW w:w="176" w:type="pct"/>
            <w:tcBorders>
              <w:tl2br w:val="nil"/>
              <w:tr2bl w:val="nil"/>
            </w:tcBorders>
            <w:shd w:val="clear" w:color="auto" w:fill="auto"/>
            <w:noWrap w:val="0"/>
            <w:vAlign w:val="center"/>
          </w:tcPr>
          <w:p w14:paraId="344E1FA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CA1BC5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0.02L</w:t>
            </w:r>
          </w:p>
        </w:tc>
        <w:tc>
          <w:tcPr>
            <w:tcW w:w="176" w:type="pct"/>
            <w:tcBorders>
              <w:tl2br w:val="nil"/>
              <w:tr2bl w:val="nil"/>
            </w:tcBorders>
            <w:shd w:val="clear" w:color="auto" w:fill="auto"/>
            <w:noWrap w:val="0"/>
            <w:vAlign w:val="center"/>
          </w:tcPr>
          <w:p w14:paraId="38A029B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79205F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0.02L</w:t>
            </w:r>
          </w:p>
        </w:tc>
        <w:tc>
          <w:tcPr>
            <w:tcW w:w="176" w:type="pct"/>
            <w:tcBorders>
              <w:tl2br w:val="nil"/>
              <w:tr2bl w:val="nil"/>
            </w:tcBorders>
            <w:shd w:val="clear" w:color="auto" w:fill="auto"/>
            <w:noWrap w:val="0"/>
            <w:vAlign w:val="center"/>
          </w:tcPr>
          <w:p w14:paraId="57E13BC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3FDA7A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0.02L</w:t>
            </w:r>
          </w:p>
        </w:tc>
        <w:tc>
          <w:tcPr>
            <w:tcW w:w="176" w:type="pct"/>
            <w:tcBorders>
              <w:tl2br w:val="nil"/>
              <w:tr2bl w:val="nil"/>
            </w:tcBorders>
            <w:shd w:val="clear" w:color="auto" w:fill="auto"/>
            <w:noWrap w:val="0"/>
            <w:vAlign w:val="center"/>
          </w:tcPr>
          <w:p w14:paraId="2CA3512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5A267E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73A589D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040FF53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76E4695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5B0B5BE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4946BB87">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A5BDD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27" w:hRule="atLeast"/>
        </w:trPr>
        <w:tc>
          <w:tcPr>
            <w:tcW w:w="524" w:type="pct"/>
            <w:tcBorders>
              <w:tl2br w:val="nil"/>
              <w:tr2bl w:val="nil"/>
            </w:tcBorders>
            <w:shd w:val="clear" w:color="auto" w:fill="auto"/>
            <w:noWrap w:val="0"/>
            <w:vAlign w:val="center"/>
          </w:tcPr>
          <w:p w14:paraId="7E60933D">
            <w:pPr>
              <w:pStyle w:val="161"/>
              <w:bidi w:val="0"/>
              <w:spacing w:line="240" w:lineRule="auto"/>
              <w:rPr>
                <w:rFonts w:hint="default" w:ascii="Times New Roman" w:hAnsi="Times New Roman"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四氯化碳</w:t>
            </w:r>
            <w:r>
              <w:rPr>
                <w:rFonts w:hint="default" w:ascii="Times New Roman" w:hAnsi="Times New Roman" w:cs="Times New Roman"/>
                <w:color w:val="auto"/>
                <w:highlight w:val="none"/>
                <w:lang w:val="en-US" w:eastAsia="zh-CN"/>
              </w:rPr>
              <w:t>（μg/L）</w:t>
            </w:r>
          </w:p>
        </w:tc>
        <w:tc>
          <w:tcPr>
            <w:tcW w:w="257" w:type="pct"/>
            <w:tcBorders>
              <w:tl2br w:val="nil"/>
              <w:tr2bl w:val="nil"/>
            </w:tcBorders>
            <w:shd w:val="clear" w:color="auto" w:fill="auto"/>
            <w:noWrap w:val="0"/>
            <w:vAlign w:val="center"/>
          </w:tcPr>
          <w:p w14:paraId="16316D9E">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258" w:type="pct"/>
            <w:tcBorders>
              <w:tl2br w:val="nil"/>
              <w:tr2bl w:val="nil"/>
            </w:tcBorders>
            <w:shd w:val="clear" w:color="auto" w:fill="auto"/>
            <w:noWrap w:val="0"/>
            <w:vAlign w:val="center"/>
          </w:tcPr>
          <w:p w14:paraId="09A0754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0.03L</w:t>
            </w:r>
          </w:p>
        </w:tc>
        <w:tc>
          <w:tcPr>
            <w:tcW w:w="176" w:type="pct"/>
            <w:tcBorders>
              <w:tl2br w:val="nil"/>
              <w:tr2bl w:val="nil"/>
            </w:tcBorders>
            <w:shd w:val="clear" w:color="auto" w:fill="auto"/>
            <w:noWrap w:val="0"/>
            <w:vAlign w:val="center"/>
          </w:tcPr>
          <w:p w14:paraId="3C1D145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AB880F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0.03L</w:t>
            </w:r>
          </w:p>
        </w:tc>
        <w:tc>
          <w:tcPr>
            <w:tcW w:w="176" w:type="pct"/>
            <w:tcBorders>
              <w:tl2br w:val="nil"/>
              <w:tr2bl w:val="nil"/>
            </w:tcBorders>
            <w:shd w:val="clear" w:color="auto" w:fill="auto"/>
            <w:noWrap w:val="0"/>
            <w:vAlign w:val="center"/>
          </w:tcPr>
          <w:p w14:paraId="077E960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91832C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0.03L</w:t>
            </w:r>
          </w:p>
        </w:tc>
        <w:tc>
          <w:tcPr>
            <w:tcW w:w="176" w:type="pct"/>
            <w:tcBorders>
              <w:tl2br w:val="nil"/>
              <w:tr2bl w:val="nil"/>
            </w:tcBorders>
            <w:shd w:val="clear" w:color="auto" w:fill="auto"/>
            <w:noWrap w:val="0"/>
            <w:vAlign w:val="center"/>
          </w:tcPr>
          <w:p w14:paraId="5F71C17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C05BCB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0.03L</w:t>
            </w:r>
          </w:p>
        </w:tc>
        <w:tc>
          <w:tcPr>
            <w:tcW w:w="176" w:type="pct"/>
            <w:tcBorders>
              <w:tl2br w:val="nil"/>
              <w:tr2bl w:val="nil"/>
            </w:tcBorders>
            <w:shd w:val="clear" w:color="auto" w:fill="auto"/>
            <w:noWrap w:val="0"/>
            <w:vAlign w:val="center"/>
          </w:tcPr>
          <w:p w14:paraId="65DF504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D9C219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0.03L</w:t>
            </w:r>
          </w:p>
        </w:tc>
        <w:tc>
          <w:tcPr>
            <w:tcW w:w="176" w:type="pct"/>
            <w:tcBorders>
              <w:tl2br w:val="nil"/>
              <w:tr2bl w:val="nil"/>
            </w:tcBorders>
            <w:shd w:val="clear" w:color="auto" w:fill="auto"/>
            <w:noWrap w:val="0"/>
            <w:vAlign w:val="center"/>
          </w:tcPr>
          <w:p w14:paraId="233AD4D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BCF6AB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0.03L</w:t>
            </w:r>
          </w:p>
        </w:tc>
        <w:tc>
          <w:tcPr>
            <w:tcW w:w="176" w:type="pct"/>
            <w:tcBorders>
              <w:tl2br w:val="nil"/>
              <w:tr2bl w:val="nil"/>
            </w:tcBorders>
            <w:shd w:val="clear" w:color="auto" w:fill="auto"/>
            <w:noWrap w:val="0"/>
            <w:vAlign w:val="center"/>
          </w:tcPr>
          <w:p w14:paraId="46FF05B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F94275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0.03L</w:t>
            </w:r>
          </w:p>
        </w:tc>
        <w:tc>
          <w:tcPr>
            <w:tcW w:w="176" w:type="pct"/>
            <w:tcBorders>
              <w:tl2br w:val="nil"/>
              <w:tr2bl w:val="nil"/>
            </w:tcBorders>
            <w:shd w:val="clear" w:color="auto" w:fill="auto"/>
            <w:noWrap w:val="0"/>
            <w:vAlign w:val="center"/>
          </w:tcPr>
          <w:p w14:paraId="1C6374E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C4D23F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48F27FF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6C3AF77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7ABDA4F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48EB583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2101A531">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768C01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1968B31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苯（μg/L）</w:t>
            </w:r>
          </w:p>
        </w:tc>
        <w:tc>
          <w:tcPr>
            <w:tcW w:w="257" w:type="pct"/>
            <w:tcBorders>
              <w:tl2br w:val="nil"/>
              <w:tr2bl w:val="nil"/>
            </w:tcBorders>
            <w:shd w:val="clear" w:color="auto" w:fill="auto"/>
            <w:noWrap w:val="0"/>
            <w:vAlign w:val="center"/>
          </w:tcPr>
          <w:p w14:paraId="67DAC5B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258" w:type="pct"/>
            <w:tcBorders>
              <w:tl2br w:val="nil"/>
              <w:tr2bl w:val="nil"/>
            </w:tcBorders>
            <w:shd w:val="clear" w:color="auto" w:fill="auto"/>
            <w:noWrap w:val="0"/>
            <w:vAlign w:val="center"/>
          </w:tcPr>
          <w:p w14:paraId="17C65534">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319B404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554786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4DA8BCF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9647C6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310E5CF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5CFAED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446EF65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FD066C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594D291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607A016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3E7FE22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606CE5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39C4E5A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DE3033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1A0347E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4A5B4DE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1140C3C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4809A06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5C75DAEF">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A4F14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52EC4C3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甲苯（μg/L）</w:t>
            </w:r>
          </w:p>
        </w:tc>
        <w:tc>
          <w:tcPr>
            <w:tcW w:w="257" w:type="pct"/>
            <w:tcBorders>
              <w:tl2br w:val="nil"/>
              <w:tr2bl w:val="nil"/>
            </w:tcBorders>
            <w:shd w:val="clear" w:color="auto" w:fill="auto"/>
            <w:noWrap w:val="0"/>
            <w:vAlign w:val="center"/>
          </w:tcPr>
          <w:p w14:paraId="5CE8F496">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700</w:t>
            </w:r>
          </w:p>
        </w:tc>
        <w:tc>
          <w:tcPr>
            <w:tcW w:w="258" w:type="pct"/>
            <w:tcBorders>
              <w:tl2br w:val="nil"/>
              <w:tr2bl w:val="nil"/>
            </w:tcBorders>
            <w:shd w:val="clear" w:color="auto" w:fill="auto"/>
            <w:noWrap w:val="0"/>
            <w:vAlign w:val="center"/>
          </w:tcPr>
          <w:p w14:paraId="4B014C9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716DCAC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EBBCCD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0C63DB0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43D22B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54CAAF9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31C5697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6E495B1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46456E6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463B7178">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C5B91F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65AA2C9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3FE6512">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2L</w:t>
            </w:r>
          </w:p>
        </w:tc>
        <w:tc>
          <w:tcPr>
            <w:tcW w:w="176" w:type="pct"/>
            <w:tcBorders>
              <w:tl2br w:val="nil"/>
              <w:tr2bl w:val="nil"/>
            </w:tcBorders>
            <w:shd w:val="clear" w:color="auto" w:fill="auto"/>
            <w:noWrap w:val="0"/>
            <w:vAlign w:val="center"/>
          </w:tcPr>
          <w:p w14:paraId="0FB6AF3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CB5411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797850DB">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7A972FF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727C299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20B10BBC">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2CDB477D">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6B0C64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7E310B64">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石油类（mg/L）</w:t>
            </w:r>
          </w:p>
        </w:tc>
        <w:tc>
          <w:tcPr>
            <w:tcW w:w="257" w:type="pct"/>
            <w:tcBorders>
              <w:tl2br w:val="nil"/>
              <w:tr2bl w:val="nil"/>
            </w:tcBorders>
            <w:shd w:val="clear" w:color="auto" w:fill="auto"/>
            <w:noWrap w:val="0"/>
            <w:vAlign w:val="center"/>
          </w:tcPr>
          <w:p w14:paraId="0ED301DA">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0.05</w:t>
            </w:r>
          </w:p>
        </w:tc>
        <w:tc>
          <w:tcPr>
            <w:tcW w:w="258" w:type="pct"/>
            <w:tcBorders>
              <w:tl2br w:val="nil"/>
              <w:tr2bl w:val="nil"/>
            </w:tcBorders>
            <w:shd w:val="clear" w:color="auto" w:fill="auto"/>
            <w:noWrap w:val="0"/>
            <w:vAlign w:val="center"/>
          </w:tcPr>
          <w:p w14:paraId="5302503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2C9EF34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9A009F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1E884A5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2051AB5E">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5189FF0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3BB242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3ECA5B7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7D2296B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151F0CF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07B7F01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2819806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59BE38F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0.01L</w:t>
            </w:r>
          </w:p>
        </w:tc>
        <w:tc>
          <w:tcPr>
            <w:tcW w:w="176" w:type="pct"/>
            <w:tcBorders>
              <w:tl2br w:val="nil"/>
              <w:tr2bl w:val="nil"/>
            </w:tcBorders>
            <w:shd w:val="clear" w:color="auto" w:fill="auto"/>
            <w:noWrap w:val="0"/>
            <w:vAlign w:val="center"/>
          </w:tcPr>
          <w:p w14:paraId="3295A2D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58" w:type="pct"/>
            <w:tcBorders>
              <w:tl2br w:val="nil"/>
              <w:tr2bl w:val="nil"/>
            </w:tcBorders>
            <w:shd w:val="clear" w:color="auto" w:fill="auto"/>
            <w:noWrap w:val="0"/>
            <w:vAlign w:val="center"/>
          </w:tcPr>
          <w:p w14:paraId="10A69423">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258" w:type="pct"/>
            <w:tcBorders>
              <w:tl2br w:val="nil"/>
              <w:tr2bl w:val="nil"/>
            </w:tcBorders>
            <w:shd w:val="clear" w:color="auto" w:fill="auto"/>
            <w:noWrap w:val="0"/>
            <w:vAlign w:val="center"/>
          </w:tcPr>
          <w:p w14:paraId="536BEA9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78" w:type="pct"/>
            <w:tcBorders>
              <w:tl2br w:val="nil"/>
              <w:tr2bl w:val="nil"/>
            </w:tcBorders>
            <w:shd w:val="clear" w:color="auto" w:fill="auto"/>
            <w:noWrap w:val="0"/>
            <w:vAlign w:val="center"/>
          </w:tcPr>
          <w:p w14:paraId="5AB2A02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8" w:type="pct"/>
            <w:tcBorders>
              <w:tl2br w:val="nil"/>
              <w:tr2bl w:val="nil"/>
            </w:tcBorders>
            <w:shd w:val="clear" w:color="auto" w:fill="auto"/>
            <w:noWrap w:val="0"/>
            <w:vAlign w:val="center"/>
          </w:tcPr>
          <w:p w14:paraId="20337E5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48" w:type="pct"/>
            <w:tcBorders>
              <w:tl2br w:val="nil"/>
              <w:tr2bl w:val="nil"/>
            </w:tcBorders>
            <w:shd w:val="clear" w:color="auto" w:fill="auto"/>
            <w:noWrap w:val="0"/>
            <w:vAlign w:val="center"/>
          </w:tcPr>
          <w:p w14:paraId="3F92BF72">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48" w:type="pct"/>
            <w:tcBorders>
              <w:tl2br w:val="nil"/>
              <w:tr2bl w:val="nil"/>
            </w:tcBorders>
            <w:shd w:val="clear" w:color="auto" w:fill="auto"/>
            <w:noWrap w:val="0"/>
            <w:vAlign w:val="center"/>
          </w:tcPr>
          <w:p w14:paraId="522CFABE">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0CCE97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524" w:type="pct"/>
            <w:tcBorders>
              <w:tl2br w:val="nil"/>
              <w:tr2bl w:val="nil"/>
            </w:tcBorders>
            <w:shd w:val="clear" w:color="auto" w:fill="auto"/>
            <w:noWrap w:val="0"/>
            <w:vAlign w:val="center"/>
          </w:tcPr>
          <w:p w14:paraId="4CED1690">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总磷（mg/L）</w:t>
            </w:r>
          </w:p>
        </w:tc>
        <w:tc>
          <w:tcPr>
            <w:tcW w:w="257" w:type="pct"/>
            <w:tcBorders>
              <w:tl2br w:val="nil"/>
              <w:tr2bl w:val="nil"/>
            </w:tcBorders>
            <w:shd w:val="clear" w:color="auto" w:fill="auto"/>
            <w:noWrap w:val="0"/>
            <w:vAlign w:val="center"/>
          </w:tcPr>
          <w:p w14:paraId="6BBBB7FB">
            <w:pPr>
              <w:pStyle w:val="161"/>
              <w:bidi w:val="0"/>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258" w:type="pct"/>
            <w:tcBorders>
              <w:tl2br w:val="nil"/>
              <w:tr2bl w:val="nil"/>
            </w:tcBorders>
            <w:shd w:val="clear" w:color="auto" w:fill="auto"/>
            <w:noWrap w:val="0"/>
            <w:vAlign w:val="center"/>
          </w:tcPr>
          <w:p w14:paraId="37051AA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0.14</w:t>
            </w:r>
          </w:p>
        </w:tc>
        <w:tc>
          <w:tcPr>
            <w:tcW w:w="176" w:type="pct"/>
            <w:tcBorders>
              <w:tl2br w:val="nil"/>
              <w:tr2bl w:val="nil"/>
            </w:tcBorders>
            <w:shd w:val="clear" w:color="auto" w:fill="auto"/>
            <w:noWrap w:val="0"/>
            <w:vAlign w:val="center"/>
          </w:tcPr>
          <w:p w14:paraId="0739DF81">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0.70</w:t>
            </w:r>
          </w:p>
        </w:tc>
        <w:tc>
          <w:tcPr>
            <w:tcW w:w="258" w:type="pct"/>
            <w:tcBorders>
              <w:tl2br w:val="nil"/>
              <w:tr2bl w:val="nil"/>
            </w:tcBorders>
            <w:shd w:val="clear" w:color="auto" w:fill="auto"/>
            <w:noWrap w:val="0"/>
            <w:vAlign w:val="center"/>
          </w:tcPr>
          <w:p w14:paraId="348FB68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0.12</w:t>
            </w:r>
          </w:p>
        </w:tc>
        <w:tc>
          <w:tcPr>
            <w:tcW w:w="176" w:type="pct"/>
            <w:tcBorders>
              <w:tl2br w:val="nil"/>
              <w:tr2bl w:val="nil"/>
            </w:tcBorders>
            <w:shd w:val="clear" w:color="auto" w:fill="auto"/>
            <w:noWrap w:val="0"/>
            <w:vAlign w:val="center"/>
          </w:tcPr>
          <w:p w14:paraId="16CAFEF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0.60</w:t>
            </w:r>
          </w:p>
        </w:tc>
        <w:tc>
          <w:tcPr>
            <w:tcW w:w="258" w:type="pct"/>
            <w:tcBorders>
              <w:tl2br w:val="nil"/>
              <w:tr2bl w:val="nil"/>
            </w:tcBorders>
            <w:shd w:val="clear" w:color="auto" w:fill="auto"/>
            <w:noWrap w:val="0"/>
            <w:vAlign w:val="center"/>
          </w:tcPr>
          <w:p w14:paraId="3ADF369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176" w:type="pct"/>
            <w:tcBorders>
              <w:tl2br w:val="nil"/>
              <w:tr2bl w:val="nil"/>
            </w:tcBorders>
            <w:shd w:val="clear" w:color="auto" w:fill="auto"/>
            <w:noWrap w:val="0"/>
            <w:vAlign w:val="center"/>
          </w:tcPr>
          <w:p w14:paraId="01C1E09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0.80</w:t>
            </w:r>
          </w:p>
        </w:tc>
        <w:tc>
          <w:tcPr>
            <w:tcW w:w="258" w:type="pct"/>
            <w:tcBorders>
              <w:tl2br w:val="nil"/>
              <w:tr2bl w:val="nil"/>
            </w:tcBorders>
            <w:shd w:val="clear" w:color="auto" w:fill="auto"/>
            <w:noWrap w:val="0"/>
            <w:vAlign w:val="center"/>
          </w:tcPr>
          <w:p w14:paraId="7806D43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0.15</w:t>
            </w:r>
          </w:p>
        </w:tc>
        <w:tc>
          <w:tcPr>
            <w:tcW w:w="176" w:type="pct"/>
            <w:tcBorders>
              <w:tl2br w:val="nil"/>
              <w:tr2bl w:val="nil"/>
            </w:tcBorders>
            <w:shd w:val="clear" w:color="auto" w:fill="auto"/>
            <w:noWrap w:val="0"/>
            <w:vAlign w:val="center"/>
          </w:tcPr>
          <w:p w14:paraId="32A4EC79">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0.75</w:t>
            </w:r>
          </w:p>
        </w:tc>
        <w:tc>
          <w:tcPr>
            <w:tcW w:w="258" w:type="pct"/>
            <w:tcBorders>
              <w:tl2br w:val="nil"/>
              <w:tr2bl w:val="nil"/>
            </w:tcBorders>
            <w:shd w:val="clear" w:color="auto" w:fill="auto"/>
            <w:noWrap w:val="0"/>
            <w:vAlign w:val="center"/>
          </w:tcPr>
          <w:p w14:paraId="61B61CA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0.13</w:t>
            </w:r>
          </w:p>
        </w:tc>
        <w:tc>
          <w:tcPr>
            <w:tcW w:w="176" w:type="pct"/>
            <w:tcBorders>
              <w:tl2br w:val="nil"/>
              <w:tr2bl w:val="nil"/>
            </w:tcBorders>
            <w:shd w:val="clear" w:color="auto" w:fill="auto"/>
            <w:noWrap w:val="0"/>
            <w:vAlign w:val="center"/>
          </w:tcPr>
          <w:p w14:paraId="65200D16">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0.65</w:t>
            </w:r>
          </w:p>
        </w:tc>
        <w:tc>
          <w:tcPr>
            <w:tcW w:w="258" w:type="pct"/>
            <w:tcBorders>
              <w:tl2br w:val="nil"/>
              <w:tr2bl w:val="nil"/>
            </w:tcBorders>
            <w:shd w:val="clear" w:color="auto" w:fill="auto"/>
            <w:noWrap w:val="0"/>
            <w:vAlign w:val="center"/>
          </w:tcPr>
          <w:p w14:paraId="69522BEA">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176" w:type="pct"/>
            <w:tcBorders>
              <w:tl2br w:val="nil"/>
              <w:tr2bl w:val="nil"/>
            </w:tcBorders>
            <w:shd w:val="clear" w:color="auto" w:fill="auto"/>
            <w:noWrap w:val="0"/>
            <w:vAlign w:val="center"/>
          </w:tcPr>
          <w:p w14:paraId="0278D7D0">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0.80</w:t>
            </w:r>
          </w:p>
        </w:tc>
        <w:tc>
          <w:tcPr>
            <w:tcW w:w="258" w:type="pct"/>
            <w:tcBorders>
              <w:tl2br w:val="nil"/>
              <w:tr2bl w:val="nil"/>
            </w:tcBorders>
            <w:shd w:val="clear" w:color="auto" w:fill="auto"/>
            <w:noWrap w:val="0"/>
            <w:vAlign w:val="center"/>
          </w:tcPr>
          <w:p w14:paraId="74199B87">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0.0196L</w:t>
            </w:r>
          </w:p>
        </w:tc>
        <w:tc>
          <w:tcPr>
            <w:tcW w:w="176" w:type="pct"/>
            <w:tcBorders>
              <w:tl2br w:val="nil"/>
              <w:tr2bl w:val="nil"/>
            </w:tcBorders>
            <w:shd w:val="clear" w:color="auto" w:fill="auto"/>
            <w:noWrap w:val="0"/>
            <w:vAlign w:val="center"/>
          </w:tcPr>
          <w:p w14:paraId="29CC4B4C">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258" w:type="pct"/>
            <w:tcBorders>
              <w:tl2br w:val="nil"/>
              <w:tr2bl w:val="nil"/>
            </w:tcBorders>
            <w:shd w:val="clear" w:color="auto" w:fill="auto"/>
            <w:noWrap w:val="0"/>
            <w:vAlign w:val="center"/>
          </w:tcPr>
          <w:p w14:paraId="4B3A532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w:t>
            </w:r>
          </w:p>
        </w:tc>
        <w:tc>
          <w:tcPr>
            <w:tcW w:w="258" w:type="pct"/>
            <w:tcBorders>
              <w:tl2br w:val="nil"/>
              <w:tr2bl w:val="nil"/>
            </w:tcBorders>
            <w:shd w:val="clear" w:color="auto" w:fill="auto"/>
            <w:noWrap w:val="0"/>
            <w:vAlign w:val="center"/>
          </w:tcPr>
          <w:p w14:paraId="5B670F5D">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0.12</w:t>
            </w:r>
          </w:p>
        </w:tc>
        <w:tc>
          <w:tcPr>
            <w:tcW w:w="178" w:type="pct"/>
            <w:tcBorders>
              <w:tl2br w:val="nil"/>
              <w:tr2bl w:val="nil"/>
            </w:tcBorders>
            <w:shd w:val="clear" w:color="auto" w:fill="auto"/>
            <w:noWrap w:val="0"/>
            <w:vAlign w:val="center"/>
          </w:tcPr>
          <w:p w14:paraId="0FC16395">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0.14</w:t>
            </w:r>
          </w:p>
        </w:tc>
        <w:tc>
          <w:tcPr>
            <w:tcW w:w="178" w:type="pct"/>
            <w:tcBorders>
              <w:tl2br w:val="nil"/>
              <w:tr2bl w:val="nil"/>
            </w:tcBorders>
            <w:shd w:val="clear" w:color="auto" w:fill="auto"/>
            <w:noWrap w:val="0"/>
            <w:vAlign w:val="center"/>
          </w:tcPr>
          <w:p w14:paraId="4E50499F">
            <w:pPr>
              <w:pStyle w:val="161"/>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w:t>
            </w:r>
          </w:p>
        </w:tc>
        <w:tc>
          <w:tcPr>
            <w:tcW w:w="148" w:type="pct"/>
            <w:tcBorders>
              <w:tl2br w:val="nil"/>
              <w:tr2bl w:val="nil"/>
            </w:tcBorders>
            <w:shd w:val="clear" w:color="auto" w:fill="auto"/>
            <w:noWrap w:val="0"/>
            <w:vAlign w:val="center"/>
          </w:tcPr>
          <w:p w14:paraId="61501314">
            <w:pPr>
              <w:pStyle w:val="161"/>
              <w:bidi w:val="0"/>
              <w:spacing w:line="240" w:lineRule="auto"/>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85.7</w:t>
            </w:r>
          </w:p>
        </w:tc>
        <w:tc>
          <w:tcPr>
            <w:tcW w:w="148" w:type="pct"/>
            <w:tcBorders>
              <w:tl2br w:val="nil"/>
              <w:tr2bl w:val="nil"/>
            </w:tcBorders>
            <w:shd w:val="clear" w:color="auto" w:fill="auto"/>
            <w:noWrap w:val="0"/>
            <w:vAlign w:val="center"/>
          </w:tcPr>
          <w:p w14:paraId="51CFA0B9">
            <w:pPr>
              <w:pStyle w:val="161"/>
              <w:bidi w:val="0"/>
              <w:spacing w:line="240" w:lineRule="auto"/>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r>
    </w:tbl>
    <w:p w14:paraId="46DC86F2">
      <w:pPr>
        <w:pStyle w:val="147"/>
        <w:pageBreakBefore w:val="0"/>
        <w:kinsoku/>
        <w:overflowPunct/>
        <w:topLinePunct w:val="0"/>
        <w:autoSpaceDE/>
        <w:autoSpaceDN/>
        <w:bidi w:val="0"/>
        <w:spacing w:line="360" w:lineRule="auto"/>
        <w:ind w:left="0" w:leftChars="0" w:firstLine="0" w:firstLineChars="0"/>
        <w:textAlignment w:val="auto"/>
        <w:rPr>
          <w:rFonts w:hint="eastAsia" w:cs="宋体"/>
          <w:b/>
          <w:bCs w:val="0"/>
          <w:color w:val="auto"/>
          <w:sz w:val="21"/>
          <w:szCs w:val="21"/>
          <w:highlight w:val="none"/>
          <w:lang w:val="en-US" w:eastAsia="zh-CN"/>
        </w:rPr>
      </w:pPr>
      <w:r>
        <w:rPr>
          <w:rFonts w:hint="eastAsia" w:ascii="Times New Roman" w:hAnsi="Times New Roman" w:cs="Calibri"/>
          <w:b/>
          <w:bCs w:val="0"/>
          <w:color w:val="auto"/>
          <w:sz w:val="21"/>
          <w:szCs w:val="21"/>
          <w:highlight w:val="none"/>
          <w:lang w:eastAsia="zh-CN"/>
        </w:rPr>
        <w:t>注：以上检测结果中</w:t>
      </w:r>
      <w:r>
        <w:rPr>
          <w:rFonts w:hint="eastAsia" w:ascii="Times New Roman" w:hAnsi="Times New Roman" w:cs="Calibri"/>
          <w:b/>
          <w:bCs w:val="0"/>
          <w:color w:val="auto"/>
          <w:sz w:val="21"/>
          <w:szCs w:val="21"/>
          <w:highlight w:val="none"/>
          <w:lang w:val="en-US" w:eastAsia="zh-CN"/>
        </w:rPr>
        <w:t>“&lt;+数值”代表小于检出限</w:t>
      </w:r>
      <w:r>
        <w:rPr>
          <w:rFonts w:hint="eastAsia" w:ascii="宋体" w:hAnsi="宋体" w:cs="宋体"/>
          <w:b/>
          <w:bCs w:val="0"/>
          <w:color w:val="auto"/>
          <w:sz w:val="21"/>
          <w:szCs w:val="21"/>
          <w:highlight w:val="none"/>
          <w:lang w:val="en-US" w:eastAsia="zh-CN"/>
        </w:rPr>
        <w:t>，其数值为该项目检出限</w:t>
      </w:r>
      <w:r>
        <w:rPr>
          <w:rFonts w:hint="eastAsia" w:cs="宋体"/>
          <w:b/>
          <w:bCs w:val="0"/>
          <w:color w:val="auto"/>
          <w:sz w:val="21"/>
          <w:szCs w:val="21"/>
          <w:highlight w:val="none"/>
          <w:lang w:val="en-US" w:eastAsia="zh-CN"/>
        </w:rPr>
        <w:t>。</w:t>
      </w:r>
    </w:p>
    <w:p w14:paraId="3EC8F6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highlight w:val="none"/>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cols w:space="720" w:num="1"/>
          <w:docGrid w:type="lines" w:linePitch="312" w:charSpace="0"/>
        </w:sectPr>
      </w:pPr>
      <w:bookmarkStart w:id="248" w:name="_Toc7302"/>
    </w:p>
    <w:p w14:paraId="2F2B6E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eastAsia="zh-CN"/>
        </w:rPr>
      </w:pPr>
      <w:r>
        <w:rPr>
          <w:sz w:val="24"/>
          <w:szCs w:val="24"/>
          <w:highlight w:val="none"/>
        </w:rPr>
        <w:t>项目区域地下水化学类型的判定，采用国内常用的舒卡列夫分类法，经计算统计，各现状监测点地下水化学类型如下表所示</w:t>
      </w:r>
      <w:r>
        <w:rPr>
          <w:rFonts w:hint="eastAsia"/>
          <w:sz w:val="24"/>
          <w:szCs w:val="24"/>
          <w:highlight w:val="none"/>
          <w:lang w:eastAsia="zh-CN"/>
        </w:rPr>
        <w:t>。</w:t>
      </w:r>
    </w:p>
    <w:p w14:paraId="4E837F3D">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bCs/>
          <w:sz w:val="21"/>
          <w:szCs w:val="21"/>
          <w:highlight w:val="none"/>
          <w:lang w:eastAsia="zh-CN"/>
        </w:rPr>
      </w:pPr>
      <w:r>
        <w:rPr>
          <w:rFonts w:hint="eastAsia" w:ascii="Times New Roman" w:hAnsi="Times New Roman" w:eastAsia="宋体" w:cs="Times New Roman"/>
          <w:b/>
          <w:bCs/>
          <w:sz w:val="21"/>
          <w:szCs w:val="21"/>
          <w:highlight w:val="none"/>
          <w:lang w:eastAsia="zh-CN"/>
        </w:rPr>
        <w:t>各监测点位离子当量浓度及当量浓度百分比统计表（单位：meq/L）</w:t>
      </w:r>
    </w:p>
    <w:tbl>
      <w:tblPr>
        <w:tblStyle w:val="58"/>
        <w:tblW w:w="5001"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57"/>
        <w:gridCol w:w="741"/>
        <w:gridCol w:w="1404"/>
        <w:gridCol w:w="762"/>
        <w:gridCol w:w="879"/>
        <w:gridCol w:w="934"/>
        <w:gridCol w:w="783"/>
        <w:gridCol w:w="826"/>
        <w:gridCol w:w="847"/>
        <w:gridCol w:w="697"/>
      </w:tblGrid>
      <w:tr w14:paraId="2D1691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noWrap w:val="0"/>
            <w:vAlign w:val="center"/>
          </w:tcPr>
          <w:p w14:paraId="23932D09">
            <w:pPr>
              <w:adjustRightInd w:val="0"/>
              <w:snapToGrid w:val="0"/>
              <w:spacing w:line="240" w:lineRule="atLeast"/>
              <w:ind w:firstLine="0" w:firstLineChars="0"/>
              <w:jc w:val="center"/>
              <w:rPr>
                <w:rFonts w:ascii="Times New Roman" w:hAnsi="Times New Roman" w:eastAsia="宋体" w:cs="Times New Roman"/>
                <w:b/>
                <w:kern w:val="0"/>
                <w:sz w:val="21"/>
                <w:szCs w:val="21"/>
                <w:highlight w:val="none"/>
              </w:rPr>
            </w:pPr>
            <w:r>
              <w:rPr>
                <w:rFonts w:ascii="Times New Roman" w:hAnsi="Times New Roman" w:eastAsia="宋体" w:cs="Times New Roman"/>
                <w:b/>
                <w:kern w:val="0"/>
                <w:sz w:val="21"/>
                <w:szCs w:val="21"/>
                <w:highlight w:val="none"/>
              </w:rPr>
              <w:t>序号</w:t>
            </w:r>
          </w:p>
        </w:tc>
        <w:tc>
          <w:tcPr>
            <w:tcW w:w="1257" w:type="pct"/>
            <w:gridSpan w:val="2"/>
            <w:noWrap w:val="0"/>
            <w:vAlign w:val="center"/>
          </w:tcPr>
          <w:p w14:paraId="6E517AFD">
            <w:pPr>
              <w:adjustRightInd/>
              <w:snapToGrid/>
              <w:spacing w:line="240" w:lineRule="atLeast"/>
              <w:ind w:firstLine="0" w:firstLineChars="0"/>
              <w:jc w:val="center"/>
              <w:rPr>
                <w:rFonts w:ascii="Times New Roman" w:hAnsi="Times New Roman" w:eastAsia="宋体" w:cs="Times New Roman"/>
                <w:b/>
                <w:color w:val="000000"/>
                <w:spacing w:val="-10"/>
                <w:kern w:val="0"/>
                <w:sz w:val="21"/>
                <w:szCs w:val="21"/>
                <w:highlight w:val="none"/>
              </w:rPr>
            </w:pPr>
            <w:r>
              <w:rPr>
                <w:rFonts w:ascii="Times New Roman" w:hAnsi="Times New Roman" w:eastAsia="宋体" w:cs="Times New Roman"/>
                <w:b/>
                <w:kern w:val="0"/>
                <w:sz w:val="21"/>
                <w:szCs w:val="21"/>
                <w:highlight w:val="none"/>
              </w:rPr>
              <w:t>监测点位</w:t>
            </w:r>
          </w:p>
        </w:tc>
        <w:tc>
          <w:tcPr>
            <w:tcW w:w="446" w:type="pct"/>
            <w:noWrap w:val="0"/>
            <w:vAlign w:val="center"/>
          </w:tcPr>
          <w:p w14:paraId="5FD0CBBC">
            <w:pPr>
              <w:adjustRightInd/>
              <w:snapToGrid/>
              <w:spacing w:line="240" w:lineRule="atLeast"/>
              <w:ind w:firstLine="0" w:firstLineChars="0"/>
              <w:jc w:val="center"/>
              <w:rPr>
                <w:rFonts w:ascii="Times New Roman" w:hAnsi="Times New Roman" w:eastAsia="宋体" w:cs="Times New Roman"/>
                <w:b/>
                <w:color w:val="000000"/>
                <w:spacing w:val="-10"/>
                <w:kern w:val="0"/>
                <w:sz w:val="21"/>
                <w:szCs w:val="21"/>
                <w:highlight w:val="none"/>
              </w:rPr>
            </w:pPr>
            <w:r>
              <w:rPr>
                <w:rFonts w:ascii="Times New Roman" w:hAnsi="Times New Roman" w:eastAsia="宋体" w:cs="Times New Roman"/>
                <w:b/>
                <w:color w:val="000000"/>
                <w:spacing w:val="-10"/>
                <w:kern w:val="0"/>
                <w:sz w:val="21"/>
                <w:szCs w:val="21"/>
                <w:highlight w:val="none"/>
              </w:rPr>
              <w:t>K</w:t>
            </w:r>
            <w:r>
              <w:rPr>
                <w:rFonts w:ascii="Times New Roman" w:hAnsi="Times New Roman" w:eastAsia="宋体" w:cs="Times New Roman"/>
                <w:b/>
                <w:color w:val="000000"/>
                <w:spacing w:val="-10"/>
                <w:kern w:val="0"/>
                <w:sz w:val="21"/>
                <w:szCs w:val="21"/>
                <w:highlight w:val="none"/>
                <w:vertAlign w:val="superscript"/>
              </w:rPr>
              <w:t>+</w:t>
            </w:r>
          </w:p>
        </w:tc>
        <w:tc>
          <w:tcPr>
            <w:tcW w:w="515" w:type="pct"/>
            <w:noWrap w:val="0"/>
            <w:vAlign w:val="center"/>
          </w:tcPr>
          <w:p w14:paraId="663E6D79">
            <w:pPr>
              <w:adjustRightInd w:val="0"/>
              <w:snapToGrid w:val="0"/>
              <w:spacing w:line="240" w:lineRule="atLeast"/>
              <w:ind w:firstLine="0" w:firstLineChars="0"/>
              <w:jc w:val="center"/>
              <w:rPr>
                <w:rFonts w:ascii="Times New Roman" w:hAnsi="Times New Roman" w:eastAsia="宋体" w:cs="Times New Roman"/>
                <w:b/>
                <w:kern w:val="0"/>
                <w:sz w:val="21"/>
                <w:szCs w:val="21"/>
                <w:highlight w:val="none"/>
              </w:rPr>
            </w:pPr>
            <w:r>
              <w:rPr>
                <w:rFonts w:ascii="Times New Roman" w:hAnsi="Times New Roman" w:eastAsia="宋体" w:cs="Times New Roman"/>
                <w:b/>
                <w:color w:val="000000"/>
                <w:spacing w:val="-10"/>
                <w:kern w:val="0"/>
                <w:sz w:val="21"/>
                <w:szCs w:val="21"/>
                <w:highlight w:val="none"/>
              </w:rPr>
              <w:t>Na</w:t>
            </w:r>
            <w:r>
              <w:rPr>
                <w:rFonts w:ascii="Times New Roman" w:hAnsi="Times New Roman" w:eastAsia="宋体" w:cs="Times New Roman"/>
                <w:b/>
                <w:color w:val="000000"/>
                <w:spacing w:val="-10"/>
                <w:kern w:val="0"/>
                <w:sz w:val="21"/>
                <w:szCs w:val="21"/>
                <w:highlight w:val="none"/>
                <w:vertAlign w:val="superscript"/>
              </w:rPr>
              <w:t>+</w:t>
            </w:r>
          </w:p>
        </w:tc>
        <w:tc>
          <w:tcPr>
            <w:tcW w:w="547" w:type="pct"/>
            <w:noWrap w:val="0"/>
            <w:vAlign w:val="center"/>
          </w:tcPr>
          <w:p w14:paraId="3013FA2C">
            <w:pPr>
              <w:adjustRightInd w:val="0"/>
              <w:snapToGrid w:val="0"/>
              <w:spacing w:line="240" w:lineRule="atLeast"/>
              <w:ind w:firstLine="0" w:firstLineChars="0"/>
              <w:jc w:val="center"/>
              <w:rPr>
                <w:rFonts w:ascii="Times New Roman" w:hAnsi="Times New Roman" w:eastAsia="宋体" w:cs="Times New Roman"/>
                <w:b/>
                <w:kern w:val="0"/>
                <w:sz w:val="21"/>
                <w:szCs w:val="21"/>
                <w:highlight w:val="none"/>
              </w:rPr>
            </w:pPr>
            <w:r>
              <w:rPr>
                <w:rFonts w:ascii="Times New Roman" w:hAnsi="Times New Roman" w:eastAsia="宋体" w:cs="Times New Roman"/>
                <w:b/>
                <w:color w:val="000000"/>
                <w:spacing w:val="-10"/>
                <w:kern w:val="0"/>
                <w:sz w:val="21"/>
                <w:szCs w:val="21"/>
                <w:highlight w:val="none"/>
              </w:rPr>
              <w:t>Ca</w:t>
            </w:r>
            <w:r>
              <w:rPr>
                <w:rFonts w:ascii="Times New Roman" w:hAnsi="Times New Roman" w:eastAsia="宋体" w:cs="Times New Roman"/>
                <w:b/>
                <w:color w:val="000000"/>
                <w:spacing w:val="-10"/>
                <w:kern w:val="0"/>
                <w:sz w:val="21"/>
                <w:szCs w:val="21"/>
                <w:highlight w:val="none"/>
                <w:vertAlign w:val="superscript"/>
              </w:rPr>
              <w:t>2+</w:t>
            </w:r>
          </w:p>
        </w:tc>
        <w:tc>
          <w:tcPr>
            <w:tcW w:w="458" w:type="pct"/>
            <w:noWrap w:val="0"/>
            <w:vAlign w:val="center"/>
          </w:tcPr>
          <w:p w14:paraId="2DA9128C">
            <w:pPr>
              <w:adjustRightInd w:val="0"/>
              <w:snapToGrid w:val="0"/>
              <w:spacing w:line="240" w:lineRule="atLeast"/>
              <w:ind w:firstLine="0" w:firstLineChars="0"/>
              <w:jc w:val="center"/>
              <w:rPr>
                <w:rFonts w:ascii="Times New Roman" w:hAnsi="Times New Roman" w:eastAsia="宋体" w:cs="Times New Roman"/>
                <w:b/>
                <w:kern w:val="0"/>
                <w:sz w:val="21"/>
                <w:szCs w:val="21"/>
                <w:highlight w:val="none"/>
              </w:rPr>
            </w:pPr>
            <w:r>
              <w:rPr>
                <w:rFonts w:ascii="Times New Roman" w:hAnsi="Times New Roman" w:eastAsia="宋体" w:cs="Times New Roman"/>
                <w:b/>
                <w:color w:val="000000"/>
                <w:spacing w:val="-10"/>
                <w:kern w:val="0"/>
                <w:sz w:val="21"/>
                <w:szCs w:val="21"/>
                <w:highlight w:val="none"/>
              </w:rPr>
              <w:t>Mg</w:t>
            </w:r>
            <w:r>
              <w:rPr>
                <w:rFonts w:ascii="Times New Roman" w:hAnsi="Times New Roman" w:eastAsia="宋体" w:cs="Times New Roman"/>
                <w:b/>
                <w:color w:val="000000"/>
                <w:spacing w:val="-10"/>
                <w:kern w:val="0"/>
                <w:sz w:val="21"/>
                <w:szCs w:val="21"/>
                <w:highlight w:val="none"/>
                <w:vertAlign w:val="superscript"/>
              </w:rPr>
              <w:t>2+</w:t>
            </w:r>
          </w:p>
        </w:tc>
        <w:tc>
          <w:tcPr>
            <w:tcW w:w="484" w:type="pct"/>
            <w:noWrap w:val="0"/>
            <w:vAlign w:val="center"/>
          </w:tcPr>
          <w:p w14:paraId="1CA27637">
            <w:pPr>
              <w:adjustRightInd w:val="0"/>
              <w:snapToGrid w:val="0"/>
              <w:spacing w:line="240" w:lineRule="atLeast"/>
              <w:ind w:firstLine="0" w:firstLineChars="0"/>
              <w:jc w:val="center"/>
              <w:rPr>
                <w:rFonts w:hint="eastAsia" w:ascii="Times New Roman" w:hAnsi="Times New Roman" w:eastAsia="宋体" w:cs="Times New Roman"/>
                <w:b/>
                <w:kern w:val="0"/>
                <w:sz w:val="21"/>
                <w:szCs w:val="21"/>
                <w:highlight w:val="none"/>
                <w:lang w:val="en-US" w:eastAsia="zh-CN"/>
              </w:rPr>
            </w:pPr>
            <w:r>
              <w:rPr>
                <w:rFonts w:hint="eastAsia" w:ascii="Times New Roman" w:hAnsi="Times New Roman" w:eastAsia="宋体" w:cs="Times New Roman"/>
                <w:b/>
                <w:color w:val="000000"/>
                <w:spacing w:val="-10"/>
                <w:kern w:val="0"/>
                <w:sz w:val="21"/>
                <w:szCs w:val="21"/>
                <w:highlight w:val="none"/>
                <w:lang w:val="en-US" w:eastAsia="zh-CN"/>
              </w:rPr>
              <w:t>H</w:t>
            </w:r>
            <w:r>
              <w:rPr>
                <w:rFonts w:ascii="Times New Roman" w:hAnsi="Times New Roman" w:eastAsia="宋体" w:cs="Times New Roman"/>
                <w:b/>
                <w:color w:val="000000"/>
                <w:spacing w:val="-10"/>
                <w:kern w:val="0"/>
                <w:sz w:val="21"/>
                <w:szCs w:val="21"/>
                <w:highlight w:val="none"/>
              </w:rPr>
              <w:t>CO</w:t>
            </w:r>
            <w:r>
              <w:rPr>
                <w:rFonts w:ascii="Times New Roman" w:hAnsi="Times New Roman" w:eastAsia="宋体" w:cs="Times New Roman"/>
                <w:b/>
                <w:color w:val="000000"/>
                <w:spacing w:val="-10"/>
                <w:kern w:val="0"/>
                <w:sz w:val="21"/>
                <w:szCs w:val="21"/>
                <w:highlight w:val="none"/>
                <w:vertAlign w:val="subscript"/>
              </w:rPr>
              <w:t>3</w:t>
            </w:r>
            <w:r>
              <w:rPr>
                <w:rFonts w:hint="eastAsia" w:ascii="Times New Roman" w:hAnsi="Times New Roman" w:eastAsia="宋体" w:cs="Times New Roman"/>
                <w:b/>
                <w:color w:val="000000"/>
                <w:spacing w:val="-10"/>
                <w:kern w:val="0"/>
                <w:sz w:val="21"/>
                <w:szCs w:val="21"/>
                <w:highlight w:val="none"/>
                <w:vertAlign w:val="superscript"/>
                <w:lang w:val="en-US" w:eastAsia="zh-CN"/>
              </w:rPr>
              <w:t>-</w:t>
            </w:r>
          </w:p>
        </w:tc>
        <w:tc>
          <w:tcPr>
            <w:tcW w:w="496" w:type="pct"/>
            <w:noWrap w:val="0"/>
            <w:vAlign w:val="center"/>
          </w:tcPr>
          <w:p w14:paraId="24AF21B4">
            <w:pPr>
              <w:adjustRightInd w:val="0"/>
              <w:snapToGrid w:val="0"/>
              <w:spacing w:line="240" w:lineRule="atLeast"/>
              <w:ind w:firstLine="0" w:firstLineChars="0"/>
              <w:jc w:val="center"/>
              <w:rPr>
                <w:rFonts w:ascii="Times New Roman" w:hAnsi="Times New Roman" w:eastAsia="宋体" w:cs="Times New Roman"/>
                <w:b/>
                <w:kern w:val="0"/>
                <w:sz w:val="21"/>
                <w:szCs w:val="21"/>
                <w:highlight w:val="none"/>
              </w:rPr>
            </w:pPr>
            <w:r>
              <w:rPr>
                <w:rFonts w:ascii="Times New Roman" w:hAnsi="Times New Roman" w:eastAsia="宋体" w:cs="Times New Roman"/>
                <w:b/>
                <w:kern w:val="0"/>
                <w:sz w:val="21"/>
                <w:szCs w:val="21"/>
                <w:highlight w:val="none"/>
              </w:rPr>
              <w:t>Cl-</w:t>
            </w:r>
          </w:p>
        </w:tc>
        <w:tc>
          <w:tcPr>
            <w:tcW w:w="408" w:type="pct"/>
            <w:noWrap w:val="0"/>
            <w:vAlign w:val="center"/>
          </w:tcPr>
          <w:p w14:paraId="371B4B1E">
            <w:pPr>
              <w:adjustRightInd w:val="0"/>
              <w:snapToGrid w:val="0"/>
              <w:spacing w:line="240" w:lineRule="atLeast"/>
              <w:ind w:firstLine="0" w:firstLineChars="0"/>
              <w:jc w:val="center"/>
              <w:rPr>
                <w:rFonts w:hint="eastAsia" w:ascii="Times New Roman" w:hAnsi="Times New Roman" w:eastAsia="宋体" w:cs="Times New Roman"/>
                <w:b/>
                <w:kern w:val="0"/>
                <w:sz w:val="21"/>
                <w:szCs w:val="21"/>
                <w:highlight w:val="none"/>
                <w:lang w:val="en-US" w:eastAsia="zh-CN"/>
              </w:rPr>
            </w:pPr>
            <w:r>
              <w:rPr>
                <w:rFonts w:ascii="Times New Roman" w:hAnsi="Times New Roman" w:eastAsia="宋体" w:cs="Times New Roman"/>
                <w:b/>
                <w:kern w:val="0"/>
                <w:sz w:val="21"/>
                <w:szCs w:val="21"/>
                <w:highlight w:val="none"/>
              </w:rPr>
              <w:t>SO</w:t>
            </w:r>
            <w:r>
              <w:rPr>
                <w:rFonts w:ascii="Times New Roman" w:hAnsi="Times New Roman" w:eastAsia="宋体" w:cs="Times New Roman"/>
                <w:b/>
                <w:kern w:val="0"/>
                <w:sz w:val="21"/>
                <w:szCs w:val="21"/>
                <w:highlight w:val="none"/>
                <w:vertAlign w:val="subscript"/>
              </w:rPr>
              <w:t>4</w:t>
            </w:r>
            <w:r>
              <w:rPr>
                <w:rFonts w:ascii="Times New Roman" w:hAnsi="Times New Roman" w:eastAsia="宋体" w:cs="Times New Roman"/>
                <w:b/>
                <w:color w:val="000000"/>
                <w:spacing w:val="-10"/>
                <w:kern w:val="0"/>
                <w:sz w:val="21"/>
                <w:szCs w:val="21"/>
                <w:highlight w:val="none"/>
                <w:vertAlign w:val="superscript"/>
              </w:rPr>
              <w:t>2</w:t>
            </w:r>
            <w:r>
              <w:rPr>
                <w:rFonts w:hint="eastAsia" w:ascii="Times New Roman" w:hAnsi="Times New Roman" w:cs="Times New Roman"/>
                <w:b/>
                <w:color w:val="000000"/>
                <w:spacing w:val="-10"/>
                <w:kern w:val="0"/>
                <w:sz w:val="21"/>
                <w:szCs w:val="21"/>
                <w:highlight w:val="none"/>
                <w:vertAlign w:val="superscript"/>
                <w:lang w:val="en-US" w:eastAsia="zh-CN"/>
              </w:rPr>
              <w:t>-</w:t>
            </w:r>
          </w:p>
        </w:tc>
      </w:tr>
      <w:tr w14:paraId="4B1C037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restart"/>
            <w:noWrap w:val="0"/>
            <w:vAlign w:val="center"/>
          </w:tcPr>
          <w:p w14:paraId="44F88C69">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r>
              <w:rPr>
                <w:rFonts w:ascii="Times New Roman" w:hAnsi="Times New Roman" w:eastAsia="宋体" w:cs="Times New Roman"/>
                <w:kern w:val="0"/>
                <w:sz w:val="21"/>
                <w:szCs w:val="21"/>
                <w:highlight w:val="none"/>
              </w:rPr>
              <w:t>1</w:t>
            </w:r>
          </w:p>
        </w:tc>
        <w:tc>
          <w:tcPr>
            <w:tcW w:w="434" w:type="pct"/>
            <w:vMerge w:val="restart"/>
            <w:noWrap w:val="0"/>
            <w:vAlign w:val="center"/>
          </w:tcPr>
          <w:p w14:paraId="1EF6AB8F">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ascii="Times New Roman" w:hAnsi="Times New Roman" w:eastAsia="宋体" w:cs="Times New Roman"/>
                <w:color w:val="000000"/>
                <w:kern w:val="0"/>
                <w:sz w:val="21"/>
                <w:szCs w:val="21"/>
                <w:highlight w:val="none"/>
              </w:rPr>
              <w:t>dxs1#</w:t>
            </w:r>
          </w:p>
        </w:tc>
        <w:tc>
          <w:tcPr>
            <w:tcW w:w="822" w:type="pct"/>
            <w:noWrap w:val="0"/>
            <w:vAlign w:val="center"/>
          </w:tcPr>
          <w:p w14:paraId="19477B66">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hint="eastAsia" w:cs="Times New Roman"/>
                <w:color w:val="000000"/>
                <w:kern w:val="0"/>
                <w:sz w:val="21"/>
                <w:szCs w:val="21"/>
                <w:highlight w:val="none"/>
                <w:lang w:val="en-US" w:eastAsia="zh-CN"/>
              </w:rPr>
              <w:t>当量浓度</w:t>
            </w:r>
          </w:p>
        </w:tc>
        <w:tc>
          <w:tcPr>
            <w:tcW w:w="446" w:type="pct"/>
            <w:shd w:val="clear" w:color="auto" w:fill="auto"/>
            <w:noWrap w:val="0"/>
            <w:vAlign w:val="center"/>
          </w:tcPr>
          <w:p w14:paraId="26E357E1">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0.04</w:t>
            </w:r>
          </w:p>
        </w:tc>
        <w:tc>
          <w:tcPr>
            <w:tcW w:w="515" w:type="pct"/>
            <w:shd w:val="clear" w:color="auto" w:fill="auto"/>
            <w:noWrap w:val="0"/>
            <w:vAlign w:val="center"/>
          </w:tcPr>
          <w:p w14:paraId="5CD550E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1.57</w:t>
            </w:r>
          </w:p>
        </w:tc>
        <w:tc>
          <w:tcPr>
            <w:tcW w:w="547" w:type="pct"/>
            <w:shd w:val="clear" w:color="auto" w:fill="auto"/>
            <w:noWrap w:val="0"/>
            <w:vAlign w:val="center"/>
          </w:tcPr>
          <w:p w14:paraId="5B3F03E1">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3.47</w:t>
            </w:r>
          </w:p>
        </w:tc>
        <w:tc>
          <w:tcPr>
            <w:tcW w:w="458" w:type="pct"/>
            <w:shd w:val="clear" w:color="auto" w:fill="auto"/>
            <w:noWrap w:val="0"/>
            <w:vAlign w:val="center"/>
          </w:tcPr>
          <w:p w14:paraId="78A8088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1.51</w:t>
            </w:r>
          </w:p>
        </w:tc>
        <w:tc>
          <w:tcPr>
            <w:tcW w:w="484" w:type="pct"/>
            <w:shd w:val="clear" w:color="auto" w:fill="auto"/>
            <w:noWrap w:val="0"/>
            <w:vAlign w:val="center"/>
          </w:tcPr>
          <w:p w14:paraId="7A70E7C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3.67</w:t>
            </w:r>
          </w:p>
        </w:tc>
        <w:tc>
          <w:tcPr>
            <w:tcW w:w="496" w:type="pct"/>
            <w:shd w:val="clear" w:color="auto" w:fill="auto"/>
            <w:noWrap w:val="0"/>
            <w:vAlign w:val="center"/>
          </w:tcPr>
          <w:p w14:paraId="1BB58DE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1.97</w:t>
            </w:r>
          </w:p>
        </w:tc>
        <w:tc>
          <w:tcPr>
            <w:tcW w:w="408" w:type="pct"/>
            <w:shd w:val="clear" w:color="auto" w:fill="auto"/>
            <w:noWrap w:val="0"/>
            <w:vAlign w:val="center"/>
          </w:tcPr>
          <w:p w14:paraId="57EB7EDC">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0.93</w:t>
            </w:r>
          </w:p>
        </w:tc>
      </w:tr>
      <w:tr w14:paraId="0F805C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continue"/>
            <w:noWrap w:val="0"/>
            <w:vAlign w:val="center"/>
          </w:tcPr>
          <w:p w14:paraId="06BB78C4">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434" w:type="pct"/>
            <w:vMerge w:val="continue"/>
            <w:noWrap w:val="0"/>
            <w:vAlign w:val="center"/>
          </w:tcPr>
          <w:p w14:paraId="61503396">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p>
        </w:tc>
        <w:tc>
          <w:tcPr>
            <w:tcW w:w="822" w:type="pct"/>
            <w:noWrap w:val="0"/>
            <w:vAlign w:val="center"/>
          </w:tcPr>
          <w:p w14:paraId="00EF7D72">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ascii="Times New Roman" w:hAnsi="Times New Roman" w:eastAsia="宋体" w:cs="Times New Roman"/>
                <w:color w:val="000000"/>
                <w:kern w:val="0"/>
                <w:sz w:val="21"/>
                <w:szCs w:val="21"/>
                <w:highlight w:val="none"/>
              </w:rPr>
              <w:t>当量浓度百分比</w:t>
            </w:r>
            <w:r>
              <w:rPr>
                <w:rFonts w:hint="eastAsia" w:ascii="Times New Roman" w:hAnsi="Times New Roman" w:cs="Times New Roman"/>
                <w:color w:val="000000"/>
                <w:kern w:val="0"/>
                <w:sz w:val="21"/>
                <w:szCs w:val="21"/>
                <w:highlight w:val="none"/>
                <w:lang w:eastAsia="zh-CN"/>
              </w:rPr>
              <w:t>（</w:t>
            </w:r>
            <w:r>
              <w:rPr>
                <w:rFonts w:hint="eastAsia"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eastAsia="zh-CN"/>
              </w:rPr>
              <w:t>）</w:t>
            </w:r>
          </w:p>
        </w:tc>
        <w:tc>
          <w:tcPr>
            <w:tcW w:w="446" w:type="pct"/>
            <w:shd w:val="clear" w:color="auto" w:fill="auto"/>
            <w:noWrap w:val="0"/>
            <w:vAlign w:val="center"/>
          </w:tcPr>
          <w:p w14:paraId="758ECE4F">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0.59</w:t>
            </w:r>
          </w:p>
        </w:tc>
        <w:tc>
          <w:tcPr>
            <w:tcW w:w="515" w:type="pct"/>
            <w:shd w:val="clear" w:color="auto" w:fill="auto"/>
            <w:noWrap w:val="0"/>
            <w:vAlign w:val="center"/>
          </w:tcPr>
          <w:p w14:paraId="30F4AE79">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23.86</w:t>
            </w:r>
          </w:p>
        </w:tc>
        <w:tc>
          <w:tcPr>
            <w:tcW w:w="547" w:type="pct"/>
            <w:shd w:val="clear" w:color="auto" w:fill="auto"/>
            <w:noWrap w:val="0"/>
            <w:vAlign w:val="center"/>
          </w:tcPr>
          <w:p w14:paraId="08179396">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52.64</w:t>
            </w:r>
          </w:p>
        </w:tc>
        <w:tc>
          <w:tcPr>
            <w:tcW w:w="458" w:type="pct"/>
            <w:shd w:val="clear" w:color="auto" w:fill="auto"/>
            <w:noWrap w:val="0"/>
            <w:vAlign w:val="center"/>
          </w:tcPr>
          <w:p w14:paraId="31F77E4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22.91</w:t>
            </w:r>
          </w:p>
        </w:tc>
        <w:tc>
          <w:tcPr>
            <w:tcW w:w="484" w:type="pct"/>
            <w:shd w:val="clear" w:color="auto" w:fill="auto"/>
            <w:noWrap w:val="0"/>
            <w:vAlign w:val="center"/>
          </w:tcPr>
          <w:p w14:paraId="06FF3409">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55.88</w:t>
            </w:r>
          </w:p>
        </w:tc>
        <w:tc>
          <w:tcPr>
            <w:tcW w:w="496" w:type="pct"/>
            <w:shd w:val="clear" w:color="auto" w:fill="auto"/>
            <w:noWrap w:val="0"/>
            <w:vAlign w:val="center"/>
          </w:tcPr>
          <w:p w14:paraId="767B82A8">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30.05</w:t>
            </w:r>
          </w:p>
        </w:tc>
        <w:tc>
          <w:tcPr>
            <w:tcW w:w="408" w:type="pct"/>
            <w:shd w:val="clear" w:color="auto" w:fill="auto"/>
            <w:noWrap w:val="0"/>
            <w:vAlign w:val="center"/>
          </w:tcPr>
          <w:p w14:paraId="17513830">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14.08</w:t>
            </w:r>
          </w:p>
        </w:tc>
      </w:tr>
      <w:tr w14:paraId="3C9EAC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restart"/>
            <w:noWrap w:val="0"/>
            <w:vAlign w:val="center"/>
          </w:tcPr>
          <w:p w14:paraId="7B857C57">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r>
              <w:rPr>
                <w:rFonts w:ascii="Times New Roman" w:hAnsi="Times New Roman" w:eastAsia="宋体" w:cs="Times New Roman"/>
                <w:kern w:val="0"/>
                <w:sz w:val="21"/>
                <w:szCs w:val="21"/>
                <w:highlight w:val="none"/>
              </w:rPr>
              <w:t>2</w:t>
            </w:r>
          </w:p>
        </w:tc>
        <w:tc>
          <w:tcPr>
            <w:tcW w:w="434" w:type="pct"/>
            <w:vMerge w:val="restart"/>
            <w:noWrap w:val="0"/>
            <w:vAlign w:val="center"/>
          </w:tcPr>
          <w:p w14:paraId="766C95AD">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ascii="Times New Roman" w:hAnsi="Times New Roman" w:eastAsia="宋体" w:cs="Times New Roman"/>
                <w:color w:val="000000"/>
                <w:kern w:val="0"/>
                <w:sz w:val="21"/>
                <w:szCs w:val="21"/>
                <w:highlight w:val="none"/>
              </w:rPr>
              <w:t>dxs2#</w:t>
            </w:r>
          </w:p>
        </w:tc>
        <w:tc>
          <w:tcPr>
            <w:tcW w:w="1404" w:type="dxa"/>
            <w:shd w:val="clear" w:color="auto" w:fill="auto"/>
            <w:noWrap w:val="0"/>
            <w:vAlign w:val="center"/>
          </w:tcPr>
          <w:p w14:paraId="52FDC211">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当量浓度</w:t>
            </w:r>
          </w:p>
        </w:tc>
        <w:tc>
          <w:tcPr>
            <w:tcW w:w="446" w:type="pct"/>
            <w:shd w:val="clear" w:color="auto" w:fill="auto"/>
            <w:noWrap w:val="0"/>
            <w:vAlign w:val="center"/>
          </w:tcPr>
          <w:p w14:paraId="5C9A016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0.04</w:t>
            </w:r>
          </w:p>
        </w:tc>
        <w:tc>
          <w:tcPr>
            <w:tcW w:w="515" w:type="pct"/>
            <w:shd w:val="clear" w:color="auto" w:fill="auto"/>
            <w:noWrap w:val="0"/>
            <w:vAlign w:val="center"/>
          </w:tcPr>
          <w:p w14:paraId="2942BF4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1.60</w:t>
            </w:r>
          </w:p>
        </w:tc>
        <w:tc>
          <w:tcPr>
            <w:tcW w:w="547" w:type="pct"/>
            <w:shd w:val="clear" w:color="auto" w:fill="auto"/>
            <w:noWrap w:val="0"/>
            <w:vAlign w:val="center"/>
          </w:tcPr>
          <w:p w14:paraId="4BBE0897">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3.31</w:t>
            </w:r>
          </w:p>
        </w:tc>
        <w:tc>
          <w:tcPr>
            <w:tcW w:w="458" w:type="pct"/>
            <w:shd w:val="clear" w:color="auto" w:fill="auto"/>
            <w:noWrap w:val="0"/>
            <w:vAlign w:val="center"/>
          </w:tcPr>
          <w:p w14:paraId="3589B10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1.43</w:t>
            </w:r>
          </w:p>
        </w:tc>
        <w:tc>
          <w:tcPr>
            <w:tcW w:w="484" w:type="pct"/>
            <w:shd w:val="clear" w:color="auto" w:fill="auto"/>
            <w:noWrap w:val="0"/>
            <w:vAlign w:val="center"/>
          </w:tcPr>
          <w:p w14:paraId="2DFFE20F">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3.48</w:t>
            </w:r>
          </w:p>
        </w:tc>
        <w:tc>
          <w:tcPr>
            <w:tcW w:w="496" w:type="pct"/>
            <w:shd w:val="clear" w:color="auto" w:fill="auto"/>
            <w:noWrap w:val="0"/>
            <w:vAlign w:val="center"/>
          </w:tcPr>
          <w:p w14:paraId="133B516D">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2.02</w:t>
            </w:r>
          </w:p>
        </w:tc>
        <w:tc>
          <w:tcPr>
            <w:tcW w:w="408" w:type="pct"/>
            <w:shd w:val="clear" w:color="auto" w:fill="auto"/>
            <w:noWrap w:val="0"/>
            <w:vAlign w:val="center"/>
          </w:tcPr>
          <w:p w14:paraId="518C9EF5">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0.91</w:t>
            </w:r>
          </w:p>
        </w:tc>
      </w:tr>
      <w:tr w14:paraId="05A0CC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continue"/>
            <w:noWrap w:val="0"/>
            <w:vAlign w:val="center"/>
          </w:tcPr>
          <w:p w14:paraId="75CA4B5C">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434" w:type="pct"/>
            <w:vMerge w:val="continue"/>
            <w:noWrap w:val="0"/>
            <w:vAlign w:val="center"/>
          </w:tcPr>
          <w:p w14:paraId="260D33F5">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p>
        </w:tc>
        <w:tc>
          <w:tcPr>
            <w:tcW w:w="1404" w:type="dxa"/>
            <w:shd w:val="clear" w:color="auto" w:fill="auto"/>
            <w:noWrap w:val="0"/>
            <w:vAlign w:val="center"/>
          </w:tcPr>
          <w:p w14:paraId="29C51911">
            <w:pPr>
              <w:adjustRightInd/>
              <w:snapToGrid/>
              <w:spacing w:line="240" w:lineRule="atLeast"/>
              <w:ind w:firstLine="0" w:firstLineChars="0"/>
              <w:jc w:val="center"/>
              <w:rPr>
                <w:rFonts w:ascii="Times New Roman" w:hAnsi="Times New Roman" w:eastAsia="宋体" w:cs="Times New Roman"/>
                <w:color w:val="000000"/>
                <w:spacing w:val="-10"/>
                <w:kern w:val="0"/>
                <w:sz w:val="21"/>
                <w:szCs w:val="21"/>
                <w:highlight w:val="none"/>
                <w:lang w:val="en-US" w:eastAsia="zh-CN" w:bidi="ar-SA"/>
              </w:rPr>
            </w:pPr>
            <w:r>
              <w:rPr>
                <w:rFonts w:ascii="Times New Roman" w:hAnsi="Times New Roman" w:eastAsia="宋体" w:cs="Times New Roman"/>
                <w:color w:val="000000"/>
                <w:kern w:val="0"/>
                <w:sz w:val="21"/>
                <w:szCs w:val="21"/>
                <w:highlight w:val="none"/>
              </w:rPr>
              <w:t>当量浓度百分比</w:t>
            </w:r>
            <w:r>
              <w:rPr>
                <w:rFonts w:hint="eastAsia" w:ascii="Times New Roman" w:hAnsi="Times New Roman" w:cs="Times New Roman"/>
                <w:color w:val="000000"/>
                <w:kern w:val="0"/>
                <w:sz w:val="21"/>
                <w:szCs w:val="21"/>
                <w:highlight w:val="none"/>
                <w:lang w:eastAsia="zh-CN"/>
              </w:rPr>
              <w:t>（</w:t>
            </w:r>
            <w:r>
              <w:rPr>
                <w:rFonts w:hint="eastAsia"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eastAsia="zh-CN"/>
              </w:rPr>
              <w:t>）</w:t>
            </w:r>
          </w:p>
        </w:tc>
        <w:tc>
          <w:tcPr>
            <w:tcW w:w="446" w:type="pct"/>
            <w:shd w:val="clear" w:color="auto" w:fill="auto"/>
            <w:noWrap w:val="0"/>
            <w:vAlign w:val="center"/>
          </w:tcPr>
          <w:p w14:paraId="29696300">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0.59</w:t>
            </w:r>
          </w:p>
        </w:tc>
        <w:tc>
          <w:tcPr>
            <w:tcW w:w="515" w:type="pct"/>
            <w:shd w:val="clear" w:color="auto" w:fill="auto"/>
            <w:noWrap w:val="0"/>
            <w:vAlign w:val="center"/>
          </w:tcPr>
          <w:p w14:paraId="3F99C836">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25.18</w:t>
            </w:r>
          </w:p>
        </w:tc>
        <w:tc>
          <w:tcPr>
            <w:tcW w:w="547" w:type="pct"/>
            <w:shd w:val="clear" w:color="auto" w:fill="auto"/>
            <w:noWrap w:val="0"/>
            <w:vAlign w:val="center"/>
          </w:tcPr>
          <w:p w14:paraId="295105D8">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51.87</w:t>
            </w:r>
          </w:p>
        </w:tc>
        <w:tc>
          <w:tcPr>
            <w:tcW w:w="458" w:type="pct"/>
            <w:shd w:val="clear" w:color="auto" w:fill="auto"/>
            <w:noWrap w:val="0"/>
            <w:vAlign w:val="center"/>
          </w:tcPr>
          <w:p w14:paraId="113FDE5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22.36</w:t>
            </w:r>
          </w:p>
        </w:tc>
        <w:tc>
          <w:tcPr>
            <w:tcW w:w="484" w:type="pct"/>
            <w:shd w:val="clear" w:color="auto" w:fill="auto"/>
            <w:noWrap w:val="0"/>
            <w:vAlign w:val="center"/>
          </w:tcPr>
          <w:p w14:paraId="1E67CAB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54.32</w:t>
            </w:r>
          </w:p>
        </w:tc>
        <w:tc>
          <w:tcPr>
            <w:tcW w:w="496" w:type="pct"/>
            <w:shd w:val="clear" w:color="auto" w:fill="auto"/>
            <w:noWrap w:val="0"/>
            <w:vAlign w:val="center"/>
          </w:tcPr>
          <w:p w14:paraId="1957DE5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31.52</w:t>
            </w:r>
          </w:p>
        </w:tc>
        <w:tc>
          <w:tcPr>
            <w:tcW w:w="408" w:type="pct"/>
            <w:shd w:val="clear" w:color="auto" w:fill="auto"/>
            <w:noWrap w:val="0"/>
            <w:vAlign w:val="center"/>
          </w:tcPr>
          <w:p w14:paraId="7688F386">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14.16</w:t>
            </w:r>
          </w:p>
        </w:tc>
      </w:tr>
      <w:tr w14:paraId="7BEAC4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restart"/>
            <w:noWrap w:val="0"/>
            <w:vAlign w:val="center"/>
          </w:tcPr>
          <w:p w14:paraId="149E77DA">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r>
              <w:rPr>
                <w:rFonts w:ascii="Times New Roman" w:hAnsi="Times New Roman" w:eastAsia="宋体" w:cs="Times New Roman"/>
                <w:kern w:val="0"/>
                <w:sz w:val="21"/>
                <w:szCs w:val="21"/>
                <w:highlight w:val="none"/>
              </w:rPr>
              <w:t>3</w:t>
            </w:r>
          </w:p>
        </w:tc>
        <w:tc>
          <w:tcPr>
            <w:tcW w:w="434" w:type="pct"/>
            <w:vMerge w:val="restart"/>
            <w:noWrap w:val="0"/>
            <w:vAlign w:val="center"/>
          </w:tcPr>
          <w:p w14:paraId="681A98F7">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ascii="Times New Roman" w:hAnsi="Times New Roman" w:eastAsia="宋体" w:cs="Times New Roman"/>
                <w:color w:val="000000"/>
                <w:kern w:val="0"/>
                <w:sz w:val="21"/>
                <w:szCs w:val="21"/>
                <w:highlight w:val="none"/>
              </w:rPr>
              <w:t>dxs3#</w:t>
            </w:r>
          </w:p>
        </w:tc>
        <w:tc>
          <w:tcPr>
            <w:tcW w:w="1404" w:type="dxa"/>
            <w:shd w:val="clear" w:color="auto" w:fill="auto"/>
            <w:noWrap w:val="0"/>
            <w:vAlign w:val="center"/>
          </w:tcPr>
          <w:p w14:paraId="0CC9D795">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当量浓度</w:t>
            </w:r>
          </w:p>
        </w:tc>
        <w:tc>
          <w:tcPr>
            <w:tcW w:w="446" w:type="pct"/>
            <w:shd w:val="clear" w:color="auto" w:fill="auto"/>
            <w:noWrap w:val="0"/>
            <w:vAlign w:val="center"/>
          </w:tcPr>
          <w:p w14:paraId="179810E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0.04</w:t>
            </w:r>
          </w:p>
        </w:tc>
        <w:tc>
          <w:tcPr>
            <w:tcW w:w="515" w:type="pct"/>
            <w:shd w:val="clear" w:color="auto" w:fill="auto"/>
            <w:noWrap w:val="0"/>
            <w:vAlign w:val="center"/>
          </w:tcPr>
          <w:p w14:paraId="70CD278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1.54</w:t>
            </w:r>
          </w:p>
        </w:tc>
        <w:tc>
          <w:tcPr>
            <w:tcW w:w="547" w:type="pct"/>
            <w:shd w:val="clear" w:color="auto" w:fill="auto"/>
            <w:noWrap w:val="0"/>
            <w:vAlign w:val="center"/>
          </w:tcPr>
          <w:p w14:paraId="0CBA805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3.32</w:t>
            </w:r>
          </w:p>
        </w:tc>
        <w:tc>
          <w:tcPr>
            <w:tcW w:w="458" w:type="pct"/>
            <w:shd w:val="clear" w:color="auto" w:fill="auto"/>
            <w:noWrap w:val="0"/>
            <w:vAlign w:val="center"/>
          </w:tcPr>
          <w:p w14:paraId="39AD3910">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1.42</w:t>
            </w:r>
          </w:p>
        </w:tc>
        <w:tc>
          <w:tcPr>
            <w:tcW w:w="484" w:type="pct"/>
            <w:shd w:val="clear" w:color="auto" w:fill="auto"/>
            <w:noWrap w:val="0"/>
            <w:vAlign w:val="center"/>
          </w:tcPr>
          <w:p w14:paraId="47220F78">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3.39</w:t>
            </w:r>
          </w:p>
        </w:tc>
        <w:tc>
          <w:tcPr>
            <w:tcW w:w="496" w:type="pct"/>
            <w:shd w:val="clear" w:color="auto" w:fill="auto"/>
            <w:noWrap w:val="0"/>
            <w:vAlign w:val="center"/>
          </w:tcPr>
          <w:p w14:paraId="72F3F7F7">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1.95</w:t>
            </w:r>
          </w:p>
        </w:tc>
        <w:tc>
          <w:tcPr>
            <w:tcW w:w="408" w:type="pct"/>
            <w:shd w:val="clear" w:color="auto" w:fill="auto"/>
            <w:noWrap w:val="0"/>
            <w:vAlign w:val="center"/>
          </w:tcPr>
          <w:p w14:paraId="3AE3F38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0.90</w:t>
            </w:r>
          </w:p>
        </w:tc>
      </w:tr>
      <w:tr w14:paraId="00D4672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continue"/>
            <w:noWrap w:val="0"/>
            <w:vAlign w:val="center"/>
          </w:tcPr>
          <w:p w14:paraId="0FD2A4CF">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434" w:type="pct"/>
            <w:vMerge w:val="continue"/>
            <w:noWrap w:val="0"/>
            <w:vAlign w:val="center"/>
          </w:tcPr>
          <w:p w14:paraId="47D5CCFD">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p>
        </w:tc>
        <w:tc>
          <w:tcPr>
            <w:tcW w:w="1404" w:type="dxa"/>
            <w:shd w:val="clear" w:color="auto" w:fill="auto"/>
            <w:noWrap w:val="0"/>
            <w:vAlign w:val="center"/>
          </w:tcPr>
          <w:p w14:paraId="6316DA52">
            <w:pPr>
              <w:adjustRightInd/>
              <w:snapToGrid/>
              <w:spacing w:line="240" w:lineRule="atLeast"/>
              <w:ind w:firstLine="0" w:firstLineChars="0"/>
              <w:jc w:val="center"/>
              <w:rPr>
                <w:rFonts w:ascii="Times New Roman" w:hAnsi="Times New Roman" w:eastAsia="宋体" w:cs="Times New Roman"/>
                <w:color w:val="000000"/>
                <w:spacing w:val="-10"/>
                <w:kern w:val="0"/>
                <w:sz w:val="21"/>
                <w:szCs w:val="21"/>
                <w:highlight w:val="none"/>
                <w:lang w:val="en-US" w:eastAsia="zh-CN" w:bidi="ar-SA"/>
              </w:rPr>
            </w:pPr>
            <w:r>
              <w:rPr>
                <w:rFonts w:ascii="Times New Roman" w:hAnsi="Times New Roman" w:eastAsia="宋体" w:cs="Times New Roman"/>
                <w:color w:val="000000"/>
                <w:kern w:val="0"/>
                <w:sz w:val="21"/>
                <w:szCs w:val="21"/>
                <w:highlight w:val="none"/>
              </w:rPr>
              <w:t>当量浓度百分比</w:t>
            </w:r>
            <w:r>
              <w:rPr>
                <w:rFonts w:hint="eastAsia" w:ascii="Times New Roman" w:hAnsi="Times New Roman" w:cs="Times New Roman"/>
                <w:color w:val="000000"/>
                <w:kern w:val="0"/>
                <w:sz w:val="21"/>
                <w:szCs w:val="21"/>
                <w:highlight w:val="none"/>
                <w:lang w:eastAsia="zh-CN"/>
              </w:rPr>
              <w:t>（</w:t>
            </w:r>
            <w:r>
              <w:rPr>
                <w:rFonts w:hint="eastAsia"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eastAsia="zh-CN"/>
              </w:rPr>
              <w:t>）</w:t>
            </w:r>
          </w:p>
        </w:tc>
        <w:tc>
          <w:tcPr>
            <w:tcW w:w="446" w:type="pct"/>
            <w:shd w:val="clear" w:color="auto" w:fill="auto"/>
            <w:noWrap w:val="0"/>
            <w:vAlign w:val="center"/>
          </w:tcPr>
          <w:p w14:paraId="78C806B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0.62</w:t>
            </w:r>
          </w:p>
        </w:tc>
        <w:tc>
          <w:tcPr>
            <w:tcW w:w="515" w:type="pct"/>
            <w:shd w:val="clear" w:color="auto" w:fill="auto"/>
            <w:noWrap w:val="0"/>
            <w:vAlign w:val="center"/>
          </w:tcPr>
          <w:p w14:paraId="7DEE9AAF">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24.42</w:t>
            </w:r>
          </w:p>
        </w:tc>
        <w:tc>
          <w:tcPr>
            <w:tcW w:w="547" w:type="pct"/>
            <w:shd w:val="clear" w:color="auto" w:fill="auto"/>
            <w:noWrap w:val="0"/>
            <w:vAlign w:val="center"/>
          </w:tcPr>
          <w:p w14:paraId="1C3DC897">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52.52</w:t>
            </w:r>
          </w:p>
        </w:tc>
        <w:tc>
          <w:tcPr>
            <w:tcW w:w="458" w:type="pct"/>
            <w:shd w:val="clear" w:color="auto" w:fill="auto"/>
            <w:noWrap w:val="0"/>
            <w:vAlign w:val="center"/>
          </w:tcPr>
          <w:p w14:paraId="7FE8AE23">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22.44</w:t>
            </w:r>
          </w:p>
        </w:tc>
        <w:tc>
          <w:tcPr>
            <w:tcW w:w="484" w:type="pct"/>
            <w:shd w:val="clear" w:color="auto" w:fill="auto"/>
            <w:noWrap w:val="0"/>
            <w:vAlign w:val="center"/>
          </w:tcPr>
          <w:p w14:paraId="39880A4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54.42</w:t>
            </w:r>
          </w:p>
        </w:tc>
        <w:tc>
          <w:tcPr>
            <w:tcW w:w="496" w:type="pct"/>
            <w:shd w:val="clear" w:color="auto" w:fill="auto"/>
            <w:noWrap w:val="0"/>
            <w:vAlign w:val="center"/>
          </w:tcPr>
          <w:p w14:paraId="2A83332D">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31.21</w:t>
            </w:r>
          </w:p>
        </w:tc>
        <w:tc>
          <w:tcPr>
            <w:tcW w:w="408" w:type="pct"/>
            <w:shd w:val="clear" w:color="auto" w:fill="auto"/>
            <w:noWrap w:val="0"/>
            <w:vAlign w:val="center"/>
          </w:tcPr>
          <w:p w14:paraId="2E7E39F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14.37</w:t>
            </w:r>
          </w:p>
        </w:tc>
      </w:tr>
      <w:tr w14:paraId="00D52A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restart"/>
            <w:noWrap w:val="0"/>
            <w:vAlign w:val="center"/>
          </w:tcPr>
          <w:p w14:paraId="2DA78D5E">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r>
              <w:rPr>
                <w:rFonts w:ascii="Times New Roman" w:hAnsi="Times New Roman" w:eastAsia="宋体" w:cs="Times New Roman"/>
                <w:kern w:val="0"/>
                <w:sz w:val="21"/>
                <w:szCs w:val="21"/>
                <w:highlight w:val="none"/>
              </w:rPr>
              <w:t>4</w:t>
            </w:r>
          </w:p>
        </w:tc>
        <w:tc>
          <w:tcPr>
            <w:tcW w:w="434" w:type="pct"/>
            <w:vMerge w:val="restart"/>
            <w:noWrap w:val="0"/>
            <w:vAlign w:val="center"/>
          </w:tcPr>
          <w:p w14:paraId="5D373430">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ascii="Times New Roman" w:hAnsi="Times New Roman" w:eastAsia="宋体" w:cs="Times New Roman"/>
                <w:color w:val="000000"/>
                <w:kern w:val="0"/>
                <w:sz w:val="21"/>
                <w:szCs w:val="21"/>
                <w:highlight w:val="none"/>
              </w:rPr>
              <w:t>dxs4#</w:t>
            </w:r>
          </w:p>
        </w:tc>
        <w:tc>
          <w:tcPr>
            <w:tcW w:w="1404" w:type="dxa"/>
            <w:shd w:val="clear" w:color="auto" w:fill="auto"/>
            <w:noWrap w:val="0"/>
            <w:vAlign w:val="center"/>
          </w:tcPr>
          <w:p w14:paraId="249C3AE6">
            <w:pPr>
              <w:adjustRightInd/>
              <w:snapToGrid/>
              <w:spacing w:line="240" w:lineRule="atLeast"/>
              <w:ind w:firstLine="0" w:firstLineChars="0"/>
              <w:jc w:val="center"/>
              <w:rPr>
                <w:rFonts w:hint="eastAsia"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当量浓度</w:t>
            </w:r>
          </w:p>
        </w:tc>
        <w:tc>
          <w:tcPr>
            <w:tcW w:w="446" w:type="pct"/>
            <w:shd w:val="clear" w:color="auto" w:fill="auto"/>
            <w:noWrap w:val="0"/>
            <w:vAlign w:val="center"/>
          </w:tcPr>
          <w:p w14:paraId="655029D5">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0.04</w:t>
            </w:r>
          </w:p>
        </w:tc>
        <w:tc>
          <w:tcPr>
            <w:tcW w:w="515" w:type="pct"/>
            <w:shd w:val="clear" w:color="auto" w:fill="auto"/>
            <w:noWrap w:val="0"/>
            <w:vAlign w:val="center"/>
          </w:tcPr>
          <w:p w14:paraId="4A5E7E98">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1.64</w:t>
            </w:r>
          </w:p>
        </w:tc>
        <w:tc>
          <w:tcPr>
            <w:tcW w:w="547" w:type="pct"/>
            <w:shd w:val="clear" w:color="auto" w:fill="auto"/>
            <w:noWrap w:val="0"/>
            <w:vAlign w:val="center"/>
          </w:tcPr>
          <w:p w14:paraId="1D99DBF7">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3.36</w:t>
            </w:r>
          </w:p>
        </w:tc>
        <w:tc>
          <w:tcPr>
            <w:tcW w:w="458" w:type="pct"/>
            <w:shd w:val="clear" w:color="auto" w:fill="auto"/>
            <w:noWrap w:val="0"/>
            <w:vAlign w:val="center"/>
          </w:tcPr>
          <w:p w14:paraId="79FCBB05">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1.48</w:t>
            </w:r>
          </w:p>
        </w:tc>
        <w:tc>
          <w:tcPr>
            <w:tcW w:w="484" w:type="pct"/>
            <w:shd w:val="clear" w:color="auto" w:fill="auto"/>
            <w:noWrap w:val="0"/>
            <w:vAlign w:val="center"/>
          </w:tcPr>
          <w:p w14:paraId="3DB33491">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3.79</w:t>
            </w:r>
          </w:p>
        </w:tc>
        <w:tc>
          <w:tcPr>
            <w:tcW w:w="496" w:type="pct"/>
            <w:shd w:val="clear" w:color="auto" w:fill="auto"/>
            <w:noWrap w:val="0"/>
            <w:vAlign w:val="center"/>
          </w:tcPr>
          <w:p w14:paraId="21290AA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1.95</w:t>
            </w:r>
          </w:p>
        </w:tc>
        <w:tc>
          <w:tcPr>
            <w:tcW w:w="408" w:type="pct"/>
            <w:shd w:val="clear" w:color="auto" w:fill="auto"/>
            <w:noWrap w:val="0"/>
            <w:vAlign w:val="center"/>
          </w:tcPr>
          <w:p w14:paraId="58488C35">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0.93</w:t>
            </w:r>
          </w:p>
        </w:tc>
      </w:tr>
      <w:tr w14:paraId="7DAB27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continue"/>
            <w:noWrap w:val="0"/>
            <w:vAlign w:val="center"/>
          </w:tcPr>
          <w:p w14:paraId="4FC5B7BC">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434" w:type="pct"/>
            <w:vMerge w:val="continue"/>
            <w:noWrap w:val="0"/>
            <w:vAlign w:val="center"/>
          </w:tcPr>
          <w:p w14:paraId="0E1CF46B">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p>
        </w:tc>
        <w:tc>
          <w:tcPr>
            <w:tcW w:w="1404" w:type="dxa"/>
            <w:shd w:val="clear" w:color="auto" w:fill="auto"/>
            <w:noWrap w:val="0"/>
            <w:vAlign w:val="center"/>
          </w:tcPr>
          <w:p w14:paraId="28001AF8">
            <w:pPr>
              <w:adjustRightInd/>
              <w:snapToGrid/>
              <w:spacing w:line="240" w:lineRule="atLeast"/>
              <w:ind w:firstLine="0" w:firstLineChars="0"/>
              <w:jc w:val="center"/>
              <w:rPr>
                <w:rFonts w:hint="eastAsia" w:ascii="Times New Roman" w:hAnsi="Times New Roman" w:eastAsia="宋体" w:cs="Times New Roman"/>
                <w:color w:val="000000"/>
                <w:spacing w:val="-10"/>
                <w:kern w:val="0"/>
                <w:sz w:val="21"/>
                <w:szCs w:val="21"/>
                <w:highlight w:val="none"/>
                <w:lang w:val="en-US" w:eastAsia="zh-CN" w:bidi="ar-SA"/>
              </w:rPr>
            </w:pPr>
            <w:r>
              <w:rPr>
                <w:rFonts w:ascii="Times New Roman" w:hAnsi="Times New Roman" w:eastAsia="宋体" w:cs="Times New Roman"/>
                <w:color w:val="000000"/>
                <w:kern w:val="0"/>
                <w:sz w:val="21"/>
                <w:szCs w:val="21"/>
                <w:highlight w:val="none"/>
              </w:rPr>
              <w:t>当量浓度百分比</w:t>
            </w:r>
            <w:r>
              <w:rPr>
                <w:rFonts w:hint="eastAsia" w:ascii="Times New Roman" w:hAnsi="Times New Roman" w:cs="Times New Roman"/>
                <w:color w:val="000000"/>
                <w:kern w:val="0"/>
                <w:sz w:val="21"/>
                <w:szCs w:val="21"/>
                <w:highlight w:val="none"/>
                <w:lang w:eastAsia="zh-CN"/>
              </w:rPr>
              <w:t>（</w:t>
            </w:r>
            <w:r>
              <w:rPr>
                <w:rFonts w:hint="eastAsia"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eastAsia="zh-CN"/>
              </w:rPr>
              <w:t>）</w:t>
            </w:r>
          </w:p>
        </w:tc>
        <w:tc>
          <w:tcPr>
            <w:tcW w:w="446" w:type="pct"/>
            <w:shd w:val="clear" w:color="auto" w:fill="auto"/>
            <w:noWrap w:val="0"/>
            <w:vAlign w:val="center"/>
          </w:tcPr>
          <w:p w14:paraId="509DB65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0.61</w:t>
            </w:r>
          </w:p>
        </w:tc>
        <w:tc>
          <w:tcPr>
            <w:tcW w:w="515" w:type="pct"/>
            <w:shd w:val="clear" w:color="auto" w:fill="auto"/>
            <w:noWrap w:val="0"/>
            <w:vAlign w:val="center"/>
          </w:tcPr>
          <w:p w14:paraId="3CB9AA4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25.11</w:t>
            </w:r>
          </w:p>
        </w:tc>
        <w:tc>
          <w:tcPr>
            <w:tcW w:w="547" w:type="pct"/>
            <w:shd w:val="clear" w:color="auto" w:fill="auto"/>
            <w:noWrap w:val="0"/>
            <w:vAlign w:val="center"/>
          </w:tcPr>
          <w:p w14:paraId="49B2D37C">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51.53</w:t>
            </w:r>
          </w:p>
        </w:tc>
        <w:tc>
          <w:tcPr>
            <w:tcW w:w="458" w:type="pct"/>
            <w:shd w:val="clear" w:color="auto" w:fill="auto"/>
            <w:noWrap w:val="0"/>
            <w:vAlign w:val="center"/>
          </w:tcPr>
          <w:p w14:paraId="6DA282C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22.75</w:t>
            </w:r>
          </w:p>
        </w:tc>
        <w:tc>
          <w:tcPr>
            <w:tcW w:w="484" w:type="pct"/>
            <w:shd w:val="clear" w:color="auto" w:fill="auto"/>
            <w:noWrap w:val="0"/>
            <w:vAlign w:val="center"/>
          </w:tcPr>
          <w:p w14:paraId="2A38566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56.82</w:t>
            </w:r>
          </w:p>
        </w:tc>
        <w:tc>
          <w:tcPr>
            <w:tcW w:w="496" w:type="pct"/>
            <w:shd w:val="clear" w:color="auto" w:fill="auto"/>
            <w:noWrap w:val="0"/>
            <w:vAlign w:val="center"/>
          </w:tcPr>
          <w:p w14:paraId="464A4DFB">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29.21</w:t>
            </w:r>
          </w:p>
        </w:tc>
        <w:tc>
          <w:tcPr>
            <w:tcW w:w="408" w:type="pct"/>
            <w:shd w:val="clear" w:color="auto" w:fill="auto"/>
            <w:noWrap w:val="0"/>
            <w:vAlign w:val="center"/>
          </w:tcPr>
          <w:p w14:paraId="0AC159A6">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13.97</w:t>
            </w:r>
          </w:p>
        </w:tc>
      </w:tr>
      <w:tr w14:paraId="183AB92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restart"/>
            <w:noWrap w:val="0"/>
            <w:vAlign w:val="center"/>
          </w:tcPr>
          <w:p w14:paraId="009A7644">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r>
              <w:rPr>
                <w:rFonts w:ascii="Times New Roman" w:hAnsi="Times New Roman" w:eastAsia="宋体" w:cs="Times New Roman"/>
                <w:kern w:val="0"/>
                <w:sz w:val="21"/>
                <w:szCs w:val="21"/>
                <w:highlight w:val="none"/>
              </w:rPr>
              <w:t>5</w:t>
            </w:r>
          </w:p>
        </w:tc>
        <w:tc>
          <w:tcPr>
            <w:tcW w:w="434" w:type="pct"/>
            <w:vMerge w:val="restart"/>
            <w:noWrap w:val="0"/>
            <w:vAlign w:val="center"/>
          </w:tcPr>
          <w:p w14:paraId="6B64B92E">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ascii="Times New Roman" w:hAnsi="Times New Roman" w:eastAsia="宋体" w:cs="Times New Roman"/>
                <w:color w:val="000000"/>
                <w:kern w:val="0"/>
                <w:sz w:val="21"/>
                <w:szCs w:val="21"/>
                <w:highlight w:val="none"/>
              </w:rPr>
              <w:t>dxs5#</w:t>
            </w:r>
          </w:p>
        </w:tc>
        <w:tc>
          <w:tcPr>
            <w:tcW w:w="1404" w:type="dxa"/>
            <w:shd w:val="clear" w:color="auto" w:fill="auto"/>
            <w:noWrap w:val="0"/>
            <w:vAlign w:val="center"/>
          </w:tcPr>
          <w:p w14:paraId="7240EE1A">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当量浓度</w:t>
            </w:r>
          </w:p>
        </w:tc>
        <w:tc>
          <w:tcPr>
            <w:tcW w:w="446" w:type="pct"/>
            <w:shd w:val="clear" w:color="auto" w:fill="auto"/>
            <w:noWrap w:val="0"/>
            <w:vAlign w:val="center"/>
          </w:tcPr>
          <w:p w14:paraId="264580A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0.03</w:t>
            </w:r>
          </w:p>
        </w:tc>
        <w:tc>
          <w:tcPr>
            <w:tcW w:w="515" w:type="pct"/>
            <w:shd w:val="clear" w:color="auto" w:fill="auto"/>
            <w:noWrap w:val="0"/>
            <w:vAlign w:val="center"/>
          </w:tcPr>
          <w:p w14:paraId="32A7F99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1.36</w:t>
            </w:r>
          </w:p>
        </w:tc>
        <w:tc>
          <w:tcPr>
            <w:tcW w:w="547" w:type="pct"/>
            <w:shd w:val="clear" w:color="auto" w:fill="auto"/>
            <w:noWrap w:val="0"/>
            <w:vAlign w:val="center"/>
          </w:tcPr>
          <w:p w14:paraId="597FD681">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2.98</w:t>
            </w:r>
          </w:p>
        </w:tc>
        <w:tc>
          <w:tcPr>
            <w:tcW w:w="458" w:type="pct"/>
            <w:shd w:val="clear" w:color="auto" w:fill="auto"/>
            <w:noWrap w:val="0"/>
            <w:vAlign w:val="center"/>
          </w:tcPr>
          <w:p w14:paraId="2F2FB4D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0.90</w:t>
            </w:r>
          </w:p>
        </w:tc>
        <w:tc>
          <w:tcPr>
            <w:tcW w:w="484" w:type="pct"/>
            <w:shd w:val="clear" w:color="auto" w:fill="auto"/>
            <w:noWrap w:val="0"/>
            <w:vAlign w:val="center"/>
          </w:tcPr>
          <w:p w14:paraId="70C2A529">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2.69</w:t>
            </w:r>
          </w:p>
        </w:tc>
        <w:tc>
          <w:tcPr>
            <w:tcW w:w="496" w:type="pct"/>
            <w:shd w:val="clear" w:color="auto" w:fill="auto"/>
            <w:noWrap w:val="0"/>
            <w:vAlign w:val="center"/>
          </w:tcPr>
          <w:p w14:paraId="05C5F755">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1.80</w:t>
            </w:r>
          </w:p>
        </w:tc>
        <w:tc>
          <w:tcPr>
            <w:tcW w:w="408" w:type="pct"/>
            <w:shd w:val="clear" w:color="auto" w:fill="auto"/>
            <w:noWrap w:val="0"/>
            <w:vAlign w:val="center"/>
          </w:tcPr>
          <w:p w14:paraId="42EB7F61">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0.82</w:t>
            </w:r>
          </w:p>
        </w:tc>
      </w:tr>
      <w:tr w14:paraId="421785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continue"/>
            <w:noWrap w:val="0"/>
            <w:vAlign w:val="center"/>
          </w:tcPr>
          <w:p w14:paraId="2F3119ED">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434" w:type="pct"/>
            <w:vMerge w:val="continue"/>
            <w:noWrap w:val="0"/>
            <w:vAlign w:val="center"/>
          </w:tcPr>
          <w:p w14:paraId="7C05F8A7">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p>
        </w:tc>
        <w:tc>
          <w:tcPr>
            <w:tcW w:w="1404" w:type="dxa"/>
            <w:shd w:val="clear" w:color="auto" w:fill="auto"/>
            <w:noWrap w:val="0"/>
            <w:vAlign w:val="center"/>
          </w:tcPr>
          <w:p w14:paraId="231C1D66">
            <w:pPr>
              <w:adjustRightInd/>
              <w:snapToGrid/>
              <w:spacing w:line="240" w:lineRule="atLeast"/>
              <w:ind w:firstLine="0" w:firstLineChars="0"/>
              <w:jc w:val="center"/>
              <w:rPr>
                <w:rFonts w:ascii="Times New Roman" w:hAnsi="Times New Roman" w:eastAsia="宋体" w:cs="Times New Roman"/>
                <w:color w:val="000000"/>
                <w:spacing w:val="-10"/>
                <w:kern w:val="0"/>
                <w:sz w:val="21"/>
                <w:szCs w:val="21"/>
                <w:highlight w:val="none"/>
                <w:lang w:val="en-US" w:eastAsia="zh-CN" w:bidi="ar-SA"/>
              </w:rPr>
            </w:pPr>
            <w:r>
              <w:rPr>
                <w:rFonts w:ascii="Times New Roman" w:hAnsi="Times New Roman" w:eastAsia="宋体" w:cs="Times New Roman"/>
                <w:color w:val="000000"/>
                <w:kern w:val="0"/>
                <w:sz w:val="21"/>
                <w:szCs w:val="21"/>
                <w:highlight w:val="none"/>
              </w:rPr>
              <w:t>当量浓度百分比</w:t>
            </w:r>
            <w:r>
              <w:rPr>
                <w:rFonts w:hint="eastAsia" w:ascii="Times New Roman" w:hAnsi="Times New Roman" w:cs="Times New Roman"/>
                <w:color w:val="000000"/>
                <w:kern w:val="0"/>
                <w:sz w:val="21"/>
                <w:szCs w:val="21"/>
                <w:highlight w:val="none"/>
                <w:lang w:eastAsia="zh-CN"/>
              </w:rPr>
              <w:t>（</w:t>
            </w:r>
            <w:r>
              <w:rPr>
                <w:rFonts w:hint="eastAsia"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eastAsia="zh-CN"/>
              </w:rPr>
              <w:t>）</w:t>
            </w:r>
          </w:p>
        </w:tc>
        <w:tc>
          <w:tcPr>
            <w:tcW w:w="446" w:type="pct"/>
            <w:shd w:val="clear" w:color="auto" w:fill="auto"/>
            <w:noWrap w:val="0"/>
            <w:vAlign w:val="center"/>
          </w:tcPr>
          <w:p w14:paraId="5EA7586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0.52</w:t>
            </w:r>
          </w:p>
        </w:tc>
        <w:tc>
          <w:tcPr>
            <w:tcW w:w="515" w:type="pct"/>
            <w:shd w:val="clear" w:color="auto" w:fill="auto"/>
            <w:noWrap w:val="0"/>
            <w:vAlign w:val="center"/>
          </w:tcPr>
          <w:p w14:paraId="3864FF2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25.86</w:t>
            </w:r>
          </w:p>
        </w:tc>
        <w:tc>
          <w:tcPr>
            <w:tcW w:w="547" w:type="pct"/>
            <w:shd w:val="clear" w:color="auto" w:fill="auto"/>
            <w:noWrap w:val="0"/>
            <w:vAlign w:val="center"/>
          </w:tcPr>
          <w:p w14:paraId="2C097070">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56.55</w:t>
            </w:r>
          </w:p>
        </w:tc>
        <w:tc>
          <w:tcPr>
            <w:tcW w:w="458" w:type="pct"/>
            <w:shd w:val="clear" w:color="auto" w:fill="auto"/>
            <w:noWrap w:val="0"/>
            <w:vAlign w:val="center"/>
          </w:tcPr>
          <w:p w14:paraId="20528BBC">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17.08</w:t>
            </w:r>
          </w:p>
        </w:tc>
        <w:tc>
          <w:tcPr>
            <w:tcW w:w="484" w:type="pct"/>
            <w:shd w:val="clear" w:color="auto" w:fill="auto"/>
            <w:noWrap w:val="0"/>
            <w:vAlign w:val="center"/>
          </w:tcPr>
          <w:p w14:paraId="2C3FFA1A">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50.68</w:t>
            </w:r>
          </w:p>
        </w:tc>
        <w:tc>
          <w:tcPr>
            <w:tcW w:w="496" w:type="pct"/>
            <w:shd w:val="clear" w:color="auto" w:fill="auto"/>
            <w:noWrap w:val="0"/>
            <w:vAlign w:val="center"/>
          </w:tcPr>
          <w:p w14:paraId="08B4A46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33.88</w:t>
            </w:r>
          </w:p>
        </w:tc>
        <w:tc>
          <w:tcPr>
            <w:tcW w:w="408" w:type="pct"/>
            <w:shd w:val="clear" w:color="auto" w:fill="auto"/>
            <w:noWrap w:val="0"/>
            <w:vAlign w:val="center"/>
          </w:tcPr>
          <w:p w14:paraId="29751B8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15.44</w:t>
            </w:r>
          </w:p>
        </w:tc>
      </w:tr>
      <w:tr w14:paraId="1FA4A7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restart"/>
            <w:noWrap w:val="0"/>
            <w:vAlign w:val="center"/>
          </w:tcPr>
          <w:p w14:paraId="26C0E719">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r>
              <w:rPr>
                <w:rFonts w:ascii="Times New Roman" w:hAnsi="Times New Roman" w:eastAsia="宋体" w:cs="Times New Roman"/>
                <w:kern w:val="0"/>
                <w:sz w:val="21"/>
                <w:szCs w:val="21"/>
                <w:highlight w:val="none"/>
              </w:rPr>
              <w:t>6</w:t>
            </w:r>
          </w:p>
        </w:tc>
        <w:tc>
          <w:tcPr>
            <w:tcW w:w="434" w:type="pct"/>
            <w:vMerge w:val="restart"/>
            <w:noWrap w:val="0"/>
            <w:vAlign w:val="center"/>
          </w:tcPr>
          <w:p w14:paraId="31E2563A">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r>
              <w:rPr>
                <w:rFonts w:ascii="Times New Roman" w:hAnsi="Times New Roman" w:eastAsia="宋体" w:cs="Times New Roman"/>
                <w:color w:val="000000"/>
                <w:kern w:val="0"/>
                <w:sz w:val="21"/>
                <w:szCs w:val="21"/>
                <w:highlight w:val="none"/>
              </w:rPr>
              <w:t>dxs6#</w:t>
            </w:r>
          </w:p>
        </w:tc>
        <w:tc>
          <w:tcPr>
            <w:tcW w:w="1404" w:type="dxa"/>
            <w:shd w:val="clear" w:color="auto" w:fill="auto"/>
            <w:noWrap w:val="0"/>
            <w:vAlign w:val="center"/>
          </w:tcPr>
          <w:p w14:paraId="1B9E7CEC">
            <w:pPr>
              <w:adjustRightInd/>
              <w:snapToGrid/>
              <w:spacing w:line="240" w:lineRule="atLeast"/>
              <w:ind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当量浓度</w:t>
            </w:r>
          </w:p>
        </w:tc>
        <w:tc>
          <w:tcPr>
            <w:tcW w:w="446" w:type="pct"/>
            <w:shd w:val="clear" w:color="auto" w:fill="auto"/>
            <w:noWrap w:val="0"/>
            <w:vAlign w:val="center"/>
          </w:tcPr>
          <w:p w14:paraId="585B458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0.03</w:t>
            </w:r>
          </w:p>
        </w:tc>
        <w:tc>
          <w:tcPr>
            <w:tcW w:w="515" w:type="pct"/>
            <w:shd w:val="clear" w:color="auto" w:fill="auto"/>
            <w:noWrap w:val="0"/>
            <w:vAlign w:val="center"/>
          </w:tcPr>
          <w:p w14:paraId="0BEBC8BB">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1.35</w:t>
            </w:r>
          </w:p>
        </w:tc>
        <w:tc>
          <w:tcPr>
            <w:tcW w:w="547" w:type="pct"/>
            <w:shd w:val="clear" w:color="auto" w:fill="auto"/>
            <w:noWrap w:val="0"/>
            <w:vAlign w:val="center"/>
          </w:tcPr>
          <w:p w14:paraId="00FFCB66">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2.97</w:t>
            </w:r>
          </w:p>
        </w:tc>
        <w:tc>
          <w:tcPr>
            <w:tcW w:w="458" w:type="pct"/>
            <w:shd w:val="clear" w:color="auto" w:fill="auto"/>
            <w:noWrap w:val="0"/>
            <w:vAlign w:val="center"/>
          </w:tcPr>
          <w:p w14:paraId="4ED2E8D3">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0.80</w:t>
            </w:r>
          </w:p>
        </w:tc>
        <w:tc>
          <w:tcPr>
            <w:tcW w:w="484" w:type="pct"/>
            <w:shd w:val="clear" w:color="auto" w:fill="auto"/>
            <w:noWrap w:val="0"/>
            <w:vAlign w:val="center"/>
          </w:tcPr>
          <w:p w14:paraId="163E078E">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2.59</w:t>
            </w:r>
          </w:p>
        </w:tc>
        <w:tc>
          <w:tcPr>
            <w:tcW w:w="496" w:type="pct"/>
            <w:shd w:val="clear" w:color="auto" w:fill="auto"/>
            <w:noWrap w:val="0"/>
            <w:vAlign w:val="center"/>
          </w:tcPr>
          <w:p w14:paraId="7EBC5483">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1.77</w:t>
            </w:r>
          </w:p>
        </w:tc>
        <w:tc>
          <w:tcPr>
            <w:tcW w:w="408" w:type="pct"/>
            <w:shd w:val="clear" w:color="auto" w:fill="auto"/>
            <w:noWrap w:val="0"/>
            <w:vAlign w:val="center"/>
          </w:tcPr>
          <w:p w14:paraId="767B73E5">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0.82</w:t>
            </w:r>
          </w:p>
        </w:tc>
      </w:tr>
      <w:tr w14:paraId="08A93D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continue"/>
            <w:noWrap w:val="0"/>
            <w:vAlign w:val="center"/>
          </w:tcPr>
          <w:p w14:paraId="19FF88FA">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434" w:type="pct"/>
            <w:vMerge w:val="continue"/>
            <w:noWrap w:val="0"/>
            <w:vAlign w:val="center"/>
          </w:tcPr>
          <w:p w14:paraId="79020403">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rPr>
            </w:pPr>
          </w:p>
        </w:tc>
        <w:tc>
          <w:tcPr>
            <w:tcW w:w="1404" w:type="dxa"/>
            <w:shd w:val="clear" w:color="auto" w:fill="auto"/>
            <w:noWrap w:val="0"/>
            <w:vAlign w:val="center"/>
          </w:tcPr>
          <w:p w14:paraId="4BA703A8">
            <w:pPr>
              <w:adjustRightInd/>
              <w:snapToGrid/>
              <w:spacing w:line="240" w:lineRule="atLeast"/>
              <w:ind w:firstLine="0" w:firstLineChars="0"/>
              <w:jc w:val="center"/>
              <w:rPr>
                <w:rFonts w:hint="default" w:ascii="Times New Roman" w:hAnsi="Times New Roman" w:eastAsia="宋体" w:cs="Times New Roman"/>
                <w:color w:val="000000"/>
                <w:spacing w:val="-10"/>
                <w:kern w:val="0"/>
                <w:sz w:val="21"/>
                <w:szCs w:val="21"/>
                <w:highlight w:val="none"/>
                <w:lang w:val="en-US" w:eastAsia="zh-CN" w:bidi="ar-SA"/>
              </w:rPr>
            </w:pPr>
            <w:r>
              <w:rPr>
                <w:rFonts w:ascii="Times New Roman" w:hAnsi="Times New Roman" w:eastAsia="宋体" w:cs="Times New Roman"/>
                <w:color w:val="000000"/>
                <w:kern w:val="0"/>
                <w:sz w:val="21"/>
                <w:szCs w:val="21"/>
                <w:highlight w:val="none"/>
              </w:rPr>
              <w:t>当量浓度百分比</w:t>
            </w:r>
            <w:r>
              <w:rPr>
                <w:rFonts w:hint="eastAsia" w:ascii="Times New Roman" w:hAnsi="Times New Roman" w:cs="Times New Roman"/>
                <w:color w:val="000000"/>
                <w:kern w:val="0"/>
                <w:sz w:val="21"/>
                <w:szCs w:val="21"/>
                <w:highlight w:val="none"/>
                <w:lang w:eastAsia="zh-CN"/>
              </w:rPr>
              <w:t>（</w:t>
            </w:r>
            <w:r>
              <w:rPr>
                <w:rFonts w:hint="eastAsia"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eastAsia="zh-CN"/>
              </w:rPr>
              <w:t>）</w:t>
            </w:r>
          </w:p>
        </w:tc>
        <w:tc>
          <w:tcPr>
            <w:tcW w:w="446" w:type="pct"/>
            <w:shd w:val="clear" w:color="auto" w:fill="auto"/>
            <w:noWrap w:val="0"/>
            <w:vAlign w:val="center"/>
          </w:tcPr>
          <w:p w14:paraId="335718D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0.54</w:t>
            </w:r>
          </w:p>
        </w:tc>
        <w:tc>
          <w:tcPr>
            <w:tcW w:w="515" w:type="pct"/>
            <w:shd w:val="clear" w:color="auto" w:fill="auto"/>
            <w:noWrap w:val="0"/>
            <w:vAlign w:val="center"/>
          </w:tcPr>
          <w:p w14:paraId="4095BD38">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26.27</w:t>
            </w:r>
          </w:p>
        </w:tc>
        <w:tc>
          <w:tcPr>
            <w:tcW w:w="547" w:type="pct"/>
            <w:shd w:val="clear" w:color="auto" w:fill="auto"/>
            <w:noWrap w:val="0"/>
            <w:vAlign w:val="center"/>
          </w:tcPr>
          <w:p w14:paraId="6766E169">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57.61</w:t>
            </w:r>
          </w:p>
        </w:tc>
        <w:tc>
          <w:tcPr>
            <w:tcW w:w="458" w:type="pct"/>
            <w:shd w:val="clear" w:color="auto" w:fill="auto"/>
            <w:noWrap w:val="0"/>
            <w:vAlign w:val="center"/>
          </w:tcPr>
          <w:p w14:paraId="13CF259C">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15.58</w:t>
            </w:r>
          </w:p>
        </w:tc>
        <w:tc>
          <w:tcPr>
            <w:tcW w:w="484" w:type="pct"/>
            <w:shd w:val="clear" w:color="auto" w:fill="auto"/>
            <w:noWrap w:val="0"/>
            <w:vAlign w:val="center"/>
          </w:tcPr>
          <w:p w14:paraId="4214E594">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49.95</w:t>
            </w:r>
          </w:p>
        </w:tc>
        <w:tc>
          <w:tcPr>
            <w:tcW w:w="496" w:type="pct"/>
            <w:shd w:val="clear" w:color="auto" w:fill="auto"/>
            <w:noWrap w:val="0"/>
            <w:vAlign w:val="center"/>
          </w:tcPr>
          <w:p w14:paraId="03D9DF53">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34.22</w:t>
            </w:r>
          </w:p>
        </w:tc>
        <w:tc>
          <w:tcPr>
            <w:tcW w:w="408" w:type="pct"/>
            <w:shd w:val="clear" w:color="auto" w:fill="auto"/>
            <w:noWrap w:val="0"/>
            <w:vAlign w:val="center"/>
          </w:tcPr>
          <w:p w14:paraId="7B0BAA92">
            <w:pPr>
              <w:pStyle w:val="161"/>
              <w:bidi w:val="0"/>
              <w:spacing w:line="240" w:lineRule="auto"/>
              <w:ind w:left="0" w:leftChars="0" w:right="0" w:rightChars="0" w:firstLine="0" w:firstLineChars="0"/>
              <w:jc w:val="center"/>
              <w:rPr>
                <w:rFonts w:ascii="Times New Roman" w:hAnsi="Times New Roman" w:eastAsia="宋体" w:cs="Times New Roman"/>
                <w:kern w:val="2"/>
                <w:sz w:val="21"/>
                <w:szCs w:val="21"/>
                <w:highlight w:val="none"/>
                <w:lang w:val="en-US" w:eastAsia="zh-CN" w:bidi="ar-SA"/>
              </w:rPr>
            </w:pPr>
            <w:r>
              <w:rPr>
                <w:rFonts w:hint="default"/>
                <w:highlight w:val="none"/>
                <w:lang w:val="en-US" w:eastAsia="zh-CN"/>
              </w:rPr>
              <w:t>15.83</w:t>
            </w:r>
          </w:p>
        </w:tc>
      </w:tr>
      <w:tr w14:paraId="5F6BB0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restart"/>
            <w:noWrap w:val="0"/>
            <w:vAlign w:val="center"/>
          </w:tcPr>
          <w:p w14:paraId="6B386A33">
            <w:pPr>
              <w:adjustRightInd w:val="0"/>
              <w:snapToGrid w:val="0"/>
              <w:spacing w:line="240" w:lineRule="atLeast"/>
              <w:ind w:firstLine="0" w:firstLineChars="0"/>
              <w:jc w:val="center"/>
              <w:rPr>
                <w:rFonts w:hint="eastAsia"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7</w:t>
            </w:r>
          </w:p>
        </w:tc>
        <w:tc>
          <w:tcPr>
            <w:tcW w:w="434" w:type="pct"/>
            <w:vMerge w:val="restart"/>
            <w:noWrap w:val="0"/>
            <w:vAlign w:val="center"/>
          </w:tcPr>
          <w:p w14:paraId="570F261B">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r>
              <w:rPr>
                <w:rFonts w:ascii="Times New Roman" w:hAnsi="Times New Roman" w:eastAsia="宋体" w:cs="Times New Roman"/>
                <w:color w:val="000000"/>
                <w:kern w:val="0"/>
                <w:sz w:val="21"/>
                <w:szCs w:val="21"/>
                <w:highlight w:val="none"/>
              </w:rPr>
              <w:t>dxs</w:t>
            </w:r>
            <w:r>
              <w:rPr>
                <w:rFonts w:hint="eastAsia" w:ascii="Times New Roman" w:hAnsi="Times New Roman" w:cs="Times New Roman"/>
                <w:color w:val="000000"/>
                <w:kern w:val="0"/>
                <w:sz w:val="21"/>
                <w:szCs w:val="21"/>
                <w:highlight w:val="none"/>
                <w:lang w:val="en-US" w:eastAsia="zh-CN"/>
              </w:rPr>
              <w:t>7</w:t>
            </w:r>
            <w:r>
              <w:rPr>
                <w:rFonts w:ascii="Times New Roman" w:hAnsi="Times New Roman" w:eastAsia="宋体" w:cs="Times New Roman"/>
                <w:color w:val="000000"/>
                <w:kern w:val="0"/>
                <w:sz w:val="21"/>
                <w:szCs w:val="21"/>
                <w:highlight w:val="none"/>
              </w:rPr>
              <w:t>#</w:t>
            </w:r>
          </w:p>
        </w:tc>
        <w:tc>
          <w:tcPr>
            <w:tcW w:w="1404" w:type="dxa"/>
            <w:shd w:val="clear" w:color="auto" w:fill="auto"/>
            <w:noWrap w:val="0"/>
            <w:vAlign w:val="center"/>
          </w:tcPr>
          <w:p w14:paraId="70A95509">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rPr>
              <w:t>当量浓度</w:t>
            </w:r>
          </w:p>
        </w:tc>
        <w:tc>
          <w:tcPr>
            <w:tcW w:w="446" w:type="pct"/>
            <w:shd w:val="clear" w:color="auto" w:fill="auto"/>
            <w:noWrap w:val="0"/>
            <w:vAlign w:val="center"/>
          </w:tcPr>
          <w:p w14:paraId="2EB4AF64">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0.83</w:t>
            </w:r>
          </w:p>
        </w:tc>
        <w:tc>
          <w:tcPr>
            <w:tcW w:w="515" w:type="pct"/>
            <w:shd w:val="clear" w:color="auto" w:fill="auto"/>
            <w:noWrap w:val="0"/>
            <w:vAlign w:val="center"/>
          </w:tcPr>
          <w:p w14:paraId="503EAD1F">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0.05</w:t>
            </w:r>
          </w:p>
        </w:tc>
        <w:tc>
          <w:tcPr>
            <w:tcW w:w="547" w:type="pct"/>
            <w:shd w:val="clear" w:color="auto" w:fill="auto"/>
            <w:noWrap w:val="0"/>
            <w:vAlign w:val="center"/>
          </w:tcPr>
          <w:p w14:paraId="29EC178C">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3.20</w:t>
            </w:r>
          </w:p>
        </w:tc>
        <w:tc>
          <w:tcPr>
            <w:tcW w:w="458" w:type="pct"/>
            <w:shd w:val="clear" w:color="auto" w:fill="auto"/>
            <w:noWrap w:val="0"/>
            <w:vAlign w:val="center"/>
          </w:tcPr>
          <w:p w14:paraId="2AE1FB58">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1.66</w:t>
            </w:r>
          </w:p>
        </w:tc>
        <w:tc>
          <w:tcPr>
            <w:tcW w:w="484" w:type="pct"/>
            <w:shd w:val="clear" w:color="auto" w:fill="auto"/>
            <w:noWrap w:val="0"/>
            <w:vAlign w:val="center"/>
          </w:tcPr>
          <w:p w14:paraId="2CB921B5">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3.15</w:t>
            </w:r>
          </w:p>
        </w:tc>
        <w:tc>
          <w:tcPr>
            <w:tcW w:w="496" w:type="pct"/>
            <w:shd w:val="clear" w:color="auto" w:fill="auto"/>
            <w:noWrap w:val="0"/>
            <w:vAlign w:val="center"/>
          </w:tcPr>
          <w:p w14:paraId="76C5897D">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1.05</w:t>
            </w:r>
          </w:p>
        </w:tc>
        <w:tc>
          <w:tcPr>
            <w:tcW w:w="408" w:type="pct"/>
            <w:shd w:val="clear" w:color="auto" w:fill="auto"/>
            <w:noWrap w:val="0"/>
            <w:vAlign w:val="center"/>
          </w:tcPr>
          <w:p w14:paraId="3216C7C7">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1.87</w:t>
            </w:r>
          </w:p>
        </w:tc>
      </w:tr>
      <w:tr w14:paraId="2252D3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85" w:type="pct"/>
            <w:vMerge w:val="continue"/>
            <w:noWrap w:val="0"/>
            <w:vAlign w:val="center"/>
          </w:tcPr>
          <w:p w14:paraId="4E6EBF9F">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434" w:type="pct"/>
            <w:vMerge w:val="continue"/>
            <w:noWrap w:val="0"/>
            <w:vAlign w:val="center"/>
          </w:tcPr>
          <w:p w14:paraId="5FE96D63">
            <w:pPr>
              <w:adjustRightInd w:val="0"/>
              <w:snapToGrid w:val="0"/>
              <w:spacing w:line="240" w:lineRule="atLeast"/>
              <w:ind w:firstLine="0" w:firstLineChars="0"/>
              <w:jc w:val="center"/>
              <w:rPr>
                <w:rFonts w:ascii="Times New Roman" w:hAnsi="Times New Roman" w:eastAsia="宋体" w:cs="Times New Roman"/>
                <w:kern w:val="0"/>
                <w:sz w:val="21"/>
                <w:szCs w:val="21"/>
                <w:highlight w:val="none"/>
              </w:rPr>
            </w:pPr>
          </w:p>
        </w:tc>
        <w:tc>
          <w:tcPr>
            <w:tcW w:w="1404" w:type="dxa"/>
            <w:shd w:val="clear" w:color="auto" w:fill="auto"/>
            <w:noWrap w:val="0"/>
            <w:vAlign w:val="center"/>
          </w:tcPr>
          <w:p w14:paraId="70735444">
            <w:pPr>
              <w:adjustRightInd/>
              <w:snapToGrid/>
              <w:spacing w:line="240" w:lineRule="atLeast"/>
              <w:ind w:firstLine="0" w:firstLineChars="0"/>
              <w:jc w:val="center"/>
              <w:rPr>
                <w:rFonts w:ascii="Times New Roman" w:hAnsi="Times New Roman" w:eastAsia="宋体" w:cs="Times New Roman"/>
                <w:color w:val="000000"/>
                <w:kern w:val="0"/>
                <w:sz w:val="21"/>
                <w:szCs w:val="21"/>
                <w:highlight w:val="none"/>
                <w:lang w:val="en-US" w:eastAsia="zh-CN" w:bidi="ar-SA"/>
              </w:rPr>
            </w:pPr>
            <w:r>
              <w:rPr>
                <w:rFonts w:ascii="Times New Roman" w:hAnsi="Times New Roman" w:eastAsia="宋体" w:cs="Times New Roman"/>
                <w:color w:val="000000"/>
                <w:kern w:val="0"/>
                <w:sz w:val="21"/>
                <w:szCs w:val="21"/>
                <w:highlight w:val="none"/>
              </w:rPr>
              <w:t>当量浓度百分比</w:t>
            </w:r>
            <w:r>
              <w:rPr>
                <w:rFonts w:hint="eastAsia" w:ascii="Times New Roman" w:hAnsi="Times New Roman" w:cs="Times New Roman"/>
                <w:color w:val="000000"/>
                <w:kern w:val="0"/>
                <w:sz w:val="21"/>
                <w:szCs w:val="21"/>
                <w:highlight w:val="none"/>
                <w:lang w:eastAsia="zh-CN"/>
              </w:rPr>
              <w:t>（</w:t>
            </w:r>
            <w:r>
              <w:rPr>
                <w:rFonts w:hint="eastAsia"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eastAsia="zh-CN"/>
              </w:rPr>
              <w:t>）</w:t>
            </w:r>
          </w:p>
        </w:tc>
        <w:tc>
          <w:tcPr>
            <w:tcW w:w="446" w:type="pct"/>
            <w:shd w:val="clear" w:color="auto" w:fill="auto"/>
            <w:noWrap w:val="0"/>
            <w:vAlign w:val="center"/>
          </w:tcPr>
          <w:p w14:paraId="02D27BAB">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14.52</w:t>
            </w:r>
          </w:p>
        </w:tc>
        <w:tc>
          <w:tcPr>
            <w:tcW w:w="515" w:type="pct"/>
            <w:shd w:val="clear" w:color="auto" w:fill="auto"/>
            <w:noWrap w:val="0"/>
            <w:vAlign w:val="center"/>
          </w:tcPr>
          <w:p w14:paraId="23071D3E">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15.34</w:t>
            </w:r>
          </w:p>
        </w:tc>
        <w:tc>
          <w:tcPr>
            <w:tcW w:w="547" w:type="pct"/>
            <w:shd w:val="clear" w:color="auto" w:fill="auto"/>
            <w:noWrap w:val="0"/>
            <w:vAlign w:val="center"/>
          </w:tcPr>
          <w:p w14:paraId="094A6B25">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55.76</w:t>
            </w:r>
          </w:p>
        </w:tc>
        <w:tc>
          <w:tcPr>
            <w:tcW w:w="458" w:type="pct"/>
            <w:shd w:val="clear" w:color="auto" w:fill="auto"/>
            <w:noWrap w:val="0"/>
            <w:vAlign w:val="center"/>
          </w:tcPr>
          <w:p w14:paraId="64918973">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28.90</w:t>
            </w:r>
          </w:p>
        </w:tc>
        <w:tc>
          <w:tcPr>
            <w:tcW w:w="484" w:type="pct"/>
            <w:shd w:val="clear" w:color="auto" w:fill="auto"/>
            <w:noWrap w:val="0"/>
            <w:vAlign w:val="center"/>
          </w:tcPr>
          <w:p w14:paraId="78DD0279">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51.87</w:t>
            </w:r>
          </w:p>
        </w:tc>
        <w:tc>
          <w:tcPr>
            <w:tcW w:w="496" w:type="pct"/>
            <w:shd w:val="clear" w:color="auto" w:fill="auto"/>
            <w:noWrap w:val="0"/>
            <w:vAlign w:val="center"/>
          </w:tcPr>
          <w:p w14:paraId="32BC1647">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17.30</w:t>
            </w:r>
          </w:p>
        </w:tc>
        <w:tc>
          <w:tcPr>
            <w:tcW w:w="408" w:type="pct"/>
            <w:shd w:val="clear" w:color="auto" w:fill="auto"/>
            <w:noWrap w:val="0"/>
            <w:vAlign w:val="center"/>
          </w:tcPr>
          <w:p w14:paraId="1BD347C5">
            <w:pPr>
              <w:pStyle w:val="161"/>
              <w:bidi w:val="0"/>
              <w:spacing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30.82</w:t>
            </w:r>
          </w:p>
        </w:tc>
      </w:tr>
    </w:tbl>
    <w:p w14:paraId="26733FAC">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ascii="Times New Roman"/>
          <w:b/>
          <w:kern w:val="2"/>
          <w:sz w:val="21"/>
          <w:szCs w:val="21"/>
          <w:highlight w:val="none"/>
        </w:rPr>
      </w:pPr>
      <w:r>
        <w:rPr>
          <w:rFonts w:ascii="Times New Roman"/>
          <w:b/>
          <w:kern w:val="2"/>
          <w:sz w:val="21"/>
          <w:szCs w:val="21"/>
          <w:highlight w:val="none"/>
        </w:rPr>
        <w:t>地下水</w:t>
      </w:r>
      <w:r>
        <w:rPr>
          <w:rFonts w:hint="eastAsia" w:ascii="Times New Roman"/>
          <w:b/>
          <w:kern w:val="2"/>
          <w:sz w:val="21"/>
          <w:szCs w:val="21"/>
          <w:highlight w:val="none"/>
        </w:rPr>
        <w:t>化学类型统计</w:t>
      </w:r>
      <w:r>
        <w:rPr>
          <w:rFonts w:ascii="Times New Roman"/>
          <w:b/>
          <w:kern w:val="2"/>
          <w:sz w:val="21"/>
          <w:szCs w:val="21"/>
          <w:highlight w:val="none"/>
        </w:rPr>
        <w:t>一览表</w:t>
      </w:r>
    </w:p>
    <w:tbl>
      <w:tblPr>
        <w:tblStyle w:val="58"/>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68"/>
        <w:gridCol w:w="1348"/>
        <w:gridCol w:w="1619"/>
        <w:gridCol w:w="4686"/>
      </w:tblGrid>
      <w:tr w14:paraId="1F6565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97" w:hRule="atLeast"/>
          <w:jc w:val="center"/>
        </w:trPr>
        <w:tc>
          <w:tcPr>
            <w:tcW w:w="509" w:type="pct"/>
            <w:tcBorders>
              <w:tl2br w:val="nil"/>
              <w:tr2bl w:val="nil"/>
            </w:tcBorders>
            <w:noWrap w:val="0"/>
            <w:vAlign w:val="center"/>
          </w:tcPr>
          <w:p w14:paraId="16416513">
            <w:pPr>
              <w:adjustRightInd w:val="0"/>
              <w:snapToGrid w:val="0"/>
              <w:spacing w:line="240" w:lineRule="auto"/>
              <w:jc w:val="center"/>
              <w:rPr>
                <w:rFonts w:ascii="Times New Roman"/>
                <w:b/>
                <w:kern w:val="2"/>
                <w:sz w:val="21"/>
                <w:szCs w:val="21"/>
                <w:highlight w:val="none"/>
              </w:rPr>
            </w:pPr>
            <w:r>
              <w:rPr>
                <w:rFonts w:ascii="Times New Roman"/>
                <w:b/>
                <w:kern w:val="2"/>
                <w:sz w:val="21"/>
                <w:szCs w:val="21"/>
                <w:highlight w:val="none"/>
              </w:rPr>
              <w:t>位置</w:t>
            </w:r>
          </w:p>
        </w:tc>
        <w:tc>
          <w:tcPr>
            <w:tcW w:w="791" w:type="pct"/>
            <w:tcBorders>
              <w:tl2br w:val="nil"/>
              <w:tr2bl w:val="nil"/>
            </w:tcBorders>
            <w:noWrap w:val="0"/>
            <w:vAlign w:val="center"/>
          </w:tcPr>
          <w:p w14:paraId="3A9516D0">
            <w:pPr>
              <w:adjustRightInd w:val="0"/>
              <w:snapToGrid w:val="0"/>
              <w:spacing w:line="240" w:lineRule="auto"/>
              <w:jc w:val="center"/>
              <w:rPr>
                <w:rFonts w:ascii="Times New Roman"/>
                <w:b/>
                <w:kern w:val="2"/>
                <w:sz w:val="21"/>
                <w:szCs w:val="21"/>
                <w:highlight w:val="none"/>
              </w:rPr>
            </w:pPr>
            <w:r>
              <w:rPr>
                <w:rFonts w:ascii="Times New Roman"/>
                <w:b/>
                <w:kern w:val="2"/>
                <w:sz w:val="21"/>
                <w:szCs w:val="21"/>
                <w:highlight w:val="none"/>
              </w:rPr>
              <w:t>矿化度TDS</w:t>
            </w:r>
            <w:r>
              <w:rPr>
                <w:rFonts w:hint="eastAsia" w:ascii="Times New Roman"/>
                <w:b/>
                <w:kern w:val="2"/>
                <w:sz w:val="21"/>
                <w:szCs w:val="21"/>
                <w:highlight w:val="none"/>
              </w:rPr>
              <w:t>（g/L）</w:t>
            </w:r>
          </w:p>
        </w:tc>
        <w:tc>
          <w:tcPr>
            <w:tcW w:w="950" w:type="pct"/>
            <w:tcBorders>
              <w:tl2br w:val="nil"/>
              <w:tr2bl w:val="nil"/>
            </w:tcBorders>
            <w:noWrap w:val="0"/>
            <w:vAlign w:val="center"/>
          </w:tcPr>
          <w:p w14:paraId="29528574">
            <w:pPr>
              <w:adjustRightInd w:val="0"/>
              <w:snapToGrid w:val="0"/>
              <w:spacing w:line="240" w:lineRule="auto"/>
              <w:jc w:val="center"/>
              <w:rPr>
                <w:rFonts w:ascii="Times New Roman"/>
                <w:b/>
                <w:kern w:val="2"/>
                <w:sz w:val="21"/>
                <w:szCs w:val="21"/>
                <w:highlight w:val="none"/>
              </w:rPr>
            </w:pPr>
            <w:r>
              <w:rPr>
                <w:rFonts w:hint="eastAsia" w:ascii="Times New Roman"/>
                <w:b/>
                <w:kern w:val="2"/>
                <w:sz w:val="21"/>
                <w:szCs w:val="21"/>
                <w:highlight w:val="none"/>
              </w:rPr>
              <w:t>舒卡列夫</w:t>
            </w:r>
            <w:r>
              <w:rPr>
                <w:rFonts w:ascii="Times New Roman"/>
                <w:b/>
                <w:kern w:val="2"/>
                <w:sz w:val="21"/>
                <w:szCs w:val="21"/>
                <w:highlight w:val="none"/>
              </w:rPr>
              <w:t>分类</w:t>
            </w:r>
          </w:p>
        </w:tc>
        <w:tc>
          <w:tcPr>
            <w:tcW w:w="2749" w:type="pct"/>
            <w:tcBorders>
              <w:tl2br w:val="nil"/>
              <w:tr2bl w:val="nil"/>
            </w:tcBorders>
            <w:noWrap w:val="0"/>
            <w:vAlign w:val="center"/>
          </w:tcPr>
          <w:p w14:paraId="4D62307B">
            <w:pPr>
              <w:adjustRightInd w:val="0"/>
              <w:snapToGrid w:val="0"/>
              <w:spacing w:line="240" w:lineRule="auto"/>
              <w:jc w:val="center"/>
              <w:rPr>
                <w:rFonts w:ascii="Times New Roman"/>
                <w:b/>
                <w:kern w:val="2"/>
                <w:sz w:val="21"/>
                <w:szCs w:val="21"/>
                <w:highlight w:val="none"/>
              </w:rPr>
            </w:pPr>
            <w:r>
              <w:rPr>
                <w:rFonts w:hint="eastAsia" w:ascii="Times New Roman"/>
                <w:b/>
                <w:kern w:val="2"/>
                <w:sz w:val="21"/>
                <w:szCs w:val="21"/>
                <w:highlight w:val="none"/>
              </w:rPr>
              <w:t>备注</w:t>
            </w:r>
          </w:p>
        </w:tc>
      </w:tr>
      <w:tr w14:paraId="285CF4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9" w:type="pct"/>
            <w:tcBorders>
              <w:tl2br w:val="nil"/>
              <w:tr2bl w:val="nil"/>
            </w:tcBorders>
            <w:noWrap w:val="0"/>
            <w:vAlign w:val="center"/>
          </w:tcPr>
          <w:p w14:paraId="3E60E152">
            <w:pPr>
              <w:spacing w:line="240" w:lineRule="atLeast"/>
              <w:jc w:val="center"/>
              <w:rPr>
                <w:rFonts w:ascii="Times New Roman"/>
                <w:b w:val="0"/>
                <w:bCs w:val="0"/>
                <w:kern w:val="2"/>
                <w:sz w:val="21"/>
                <w:szCs w:val="21"/>
                <w:highlight w:val="none"/>
              </w:rPr>
            </w:pPr>
            <w:r>
              <w:rPr>
                <w:rFonts w:hint="default" w:ascii="Times New Roman" w:hAnsi="Times New Roman" w:cs="Times New Roman"/>
                <w:b w:val="0"/>
                <w:bCs w:val="0"/>
                <w:spacing w:val="0"/>
                <w:w w:val="100"/>
                <w:sz w:val="21"/>
                <w:szCs w:val="21"/>
                <w:highlight w:val="none"/>
              </w:rPr>
              <w:t>Dxs1#</w:t>
            </w:r>
          </w:p>
        </w:tc>
        <w:tc>
          <w:tcPr>
            <w:tcW w:w="2241" w:type="dxa"/>
            <w:tcBorders>
              <w:tl2br w:val="nil"/>
              <w:tr2bl w:val="nil"/>
            </w:tcBorders>
            <w:noWrap w:val="0"/>
            <w:vAlign w:val="center"/>
          </w:tcPr>
          <w:p w14:paraId="7DF0F50F">
            <w:pPr>
              <w:pStyle w:val="161"/>
              <w:bidi w:val="0"/>
              <w:ind w:left="0" w:leftChars="0" w:right="0" w:rightChars="0" w:firstLine="0" w:firstLineChars="0"/>
              <w:jc w:val="center"/>
              <w:rPr>
                <w:rFonts w:hint="default" w:ascii="Times New Roman" w:eastAsia="宋体"/>
                <w:kern w:val="2"/>
                <w:sz w:val="21"/>
                <w:szCs w:val="21"/>
                <w:highlight w:val="none"/>
                <w:lang w:val="en-US" w:eastAsia="zh-CN"/>
              </w:rPr>
            </w:pPr>
            <w:r>
              <w:rPr>
                <w:rFonts w:hint="eastAsia"/>
                <w:highlight w:val="none"/>
                <w:lang w:val="en-US" w:eastAsia="zh-CN"/>
              </w:rPr>
              <w:t>0.254</w:t>
            </w:r>
          </w:p>
        </w:tc>
        <w:tc>
          <w:tcPr>
            <w:tcW w:w="2692" w:type="dxa"/>
            <w:tcBorders>
              <w:tl2br w:val="nil"/>
              <w:tr2bl w:val="nil"/>
            </w:tcBorders>
            <w:noWrap w:val="0"/>
            <w:vAlign w:val="center"/>
          </w:tcPr>
          <w:p w14:paraId="434BA541">
            <w:pPr>
              <w:adjustRightInd/>
              <w:snapToGrid/>
              <w:spacing w:line="240" w:lineRule="atLeast"/>
              <w:ind w:firstLine="0" w:firstLineChars="0"/>
              <w:jc w:val="center"/>
              <w:rPr>
                <w:rFonts w:ascii="Times New Roman"/>
                <w:kern w:val="2"/>
                <w:sz w:val="21"/>
                <w:szCs w:val="21"/>
                <w:highlight w:val="none"/>
              </w:rPr>
            </w:pPr>
            <w:r>
              <w:rPr>
                <w:rFonts w:hint="eastAsia" w:ascii="Times New Roman" w:hAnsi="Times New Roman" w:eastAsia="宋体" w:cs="Times New Roman"/>
                <w:kern w:val="0"/>
                <w:sz w:val="21"/>
                <w:szCs w:val="21"/>
                <w:highlight w:val="none"/>
                <w:lang w:val="en-US" w:eastAsia="zh-CN"/>
              </w:rPr>
              <w:t>22</w:t>
            </w:r>
            <w:r>
              <w:rPr>
                <w:rFonts w:hint="eastAsia" w:ascii="Times New Roman" w:hAnsi="Times New Roman" w:eastAsia="宋体" w:cs="Times New Roman"/>
                <w:kern w:val="0"/>
                <w:sz w:val="21"/>
                <w:szCs w:val="21"/>
                <w:highlight w:val="none"/>
              </w:rPr>
              <w:t>-A</w:t>
            </w:r>
          </w:p>
        </w:tc>
        <w:tc>
          <w:tcPr>
            <w:tcW w:w="7788" w:type="dxa"/>
            <w:tcBorders>
              <w:tl2br w:val="nil"/>
              <w:tr2bl w:val="nil"/>
            </w:tcBorders>
            <w:noWrap w:val="0"/>
            <w:vAlign w:val="center"/>
          </w:tcPr>
          <w:p w14:paraId="111CF892">
            <w:pPr>
              <w:adjustRightInd/>
              <w:snapToGrid/>
              <w:spacing w:line="240" w:lineRule="atLeast"/>
              <w:ind w:firstLine="0" w:firstLineChars="0"/>
              <w:jc w:val="center"/>
              <w:rPr>
                <w:rFonts w:ascii="Times New Roman"/>
                <w:kern w:val="2"/>
                <w:sz w:val="21"/>
                <w:szCs w:val="21"/>
                <w:highlight w:val="none"/>
              </w:rPr>
            </w:pPr>
            <w:r>
              <w:rPr>
                <w:rFonts w:ascii="Times New Roman" w:hAnsi="Times New Roman" w:eastAsia="宋体" w:cs="Times New Roman"/>
                <w:kern w:val="0"/>
                <w:sz w:val="21"/>
                <w:szCs w:val="21"/>
                <w:highlight w:val="none"/>
              </w:rPr>
              <w:t>TDS&lt;1.5g/L的HCO</w:t>
            </w:r>
            <w:r>
              <w:rPr>
                <w:rFonts w:ascii="Times New Roman" w:hAnsi="Times New Roman" w:eastAsia="宋体" w:cs="Times New Roman"/>
                <w:kern w:val="0"/>
                <w:sz w:val="21"/>
                <w:szCs w:val="21"/>
                <w:highlight w:val="none"/>
                <w:vertAlign w:val="subscript"/>
              </w:rPr>
              <w:t>3</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Cl</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—Ca</w:t>
            </w:r>
            <w:r>
              <w:rPr>
                <w:rFonts w:ascii="Times New Roman" w:hAnsi="Times New Roman" w:eastAsia="宋体" w:cs="Times New Roman"/>
                <w:kern w:val="0"/>
                <w:sz w:val="21"/>
                <w:szCs w:val="21"/>
                <w:highlight w:val="none"/>
                <w:vertAlign w:val="superscript"/>
              </w:rPr>
              <w:t>2+</w:t>
            </w:r>
            <w:r>
              <w:rPr>
                <w:rFonts w:ascii="Times New Roman" w:hAnsi="Times New Roman" w:eastAsia="宋体" w:cs="Times New Roman"/>
                <w:kern w:val="0"/>
                <w:sz w:val="21"/>
                <w:szCs w:val="21"/>
                <w:highlight w:val="none"/>
              </w:rPr>
              <w:t>型水</w:t>
            </w:r>
          </w:p>
        </w:tc>
      </w:tr>
      <w:tr w14:paraId="2EE8DE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9" w:type="pct"/>
            <w:tcBorders>
              <w:tl2br w:val="nil"/>
              <w:tr2bl w:val="nil"/>
            </w:tcBorders>
            <w:noWrap w:val="0"/>
            <w:vAlign w:val="center"/>
          </w:tcPr>
          <w:p w14:paraId="5805EEC4">
            <w:pPr>
              <w:spacing w:line="240" w:lineRule="atLeast"/>
              <w:jc w:val="center"/>
              <w:rPr>
                <w:rFonts w:ascii="Times New Roman"/>
                <w:b w:val="0"/>
                <w:bCs w:val="0"/>
                <w:kern w:val="2"/>
                <w:sz w:val="21"/>
                <w:szCs w:val="21"/>
                <w:highlight w:val="none"/>
              </w:rPr>
            </w:pPr>
            <w:r>
              <w:rPr>
                <w:rFonts w:hint="default" w:ascii="Times New Roman" w:hAnsi="Times New Roman" w:cs="Times New Roman"/>
                <w:b w:val="0"/>
                <w:bCs w:val="0"/>
                <w:spacing w:val="0"/>
                <w:w w:val="100"/>
                <w:sz w:val="21"/>
                <w:szCs w:val="21"/>
                <w:highlight w:val="none"/>
              </w:rPr>
              <w:t>Dxs</w:t>
            </w:r>
            <w:r>
              <w:rPr>
                <w:rFonts w:hint="eastAsia" w:ascii="Times New Roman" w:hAnsi="Times New Roman" w:cs="Times New Roman"/>
                <w:b w:val="0"/>
                <w:bCs w:val="0"/>
                <w:spacing w:val="0"/>
                <w:w w:val="100"/>
                <w:sz w:val="21"/>
                <w:szCs w:val="21"/>
                <w:highlight w:val="none"/>
                <w:lang w:val="en-US" w:eastAsia="zh-CN"/>
              </w:rPr>
              <w:t>2</w:t>
            </w:r>
            <w:r>
              <w:rPr>
                <w:rFonts w:hint="default" w:ascii="Times New Roman" w:hAnsi="Times New Roman" w:cs="Times New Roman"/>
                <w:b w:val="0"/>
                <w:bCs w:val="0"/>
                <w:spacing w:val="0"/>
                <w:w w:val="100"/>
                <w:sz w:val="21"/>
                <w:szCs w:val="21"/>
                <w:highlight w:val="none"/>
              </w:rPr>
              <w:t>#</w:t>
            </w:r>
          </w:p>
        </w:tc>
        <w:tc>
          <w:tcPr>
            <w:tcW w:w="2241" w:type="dxa"/>
            <w:tcBorders>
              <w:tl2br w:val="nil"/>
              <w:tr2bl w:val="nil"/>
            </w:tcBorders>
            <w:noWrap w:val="0"/>
            <w:vAlign w:val="center"/>
          </w:tcPr>
          <w:p w14:paraId="68A87178">
            <w:pPr>
              <w:pStyle w:val="161"/>
              <w:bidi w:val="0"/>
              <w:ind w:left="0" w:leftChars="0" w:right="0" w:rightChars="0" w:firstLine="0" w:firstLineChars="0"/>
              <w:jc w:val="center"/>
              <w:rPr>
                <w:rFonts w:hint="default" w:ascii="Times New Roman" w:eastAsia="宋体"/>
                <w:kern w:val="2"/>
                <w:sz w:val="21"/>
                <w:szCs w:val="21"/>
                <w:highlight w:val="none"/>
                <w:lang w:val="en-US" w:eastAsia="zh-CN"/>
              </w:rPr>
            </w:pPr>
            <w:r>
              <w:rPr>
                <w:rFonts w:hint="eastAsia"/>
                <w:highlight w:val="none"/>
                <w:lang w:val="en-US" w:eastAsia="zh-CN"/>
              </w:rPr>
              <w:t>0.24</w:t>
            </w:r>
          </w:p>
        </w:tc>
        <w:tc>
          <w:tcPr>
            <w:tcW w:w="2692" w:type="dxa"/>
            <w:tcBorders>
              <w:tl2br w:val="nil"/>
              <w:tr2bl w:val="nil"/>
            </w:tcBorders>
            <w:noWrap w:val="0"/>
            <w:vAlign w:val="center"/>
          </w:tcPr>
          <w:p w14:paraId="35A3A00B">
            <w:pPr>
              <w:adjustRightInd/>
              <w:snapToGrid/>
              <w:spacing w:line="240" w:lineRule="atLeast"/>
              <w:ind w:firstLine="0" w:firstLineChars="0"/>
              <w:jc w:val="center"/>
              <w:rPr>
                <w:rFonts w:ascii="Times New Roman"/>
                <w:kern w:val="2"/>
                <w:sz w:val="21"/>
                <w:szCs w:val="21"/>
                <w:highlight w:val="none"/>
              </w:rPr>
            </w:pPr>
            <w:r>
              <w:rPr>
                <w:rFonts w:hint="eastAsia" w:ascii="Times New Roman" w:hAnsi="Times New Roman" w:eastAsia="宋体" w:cs="Times New Roman"/>
                <w:kern w:val="0"/>
                <w:sz w:val="21"/>
                <w:szCs w:val="21"/>
                <w:highlight w:val="none"/>
              </w:rPr>
              <w:t>2</w:t>
            </w:r>
            <w:r>
              <w:rPr>
                <w:rFonts w:hint="eastAsia" w:ascii="Times New Roman" w:hAnsi="Times New Roman" w:eastAsia="宋体" w:cs="Times New Roman"/>
                <w:kern w:val="0"/>
                <w:sz w:val="21"/>
                <w:szCs w:val="21"/>
                <w:highlight w:val="none"/>
                <w:lang w:val="en-US" w:eastAsia="zh-CN"/>
              </w:rPr>
              <w:t>5</w:t>
            </w:r>
            <w:r>
              <w:rPr>
                <w:rFonts w:hint="eastAsia" w:ascii="Times New Roman" w:hAnsi="Times New Roman" w:eastAsia="宋体" w:cs="Times New Roman"/>
                <w:kern w:val="0"/>
                <w:sz w:val="21"/>
                <w:szCs w:val="21"/>
                <w:highlight w:val="none"/>
              </w:rPr>
              <w:t>-A</w:t>
            </w:r>
          </w:p>
        </w:tc>
        <w:tc>
          <w:tcPr>
            <w:tcW w:w="7788" w:type="dxa"/>
            <w:tcBorders>
              <w:tl2br w:val="nil"/>
              <w:tr2bl w:val="nil"/>
            </w:tcBorders>
            <w:noWrap w:val="0"/>
            <w:vAlign w:val="center"/>
          </w:tcPr>
          <w:p w14:paraId="0DBBE5F7">
            <w:pPr>
              <w:adjustRightInd/>
              <w:snapToGrid/>
              <w:spacing w:line="240" w:lineRule="atLeast"/>
              <w:ind w:firstLine="0" w:firstLineChars="0"/>
              <w:jc w:val="center"/>
              <w:rPr>
                <w:rFonts w:ascii="Times New Roman"/>
                <w:kern w:val="2"/>
                <w:sz w:val="21"/>
                <w:szCs w:val="21"/>
                <w:highlight w:val="none"/>
              </w:rPr>
            </w:pPr>
            <w:r>
              <w:rPr>
                <w:rFonts w:ascii="Times New Roman" w:hAnsi="Times New Roman" w:eastAsia="宋体" w:cs="Times New Roman"/>
                <w:kern w:val="0"/>
                <w:sz w:val="21"/>
                <w:szCs w:val="21"/>
                <w:highlight w:val="none"/>
              </w:rPr>
              <w:t>TDS&lt;1.5g/L的HCO</w:t>
            </w:r>
            <w:r>
              <w:rPr>
                <w:rFonts w:ascii="Times New Roman" w:hAnsi="Times New Roman" w:eastAsia="宋体" w:cs="Times New Roman"/>
                <w:kern w:val="0"/>
                <w:sz w:val="21"/>
                <w:szCs w:val="21"/>
                <w:highlight w:val="none"/>
                <w:vertAlign w:val="subscript"/>
              </w:rPr>
              <w:t>3</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Cl</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—Na</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Ca</w:t>
            </w:r>
            <w:r>
              <w:rPr>
                <w:rFonts w:ascii="Times New Roman" w:hAnsi="Times New Roman" w:eastAsia="宋体" w:cs="Times New Roman"/>
                <w:kern w:val="0"/>
                <w:sz w:val="21"/>
                <w:szCs w:val="21"/>
                <w:highlight w:val="none"/>
                <w:vertAlign w:val="superscript"/>
              </w:rPr>
              <w:t>2+</w:t>
            </w:r>
            <w:r>
              <w:rPr>
                <w:rFonts w:ascii="Times New Roman" w:hAnsi="Times New Roman" w:eastAsia="宋体" w:cs="Times New Roman"/>
                <w:kern w:val="0"/>
                <w:sz w:val="21"/>
                <w:szCs w:val="21"/>
                <w:highlight w:val="none"/>
              </w:rPr>
              <w:t>型水</w:t>
            </w:r>
          </w:p>
        </w:tc>
      </w:tr>
      <w:tr w14:paraId="0112B5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9" w:type="pct"/>
            <w:tcBorders>
              <w:tl2br w:val="nil"/>
              <w:tr2bl w:val="nil"/>
            </w:tcBorders>
            <w:noWrap w:val="0"/>
            <w:vAlign w:val="center"/>
          </w:tcPr>
          <w:p w14:paraId="4F7C0262">
            <w:pPr>
              <w:spacing w:line="240" w:lineRule="atLeast"/>
              <w:jc w:val="center"/>
              <w:rPr>
                <w:rFonts w:ascii="Times New Roman"/>
                <w:b w:val="0"/>
                <w:bCs w:val="0"/>
                <w:kern w:val="2"/>
                <w:sz w:val="21"/>
                <w:szCs w:val="21"/>
                <w:highlight w:val="none"/>
              </w:rPr>
            </w:pPr>
            <w:r>
              <w:rPr>
                <w:rFonts w:hint="default" w:ascii="Times New Roman" w:hAnsi="Times New Roman" w:cs="Times New Roman"/>
                <w:b w:val="0"/>
                <w:bCs w:val="0"/>
                <w:spacing w:val="0"/>
                <w:w w:val="100"/>
                <w:sz w:val="21"/>
                <w:szCs w:val="21"/>
                <w:highlight w:val="none"/>
              </w:rPr>
              <w:t>Dxs</w:t>
            </w:r>
            <w:r>
              <w:rPr>
                <w:rFonts w:hint="eastAsia" w:ascii="Times New Roman" w:hAnsi="Times New Roman" w:cs="Times New Roman"/>
                <w:b w:val="0"/>
                <w:bCs w:val="0"/>
                <w:spacing w:val="0"/>
                <w:w w:val="100"/>
                <w:sz w:val="21"/>
                <w:szCs w:val="21"/>
                <w:highlight w:val="none"/>
                <w:lang w:val="en-US" w:eastAsia="zh-CN"/>
              </w:rPr>
              <w:t>3</w:t>
            </w:r>
            <w:r>
              <w:rPr>
                <w:rFonts w:hint="default" w:ascii="Times New Roman" w:hAnsi="Times New Roman" w:cs="Times New Roman"/>
                <w:b w:val="0"/>
                <w:bCs w:val="0"/>
                <w:spacing w:val="0"/>
                <w:w w:val="100"/>
                <w:sz w:val="21"/>
                <w:szCs w:val="21"/>
                <w:highlight w:val="none"/>
              </w:rPr>
              <w:t>#</w:t>
            </w:r>
          </w:p>
        </w:tc>
        <w:tc>
          <w:tcPr>
            <w:tcW w:w="2241" w:type="dxa"/>
            <w:tcBorders>
              <w:tl2br w:val="nil"/>
              <w:tr2bl w:val="nil"/>
            </w:tcBorders>
            <w:noWrap w:val="0"/>
            <w:vAlign w:val="center"/>
          </w:tcPr>
          <w:p w14:paraId="7D95E17C">
            <w:pPr>
              <w:pStyle w:val="161"/>
              <w:bidi w:val="0"/>
              <w:ind w:left="0" w:leftChars="0" w:right="0" w:rightChars="0" w:firstLine="0" w:firstLineChars="0"/>
              <w:jc w:val="center"/>
              <w:rPr>
                <w:rFonts w:hint="default" w:ascii="Times New Roman" w:eastAsia="宋体"/>
                <w:kern w:val="2"/>
                <w:sz w:val="21"/>
                <w:szCs w:val="21"/>
                <w:highlight w:val="none"/>
                <w:lang w:val="en-US" w:eastAsia="zh-CN"/>
              </w:rPr>
            </w:pPr>
            <w:r>
              <w:rPr>
                <w:rFonts w:hint="eastAsia"/>
                <w:highlight w:val="none"/>
                <w:lang w:val="en-US" w:eastAsia="zh-CN"/>
              </w:rPr>
              <w:t>0.237</w:t>
            </w:r>
          </w:p>
        </w:tc>
        <w:tc>
          <w:tcPr>
            <w:tcW w:w="2692" w:type="dxa"/>
            <w:tcBorders>
              <w:tl2br w:val="nil"/>
              <w:tr2bl w:val="nil"/>
            </w:tcBorders>
            <w:noWrap w:val="0"/>
            <w:vAlign w:val="center"/>
          </w:tcPr>
          <w:p w14:paraId="07472F29">
            <w:pPr>
              <w:adjustRightInd/>
              <w:snapToGrid/>
              <w:spacing w:line="240" w:lineRule="atLeast"/>
              <w:ind w:firstLine="0" w:firstLineChars="0"/>
              <w:jc w:val="center"/>
              <w:rPr>
                <w:rFonts w:ascii="Times New Roman"/>
                <w:kern w:val="2"/>
                <w:sz w:val="21"/>
                <w:szCs w:val="21"/>
                <w:highlight w:val="none"/>
              </w:rPr>
            </w:pPr>
            <w:r>
              <w:rPr>
                <w:rFonts w:hint="eastAsia" w:ascii="Times New Roman" w:hAnsi="Times New Roman" w:eastAsia="宋体" w:cs="Times New Roman"/>
                <w:kern w:val="0"/>
                <w:sz w:val="21"/>
                <w:szCs w:val="21"/>
                <w:highlight w:val="none"/>
                <w:lang w:val="en-US" w:eastAsia="zh-CN"/>
              </w:rPr>
              <w:t>22</w:t>
            </w:r>
            <w:r>
              <w:rPr>
                <w:rFonts w:hint="eastAsia" w:ascii="Times New Roman" w:hAnsi="Times New Roman" w:eastAsia="宋体" w:cs="Times New Roman"/>
                <w:kern w:val="0"/>
                <w:sz w:val="21"/>
                <w:szCs w:val="21"/>
                <w:highlight w:val="none"/>
              </w:rPr>
              <w:t>-A</w:t>
            </w:r>
          </w:p>
        </w:tc>
        <w:tc>
          <w:tcPr>
            <w:tcW w:w="7788" w:type="dxa"/>
            <w:tcBorders>
              <w:tl2br w:val="nil"/>
              <w:tr2bl w:val="nil"/>
            </w:tcBorders>
            <w:noWrap w:val="0"/>
            <w:vAlign w:val="center"/>
          </w:tcPr>
          <w:p w14:paraId="568EABF6">
            <w:pPr>
              <w:adjustRightInd/>
              <w:snapToGrid/>
              <w:spacing w:line="240" w:lineRule="atLeast"/>
              <w:ind w:firstLine="0" w:firstLineChars="0"/>
              <w:jc w:val="center"/>
              <w:rPr>
                <w:rFonts w:ascii="Times New Roman"/>
                <w:kern w:val="2"/>
                <w:sz w:val="21"/>
                <w:szCs w:val="21"/>
                <w:highlight w:val="none"/>
              </w:rPr>
            </w:pPr>
            <w:r>
              <w:rPr>
                <w:rFonts w:ascii="Times New Roman" w:hAnsi="Times New Roman" w:eastAsia="宋体" w:cs="Times New Roman"/>
                <w:kern w:val="0"/>
                <w:sz w:val="21"/>
                <w:szCs w:val="21"/>
                <w:highlight w:val="none"/>
              </w:rPr>
              <w:t>TDS&lt;1.5g/L的HCO</w:t>
            </w:r>
            <w:r>
              <w:rPr>
                <w:rFonts w:ascii="Times New Roman" w:hAnsi="Times New Roman" w:eastAsia="宋体" w:cs="Times New Roman"/>
                <w:kern w:val="0"/>
                <w:sz w:val="21"/>
                <w:szCs w:val="21"/>
                <w:highlight w:val="none"/>
                <w:vertAlign w:val="subscript"/>
              </w:rPr>
              <w:t>3</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Cl</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—Ca</w:t>
            </w:r>
            <w:r>
              <w:rPr>
                <w:rFonts w:ascii="Times New Roman" w:hAnsi="Times New Roman" w:eastAsia="宋体" w:cs="Times New Roman"/>
                <w:kern w:val="0"/>
                <w:sz w:val="21"/>
                <w:szCs w:val="21"/>
                <w:highlight w:val="none"/>
                <w:vertAlign w:val="superscript"/>
              </w:rPr>
              <w:t>2+</w:t>
            </w:r>
            <w:r>
              <w:rPr>
                <w:rFonts w:ascii="Times New Roman" w:hAnsi="Times New Roman" w:eastAsia="宋体" w:cs="Times New Roman"/>
                <w:kern w:val="0"/>
                <w:sz w:val="21"/>
                <w:szCs w:val="21"/>
                <w:highlight w:val="none"/>
              </w:rPr>
              <w:t>型水</w:t>
            </w:r>
          </w:p>
        </w:tc>
      </w:tr>
      <w:tr w14:paraId="64F024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9" w:type="pct"/>
            <w:tcBorders>
              <w:tl2br w:val="nil"/>
              <w:tr2bl w:val="nil"/>
            </w:tcBorders>
            <w:noWrap w:val="0"/>
            <w:vAlign w:val="center"/>
          </w:tcPr>
          <w:p w14:paraId="4E89BC64">
            <w:pPr>
              <w:spacing w:line="240" w:lineRule="atLeast"/>
              <w:jc w:val="center"/>
              <w:rPr>
                <w:rFonts w:ascii="Times New Roman"/>
                <w:b w:val="0"/>
                <w:bCs w:val="0"/>
                <w:kern w:val="2"/>
                <w:sz w:val="21"/>
                <w:szCs w:val="21"/>
                <w:highlight w:val="none"/>
              </w:rPr>
            </w:pPr>
            <w:r>
              <w:rPr>
                <w:rFonts w:hint="default" w:ascii="Times New Roman" w:hAnsi="Times New Roman" w:cs="Times New Roman"/>
                <w:b w:val="0"/>
                <w:bCs w:val="0"/>
                <w:spacing w:val="0"/>
                <w:w w:val="100"/>
                <w:sz w:val="21"/>
                <w:szCs w:val="21"/>
                <w:highlight w:val="none"/>
              </w:rPr>
              <w:t>Dxs</w:t>
            </w:r>
            <w:r>
              <w:rPr>
                <w:rFonts w:hint="eastAsia" w:ascii="Times New Roman" w:hAnsi="Times New Roman" w:cs="Times New Roman"/>
                <w:b w:val="0"/>
                <w:bCs w:val="0"/>
                <w:spacing w:val="0"/>
                <w:w w:val="100"/>
                <w:sz w:val="21"/>
                <w:szCs w:val="21"/>
                <w:highlight w:val="none"/>
                <w:lang w:val="en-US" w:eastAsia="zh-CN"/>
              </w:rPr>
              <w:t>4</w:t>
            </w:r>
            <w:r>
              <w:rPr>
                <w:rFonts w:hint="default" w:ascii="Times New Roman" w:hAnsi="Times New Roman" w:cs="Times New Roman"/>
                <w:b w:val="0"/>
                <w:bCs w:val="0"/>
                <w:spacing w:val="0"/>
                <w:w w:val="100"/>
                <w:sz w:val="21"/>
                <w:szCs w:val="21"/>
                <w:highlight w:val="none"/>
              </w:rPr>
              <w:t>#</w:t>
            </w:r>
          </w:p>
        </w:tc>
        <w:tc>
          <w:tcPr>
            <w:tcW w:w="2241" w:type="dxa"/>
            <w:tcBorders>
              <w:tl2br w:val="nil"/>
              <w:tr2bl w:val="nil"/>
            </w:tcBorders>
            <w:noWrap w:val="0"/>
            <w:vAlign w:val="center"/>
          </w:tcPr>
          <w:p w14:paraId="4D498EA8">
            <w:pPr>
              <w:pStyle w:val="161"/>
              <w:bidi w:val="0"/>
              <w:ind w:left="0" w:leftChars="0" w:right="0" w:rightChars="0" w:firstLine="0" w:firstLineChars="0"/>
              <w:jc w:val="center"/>
              <w:rPr>
                <w:rFonts w:hint="default" w:ascii="Times New Roman" w:eastAsia="宋体"/>
                <w:kern w:val="2"/>
                <w:sz w:val="21"/>
                <w:szCs w:val="21"/>
                <w:highlight w:val="none"/>
                <w:lang w:val="en-US" w:eastAsia="zh-CN"/>
              </w:rPr>
            </w:pPr>
            <w:r>
              <w:rPr>
                <w:rFonts w:hint="eastAsia"/>
                <w:highlight w:val="none"/>
                <w:lang w:val="en-US" w:eastAsia="zh-CN"/>
              </w:rPr>
              <w:t>0.249</w:t>
            </w:r>
          </w:p>
        </w:tc>
        <w:tc>
          <w:tcPr>
            <w:tcW w:w="2692" w:type="dxa"/>
            <w:tcBorders>
              <w:tl2br w:val="nil"/>
              <w:tr2bl w:val="nil"/>
            </w:tcBorders>
            <w:noWrap w:val="0"/>
            <w:vAlign w:val="center"/>
          </w:tcPr>
          <w:p w14:paraId="58B86691">
            <w:pPr>
              <w:adjustRightInd/>
              <w:snapToGrid/>
              <w:spacing w:line="240" w:lineRule="atLeast"/>
              <w:ind w:firstLine="0" w:firstLineChars="0"/>
              <w:jc w:val="center"/>
              <w:rPr>
                <w:rFonts w:ascii="Times New Roman"/>
                <w:kern w:val="2"/>
                <w:sz w:val="21"/>
                <w:szCs w:val="21"/>
                <w:highlight w:val="none"/>
              </w:rPr>
            </w:pPr>
            <w:r>
              <w:rPr>
                <w:rFonts w:hint="eastAsia" w:ascii="Times New Roman" w:hAnsi="Times New Roman" w:eastAsia="宋体" w:cs="Times New Roman"/>
                <w:kern w:val="0"/>
                <w:sz w:val="21"/>
                <w:szCs w:val="21"/>
                <w:highlight w:val="none"/>
              </w:rPr>
              <w:t>25-A</w:t>
            </w:r>
          </w:p>
        </w:tc>
        <w:tc>
          <w:tcPr>
            <w:tcW w:w="7788" w:type="dxa"/>
            <w:tcBorders>
              <w:tl2br w:val="nil"/>
              <w:tr2bl w:val="nil"/>
            </w:tcBorders>
            <w:noWrap w:val="0"/>
            <w:vAlign w:val="center"/>
          </w:tcPr>
          <w:p w14:paraId="39AF2A92">
            <w:pPr>
              <w:adjustRightInd/>
              <w:snapToGrid/>
              <w:spacing w:line="240" w:lineRule="atLeast"/>
              <w:ind w:firstLine="0" w:firstLineChars="0"/>
              <w:jc w:val="center"/>
              <w:rPr>
                <w:rFonts w:ascii="Times New Roman"/>
                <w:kern w:val="2"/>
                <w:sz w:val="21"/>
                <w:szCs w:val="21"/>
                <w:highlight w:val="none"/>
              </w:rPr>
            </w:pPr>
            <w:r>
              <w:rPr>
                <w:rFonts w:ascii="Times New Roman" w:hAnsi="Times New Roman" w:eastAsia="宋体" w:cs="Times New Roman"/>
                <w:kern w:val="0"/>
                <w:sz w:val="21"/>
                <w:szCs w:val="21"/>
                <w:highlight w:val="none"/>
              </w:rPr>
              <w:t>TDS&lt;1.5g/L的HCO</w:t>
            </w:r>
            <w:r>
              <w:rPr>
                <w:rFonts w:ascii="Times New Roman" w:hAnsi="Times New Roman" w:eastAsia="宋体" w:cs="Times New Roman"/>
                <w:kern w:val="0"/>
                <w:sz w:val="21"/>
                <w:szCs w:val="21"/>
                <w:highlight w:val="none"/>
                <w:vertAlign w:val="subscript"/>
              </w:rPr>
              <w:t>3</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Cl</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—Na</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Ca</w:t>
            </w:r>
            <w:r>
              <w:rPr>
                <w:rFonts w:ascii="Times New Roman" w:hAnsi="Times New Roman" w:eastAsia="宋体" w:cs="Times New Roman"/>
                <w:kern w:val="0"/>
                <w:sz w:val="21"/>
                <w:szCs w:val="21"/>
                <w:highlight w:val="none"/>
                <w:vertAlign w:val="superscript"/>
              </w:rPr>
              <w:t>2+</w:t>
            </w:r>
            <w:r>
              <w:rPr>
                <w:rFonts w:ascii="Times New Roman" w:hAnsi="Times New Roman" w:eastAsia="宋体" w:cs="Times New Roman"/>
                <w:kern w:val="0"/>
                <w:sz w:val="21"/>
                <w:szCs w:val="21"/>
                <w:highlight w:val="none"/>
              </w:rPr>
              <w:t>型水</w:t>
            </w:r>
          </w:p>
        </w:tc>
      </w:tr>
      <w:tr w14:paraId="462E015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9" w:type="pct"/>
            <w:tcBorders>
              <w:tl2br w:val="nil"/>
              <w:tr2bl w:val="nil"/>
            </w:tcBorders>
            <w:noWrap w:val="0"/>
            <w:vAlign w:val="center"/>
          </w:tcPr>
          <w:p w14:paraId="50EC6311">
            <w:pPr>
              <w:spacing w:line="240" w:lineRule="atLeast"/>
              <w:jc w:val="center"/>
              <w:rPr>
                <w:rFonts w:ascii="Times New Roman"/>
                <w:b w:val="0"/>
                <w:bCs w:val="0"/>
                <w:kern w:val="2"/>
                <w:sz w:val="21"/>
                <w:szCs w:val="21"/>
                <w:highlight w:val="none"/>
              </w:rPr>
            </w:pPr>
            <w:r>
              <w:rPr>
                <w:rFonts w:hint="default" w:ascii="Times New Roman" w:hAnsi="Times New Roman" w:cs="Times New Roman"/>
                <w:b w:val="0"/>
                <w:bCs w:val="0"/>
                <w:spacing w:val="0"/>
                <w:w w:val="100"/>
                <w:sz w:val="21"/>
                <w:szCs w:val="21"/>
                <w:highlight w:val="none"/>
              </w:rPr>
              <w:t>Dxs</w:t>
            </w:r>
            <w:r>
              <w:rPr>
                <w:rFonts w:hint="eastAsia" w:ascii="Times New Roman" w:hAnsi="Times New Roman" w:cs="Times New Roman"/>
                <w:b w:val="0"/>
                <w:bCs w:val="0"/>
                <w:spacing w:val="0"/>
                <w:w w:val="100"/>
                <w:sz w:val="21"/>
                <w:szCs w:val="21"/>
                <w:highlight w:val="none"/>
                <w:lang w:val="en-US" w:eastAsia="zh-CN"/>
              </w:rPr>
              <w:t>5</w:t>
            </w:r>
            <w:r>
              <w:rPr>
                <w:rFonts w:hint="default" w:ascii="Times New Roman" w:hAnsi="Times New Roman" w:cs="Times New Roman"/>
                <w:b w:val="0"/>
                <w:bCs w:val="0"/>
                <w:spacing w:val="0"/>
                <w:w w:val="100"/>
                <w:sz w:val="21"/>
                <w:szCs w:val="21"/>
                <w:highlight w:val="none"/>
              </w:rPr>
              <w:t>#</w:t>
            </w:r>
          </w:p>
        </w:tc>
        <w:tc>
          <w:tcPr>
            <w:tcW w:w="2241" w:type="dxa"/>
            <w:tcBorders>
              <w:tl2br w:val="nil"/>
              <w:tr2bl w:val="nil"/>
            </w:tcBorders>
            <w:noWrap w:val="0"/>
            <w:vAlign w:val="center"/>
          </w:tcPr>
          <w:p w14:paraId="1BEE2B8F">
            <w:pPr>
              <w:pStyle w:val="161"/>
              <w:bidi w:val="0"/>
              <w:ind w:left="0" w:leftChars="0" w:right="0" w:rightChars="0" w:firstLine="0" w:firstLineChars="0"/>
              <w:jc w:val="center"/>
              <w:rPr>
                <w:rFonts w:hint="default" w:ascii="Times New Roman" w:eastAsia="宋体"/>
                <w:kern w:val="2"/>
                <w:sz w:val="21"/>
                <w:szCs w:val="21"/>
                <w:highlight w:val="none"/>
                <w:lang w:val="en-US" w:eastAsia="zh-CN"/>
              </w:rPr>
            </w:pPr>
            <w:r>
              <w:rPr>
                <w:rFonts w:hint="eastAsia"/>
                <w:highlight w:val="none"/>
                <w:lang w:val="en-US" w:eastAsia="zh-CN"/>
              </w:rPr>
              <w:t>0.201</w:t>
            </w:r>
          </w:p>
        </w:tc>
        <w:tc>
          <w:tcPr>
            <w:tcW w:w="2692" w:type="dxa"/>
            <w:tcBorders>
              <w:tl2br w:val="nil"/>
              <w:tr2bl w:val="nil"/>
            </w:tcBorders>
            <w:noWrap w:val="0"/>
            <w:vAlign w:val="center"/>
          </w:tcPr>
          <w:p w14:paraId="714FB010">
            <w:pPr>
              <w:adjustRightInd/>
              <w:snapToGrid/>
              <w:spacing w:line="240" w:lineRule="atLeast"/>
              <w:ind w:firstLine="0" w:firstLineChars="0"/>
              <w:jc w:val="center"/>
              <w:rPr>
                <w:rFonts w:ascii="Times New Roman"/>
                <w:kern w:val="2"/>
                <w:sz w:val="21"/>
                <w:szCs w:val="21"/>
                <w:highlight w:val="none"/>
              </w:rPr>
            </w:pPr>
            <w:r>
              <w:rPr>
                <w:rFonts w:hint="eastAsia" w:ascii="Times New Roman" w:hAnsi="Times New Roman" w:eastAsia="宋体" w:cs="Times New Roman"/>
                <w:kern w:val="0"/>
                <w:sz w:val="21"/>
                <w:szCs w:val="21"/>
                <w:highlight w:val="none"/>
              </w:rPr>
              <w:t>25-A</w:t>
            </w:r>
          </w:p>
        </w:tc>
        <w:tc>
          <w:tcPr>
            <w:tcW w:w="7788" w:type="dxa"/>
            <w:tcBorders>
              <w:tl2br w:val="nil"/>
              <w:tr2bl w:val="nil"/>
            </w:tcBorders>
            <w:noWrap w:val="0"/>
            <w:vAlign w:val="center"/>
          </w:tcPr>
          <w:p w14:paraId="00B971C6">
            <w:pPr>
              <w:adjustRightInd/>
              <w:snapToGrid/>
              <w:spacing w:line="240" w:lineRule="atLeast"/>
              <w:ind w:firstLine="0" w:firstLineChars="0"/>
              <w:jc w:val="center"/>
              <w:rPr>
                <w:rFonts w:ascii="Times New Roman"/>
                <w:kern w:val="2"/>
                <w:sz w:val="21"/>
                <w:szCs w:val="21"/>
                <w:highlight w:val="none"/>
              </w:rPr>
            </w:pPr>
            <w:r>
              <w:rPr>
                <w:rFonts w:ascii="Times New Roman" w:hAnsi="Times New Roman" w:eastAsia="宋体" w:cs="Times New Roman"/>
                <w:kern w:val="0"/>
                <w:sz w:val="21"/>
                <w:szCs w:val="21"/>
                <w:highlight w:val="none"/>
              </w:rPr>
              <w:t>TDS&lt;1.5g/L的HCO</w:t>
            </w:r>
            <w:r>
              <w:rPr>
                <w:rFonts w:ascii="Times New Roman" w:hAnsi="Times New Roman" w:eastAsia="宋体" w:cs="Times New Roman"/>
                <w:kern w:val="0"/>
                <w:sz w:val="21"/>
                <w:szCs w:val="21"/>
                <w:highlight w:val="none"/>
                <w:vertAlign w:val="subscript"/>
              </w:rPr>
              <w:t>3</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Cl</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—Na</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Ca</w:t>
            </w:r>
            <w:r>
              <w:rPr>
                <w:rFonts w:ascii="Times New Roman" w:hAnsi="Times New Roman" w:eastAsia="宋体" w:cs="Times New Roman"/>
                <w:kern w:val="0"/>
                <w:sz w:val="21"/>
                <w:szCs w:val="21"/>
                <w:highlight w:val="none"/>
                <w:vertAlign w:val="superscript"/>
              </w:rPr>
              <w:t>2+</w:t>
            </w:r>
            <w:r>
              <w:rPr>
                <w:rFonts w:ascii="Times New Roman" w:hAnsi="Times New Roman" w:eastAsia="宋体" w:cs="Times New Roman"/>
                <w:kern w:val="0"/>
                <w:sz w:val="21"/>
                <w:szCs w:val="21"/>
                <w:highlight w:val="none"/>
              </w:rPr>
              <w:t>型水</w:t>
            </w:r>
          </w:p>
        </w:tc>
      </w:tr>
      <w:tr w14:paraId="24177B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9" w:type="pct"/>
            <w:tcBorders>
              <w:tl2br w:val="nil"/>
              <w:tr2bl w:val="nil"/>
            </w:tcBorders>
            <w:noWrap w:val="0"/>
            <w:vAlign w:val="center"/>
          </w:tcPr>
          <w:p w14:paraId="09565FBD">
            <w:pPr>
              <w:spacing w:line="240" w:lineRule="atLeast"/>
              <w:jc w:val="center"/>
              <w:rPr>
                <w:rFonts w:ascii="Times New Roman"/>
                <w:b w:val="0"/>
                <w:bCs w:val="0"/>
                <w:kern w:val="2"/>
                <w:sz w:val="21"/>
                <w:szCs w:val="21"/>
                <w:highlight w:val="none"/>
              </w:rPr>
            </w:pPr>
            <w:r>
              <w:rPr>
                <w:rFonts w:hint="default" w:ascii="Times New Roman" w:hAnsi="Times New Roman" w:cs="Times New Roman"/>
                <w:b w:val="0"/>
                <w:bCs w:val="0"/>
                <w:spacing w:val="0"/>
                <w:w w:val="100"/>
                <w:sz w:val="21"/>
                <w:szCs w:val="21"/>
                <w:highlight w:val="none"/>
              </w:rPr>
              <w:t>Dxs</w:t>
            </w:r>
            <w:r>
              <w:rPr>
                <w:rFonts w:hint="eastAsia" w:ascii="Times New Roman" w:hAnsi="Times New Roman" w:cs="Times New Roman"/>
                <w:b w:val="0"/>
                <w:bCs w:val="0"/>
                <w:spacing w:val="0"/>
                <w:w w:val="100"/>
                <w:sz w:val="21"/>
                <w:szCs w:val="21"/>
                <w:highlight w:val="none"/>
                <w:lang w:val="en-US" w:eastAsia="zh-CN"/>
              </w:rPr>
              <w:t>6</w:t>
            </w:r>
            <w:r>
              <w:rPr>
                <w:rFonts w:hint="default" w:ascii="Times New Roman" w:hAnsi="Times New Roman" w:cs="Times New Roman"/>
                <w:b w:val="0"/>
                <w:bCs w:val="0"/>
                <w:spacing w:val="0"/>
                <w:w w:val="100"/>
                <w:sz w:val="21"/>
                <w:szCs w:val="21"/>
                <w:highlight w:val="none"/>
              </w:rPr>
              <w:t>#</w:t>
            </w:r>
          </w:p>
        </w:tc>
        <w:tc>
          <w:tcPr>
            <w:tcW w:w="2241" w:type="dxa"/>
            <w:tcBorders>
              <w:tl2br w:val="nil"/>
              <w:tr2bl w:val="nil"/>
            </w:tcBorders>
            <w:noWrap w:val="0"/>
            <w:vAlign w:val="center"/>
          </w:tcPr>
          <w:p w14:paraId="2C2D01CB">
            <w:pPr>
              <w:pStyle w:val="161"/>
              <w:bidi w:val="0"/>
              <w:ind w:left="0" w:leftChars="0" w:right="0" w:rightChars="0" w:firstLine="0" w:firstLineChars="0"/>
              <w:jc w:val="center"/>
              <w:rPr>
                <w:rFonts w:hint="default" w:ascii="Times New Roman" w:eastAsia="宋体"/>
                <w:kern w:val="2"/>
                <w:sz w:val="21"/>
                <w:szCs w:val="21"/>
                <w:highlight w:val="none"/>
                <w:lang w:val="en-US" w:eastAsia="zh-CN"/>
              </w:rPr>
            </w:pPr>
            <w:r>
              <w:rPr>
                <w:rFonts w:hint="eastAsia"/>
                <w:highlight w:val="none"/>
                <w:lang w:val="en-US" w:eastAsia="zh-CN"/>
              </w:rPr>
              <w:t>0.186</w:t>
            </w:r>
          </w:p>
        </w:tc>
        <w:tc>
          <w:tcPr>
            <w:tcW w:w="2692" w:type="dxa"/>
            <w:tcBorders>
              <w:tl2br w:val="nil"/>
              <w:tr2bl w:val="nil"/>
            </w:tcBorders>
            <w:noWrap w:val="0"/>
            <w:vAlign w:val="center"/>
          </w:tcPr>
          <w:p w14:paraId="70EE3267">
            <w:pPr>
              <w:adjustRightInd/>
              <w:snapToGrid/>
              <w:spacing w:line="240" w:lineRule="atLeast"/>
              <w:ind w:firstLine="0" w:firstLineChars="0"/>
              <w:jc w:val="center"/>
              <w:rPr>
                <w:rFonts w:hint="eastAsia" w:ascii="Times New Roman"/>
                <w:kern w:val="2"/>
                <w:sz w:val="21"/>
                <w:szCs w:val="21"/>
                <w:highlight w:val="none"/>
              </w:rPr>
            </w:pPr>
            <w:r>
              <w:rPr>
                <w:rFonts w:hint="eastAsia" w:ascii="Times New Roman" w:hAnsi="Times New Roman" w:eastAsia="宋体" w:cs="Times New Roman"/>
                <w:kern w:val="0"/>
                <w:sz w:val="21"/>
                <w:szCs w:val="21"/>
                <w:highlight w:val="none"/>
              </w:rPr>
              <w:t>2</w:t>
            </w:r>
            <w:r>
              <w:rPr>
                <w:rFonts w:hint="eastAsia" w:ascii="Times New Roman" w:hAnsi="Times New Roman" w:eastAsia="宋体" w:cs="Times New Roman"/>
                <w:kern w:val="0"/>
                <w:sz w:val="21"/>
                <w:szCs w:val="21"/>
                <w:highlight w:val="none"/>
                <w:lang w:val="en-US" w:eastAsia="zh-CN"/>
              </w:rPr>
              <w:t>5</w:t>
            </w:r>
            <w:r>
              <w:rPr>
                <w:rFonts w:hint="eastAsia" w:ascii="Times New Roman" w:hAnsi="Times New Roman" w:eastAsia="宋体" w:cs="Times New Roman"/>
                <w:kern w:val="0"/>
                <w:sz w:val="21"/>
                <w:szCs w:val="21"/>
                <w:highlight w:val="none"/>
              </w:rPr>
              <w:t>-A</w:t>
            </w:r>
          </w:p>
        </w:tc>
        <w:tc>
          <w:tcPr>
            <w:tcW w:w="7788" w:type="dxa"/>
            <w:tcBorders>
              <w:tl2br w:val="nil"/>
              <w:tr2bl w:val="nil"/>
            </w:tcBorders>
            <w:noWrap w:val="0"/>
            <w:vAlign w:val="center"/>
          </w:tcPr>
          <w:p w14:paraId="65C4F357">
            <w:pPr>
              <w:adjustRightInd/>
              <w:snapToGrid/>
              <w:spacing w:line="240" w:lineRule="atLeast"/>
              <w:ind w:left="0" w:leftChars="0" w:right="0" w:rightChars="0" w:firstLine="0" w:firstLineChars="0"/>
              <w:jc w:val="center"/>
              <w:rPr>
                <w:rFonts w:ascii="Times New Roman"/>
                <w:kern w:val="2"/>
                <w:sz w:val="21"/>
                <w:szCs w:val="21"/>
                <w:highlight w:val="none"/>
              </w:rPr>
            </w:pPr>
            <w:r>
              <w:rPr>
                <w:rFonts w:ascii="Times New Roman" w:hAnsi="Times New Roman" w:eastAsia="宋体" w:cs="Times New Roman"/>
                <w:kern w:val="0"/>
                <w:sz w:val="21"/>
                <w:szCs w:val="21"/>
                <w:highlight w:val="none"/>
              </w:rPr>
              <w:t>TDS&lt;1.5g/L的HCO</w:t>
            </w:r>
            <w:r>
              <w:rPr>
                <w:rFonts w:ascii="Times New Roman" w:hAnsi="Times New Roman" w:eastAsia="宋体" w:cs="Times New Roman"/>
                <w:kern w:val="0"/>
                <w:sz w:val="21"/>
                <w:szCs w:val="21"/>
                <w:highlight w:val="none"/>
                <w:vertAlign w:val="subscript"/>
              </w:rPr>
              <w:t>3</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Cl</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—Na</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Ca</w:t>
            </w:r>
            <w:r>
              <w:rPr>
                <w:rFonts w:ascii="Times New Roman" w:hAnsi="Times New Roman" w:eastAsia="宋体" w:cs="Times New Roman"/>
                <w:kern w:val="0"/>
                <w:sz w:val="21"/>
                <w:szCs w:val="21"/>
                <w:highlight w:val="none"/>
                <w:vertAlign w:val="superscript"/>
              </w:rPr>
              <w:t>2+</w:t>
            </w:r>
            <w:r>
              <w:rPr>
                <w:rFonts w:ascii="Times New Roman" w:hAnsi="Times New Roman" w:eastAsia="宋体" w:cs="Times New Roman"/>
                <w:kern w:val="0"/>
                <w:sz w:val="21"/>
                <w:szCs w:val="21"/>
                <w:highlight w:val="none"/>
              </w:rPr>
              <w:t>型水</w:t>
            </w:r>
          </w:p>
        </w:tc>
      </w:tr>
      <w:tr w14:paraId="6A9924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9" w:type="pct"/>
            <w:tcBorders>
              <w:tl2br w:val="nil"/>
              <w:tr2bl w:val="nil"/>
            </w:tcBorders>
            <w:noWrap w:val="0"/>
            <w:vAlign w:val="center"/>
          </w:tcPr>
          <w:p w14:paraId="65FC792A">
            <w:pPr>
              <w:spacing w:line="240" w:lineRule="atLeast"/>
              <w:jc w:val="center"/>
              <w:rPr>
                <w:rFonts w:ascii="Times New Roman"/>
                <w:b w:val="0"/>
                <w:bCs w:val="0"/>
                <w:kern w:val="2"/>
                <w:sz w:val="21"/>
                <w:szCs w:val="21"/>
                <w:highlight w:val="none"/>
              </w:rPr>
            </w:pPr>
            <w:r>
              <w:rPr>
                <w:rFonts w:hint="default" w:ascii="Times New Roman" w:hAnsi="Times New Roman" w:cs="Times New Roman"/>
                <w:b w:val="0"/>
                <w:bCs w:val="0"/>
                <w:spacing w:val="0"/>
                <w:w w:val="100"/>
                <w:sz w:val="21"/>
                <w:szCs w:val="21"/>
                <w:highlight w:val="none"/>
              </w:rPr>
              <w:t>Dxs</w:t>
            </w:r>
            <w:r>
              <w:rPr>
                <w:rFonts w:hint="eastAsia" w:ascii="Times New Roman" w:hAnsi="Times New Roman" w:cs="Times New Roman"/>
                <w:b w:val="0"/>
                <w:bCs w:val="0"/>
                <w:spacing w:val="0"/>
                <w:w w:val="100"/>
                <w:sz w:val="21"/>
                <w:szCs w:val="21"/>
                <w:highlight w:val="none"/>
                <w:lang w:val="en-US" w:eastAsia="zh-CN"/>
              </w:rPr>
              <w:t>7</w:t>
            </w:r>
            <w:r>
              <w:rPr>
                <w:rFonts w:hint="default" w:ascii="Times New Roman" w:hAnsi="Times New Roman" w:cs="Times New Roman"/>
                <w:b w:val="0"/>
                <w:bCs w:val="0"/>
                <w:spacing w:val="0"/>
                <w:w w:val="100"/>
                <w:sz w:val="21"/>
                <w:szCs w:val="21"/>
                <w:highlight w:val="none"/>
              </w:rPr>
              <w:t>#</w:t>
            </w:r>
          </w:p>
        </w:tc>
        <w:tc>
          <w:tcPr>
            <w:tcW w:w="791" w:type="pct"/>
            <w:tcBorders>
              <w:tl2br w:val="nil"/>
              <w:tr2bl w:val="nil"/>
            </w:tcBorders>
            <w:noWrap w:val="0"/>
            <w:vAlign w:val="center"/>
          </w:tcPr>
          <w:p w14:paraId="7A05EB9E">
            <w:pPr>
              <w:adjustRightInd w:val="0"/>
              <w:snapToGrid w:val="0"/>
              <w:spacing w:line="240" w:lineRule="auto"/>
              <w:jc w:val="center"/>
              <w:rPr>
                <w:rFonts w:hint="default" w:ascii="Times New Roman" w:eastAsia="宋体"/>
                <w:kern w:val="2"/>
                <w:sz w:val="21"/>
                <w:szCs w:val="21"/>
                <w:highlight w:val="none"/>
                <w:lang w:val="en-US" w:eastAsia="zh-CN"/>
              </w:rPr>
            </w:pPr>
            <w:r>
              <w:rPr>
                <w:rFonts w:hint="eastAsia"/>
                <w:kern w:val="2"/>
                <w:sz w:val="21"/>
                <w:szCs w:val="21"/>
                <w:highlight w:val="none"/>
                <w:lang w:val="en-US" w:eastAsia="zh-CN"/>
              </w:rPr>
              <w:t>0.33</w:t>
            </w:r>
          </w:p>
        </w:tc>
        <w:tc>
          <w:tcPr>
            <w:tcW w:w="950" w:type="pct"/>
            <w:tcBorders>
              <w:tl2br w:val="nil"/>
              <w:tr2bl w:val="nil"/>
            </w:tcBorders>
            <w:noWrap w:val="0"/>
            <w:vAlign w:val="center"/>
          </w:tcPr>
          <w:p w14:paraId="20B3DF46">
            <w:pPr>
              <w:adjustRightInd w:val="0"/>
              <w:snapToGrid w:val="0"/>
              <w:spacing w:line="240" w:lineRule="auto"/>
              <w:jc w:val="center"/>
              <w:rPr>
                <w:rFonts w:hint="eastAsia" w:ascii="Times New Roman"/>
                <w:kern w:val="2"/>
                <w:sz w:val="21"/>
                <w:szCs w:val="21"/>
                <w:highlight w:val="none"/>
              </w:rPr>
            </w:pPr>
            <w:r>
              <w:rPr>
                <w:rFonts w:hint="eastAsia"/>
                <w:kern w:val="2"/>
                <w:sz w:val="21"/>
                <w:szCs w:val="21"/>
                <w:highlight w:val="none"/>
                <w:lang w:val="en-US" w:eastAsia="zh-CN"/>
              </w:rPr>
              <w:t>23</w:t>
            </w:r>
            <w:r>
              <w:rPr>
                <w:rFonts w:hint="eastAsia" w:ascii="Times New Roman"/>
                <w:kern w:val="2"/>
                <w:sz w:val="21"/>
                <w:szCs w:val="21"/>
                <w:highlight w:val="none"/>
              </w:rPr>
              <w:t>-A</w:t>
            </w:r>
          </w:p>
        </w:tc>
        <w:tc>
          <w:tcPr>
            <w:tcW w:w="2749" w:type="pct"/>
            <w:tcBorders>
              <w:tl2br w:val="nil"/>
              <w:tr2bl w:val="nil"/>
            </w:tcBorders>
            <w:noWrap w:val="0"/>
            <w:vAlign w:val="center"/>
          </w:tcPr>
          <w:p w14:paraId="16895B8E">
            <w:pPr>
              <w:adjustRightInd w:val="0"/>
              <w:snapToGrid w:val="0"/>
              <w:spacing w:line="240" w:lineRule="auto"/>
              <w:jc w:val="center"/>
              <w:rPr>
                <w:rFonts w:ascii="Times New Roman"/>
                <w:kern w:val="2"/>
                <w:sz w:val="21"/>
                <w:szCs w:val="21"/>
                <w:highlight w:val="none"/>
              </w:rPr>
            </w:pPr>
            <w:r>
              <w:rPr>
                <w:rFonts w:ascii="Times New Roman"/>
                <w:kern w:val="2"/>
                <w:sz w:val="21"/>
                <w:szCs w:val="21"/>
                <w:highlight w:val="none"/>
              </w:rPr>
              <w:t>TDS&lt;1.5g/L的</w:t>
            </w:r>
            <w:r>
              <w:rPr>
                <w:rFonts w:ascii="Times New Roman" w:hAnsi="Times New Roman" w:eastAsia="宋体" w:cs="Times New Roman"/>
                <w:kern w:val="0"/>
                <w:sz w:val="21"/>
                <w:szCs w:val="21"/>
                <w:highlight w:val="none"/>
              </w:rPr>
              <w:t>HCO</w:t>
            </w:r>
            <w:r>
              <w:rPr>
                <w:rFonts w:ascii="Times New Roman" w:hAnsi="Times New Roman" w:eastAsia="宋体" w:cs="Times New Roman"/>
                <w:kern w:val="0"/>
                <w:sz w:val="21"/>
                <w:szCs w:val="21"/>
                <w:highlight w:val="none"/>
                <w:vertAlign w:val="subscript"/>
              </w:rPr>
              <w:t>3</w:t>
            </w:r>
            <w:r>
              <w:rPr>
                <w:rFonts w:ascii="Times New Roman" w:hAnsi="Times New Roman" w:eastAsia="宋体" w:cs="Times New Roman"/>
                <w:kern w:val="0"/>
                <w:sz w:val="21"/>
                <w:szCs w:val="21"/>
                <w:highlight w:val="none"/>
                <w:vertAlign w:val="superscript"/>
              </w:rPr>
              <w:t>-</w:t>
            </w:r>
            <w:r>
              <w:rPr>
                <w:rFonts w:ascii="Times New Roman" w:hAnsi="Times New Roman" w:eastAsia="宋体" w:cs="Times New Roman"/>
                <w:kern w:val="0"/>
                <w:sz w:val="21"/>
                <w:szCs w:val="21"/>
                <w:highlight w:val="none"/>
              </w:rPr>
              <w:t>Cl</w:t>
            </w:r>
            <w:r>
              <w:rPr>
                <w:rFonts w:ascii="Times New Roman" w:hAnsi="Times New Roman" w:eastAsia="宋体" w:cs="Times New Roman"/>
                <w:kern w:val="0"/>
                <w:sz w:val="21"/>
                <w:szCs w:val="21"/>
                <w:highlight w:val="none"/>
                <w:vertAlign w:val="superscript"/>
              </w:rPr>
              <w:t>-</w:t>
            </w:r>
            <w:r>
              <w:rPr>
                <w:rFonts w:ascii="Times New Roman"/>
                <w:kern w:val="2"/>
                <w:sz w:val="21"/>
                <w:szCs w:val="21"/>
                <w:highlight w:val="none"/>
              </w:rPr>
              <w:t>—Ca</w:t>
            </w:r>
            <w:r>
              <w:rPr>
                <w:rFonts w:ascii="Times New Roman"/>
                <w:kern w:val="2"/>
                <w:sz w:val="21"/>
                <w:szCs w:val="21"/>
                <w:highlight w:val="none"/>
                <w:vertAlign w:val="superscript"/>
              </w:rPr>
              <w:t>2+</w:t>
            </w:r>
            <w:r>
              <w:rPr>
                <w:rFonts w:ascii="Times New Roman"/>
                <w:kern w:val="2"/>
                <w:sz w:val="21"/>
                <w:szCs w:val="21"/>
                <w:highlight w:val="none"/>
              </w:rPr>
              <w:t xml:space="preserve"> </w:t>
            </w:r>
            <w:r>
              <w:rPr>
                <w:rFonts w:ascii="Times New Roman" w:hAnsi="Times New Roman" w:eastAsia="宋体" w:cs="Times New Roman"/>
                <w:b w:val="0"/>
                <w:bCs/>
                <w:color w:val="000000"/>
                <w:spacing w:val="-10"/>
                <w:kern w:val="0"/>
                <w:sz w:val="21"/>
                <w:szCs w:val="21"/>
                <w:highlight w:val="none"/>
              </w:rPr>
              <w:t>Mg</w:t>
            </w:r>
            <w:r>
              <w:rPr>
                <w:rFonts w:hint="eastAsia" w:cs="Times New Roman"/>
                <w:b w:val="0"/>
                <w:bCs/>
                <w:color w:val="000000"/>
                <w:spacing w:val="-10"/>
                <w:kern w:val="0"/>
                <w:sz w:val="21"/>
                <w:szCs w:val="21"/>
                <w:highlight w:val="none"/>
                <w:vertAlign w:val="superscript"/>
                <w:lang w:val="en-US" w:eastAsia="zh-CN"/>
              </w:rPr>
              <w:t>2</w:t>
            </w:r>
            <w:r>
              <w:rPr>
                <w:rFonts w:hint="eastAsia" w:ascii="Times New Roman"/>
                <w:kern w:val="2"/>
                <w:sz w:val="21"/>
                <w:szCs w:val="21"/>
                <w:highlight w:val="none"/>
                <w:vertAlign w:val="superscript"/>
              </w:rPr>
              <w:t>+</w:t>
            </w:r>
            <w:r>
              <w:rPr>
                <w:rFonts w:ascii="Times New Roman"/>
                <w:kern w:val="2"/>
                <w:sz w:val="21"/>
                <w:szCs w:val="21"/>
                <w:highlight w:val="none"/>
              </w:rPr>
              <w:t>型水</w:t>
            </w:r>
          </w:p>
        </w:tc>
      </w:tr>
    </w:tbl>
    <w:p w14:paraId="07A97D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eastAsia="zh-CN"/>
        </w:rPr>
      </w:pPr>
      <w:r>
        <w:rPr>
          <w:rFonts w:ascii="Times New Roman"/>
          <w:kern w:val="2"/>
          <w:sz w:val="24"/>
          <w:szCs w:val="24"/>
          <w:highlight w:val="none"/>
        </w:rPr>
        <w:t>经统计</w:t>
      </w:r>
      <w:r>
        <w:rPr>
          <w:rFonts w:hint="eastAsia" w:ascii="Times New Roman"/>
          <w:kern w:val="2"/>
          <w:sz w:val="24"/>
          <w:szCs w:val="24"/>
          <w:highlight w:val="none"/>
        </w:rPr>
        <w:t>，</w:t>
      </w:r>
      <w:r>
        <w:rPr>
          <w:rFonts w:ascii="Times New Roman"/>
          <w:kern w:val="2"/>
          <w:sz w:val="24"/>
          <w:szCs w:val="24"/>
          <w:highlight w:val="none"/>
        </w:rPr>
        <w:t>项目区域地下水矿化度较低</w:t>
      </w:r>
      <w:r>
        <w:rPr>
          <w:rFonts w:hint="eastAsia" w:ascii="Times New Roman"/>
          <w:kern w:val="2"/>
          <w:sz w:val="24"/>
          <w:szCs w:val="24"/>
          <w:highlight w:val="none"/>
        </w:rPr>
        <w:t>，</w:t>
      </w:r>
      <w:r>
        <w:rPr>
          <w:rFonts w:ascii="Times New Roman"/>
          <w:kern w:val="2"/>
          <w:sz w:val="24"/>
          <w:szCs w:val="24"/>
          <w:highlight w:val="none"/>
        </w:rPr>
        <w:t>均</w:t>
      </w:r>
      <w:r>
        <w:rPr>
          <w:rFonts w:hint="eastAsia" w:ascii="Times New Roman"/>
          <w:kern w:val="2"/>
          <w:sz w:val="24"/>
          <w:szCs w:val="24"/>
          <w:highlight w:val="none"/>
        </w:rPr>
        <w:t>低于</w:t>
      </w:r>
      <w:r>
        <w:rPr>
          <w:rFonts w:ascii="Times New Roman"/>
          <w:kern w:val="2"/>
          <w:sz w:val="24"/>
          <w:szCs w:val="24"/>
          <w:highlight w:val="none"/>
        </w:rPr>
        <w:t>1.5g/L</w:t>
      </w:r>
      <w:r>
        <w:rPr>
          <w:rFonts w:hint="eastAsia" w:ascii="Times New Roman"/>
          <w:kern w:val="2"/>
          <w:sz w:val="24"/>
          <w:szCs w:val="24"/>
          <w:highlight w:val="none"/>
        </w:rPr>
        <w:t>；</w:t>
      </w:r>
      <w:r>
        <w:rPr>
          <w:rFonts w:ascii="Times New Roman" w:hAnsi="Times New Roman" w:eastAsia="宋体" w:cs="Times New Roman"/>
          <w:kern w:val="0"/>
          <w:sz w:val="24"/>
          <w:szCs w:val="22"/>
          <w:highlight w:val="none"/>
        </w:rPr>
        <w:t>化学类型主要为HCO</w:t>
      </w:r>
      <w:r>
        <w:rPr>
          <w:rFonts w:ascii="Times New Roman" w:hAnsi="Times New Roman" w:eastAsia="宋体" w:cs="Times New Roman"/>
          <w:kern w:val="0"/>
          <w:sz w:val="24"/>
          <w:szCs w:val="22"/>
          <w:highlight w:val="none"/>
          <w:vertAlign w:val="subscript"/>
        </w:rPr>
        <w:t>3</w:t>
      </w:r>
      <w:r>
        <w:rPr>
          <w:rFonts w:ascii="Times New Roman" w:hAnsi="Times New Roman" w:eastAsia="宋体" w:cs="Times New Roman"/>
          <w:kern w:val="0"/>
          <w:sz w:val="24"/>
          <w:szCs w:val="22"/>
          <w:highlight w:val="none"/>
          <w:vertAlign w:val="superscript"/>
        </w:rPr>
        <w:t>-</w:t>
      </w:r>
      <w:r>
        <w:rPr>
          <w:rFonts w:ascii="Times New Roman" w:hAnsi="Times New Roman" w:eastAsia="宋体" w:cs="Times New Roman"/>
          <w:kern w:val="0"/>
          <w:sz w:val="24"/>
          <w:szCs w:val="22"/>
          <w:highlight w:val="none"/>
        </w:rPr>
        <w:t>Cl</w:t>
      </w:r>
      <w:r>
        <w:rPr>
          <w:rFonts w:ascii="Times New Roman" w:hAnsi="Times New Roman" w:eastAsia="宋体" w:cs="Times New Roman"/>
          <w:kern w:val="0"/>
          <w:sz w:val="24"/>
          <w:szCs w:val="22"/>
          <w:highlight w:val="none"/>
          <w:vertAlign w:val="superscript"/>
        </w:rPr>
        <w:t>-</w:t>
      </w:r>
      <w:r>
        <w:rPr>
          <w:rFonts w:ascii="Times New Roman" w:hAnsi="Times New Roman" w:eastAsia="宋体" w:cs="Times New Roman"/>
          <w:kern w:val="0"/>
          <w:sz w:val="24"/>
          <w:szCs w:val="22"/>
          <w:highlight w:val="none"/>
        </w:rPr>
        <w:t>—Ca</w:t>
      </w:r>
      <w:r>
        <w:rPr>
          <w:rFonts w:ascii="Times New Roman" w:hAnsi="Times New Roman" w:eastAsia="宋体" w:cs="Times New Roman"/>
          <w:kern w:val="0"/>
          <w:sz w:val="24"/>
          <w:szCs w:val="22"/>
          <w:highlight w:val="none"/>
          <w:vertAlign w:val="superscript"/>
        </w:rPr>
        <w:t>2+</w:t>
      </w:r>
      <w:r>
        <w:rPr>
          <w:rFonts w:ascii="Times New Roman" w:hAnsi="Times New Roman" w:eastAsia="宋体" w:cs="Times New Roman"/>
          <w:kern w:val="0"/>
          <w:sz w:val="24"/>
          <w:szCs w:val="22"/>
          <w:highlight w:val="none"/>
        </w:rPr>
        <w:t>型水及HCO</w:t>
      </w:r>
      <w:r>
        <w:rPr>
          <w:rFonts w:ascii="Times New Roman" w:hAnsi="Times New Roman" w:eastAsia="宋体" w:cs="Times New Roman"/>
          <w:kern w:val="0"/>
          <w:sz w:val="24"/>
          <w:szCs w:val="22"/>
          <w:highlight w:val="none"/>
          <w:vertAlign w:val="subscript"/>
        </w:rPr>
        <w:t>3</w:t>
      </w:r>
      <w:r>
        <w:rPr>
          <w:rFonts w:ascii="Times New Roman" w:hAnsi="Times New Roman" w:eastAsia="宋体" w:cs="Times New Roman"/>
          <w:kern w:val="0"/>
          <w:sz w:val="24"/>
          <w:szCs w:val="22"/>
          <w:highlight w:val="none"/>
          <w:vertAlign w:val="superscript"/>
        </w:rPr>
        <w:t>-</w:t>
      </w:r>
      <w:r>
        <w:rPr>
          <w:rFonts w:ascii="Times New Roman" w:hAnsi="Times New Roman" w:eastAsia="宋体" w:cs="Times New Roman"/>
          <w:kern w:val="0"/>
          <w:sz w:val="24"/>
          <w:szCs w:val="22"/>
          <w:highlight w:val="none"/>
        </w:rPr>
        <w:t>Cl</w:t>
      </w:r>
      <w:r>
        <w:rPr>
          <w:rFonts w:ascii="Times New Roman" w:hAnsi="Times New Roman" w:eastAsia="宋体" w:cs="Times New Roman"/>
          <w:kern w:val="0"/>
          <w:sz w:val="24"/>
          <w:szCs w:val="22"/>
          <w:highlight w:val="none"/>
          <w:vertAlign w:val="superscript"/>
        </w:rPr>
        <w:t>-</w:t>
      </w:r>
      <w:r>
        <w:rPr>
          <w:rFonts w:ascii="Times New Roman" w:hAnsi="Times New Roman" w:eastAsia="宋体" w:cs="Times New Roman"/>
          <w:kern w:val="0"/>
          <w:sz w:val="24"/>
          <w:szCs w:val="22"/>
          <w:highlight w:val="none"/>
        </w:rPr>
        <w:t>—Na</w:t>
      </w:r>
      <w:r>
        <w:rPr>
          <w:rFonts w:ascii="Times New Roman" w:hAnsi="Times New Roman" w:eastAsia="宋体" w:cs="Times New Roman"/>
          <w:kern w:val="0"/>
          <w:sz w:val="24"/>
          <w:szCs w:val="22"/>
          <w:highlight w:val="none"/>
          <w:vertAlign w:val="superscript"/>
        </w:rPr>
        <w:t>+</w:t>
      </w:r>
      <w:r>
        <w:rPr>
          <w:rFonts w:ascii="Times New Roman" w:hAnsi="Times New Roman" w:eastAsia="宋体" w:cs="Times New Roman"/>
          <w:kern w:val="0"/>
          <w:sz w:val="24"/>
          <w:szCs w:val="22"/>
          <w:highlight w:val="none"/>
        </w:rPr>
        <w:t>Ca</w:t>
      </w:r>
      <w:r>
        <w:rPr>
          <w:rFonts w:ascii="Times New Roman" w:hAnsi="Times New Roman" w:eastAsia="宋体" w:cs="Times New Roman"/>
          <w:kern w:val="0"/>
          <w:sz w:val="24"/>
          <w:szCs w:val="22"/>
          <w:highlight w:val="none"/>
          <w:vertAlign w:val="superscript"/>
        </w:rPr>
        <w:t>2+</w:t>
      </w:r>
      <w:r>
        <w:rPr>
          <w:rFonts w:ascii="Times New Roman" w:hAnsi="Times New Roman" w:eastAsia="宋体" w:cs="Times New Roman"/>
          <w:kern w:val="0"/>
          <w:sz w:val="24"/>
          <w:szCs w:val="22"/>
          <w:highlight w:val="none"/>
        </w:rPr>
        <w:t>型水</w:t>
      </w:r>
      <w:r>
        <w:rPr>
          <w:rFonts w:hint="eastAsia" w:ascii="Times New Roman"/>
          <w:kern w:val="2"/>
          <w:sz w:val="24"/>
          <w:szCs w:val="24"/>
          <w:highlight w:val="none"/>
          <w:lang w:eastAsia="zh-CN"/>
        </w:rPr>
        <w:t>。</w:t>
      </w:r>
    </w:p>
    <w:p w14:paraId="5D24DA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eastAsia="zh-CN"/>
        </w:rPr>
        <w:t>（7）监测结果分析</w:t>
      </w:r>
      <w:bookmarkEnd w:id="248"/>
    </w:p>
    <w:p w14:paraId="1760D5A2">
      <w:pPr>
        <w:pStyle w:val="147"/>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cs="Times New Roman"/>
          <w:color w:val="000000"/>
          <w:kern w:val="0"/>
          <w:sz w:val="24"/>
          <w:highlight w:val="none"/>
          <w:lang w:eastAsia="zh-CN"/>
        </w:rPr>
      </w:pPr>
      <w:r>
        <w:rPr>
          <w:rFonts w:hint="default" w:ascii="Times New Roman" w:hAnsi="Times New Roman" w:cs="Times New Roman"/>
          <w:color w:val="000000"/>
          <w:kern w:val="0"/>
          <w:sz w:val="24"/>
          <w:highlight w:val="none"/>
          <w:lang w:eastAsia="zh-CN"/>
        </w:rPr>
        <w:t>通过对各监测点位的水质分析可知，各项监测因子均满足《地下水质量标准》（GB/T14848-2017）Ⅲ类标准要求，石油类、总磷</w:t>
      </w:r>
      <w:r>
        <w:rPr>
          <w:rFonts w:hint="eastAsia" w:ascii="Times New Roman" w:hAnsi="Times New Roman" w:cs="Times New Roman"/>
          <w:color w:val="000000"/>
          <w:kern w:val="0"/>
          <w:sz w:val="24"/>
          <w:highlight w:val="none"/>
          <w:lang w:val="en-US" w:eastAsia="zh-CN"/>
        </w:rPr>
        <w:t>满足</w:t>
      </w:r>
      <w:r>
        <w:rPr>
          <w:rFonts w:hint="default" w:ascii="Times New Roman" w:hAnsi="Times New Roman" w:cs="Times New Roman"/>
          <w:color w:val="000000"/>
          <w:kern w:val="0"/>
          <w:sz w:val="24"/>
          <w:highlight w:val="none"/>
          <w:lang w:eastAsia="zh-CN"/>
        </w:rPr>
        <w:t>《地表水环境质量标准》（GB3838-2002）表1地表水环境质量标准基本项目标准限值中的Ⅲ类标准</w:t>
      </w:r>
      <w:r>
        <w:rPr>
          <w:rFonts w:hint="eastAsia" w:ascii="Times New Roman" w:hAnsi="Times New Roman" w:cs="Times New Roman"/>
          <w:color w:val="000000"/>
          <w:kern w:val="0"/>
          <w:sz w:val="24"/>
          <w:highlight w:val="none"/>
          <w:lang w:eastAsia="zh-CN"/>
        </w:rPr>
        <w:t>。</w:t>
      </w:r>
      <w:r>
        <w:rPr>
          <w:rFonts w:hint="default" w:ascii="Times New Roman" w:hAnsi="Times New Roman" w:cs="Times New Roman"/>
          <w:color w:val="000000"/>
          <w:kern w:val="0"/>
          <w:sz w:val="24"/>
          <w:highlight w:val="none"/>
          <w:lang w:eastAsia="zh-CN"/>
        </w:rPr>
        <w:t>监测因子标准指数均小于1，区域地</w:t>
      </w:r>
      <w:r>
        <w:rPr>
          <w:rFonts w:hint="eastAsia" w:ascii="Times New Roman" w:hAnsi="Times New Roman" w:cs="Times New Roman"/>
          <w:color w:val="000000"/>
          <w:kern w:val="0"/>
          <w:sz w:val="24"/>
          <w:highlight w:val="none"/>
          <w:lang w:val="en-US" w:eastAsia="zh-CN"/>
        </w:rPr>
        <w:t>下</w:t>
      </w:r>
      <w:r>
        <w:rPr>
          <w:rFonts w:hint="default" w:ascii="Times New Roman" w:hAnsi="Times New Roman" w:cs="Times New Roman"/>
          <w:color w:val="000000"/>
          <w:kern w:val="0"/>
          <w:sz w:val="24"/>
          <w:highlight w:val="none"/>
          <w:lang w:eastAsia="zh-CN"/>
        </w:rPr>
        <w:t>水环境质量较好</w:t>
      </w:r>
      <w:r>
        <w:rPr>
          <w:rFonts w:hint="eastAsia" w:ascii="Times New Roman" w:hAnsi="Times New Roman" w:cs="Times New Roman"/>
          <w:color w:val="000000"/>
          <w:kern w:val="0"/>
          <w:sz w:val="24"/>
          <w:highlight w:val="none"/>
          <w:lang w:eastAsia="zh-CN"/>
        </w:rPr>
        <w:t>。</w:t>
      </w:r>
    </w:p>
    <w:p w14:paraId="6176945E">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eastAsia="宋体" w:cs="Times New Roman"/>
          <w:b/>
          <w:bCs/>
          <w:color w:val="000000"/>
          <w:sz w:val="24"/>
          <w:szCs w:val="24"/>
          <w:highlight w:val="none"/>
        </w:rPr>
      </w:pPr>
      <w:bookmarkStart w:id="249" w:name="_Toc17384"/>
      <w:bookmarkStart w:id="250" w:name="_Toc9217"/>
      <w:r>
        <w:rPr>
          <w:rFonts w:hint="default" w:ascii="Times New Roman" w:hAnsi="Times New Roman" w:eastAsia="宋体" w:cs="Times New Roman"/>
          <w:b/>
          <w:bCs/>
          <w:color w:val="000000"/>
          <w:sz w:val="24"/>
          <w:szCs w:val="24"/>
          <w:highlight w:val="none"/>
        </w:rPr>
        <w:t>声环境质量现状评价</w:t>
      </w:r>
      <w:bookmarkEnd w:id="249"/>
      <w:bookmarkEnd w:id="250"/>
    </w:p>
    <w:p w14:paraId="0D13D2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51" w:name="_Toc1592"/>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US" w:eastAsia="zh-CN"/>
        </w:rPr>
        <w:t>监测</w:t>
      </w:r>
      <w:r>
        <w:rPr>
          <w:rFonts w:hint="eastAsia" w:ascii="Times New Roman" w:hAnsi="Times New Roman" w:eastAsia="宋体" w:cs="Times New Roman"/>
          <w:sz w:val="24"/>
          <w:szCs w:val="24"/>
          <w:highlight w:val="none"/>
          <w:lang w:val="en-US" w:eastAsia="zh-CN"/>
        </w:rPr>
        <w:t>布点</w:t>
      </w:r>
      <w:bookmarkEnd w:id="251"/>
    </w:p>
    <w:p w14:paraId="2831264A">
      <w:pPr>
        <w:pStyle w:val="185"/>
        <w:pageBreakBefore w:val="0"/>
        <w:kinsoku/>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本次声环境现状监测设</w:t>
      </w:r>
      <w:r>
        <w:rPr>
          <w:rFonts w:hint="eastAsia" w:ascii="Times New Roman" w:hAnsi="Times New Roman" w:cs="Times New Roman"/>
          <w:color w:val="000000"/>
          <w:sz w:val="24"/>
          <w:highlight w:val="none"/>
          <w:lang w:val="en-US" w:eastAsia="zh-CN"/>
        </w:rPr>
        <w:t>4</w:t>
      </w:r>
      <w:r>
        <w:rPr>
          <w:rFonts w:hint="default" w:ascii="Times New Roman" w:hAnsi="Times New Roman" w:cs="Times New Roman"/>
          <w:color w:val="000000"/>
          <w:sz w:val="24"/>
          <w:highlight w:val="none"/>
        </w:rPr>
        <w:t>个监测点位</w:t>
      </w:r>
      <w:bookmarkStart w:id="252" w:name="_Toc28514415"/>
      <w:r>
        <w:rPr>
          <w:rFonts w:hint="default" w:ascii="Times New Roman" w:hAnsi="Times New Roman" w:cs="Times New Roman"/>
          <w:color w:val="000000"/>
          <w:sz w:val="24"/>
          <w:highlight w:val="none"/>
        </w:rPr>
        <w:t>。</w:t>
      </w:r>
    </w:p>
    <w:p w14:paraId="09CAD0E5">
      <w:pPr>
        <w:spacing w:line="360" w:lineRule="auto"/>
        <w:ind w:firstLine="480" w:firstLineChars="200"/>
        <w:rPr>
          <w:rFonts w:hint="default" w:ascii="Times New Roman" w:hAnsi="Times New Roman" w:cs="Times New Roman"/>
          <w:b w:val="0"/>
          <w:bCs/>
          <w:color w:val="000000"/>
          <w:sz w:val="24"/>
          <w:highlight w:val="none"/>
        </w:rPr>
      </w:pPr>
      <w:r>
        <w:rPr>
          <w:rFonts w:hint="default" w:ascii="Times New Roman" w:hAnsi="Times New Roman" w:cs="Times New Roman"/>
          <w:b w:val="0"/>
          <w:bCs/>
          <w:color w:val="000000"/>
          <w:sz w:val="24"/>
          <w:highlight w:val="none"/>
        </w:rPr>
        <w:t>Zs1#——北侧场界；</w:t>
      </w:r>
    </w:p>
    <w:p w14:paraId="504F6D91">
      <w:pPr>
        <w:spacing w:line="360" w:lineRule="auto"/>
        <w:ind w:firstLine="480" w:firstLineChars="200"/>
        <w:rPr>
          <w:rFonts w:hint="default" w:ascii="Times New Roman" w:hAnsi="Times New Roman" w:cs="Times New Roman"/>
          <w:b w:val="0"/>
          <w:bCs/>
          <w:color w:val="000000"/>
          <w:sz w:val="24"/>
          <w:highlight w:val="none"/>
        </w:rPr>
      </w:pPr>
      <w:r>
        <w:rPr>
          <w:rFonts w:hint="default" w:ascii="Times New Roman" w:hAnsi="Times New Roman" w:cs="Times New Roman"/>
          <w:b w:val="0"/>
          <w:bCs/>
          <w:color w:val="000000"/>
          <w:sz w:val="24"/>
          <w:highlight w:val="none"/>
        </w:rPr>
        <w:t>Zs2#——东侧场界；</w:t>
      </w:r>
    </w:p>
    <w:p w14:paraId="5CC28925">
      <w:pPr>
        <w:spacing w:line="360" w:lineRule="auto"/>
        <w:ind w:firstLine="480" w:firstLineChars="200"/>
        <w:rPr>
          <w:rFonts w:hint="default" w:ascii="Times New Roman" w:hAnsi="Times New Roman" w:cs="Times New Roman"/>
          <w:b w:val="0"/>
          <w:bCs/>
          <w:color w:val="000000"/>
          <w:sz w:val="24"/>
          <w:highlight w:val="none"/>
        </w:rPr>
      </w:pPr>
      <w:r>
        <w:rPr>
          <w:rFonts w:hint="default" w:ascii="Times New Roman" w:hAnsi="Times New Roman" w:cs="Times New Roman"/>
          <w:b w:val="0"/>
          <w:bCs/>
          <w:color w:val="000000"/>
          <w:sz w:val="24"/>
          <w:highlight w:val="none"/>
        </w:rPr>
        <w:t>Zs3#——南侧场界；</w:t>
      </w:r>
    </w:p>
    <w:p w14:paraId="2AE47E6D">
      <w:pPr>
        <w:spacing w:line="360" w:lineRule="auto"/>
        <w:ind w:firstLine="480" w:firstLineChars="200"/>
        <w:rPr>
          <w:rFonts w:hint="default" w:ascii="Times New Roman" w:hAnsi="Times New Roman" w:cs="Times New Roman"/>
          <w:b w:val="0"/>
          <w:bCs/>
          <w:color w:val="000000"/>
          <w:sz w:val="24"/>
          <w:highlight w:val="none"/>
        </w:rPr>
      </w:pPr>
      <w:r>
        <w:rPr>
          <w:rFonts w:hint="default" w:ascii="Times New Roman" w:hAnsi="Times New Roman" w:cs="Times New Roman"/>
          <w:b w:val="0"/>
          <w:bCs/>
          <w:color w:val="000000"/>
          <w:sz w:val="24"/>
          <w:highlight w:val="none"/>
        </w:rPr>
        <w:t>Zs4#——西侧场界</w:t>
      </w:r>
      <w:r>
        <w:rPr>
          <w:rFonts w:hint="default" w:ascii="Times New Roman" w:hAnsi="Times New Roman" w:cs="Times New Roman"/>
          <w:b w:val="0"/>
          <w:bCs/>
          <w:color w:val="000000"/>
          <w:sz w:val="24"/>
          <w:highlight w:val="none"/>
          <w:lang w:eastAsia="zh-CN"/>
        </w:rPr>
        <w:t>。</w:t>
      </w:r>
    </w:p>
    <w:p w14:paraId="04E30C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53" w:name="_Toc8204"/>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2</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监测</w:t>
      </w:r>
      <w:r>
        <w:rPr>
          <w:rFonts w:hint="eastAsia" w:ascii="Times New Roman" w:hAnsi="Times New Roman" w:eastAsia="宋体" w:cs="Times New Roman"/>
          <w:sz w:val="24"/>
          <w:szCs w:val="24"/>
          <w:highlight w:val="none"/>
          <w:lang w:val="en-US" w:eastAsia="zh-CN"/>
        </w:rPr>
        <w:t>因子：</w:t>
      </w:r>
      <w:r>
        <w:rPr>
          <w:rFonts w:hint="default" w:ascii="Times New Roman" w:hAnsi="Times New Roman" w:eastAsia="宋体" w:cs="Times New Roman"/>
          <w:sz w:val="24"/>
          <w:szCs w:val="24"/>
          <w:highlight w:val="none"/>
        </w:rPr>
        <w:t>等效连续A声级。</w:t>
      </w:r>
      <w:bookmarkEnd w:id="253"/>
    </w:p>
    <w:p w14:paraId="1ACAFE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54" w:name="_Toc20952"/>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3</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监测时间</w:t>
      </w:r>
      <w:bookmarkEnd w:id="252"/>
      <w:r>
        <w:rPr>
          <w:rFonts w:hint="default" w:ascii="Times New Roman" w:hAnsi="Times New Roman" w:eastAsia="宋体" w:cs="Times New Roman"/>
          <w:sz w:val="24"/>
          <w:szCs w:val="24"/>
          <w:highlight w:val="none"/>
        </w:rPr>
        <w:t>及频次</w:t>
      </w:r>
      <w:bookmarkEnd w:id="254"/>
    </w:p>
    <w:p w14:paraId="728873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55" w:name="_Toc28514416"/>
      <w:r>
        <w:rPr>
          <w:rFonts w:hint="default" w:ascii="Times New Roman" w:hAnsi="Times New Roman" w:eastAsia="宋体" w:cs="Times New Roman"/>
          <w:sz w:val="24"/>
          <w:szCs w:val="24"/>
          <w:highlight w:val="none"/>
        </w:rPr>
        <w:t>监测时间为</w:t>
      </w:r>
      <w:r>
        <w:rPr>
          <w:rFonts w:hint="eastAsia" w:cs="Times New Roman"/>
          <w:sz w:val="24"/>
          <w:szCs w:val="24"/>
          <w:highlight w:val="none"/>
          <w:lang w:eastAsia="zh-CN"/>
        </w:rPr>
        <w:t>2025年3月6日</w:t>
      </w:r>
      <w:r>
        <w:rPr>
          <w:rFonts w:hint="default" w:ascii="Times New Roman" w:hAnsi="Times New Roman" w:eastAsia="宋体" w:cs="Times New Roman"/>
          <w:sz w:val="24"/>
          <w:szCs w:val="24"/>
          <w:highlight w:val="none"/>
        </w:rPr>
        <w:t>，监测1日，昼</w:t>
      </w:r>
      <w:r>
        <w:rPr>
          <w:rFonts w:hint="eastAsia" w:ascii="Times New Roman" w:hAnsi="Times New Roman" w:eastAsia="宋体" w:cs="Times New Roman"/>
          <w:sz w:val="24"/>
          <w:szCs w:val="24"/>
          <w:highlight w:val="none"/>
          <w:lang w:val="en-US" w:eastAsia="zh-CN"/>
        </w:rPr>
        <w:t>间、</w:t>
      </w:r>
      <w:r>
        <w:rPr>
          <w:rFonts w:hint="default" w:ascii="Times New Roman" w:hAnsi="Times New Roman" w:eastAsia="宋体" w:cs="Times New Roman"/>
          <w:sz w:val="24"/>
          <w:szCs w:val="24"/>
          <w:highlight w:val="none"/>
        </w:rPr>
        <w:t>夜</w:t>
      </w:r>
      <w:r>
        <w:rPr>
          <w:rFonts w:hint="eastAsia" w:ascii="Times New Roman" w:hAnsi="Times New Roman" w:eastAsia="宋体" w:cs="Times New Roman"/>
          <w:sz w:val="24"/>
          <w:szCs w:val="24"/>
          <w:highlight w:val="none"/>
          <w:lang w:val="en-US" w:eastAsia="zh-CN"/>
        </w:rPr>
        <w:t>间</w:t>
      </w:r>
      <w:r>
        <w:rPr>
          <w:rFonts w:hint="default" w:ascii="Times New Roman" w:hAnsi="Times New Roman" w:eastAsia="宋体" w:cs="Times New Roman"/>
          <w:sz w:val="24"/>
          <w:szCs w:val="24"/>
          <w:highlight w:val="none"/>
        </w:rPr>
        <w:t>各监测</w:t>
      </w:r>
      <w:r>
        <w:rPr>
          <w:rFonts w:hint="eastAsia"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次。</w:t>
      </w:r>
    </w:p>
    <w:p w14:paraId="5F7C41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56" w:name="_Toc15502"/>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4</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评价因子与评价标准</w:t>
      </w:r>
      <w:bookmarkEnd w:id="256"/>
    </w:p>
    <w:p w14:paraId="570FFD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评价因子与监测</w:t>
      </w:r>
      <w:r>
        <w:rPr>
          <w:rFonts w:hint="eastAsia" w:ascii="Times New Roman" w:hAnsi="Times New Roman" w:eastAsia="宋体" w:cs="Times New Roman"/>
          <w:sz w:val="24"/>
          <w:szCs w:val="24"/>
          <w:highlight w:val="none"/>
          <w:lang w:val="en-US" w:eastAsia="zh-CN"/>
        </w:rPr>
        <w:t>因子</w:t>
      </w:r>
      <w:r>
        <w:rPr>
          <w:rFonts w:hint="default" w:ascii="Times New Roman" w:hAnsi="Times New Roman" w:eastAsia="宋体" w:cs="Times New Roman"/>
          <w:sz w:val="24"/>
          <w:szCs w:val="24"/>
          <w:highlight w:val="none"/>
        </w:rPr>
        <w:t>相同，</w:t>
      </w:r>
      <w:r>
        <w:rPr>
          <w:rFonts w:hint="eastAsia" w:ascii="Times New Roman" w:hAnsi="Times New Roman" w:eastAsia="宋体" w:cs="Times New Roman"/>
          <w:sz w:val="24"/>
          <w:szCs w:val="24"/>
          <w:highlight w:val="none"/>
          <w:lang w:val="en-US" w:eastAsia="zh-CN"/>
        </w:rPr>
        <w:t>四厂界</w:t>
      </w:r>
      <w:r>
        <w:rPr>
          <w:rFonts w:hint="default" w:ascii="Times New Roman" w:hAnsi="Times New Roman" w:eastAsia="宋体" w:cs="Times New Roman"/>
          <w:sz w:val="24"/>
          <w:szCs w:val="24"/>
          <w:highlight w:val="none"/>
        </w:rPr>
        <w:t>采用《声环境质量标准》（GB3096-2008）中2类标准。</w:t>
      </w:r>
    </w:p>
    <w:p w14:paraId="1AD0DE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57" w:name="_Toc16971"/>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5</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监测频次及监测</w:t>
      </w:r>
      <w:bookmarkEnd w:id="255"/>
      <w:r>
        <w:rPr>
          <w:rFonts w:hint="default" w:ascii="Times New Roman" w:hAnsi="Times New Roman" w:eastAsia="宋体" w:cs="Times New Roman"/>
          <w:sz w:val="24"/>
          <w:szCs w:val="24"/>
          <w:highlight w:val="none"/>
        </w:rPr>
        <w:t>结果</w:t>
      </w:r>
      <w:bookmarkEnd w:id="257"/>
    </w:p>
    <w:p w14:paraId="4B65EF8E">
      <w:pPr>
        <w:pStyle w:val="147"/>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项目声环境质量现状监测结果见</w:t>
      </w:r>
      <w:r>
        <w:rPr>
          <w:rFonts w:hint="eastAsia" w:ascii="Times New Roman" w:hAnsi="Times New Roman" w:cs="Times New Roman"/>
          <w:color w:val="000000"/>
          <w:highlight w:val="none"/>
          <w:lang w:val="en-US" w:eastAsia="zh-CN"/>
        </w:rPr>
        <w:t>下表</w:t>
      </w:r>
      <w:r>
        <w:rPr>
          <w:rFonts w:hint="default" w:ascii="Times New Roman" w:hAnsi="Times New Roman" w:cs="Times New Roman"/>
          <w:color w:val="000000"/>
          <w:highlight w:val="none"/>
        </w:rPr>
        <w:t>。</w:t>
      </w:r>
    </w:p>
    <w:p w14:paraId="097B906E">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sz w:val="21"/>
          <w:szCs w:val="21"/>
          <w:highlight w:val="none"/>
          <w:lang w:val="en-US" w:eastAsia="zh-CN"/>
        </w:rPr>
      </w:pPr>
      <w:r>
        <w:rPr>
          <w:rFonts w:hint="default" w:ascii="Times New Roman" w:hAnsi="Times New Roman" w:eastAsia="宋体" w:cs="Times New Roman"/>
          <w:b/>
          <w:sz w:val="21"/>
          <w:szCs w:val="21"/>
          <w:highlight w:val="none"/>
          <w:lang w:val="en-US" w:eastAsia="zh-CN"/>
        </w:rPr>
        <w:t>项目厂界声环境质量监测结果</w:t>
      </w:r>
      <w:r>
        <w:rPr>
          <w:rFonts w:hint="eastAsia" w:ascii="Times New Roman" w:hAnsi="Times New Roman" w:eastAsia="宋体" w:cs="Times New Roman"/>
          <w:b/>
          <w:sz w:val="21"/>
          <w:szCs w:val="21"/>
          <w:highlight w:val="none"/>
          <w:lang w:val="en-US" w:eastAsia="zh-CN"/>
        </w:rPr>
        <w:t xml:space="preserve"> </w:t>
      </w:r>
      <w:r>
        <w:rPr>
          <w:rFonts w:hint="default" w:ascii="Times New Roman" w:hAnsi="Times New Roman" w:eastAsia="宋体" w:cs="Times New Roman"/>
          <w:b/>
          <w:sz w:val="21"/>
          <w:szCs w:val="21"/>
          <w:highlight w:val="none"/>
          <w:lang w:val="en-US" w:eastAsia="zh-CN"/>
        </w:rPr>
        <w:t xml:space="preserve"> 单位：dB(A)</w:t>
      </w:r>
    </w:p>
    <w:tbl>
      <w:tblPr>
        <w:tblStyle w:val="58"/>
        <w:tblpPr w:leftFromText="180" w:rightFromText="180" w:vertAnchor="text" w:tblpY="1"/>
        <w:tblOverlap w:val="never"/>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00"/>
        <w:gridCol w:w="1575"/>
        <w:gridCol w:w="870"/>
        <w:gridCol w:w="975"/>
        <w:gridCol w:w="1110"/>
        <w:gridCol w:w="1099"/>
        <w:gridCol w:w="1099"/>
        <w:gridCol w:w="1100"/>
      </w:tblGrid>
      <w:tr w14:paraId="4C93EA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2275" w:type="dxa"/>
            <w:gridSpan w:val="2"/>
            <w:tcBorders>
              <w:tl2br w:val="nil"/>
              <w:tr2bl w:val="nil"/>
            </w:tcBorders>
            <w:noWrap w:val="0"/>
            <w:vAlign w:val="center"/>
          </w:tcPr>
          <w:p w14:paraId="36D14DD9">
            <w:pPr>
              <w:topLinePunct/>
              <w:adjustRightInd w:val="0"/>
              <w:snapToGrid w:val="0"/>
              <w:spacing w:line="240" w:lineRule="atLeast"/>
              <w:jc w:val="center"/>
              <w:textAlignment w:val="center"/>
              <w:rPr>
                <w:rFonts w:hint="default" w:ascii="Times New Roman" w:hAnsi="Times New Roman" w:cs="Times New Roman"/>
                <w:b/>
                <w:bCs/>
                <w:snapToGrid w:val="0"/>
                <w:color w:val="000000"/>
                <w:kern w:val="0"/>
                <w:szCs w:val="21"/>
                <w:highlight w:val="none"/>
              </w:rPr>
            </w:pPr>
            <w:r>
              <w:rPr>
                <w:rFonts w:hint="default" w:ascii="Times New Roman" w:hAnsi="Times New Roman" w:cs="Times New Roman"/>
                <w:b/>
                <w:bCs/>
                <w:snapToGrid w:val="0"/>
                <w:color w:val="000000"/>
                <w:kern w:val="0"/>
                <w:szCs w:val="21"/>
                <w:highlight w:val="none"/>
              </w:rPr>
              <w:t>监测点位</w:t>
            </w:r>
          </w:p>
        </w:tc>
        <w:tc>
          <w:tcPr>
            <w:tcW w:w="2955" w:type="dxa"/>
            <w:gridSpan w:val="3"/>
            <w:tcBorders>
              <w:tl2br w:val="nil"/>
              <w:tr2bl w:val="nil"/>
            </w:tcBorders>
            <w:noWrap w:val="0"/>
            <w:vAlign w:val="center"/>
          </w:tcPr>
          <w:p w14:paraId="48D9DFDE">
            <w:pPr>
              <w:widowControl/>
              <w:jc w:val="center"/>
              <w:textAlignment w:val="center"/>
              <w:rPr>
                <w:rFonts w:hint="default" w:ascii="Times New Roman" w:hAnsi="Times New Roman" w:eastAsia="宋体" w:cs="Times New Roman"/>
                <w:b/>
                <w:color w:val="000000"/>
                <w:kern w:val="0"/>
                <w:szCs w:val="21"/>
                <w:highlight w:val="none"/>
                <w:lang w:val="en-US" w:eastAsia="zh-CN" w:bidi="ar"/>
              </w:rPr>
            </w:pPr>
            <w:r>
              <w:rPr>
                <w:rFonts w:hint="default" w:ascii="Times New Roman" w:hAnsi="Times New Roman" w:cs="Times New Roman"/>
                <w:b/>
                <w:color w:val="000000"/>
                <w:kern w:val="0"/>
                <w:szCs w:val="21"/>
                <w:highlight w:val="none"/>
                <w:lang w:bidi="ar"/>
              </w:rPr>
              <w:t>昼间</w:t>
            </w:r>
            <w:r>
              <w:rPr>
                <w:rFonts w:hint="eastAsia" w:ascii="Times New Roman" w:hAnsi="Times New Roman" w:cs="Times New Roman"/>
                <w:b/>
                <w:color w:val="000000"/>
                <w:kern w:val="0"/>
                <w:szCs w:val="21"/>
                <w:highlight w:val="none"/>
                <w:lang w:val="en-US" w:eastAsia="zh-CN" w:bidi="ar"/>
              </w:rPr>
              <w:t>监测结果</w:t>
            </w:r>
          </w:p>
        </w:tc>
        <w:tc>
          <w:tcPr>
            <w:tcW w:w="3298" w:type="dxa"/>
            <w:gridSpan w:val="3"/>
            <w:tcBorders>
              <w:tl2br w:val="nil"/>
              <w:tr2bl w:val="nil"/>
            </w:tcBorders>
            <w:noWrap w:val="0"/>
            <w:vAlign w:val="center"/>
          </w:tcPr>
          <w:p w14:paraId="7E7B4558">
            <w:pPr>
              <w:widowControl/>
              <w:jc w:val="center"/>
              <w:textAlignment w:val="center"/>
              <w:rPr>
                <w:rFonts w:hint="default" w:ascii="Times New Roman" w:hAnsi="Times New Roman" w:cs="Times New Roman"/>
                <w:b/>
                <w:color w:val="000000"/>
                <w:kern w:val="0"/>
                <w:szCs w:val="21"/>
                <w:highlight w:val="none"/>
                <w:lang w:bidi="ar"/>
              </w:rPr>
            </w:pPr>
            <w:r>
              <w:rPr>
                <w:rFonts w:hint="default" w:ascii="Times New Roman" w:hAnsi="Times New Roman" w:cs="Times New Roman"/>
                <w:b/>
                <w:color w:val="000000"/>
                <w:kern w:val="0"/>
                <w:szCs w:val="21"/>
                <w:highlight w:val="none"/>
                <w:lang w:bidi="ar"/>
              </w:rPr>
              <w:t>夜间</w:t>
            </w:r>
            <w:r>
              <w:rPr>
                <w:rFonts w:hint="eastAsia" w:ascii="Times New Roman" w:hAnsi="Times New Roman" w:cs="Times New Roman"/>
                <w:b/>
                <w:color w:val="000000"/>
                <w:kern w:val="0"/>
                <w:szCs w:val="21"/>
                <w:highlight w:val="none"/>
                <w:lang w:val="en-US" w:eastAsia="zh-CN" w:bidi="ar"/>
              </w:rPr>
              <w:t>监测结果</w:t>
            </w:r>
          </w:p>
        </w:tc>
      </w:tr>
      <w:tr w14:paraId="394ED2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00" w:type="dxa"/>
            <w:tcBorders>
              <w:tl2br w:val="nil"/>
              <w:tr2bl w:val="nil"/>
            </w:tcBorders>
            <w:noWrap w:val="0"/>
            <w:vAlign w:val="center"/>
          </w:tcPr>
          <w:p w14:paraId="13D51F21">
            <w:pPr>
              <w:spacing w:line="300" w:lineRule="exact"/>
              <w:jc w:val="center"/>
              <w:rPr>
                <w:rFonts w:hint="eastAsia"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序号</w:t>
            </w:r>
          </w:p>
        </w:tc>
        <w:tc>
          <w:tcPr>
            <w:tcW w:w="1575" w:type="dxa"/>
            <w:tcBorders>
              <w:tl2br w:val="nil"/>
              <w:tr2bl w:val="nil"/>
            </w:tcBorders>
            <w:noWrap w:val="0"/>
            <w:vAlign w:val="center"/>
          </w:tcPr>
          <w:p w14:paraId="483D755A">
            <w:pPr>
              <w:spacing w:line="300" w:lineRule="exact"/>
              <w:jc w:val="center"/>
              <w:rPr>
                <w:rFonts w:hint="eastAsia"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名称</w:t>
            </w:r>
          </w:p>
        </w:tc>
        <w:tc>
          <w:tcPr>
            <w:tcW w:w="870" w:type="dxa"/>
            <w:tcBorders>
              <w:tl2br w:val="nil"/>
              <w:tr2bl w:val="nil"/>
            </w:tcBorders>
            <w:noWrap w:val="0"/>
            <w:vAlign w:val="center"/>
          </w:tcPr>
          <w:p w14:paraId="4B068679">
            <w:pPr>
              <w:spacing w:line="240" w:lineRule="exact"/>
              <w:jc w:val="center"/>
              <w:rPr>
                <w:rFonts w:hint="default"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监测值</w:t>
            </w:r>
          </w:p>
        </w:tc>
        <w:tc>
          <w:tcPr>
            <w:tcW w:w="975" w:type="dxa"/>
            <w:tcBorders>
              <w:tl2br w:val="nil"/>
              <w:tr2bl w:val="nil"/>
            </w:tcBorders>
            <w:noWrap w:val="0"/>
            <w:vAlign w:val="center"/>
          </w:tcPr>
          <w:p w14:paraId="12EC0304">
            <w:pPr>
              <w:spacing w:line="240" w:lineRule="exact"/>
              <w:jc w:val="center"/>
              <w:rPr>
                <w:rFonts w:hint="default"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标准值</w:t>
            </w:r>
          </w:p>
        </w:tc>
        <w:tc>
          <w:tcPr>
            <w:tcW w:w="1110" w:type="dxa"/>
            <w:tcBorders>
              <w:tl2br w:val="nil"/>
              <w:tr2bl w:val="nil"/>
            </w:tcBorders>
            <w:noWrap w:val="0"/>
            <w:vAlign w:val="center"/>
          </w:tcPr>
          <w:p w14:paraId="681987C2">
            <w:pPr>
              <w:spacing w:line="240" w:lineRule="exact"/>
              <w:jc w:val="center"/>
              <w:rPr>
                <w:rFonts w:hint="default" w:ascii="Times New Roman" w:hAnsi="Times New Roman" w:eastAsia="宋体" w:cs="Times New Roman"/>
                <w:b/>
                <w:bCs/>
                <w:color w:val="000000"/>
                <w:szCs w:val="21"/>
                <w:highlight w:val="none"/>
                <w:lang w:val="en-US" w:eastAsia="zh-CN"/>
              </w:rPr>
            </w:pPr>
            <w:r>
              <w:rPr>
                <w:rFonts w:hint="eastAsia" w:ascii="Times New Roman" w:hAnsi="Times New Roman" w:cs="Times New Roman"/>
                <w:b/>
                <w:bCs/>
                <w:color w:val="000000"/>
                <w:szCs w:val="21"/>
                <w:highlight w:val="none"/>
                <w:lang w:val="en-US" w:eastAsia="zh-CN"/>
              </w:rPr>
              <w:t>达标情况</w:t>
            </w:r>
          </w:p>
        </w:tc>
        <w:tc>
          <w:tcPr>
            <w:tcW w:w="1099" w:type="dxa"/>
            <w:tcBorders>
              <w:tl2br w:val="nil"/>
              <w:tr2bl w:val="nil"/>
            </w:tcBorders>
            <w:noWrap w:val="0"/>
            <w:vAlign w:val="center"/>
          </w:tcPr>
          <w:p w14:paraId="594015A6">
            <w:pPr>
              <w:spacing w:line="240" w:lineRule="exact"/>
              <w:jc w:val="center"/>
              <w:rPr>
                <w:rFonts w:hint="default"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cs="Times New Roman"/>
                <w:b/>
                <w:bCs/>
                <w:color w:val="000000"/>
                <w:szCs w:val="21"/>
                <w:highlight w:val="none"/>
                <w:lang w:val="en-US" w:eastAsia="zh-CN"/>
              </w:rPr>
              <w:t>监测值</w:t>
            </w:r>
          </w:p>
        </w:tc>
        <w:tc>
          <w:tcPr>
            <w:tcW w:w="1099" w:type="dxa"/>
            <w:tcBorders>
              <w:tl2br w:val="nil"/>
              <w:tr2bl w:val="nil"/>
            </w:tcBorders>
            <w:noWrap w:val="0"/>
            <w:vAlign w:val="center"/>
          </w:tcPr>
          <w:p w14:paraId="640F774B">
            <w:pPr>
              <w:spacing w:line="240" w:lineRule="exact"/>
              <w:jc w:val="center"/>
              <w:rPr>
                <w:rFonts w:hint="default"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cs="Times New Roman"/>
                <w:b/>
                <w:bCs/>
                <w:color w:val="000000"/>
                <w:szCs w:val="21"/>
                <w:highlight w:val="none"/>
                <w:lang w:val="en-US" w:eastAsia="zh-CN"/>
              </w:rPr>
              <w:t>标准值</w:t>
            </w:r>
          </w:p>
        </w:tc>
        <w:tc>
          <w:tcPr>
            <w:tcW w:w="1100" w:type="dxa"/>
            <w:tcBorders>
              <w:tl2br w:val="nil"/>
              <w:tr2bl w:val="nil"/>
            </w:tcBorders>
            <w:noWrap w:val="0"/>
            <w:vAlign w:val="center"/>
          </w:tcPr>
          <w:p w14:paraId="23BA3F8C">
            <w:pPr>
              <w:spacing w:line="240" w:lineRule="exact"/>
              <w:jc w:val="center"/>
              <w:rPr>
                <w:rFonts w:hint="default" w:ascii="Times New Roman" w:hAnsi="Times New Roman" w:eastAsia="宋体" w:cs="Times New Roman"/>
                <w:b/>
                <w:bCs/>
                <w:color w:val="000000"/>
                <w:kern w:val="2"/>
                <w:sz w:val="21"/>
                <w:szCs w:val="21"/>
                <w:highlight w:val="none"/>
                <w:lang w:val="en-US" w:eastAsia="zh-CN" w:bidi="ar-SA"/>
              </w:rPr>
            </w:pPr>
            <w:r>
              <w:rPr>
                <w:rFonts w:hint="eastAsia" w:ascii="Times New Roman" w:hAnsi="Times New Roman" w:cs="Times New Roman"/>
                <w:b/>
                <w:bCs/>
                <w:color w:val="000000"/>
                <w:szCs w:val="21"/>
                <w:highlight w:val="none"/>
                <w:lang w:val="en-US" w:eastAsia="zh-CN"/>
              </w:rPr>
              <w:t>达标情况</w:t>
            </w:r>
          </w:p>
        </w:tc>
      </w:tr>
      <w:tr w14:paraId="1DC3B0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00" w:type="dxa"/>
            <w:tcBorders>
              <w:tl2br w:val="nil"/>
              <w:tr2bl w:val="nil"/>
            </w:tcBorders>
            <w:noWrap w:val="0"/>
            <w:vAlign w:val="center"/>
          </w:tcPr>
          <w:p w14:paraId="446CA718">
            <w:pPr>
              <w:spacing w:line="300" w:lineRule="exact"/>
              <w:jc w:val="center"/>
              <w:rPr>
                <w:rFonts w:hint="default" w:ascii="Times New Roman" w:hAnsi="Times New Roman" w:cs="Times New Roman"/>
                <w:color w:val="000000"/>
                <w:kern w:val="2"/>
                <w:sz w:val="21"/>
                <w:szCs w:val="21"/>
                <w:highlight w:val="none"/>
                <w:lang w:val="en-US" w:eastAsia="zh-CN" w:bidi="ar-SA"/>
              </w:rPr>
            </w:pPr>
            <w:r>
              <w:rPr>
                <w:rFonts w:hint="default" w:ascii="Times New Roman" w:hAnsi="Times New Roman" w:cs="Times New Roman"/>
                <w:color w:val="000000"/>
                <w:szCs w:val="21"/>
                <w:highlight w:val="none"/>
              </w:rPr>
              <w:t>Zs1#</w:t>
            </w:r>
          </w:p>
        </w:tc>
        <w:tc>
          <w:tcPr>
            <w:tcW w:w="1575" w:type="dxa"/>
            <w:tcBorders>
              <w:tl2br w:val="nil"/>
              <w:tr2bl w:val="nil"/>
            </w:tcBorders>
            <w:noWrap w:val="0"/>
            <w:vAlign w:val="center"/>
          </w:tcPr>
          <w:p w14:paraId="6DFF9884">
            <w:pPr>
              <w:spacing w:line="300" w:lineRule="exac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北侧厂界</w:t>
            </w:r>
          </w:p>
        </w:tc>
        <w:tc>
          <w:tcPr>
            <w:tcW w:w="870" w:type="dxa"/>
            <w:tcBorders>
              <w:tl2br w:val="nil"/>
              <w:tr2bl w:val="nil"/>
            </w:tcBorders>
            <w:noWrap w:val="0"/>
            <w:vAlign w:val="center"/>
          </w:tcPr>
          <w:p w14:paraId="6198ACFE">
            <w:pPr>
              <w:spacing w:line="240" w:lineRule="exact"/>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51.5</w:t>
            </w:r>
          </w:p>
        </w:tc>
        <w:tc>
          <w:tcPr>
            <w:tcW w:w="975" w:type="dxa"/>
            <w:tcBorders>
              <w:tl2br w:val="nil"/>
              <w:tr2bl w:val="nil"/>
            </w:tcBorders>
            <w:noWrap w:val="0"/>
            <w:vAlign w:val="center"/>
          </w:tcPr>
          <w:p w14:paraId="21CD7813">
            <w:pPr>
              <w:spacing w:line="240" w:lineRule="exact"/>
              <w:jc w:val="center"/>
              <w:rPr>
                <w:rFonts w:hint="default" w:ascii="Times New Roman" w:hAnsi="Times New Roman" w:eastAsia="宋体" w:cs="Times New Roman"/>
                <w:color w:val="000000"/>
                <w:szCs w:val="21"/>
                <w:highlight w:val="none"/>
                <w:lang w:val="en-US" w:eastAsia="zh-CN"/>
              </w:rPr>
            </w:pPr>
            <w:r>
              <w:rPr>
                <w:rFonts w:hint="eastAsia" w:ascii="Times New Roman" w:hAnsi="Times New Roman" w:cs="Times New Roman"/>
                <w:color w:val="000000"/>
                <w:szCs w:val="21"/>
                <w:highlight w:val="none"/>
                <w:lang w:val="en-US" w:eastAsia="zh-CN"/>
              </w:rPr>
              <w:t>60</w:t>
            </w:r>
          </w:p>
        </w:tc>
        <w:tc>
          <w:tcPr>
            <w:tcW w:w="1110" w:type="dxa"/>
            <w:tcBorders>
              <w:tl2br w:val="nil"/>
              <w:tr2bl w:val="nil"/>
            </w:tcBorders>
            <w:noWrap w:val="0"/>
            <w:vAlign w:val="center"/>
          </w:tcPr>
          <w:p w14:paraId="624C3717">
            <w:pPr>
              <w:spacing w:line="240" w:lineRule="exact"/>
              <w:jc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cs="Times New Roman"/>
                <w:color w:val="000000"/>
                <w:szCs w:val="21"/>
                <w:highlight w:val="none"/>
                <w:lang w:val="en-US" w:eastAsia="zh-CN"/>
              </w:rPr>
              <w:t>达标</w:t>
            </w:r>
          </w:p>
        </w:tc>
        <w:tc>
          <w:tcPr>
            <w:tcW w:w="1099" w:type="dxa"/>
            <w:tcBorders>
              <w:tl2br w:val="nil"/>
              <w:tr2bl w:val="nil"/>
            </w:tcBorders>
            <w:noWrap w:val="0"/>
            <w:vAlign w:val="center"/>
          </w:tcPr>
          <w:p w14:paraId="18FE07B4">
            <w:pPr>
              <w:widowControl/>
              <w:jc w:val="center"/>
              <w:textAlignment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39.2</w:t>
            </w:r>
          </w:p>
        </w:tc>
        <w:tc>
          <w:tcPr>
            <w:tcW w:w="1099" w:type="dxa"/>
            <w:tcBorders>
              <w:tl2br w:val="nil"/>
              <w:tr2bl w:val="nil"/>
            </w:tcBorders>
            <w:noWrap w:val="0"/>
            <w:vAlign w:val="center"/>
          </w:tcPr>
          <w:p w14:paraId="16D0A2F0">
            <w:pPr>
              <w:widowControl/>
              <w:jc w:val="center"/>
              <w:textAlignment w:val="center"/>
              <w:rPr>
                <w:rFonts w:hint="default" w:ascii="Times New Roman" w:hAnsi="Times New Roman" w:eastAsia="宋体" w:cs="Times New Roman"/>
                <w:color w:val="000000"/>
                <w:szCs w:val="21"/>
                <w:highlight w:val="none"/>
                <w:lang w:val="en-US" w:eastAsia="zh-CN"/>
              </w:rPr>
            </w:pPr>
            <w:r>
              <w:rPr>
                <w:rFonts w:hint="eastAsia" w:ascii="Times New Roman" w:hAnsi="Times New Roman" w:cs="Times New Roman"/>
                <w:color w:val="000000"/>
                <w:szCs w:val="21"/>
                <w:highlight w:val="none"/>
                <w:lang w:val="en-US" w:eastAsia="zh-CN"/>
              </w:rPr>
              <w:t>50</w:t>
            </w:r>
          </w:p>
        </w:tc>
        <w:tc>
          <w:tcPr>
            <w:tcW w:w="1100" w:type="dxa"/>
            <w:tcBorders>
              <w:tl2br w:val="nil"/>
              <w:tr2bl w:val="nil"/>
            </w:tcBorders>
            <w:noWrap w:val="0"/>
            <w:vAlign w:val="center"/>
          </w:tcPr>
          <w:p w14:paraId="123526E2">
            <w:pPr>
              <w:widowControl/>
              <w:jc w:val="center"/>
              <w:textAlignment w:val="center"/>
              <w:rPr>
                <w:rFonts w:hint="eastAsia" w:ascii="Times New Roman" w:hAnsi="Times New Roman" w:eastAsia="宋体" w:cs="Times New Roman"/>
                <w:color w:val="000000"/>
                <w:szCs w:val="21"/>
                <w:highlight w:val="none"/>
                <w:lang w:val="en-US" w:eastAsia="zh-CN"/>
              </w:rPr>
            </w:pPr>
            <w:r>
              <w:rPr>
                <w:rFonts w:hint="eastAsia" w:ascii="Times New Roman" w:hAnsi="Times New Roman" w:cs="Times New Roman"/>
                <w:color w:val="000000"/>
                <w:szCs w:val="21"/>
                <w:highlight w:val="none"/>
                <w:lang w:val="en-US" w:eastAsia="zh-CN"/>
              </w:rPr>
              <w:t>达标</w:t>
            </w:r>
          </w:p>
        </w:tc>
      </w:tr>
      <w:tr w14:paraId="1A0F02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00" w:type="dxa"/>
            <w:tcBorders>
              <w:tl2br w:val="nil"/>
              <w:tr2bl w:val="nil"/>
            </w:tcBorders>
            <w:noWrap w:val="0"/>
            <w:vAlign w:val="center"/>
          </w:tcPr>
          <w:p w14:paraId="236A1CBA">
            <w:pPr>
              <w:spacing w:line="300" w:lineRule="exact"/>
              <w:jc w:val="center"/>
              <w:rPr>
                <w:rFonts w:hint="default" w:ascii="Times New Roman" w:hAnsi="Times New Roman" w:cs="Times New Roman"/>
                <w:color w:val="000000"/>
                <w:kern w:val="2"/>
                <w:sz w:val="21"/>
                <w:szCs w:val="21"/>
                <w:highlight w:val="none"/>
                <w:lang w:val="en-US" w:eastAsia="zh-CN" w:bidi="ar-SA"/>
              </w:rPr>
            </w:pPr>
            <w:r>
              <w:rPr>
                <w:rFonts w:hint="default" w:ascii="Times New Roman" w:hAnsi="Times New Roman" w:cs="Times New Roman"/>
                <w:color w:val="000000"/>
                <w:szCs w:val="21"/>
                <w:highlight w:val="none"/>
              </w:rPr>
              <w:t>Zs</w:t>
            </w:r>
            <w:r>
              <w:rPr>
                <w:rFonts w:hint="eastAsia" w:ascii="Times New Roman" w:hAnsi="Times New Roman" w:cs="Times New Roman"/>
                <w:color w:val="000000"/>
                <w:szCs w:val="21"/>
                <w:highlight w:val="none"/>
                <w:lang w:val="en-US" w:eastAsia="zh-CN"/>
              </w:rPr>
              <w:t>2</w:t>
            </w:r>
            <w:r>
              <w:rPr>
                <w:rFonts w:hint="default" w:ascii="Times New Roman" w:hAnsi="Times New Roman" w:cs="Times New Roman"/>
                <w:color w:val="000000"/>
                <w:szCs w:val="21"/>
                <w:highlight w:val="none"/>
              </w:rPr>
              <w:t>#</w:t>
            </w:r>
          </w:p>
        </w:tc>
        <w:tc>
          <w:tcPr>
            <w:tcW w:w="1575" w:type="dxa"/>
            <w:tcBorders>
              <w:tl2br w:val="nil"/>
              <w:tr2bl w:val="nil"/>
            </w:tcBorders>
            <w:noWrap w:val="0"/>
            <w:vAlign w:val="center"/>
          </w:tcPr>
          <w:p w14:paraId="4512CFD4">
            <w:pPr>
              <w:spacing w:line="30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东</w:t>
            </w:r>
            <w:r>
              <w:rPr>
                <w:rFonts w:hint="default" w:ascii="Times New Roman" w:hAnsi="Times New Roman" w:cs="Times New Roman"/>
                <w:color w:val="000000"/>
                <w:szCs w:val="21"/>
                <w:highlight w:val="none"/>
              </w:rPr>
              <w:t>侧厂界</w:t>
            </w:r>
          </w:p>
        </w:tc>
        <w:tc>
          <w:tcPr>
            <w:tcW w:w="870" w:type="dxa"/>
            <w:tcBorders>
              <w:tl2br w:val="nil"/>
              <w:tr2bl w:val="nil"/>
            </w:tcBorders>
            <w:noWrap w:val="0"/>
            <w:vAlign w:val="center"/>
          </w:tcPr>
          <w:p w14:paraId="76CB2F1B">
            <w:pPr>
              <w:spacing w:line="240" w:lineRule="exact"/>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51.2</w:t>
            </w:r>
          </w:p>
        </w:tc>
        <w:tc>
          <w:tcPr>
            <w:tcW w:w="975" w:type="dxa"/>
            <w:tcBorders>
              <w:tl2br w:val="nil"/>
              <w:tr2bl w:val="nil"/>
            </w:tcBorders>
            <w:noWrap w:val="0"/>
            <w:vAlign w:val="center"/>
          </w:tcPr>
          <w:p w14:paraId="3C1A31C2">
            <w:pPr>
              <w:spacing w:line="24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60</w:t>
            </w:r>
          </w:p>
        </w:tc>
        <w:tc>
          <w:tcPr>
            <w:tcW w:w="1110" w:type="dxa"/>
            <w:tcBorders>
              <w:tl2br w:val="nil"/>
              <w:tr2bl w:val="nil"/>
            </w:tcBorders>
            <w:noWrap w:val="0"/>
            <w:vAlign w:val="center"/>
          </w:tcPr>
          <w:p w14:paraId="00EA8931">
            <w:pPr>
              <w:spacing w:line="24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达标</w:t>
            </w:r>
          </w:p>
        </w:tc>
        <w:tc>
          <w:tcPr>
            <w:tcW w:w="1099" w:type="dxa"/>
            <w:tcBorders>
              <w:tl2br w:val="nil"/>
              <w:tr2bl w:val="nil"/>
            </w:tcBorders>
            <w:noWrap w:val="0"/>
            <w:vAlign w:val="center"/>
          </w:tcPr>
          <w:p w14:paraId="20DE9B55">
            <w:pPr>
              <w:widowControl/>
              <w:jc w:val="center"/>
              <w:textAlignment w:val="center"/>
              <w:rPr>
                <w:rFonts w:hint="default"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39.6</w:t>
            </w:r>
          </w:p>
        </w:tc>
        <w:tc>
          <w:tcPr>
            <w:tcW w:w="1099" w:type="dxa"/>
            <w:tcBorders>
              <w:tl2br w:val="nil"/>
              <w:tr2bl w:val="nil"/>
            </w:tcBorders>
            <w:noWrap w:val="0"/>
            <w:vAlign w:val="center"/>
          </w:tcPr>
          <w:p w14:paraId="42FF7F41">
            <w:pPr>
              <w:widowControl/>
              <w:jc w:val="center"/>
              <w:textAlignment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50</w:t>
            </w:r>
          </w:p>
        </w:tc>
        <w:tc>
          <w:tcPr>
            <w:tcW w:w="1100" w:type="dxa"/>
            <w:tcBorders>
              <w:tl2br w:val="nil"/>
              <w:tr2bl w:val="nil"/>
            </w:tcBorders>
            <w:noWrap w:val="0"/>
            <w:vAlign w:val="center"/>
          </w:tcPr>
          <w:p w14:paraId="756FAD2A">
            <w:pPr>
              <w:widowControl/>
              <w:jc w:val="center"/>
              <w:textAlignment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达标</w:t>
            </w:r>
          </w:p>
        </w:tc>
      </w:tr>
      <w:tr w14:paraId="73C144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00" w:type="dxa"/>
            <w:tcBorders>
              <w:tl2br w:val="nil"/>
              <w:tr2bl w:val="nil"/>
            </w:tcBorders>
            <w:noWrap w:val="0"/>
            <w:vAlign w:val="center"/>
          </w:tcPr>
          <w:p w14:paraId="097F4AC7">
            <w:pPr>
              <w:spacing w:line="300" w:lineRule="exact"/>
              <w:jc w:val="center"/>
              <w:rPr>
                <w:rFonts w:hint="default" w:ascii="Times New Roman" w:hAnsi="Times New Roman" w:cs="Times New Roman"/>
                <w:color w:val="000000"/>
                <w:kern w:val="2"/>
                <w:sz w:val="21"/>
                <w:szCs w:val="21"/>
                <w:highlight w:val="none"/>
                <w:lang w:val="en-US" w:eastAsia="zh-CN" w:bidi="ar-SA"/>
              </w:rPr>
            </w:pPr>
            <w:r>
              <w:rPr>
                <w:rFonts w:hint="default" w:ascii="Times New Roman" w:hAnsi="Times New Roman" w:cs="Times New Roman"/>
                <w:color w:val="000000"/>
                <w:szCs w:val="21"/>
                <w:highlight w:val="none"/>
              </w:rPr>
              <w:t>Zs</w:t>
            </w:r>
            <w:r>
              <w:rPr>
                <w:rFonts w:hint="eastAsia" w:ascii="Times New Roman" w:hAnsi="Times New Roman" w:cs="Times New Roman"/>
                <w:color w:val="000000"/>
                <w:szCs w:val="21"/>
                <w:highlight w:val="none"/>
                <w:lang w:val="en-US" w:eastAsia="zh-CN"/>
              </w:rPr>
              <w:t>3</w:t>
            </w:r>
            <w:r>
              <w:rPr>
                <w:rFonts w:hint="default" w:ascii="Times New Roman" w:hAnsi="Times New Roman" w:cs="Times New Roman"/>
                <w:color w:val="000000"/>
                <w:szCs w:val="21"/>
                <w:highlight w:val="none"/>
              </w:rPr>
              <w:t>#</w:t>
            </w:r>
          </w:p>
        </w:tc>
        <w:tc>
          <w:tcPr>
            <w:tcW w:w="1575" w:type="dxa"/>
            <w:tcBorders>
              <w:tl2br w:val="nil"/>
              <w:tr2bl w:val="nil"/>
            </w:tcBorders>
            <w:noWrap w:val="0"/>
            <w:vAlign w:val="center"/>
          </w:tcPr>
          <w:p w14:paraId="4E122205">
            <w:pPr>
              <w:spacing w:line="30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南</w:t>
            </w:r>
            <w:r>
              <w:rPr>
                <w:rFonts w:hint="default" w:ascii="Times New Roman" w:hAnsi="Times New Roman" w:cs="Times New Roman"/>
                <w:color w:val="000000"/>
                <w:szCs w:val="21"/>
                <w:highlight w:val="none"/>
              </w:rPr>
              <w:t>侧厂界</w:t>
            </w:r>
          </w:p>
        </w:tc>
        <w:tc>
          <w:tcPr>
            <w:tcW w:w="870" w:type="dxa"/>
            <w:tcBorders>
              <w:tl2br w:val="nil"/>
              <w:tr2bl w:val="nil"/>
            </w:tcBorders>
            <w:noWrap w:val="0"/>
            <w:vAlign w:val="center"/>
          </w:tcPr>
          <w:p w14:paraId="778F413D">
            <w:pPr>
              <w:spacing w:line="240" w:lineRule="exact"/>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50.6</w:t>
            </w:r>
          </w:p>
        </w:tc>
        <w:tc>
          <w:tcPr>
            <w:tcW w:w="975" w:type="dxa"/>
            <w:tcBorders>
              <w:tl2br w:val="nil"/>
              <w:tr2bl w:val="nil"/>
            </w:tcBorders>
            <w:noWrap w:val="0"/>
            <w:vAlign w:val="center"/>
          </w:tcPr>
          <w:p w14:paraId="4880D7BD">
            <w:pPr>
              <w:spacing w:line="24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60</w:t>
            </w:r>
          </w:p>
        </w:tc>
        <w:tc>
          <w:tcPr>
            <w:tcW w:w="1110" w:type="dxa"/>
            <w:tcBorders>
              <w:tl2br w:val="nil"/>
              <w:tr2bl w:val="nil"/>
            </w:tcBorders>
            <w:noWrap w:val="0"/>
            <w:vAlign w:val="center"/>
          </w:tcPr>
          <w:p w14:paraId="41A69A47">
            <w:pPr>
              <w:spacing w:line="24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达标</w:t>
            </w:r>
          </w:p>
        </w:tc>
        <w:tc>
          <w:tcPr>
            <w:tcW w:w="1099" w:type="dxa"/>
            <w:tcBorders>
              <w:tl2br w:val="nil"/>
              <w:tr2bl w:val="nil"/>
            </w:tcBorders>
            <w:noWrap w:val="0"/>
            <w:vAlign w:val="center"/>
          </w:tcPr>
          <w:p w14:paraId="6C1B7561">
            <w:pPr>
              <w:widowControl/>
              <w:jc w:val="center"/>
              <w:textAlignment w:val="center"/>
              <w:rPr>
                <w:rFonts w:hint="default"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40.1</w:t>
            </w:r>
          </w:p>
        </w:tc>
        <w:tc>
          <w:tcPr>
            <w:tcW w:w="1099" w:type="dxa"/>
            <w:tcBorders>
              <w:tl2br w:val="nil"/>
              <w:tr2bl w:val="nil"/>
            </w:tcBorders>
            <w:noWrap w:val="0"/>
            <w:vAlign w:val="center"/>
          </w:tcPr>
          <w:p w14:paraId="64C8E8F8">
            <w:pPr>
              <w:widowControl/>
              <w:jc w:val="center"/>
              <w:textAlignment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50</w:t>
            </w:r>
          </w:p>
        </w:tc>
        <w:tc>
          <w:tcPr>
            <w:tcW w:w="1100" w:type="dxa"/>
            <w:tcBorders>
              <w:tl2br w:val="nil"/>
              <w:tr2bl w:val="nil"/>
            </w:tcBorders>
            <w:noWrap w:val="0"/>
            <w:vAlign w:val="center"/>
          </w:tcPr>
          <w:p w14:paraId="2B7B7455">
            <w:pPr>
              <w:widowControl/>
              <w:jc w:val="center"/>
              <w:textAlignment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达标</w:t>
            </w:r>
          </w:p>
        </w:tc>
      </w:tr>
      <w:tr w14:paraId="4BBB94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00" w:type="dxa"/>
            <w:tcBorders>
              <w:tl2br w:val="nil"/>
              <w:tr2bl w:val="nil"/>
            </w:tcBorders>
            <w:noWrap w:val="0"/>
            <w:vAlign w:val="center"/>
          </w:tcPr>
          <w:p w14:paraId="031167DB">
            <w:pPr>
              <w:spacing w:line="300" w:lineRule="exact"/>
              <w:jc w:val="center"/>
              <w:rPr>
                <w:rFonts w:hint="default" w:ascii="Times New Roman" w:hAnsi="Times New Roman" w:cs="Times New Roman"/>
                <w:color w:val="000000"/>
                <w:kern w:val="2"/>
                <w:sz w:val="21"/>
                <w:szCs w:val="21"/>
                <w:highlight w:val="none"/>
                <w:lang w:val="en-US" w:eastAsia="zh-CN" w:bidi="ar-SA"/>
              </w:rPr>
            </w:pPr>
            <w:r>
              <w:rPr>
                <w:rFonts w:hint="default" w:ascii="Times New Roman" w:hAnsi="Times New Roman" w:cs="Times New Roman"/>
                <w:color w:val="000000"/>
                <w:szCs w:val="21"/>
                <w:highlight w:val="none"/>
              </w:rPr>
              <w:t>Zs</w:t>
            </w:r>
            <w:r>
              <w:rPr>
                <w:rFonts w:hint="eastAsia" w:ascii="Times New Roman" w:hAnsi="Times New Roman" w:cs="Times New Roman"/>
                <w:color w:val="000000"/>
                <w:szCs w:val="21"/>
                <w:highlight w:val="none"/>
                <w:lang w:val="en-US" w:eastAsia="zh-CN"/>
              </w:rPr>
              <w:t>4</w:t>
            </w:r>
            <w:r>
              <w:rPr>
                <w:rFonts w:hint="default" w:ascii="Times New Roman" w:hAnsi="Times New Roman" w:cs="Times New Roman"/>
                <w:color w:val="000000"/>
                <w:szCs w:val="21"/>
                <w:highlight w:val="none"/>
              </w:rPr>
              <w:t>#</w:t>
            </w:r>
          </w:p>
        </w:tc>
        <w:tc>
          <w:tcPr>
            <w:tcW w:w="1575" w:type="dxa"/>
            <w:tcBorders>
              <w:tl2br w:val="nil"/>
              <w:tr2bl w:val="nil"/>
            </w:tcBorders>
            <w:noWrap w:val="0"/>
            <w:vAlign w:val="center"/>
          </w:tcPr>
          <w:p w14:paraId="0E8A27FC">
            <w:pPr>
              <w:spacing w:line="30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西</w:t>
            </w:r>
            <w:r>
              <w:rPr>
                <w:rFonts w:hint="default" w:ascii="Times New Roman" w:hAnsi="Times New Roman" w:cs="Times New Roman"/>
                <w:color w:val="000000"/>
                <w:szCs w:val="21"/>
                <w:highlight w:val="none"/>
              </w:rPr>
              <w:t>侧厂界</w:t>
            </w:r>
          </w:p>
        </w:tc>
        <w:tc>
          <w:tcPr>
            <w:tcW w:w="870" w:type="dxa"/>
            <w:tcBorders>
              <w:tl2br w:val="nil"/>
              <w:tr2bl w:val="nil"/>
            </w:tcBorders>
            <w:noWrap w:val="0"/>
            <w:vAlign w:val="center"/>
          </w:tcPr>
          <w:p w14:paraId="530C801C">
            <w:pPr>
              <w:spacing w:line="240" w:lineRule="exact"/>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51.8</w:t>
            </w:r>
          </w:p>
        </w:tc>
        <w:tc>
          <w:tcPr>
            <w:tcW w:w="975" w:type="dxa"/>
            <w:tcBorders>
              <w:tl2br w:val="nil"/>
              <w:tr2bl w:val="nil"/>
            </w:tcBorders>
            <w:noWrap w:val="0"/>
            <w:vAlign w:val="center"/>
          </w:tcPr>
          <w:p w14:paraId="49C90535">
            <w:pPr>
              <w:spacing w:line="24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60</w:t>
            </w:r>
          </w:p>
        </w:tc>
        <w:tc>
          <w:tcPr>
            <w:tcW w:w="1110" w:type="dxa"/>
            <w:tcBorders>
              <w:tl2br w:val="nil"/>
              <w:tr2bl w:val="nil"/>
            </w:tcBorders>
            <w:noWrap w:val="0"/>
            <w:vAlign w:val="center"/>
          </w:tcPr>
          <w:p w14:paraId="5C2AFE92">
            <w:pPr>
              <w:spacing w:line="240" w:lineRule="exact"/>
              <w:jc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达标</w:t>
            </w:r>
          </w:p>
        </w:tc>
        <w:tc>
          <w:tcPr>
            <w:tcW w:w="1099" w:type="dxa"/>
            <w:tcBorders>
              <w:tl2br w:val="nil"/>
              <w:tr2bl w:val="nil"/>
            </w:tcBorders>
            <w:noWrap w:val="0"/>
            <w:vAlign w:val="center"/>
          </w:tcPr>
          <w:p w14:paraId="5D5179B2">
            <w:pPr>
              <w:widowControl/>
              <w:jc w:val="center"/>
              <w:textAlignment w:val="center"/>
              <w:rPr>
                <w:rFonts w:hint="default"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39.8</w:t>
            </w:r>
          </w:p>
        </w:tc>
        <w:tc>
          <w:tcPr>
            <w:tcW w:w="1099" w:type="dxa"/>
            <w:tcBorders>
              <w:tl2br w:val="nil"/>
              <w:tr2bl w:val="nil"/>
            </w:tcBorders>
            <w:noWrap w:val="0"/>
            <w:vAlign w:val="center"/>
          </w:tcPr>
          <w:p w14:paraId="75153E6C">
            <w:pPr>
              <w:widowControl/>
              <w:jc w:val="center"/>
              <w:textAlignment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50</w:t>
            </w:r>
          </w:p>
        </w:tc>
        <w:tc>
          <w:tcPr>
            <w:tcW w:w="1100" w:type="dxa"/>
            <w:tcBorders>
              <w:tl2br w:val="nil"/>
              <w:tr2bl w:val="nil"/>
            </w:tcBorders>
            <w:noWrap w:val="0"/>
            <w:vAlign w:val="center"/>
          </w:tcPr>
          <w:p w14:paraId="5436E7B5">
            <w:pPr>
              <w:widowControl/>
              <w:jc w:val="center"/>
              <w:textAlignment w:val="center"/>
              <w:rPr>
                <w:rFonts w:hint="default" w:ascii="Times New Roman" w:hAnsi="Times New Roman" w:cs="Times New Roman"/>
                <w:color w:val="000000"/>
                <w:szCs w:val="21"/>
                <w:highlight w:val="none"/>
              </w:rPr>
            </w:pPr>
            <w:r>
              <w:rPr>
                <w:rFonts w:hint="eastAsia" w:ascii="Times New Roman" w:hAnsi="Times New Roman" w:cs="Times New Roman"/>
                <w:color w:val="000000"/>
                <w:szCs w:val="21"/>
                <w:highlight w:val="none"/>
                <w:lang w:val="en-US" w:eastAsia="zh-CN"/>
              </w:rPr>
              <w:t>达标</w:t>
            </w:r>
          </w:p>
        </w:tc>
      </w:tr>
    </w:tbl>
    <w:p w14:paraId="7B5253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rPr>
      </w:pPr>
      <w:bookmarkStart w:id="258" w:name="_Toc19694"/>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6</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监测结果评价</w:t>
      </w:r>
      <w:bookmarkEnd w:id="258"/>
    </w:p>
    <w:p w14:paraId="0BAB3536">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根据监测结果可知</w:t>
      </w:r>
      <w:r>
        <w:rPr>
          <w:rFonts w:hint="default" w:ascii="Times New Roman" w:hAnsi="Times New Roman" w:cs="Times New Roman"/>
          <w:color w:val="000000"/>
          <w:sz w:val="24"/>
          <w:highlight w:val="none"/>
        </w:rPr>
        <w:t>，</w:t>
      </w:r>
      <w:bookmarkStart w:id="259" w:name="OLE_LINK152"/>
      <w:r>
        <w:rPr>
          <w:rFonts w:hint="default" w:ascii="Times New Roman" w:hAnsi="Times New Roman" w:cs="Times New Roman"/>
          <w:color w:val="000000"/>
          <w:sz w:val="24"/>
          <w:highlight w:val="none"/>
        </w:rPr>
        <w:t>厂界</w:t>
      </w:r>
      <w:r>
        <w:rPr>
          <w:rFonts w:hint="eastAsia" w:ascii="Times New Roman" w:hAnsi="Times New Roman" w:cs="Times New Roman"/>
          <w:color w:val="000000"/>
          <w:sz w:val="24"/>
          <w:highlight w:val="none"/>
          <w:lang w:val="en-US" w:eastAsia="zh-CN"/>
        </w:rPr>
        <w:t>声环境</w:t>
      </w:r>
      <w:r>
        <w:rPr>
          <w:rFonts w:hint="default" w:ascii="Times New Roman" w:hAnsi="Times New Roman" w:cs="Times New Roman"/>
          <w:color w:val="000000"/>
          <w:sz w:val="24"/>
          <w:highlight w:val="none"/>
        </w:rPr>
        <w:t>昼</w:t>
      </w:r>
      <w:r>
        <w:rPr>
          <w:rFonts w:hint="eastAsia" w:ascii="Times New Roman" w:hAnsi="Times New Roman" w:cs="Times New Roman"/>
          <w:color w:val="000000"/>
          <w:sz w:val="24"/>
          <w:highlight w:val="none"/>
          <w:lang w:val="en-US" w:eastAsia="zh-CN"/>
        </w:rPr>
        <w:t>间</w:t>
      </w:r>
      <w:r>
        <w:rPr>
          <w:rFonts w:hint="default" w:ascii="Times New Roman" w:hAnsi="Times New Roman" w:cs="Times New Roman"/>
          <w:color w:val="000000"/>
          <w:sz w:val="24"/>
          <w:highlight w:val="none"/>
        </w:rPr>
        <w:t>、夜间均满足《声环境质量标准》(GB3096-2008)中2类标准要求。</w:t>
      </w:r>
      <w:bookmarkEnd w:id="259"/>
    </w:p>
    <w:p w14:paraId="3348AEC4">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eastAsia="宋体" w:cs="Times New Roman"/>
          <w:b/>
          <w:bCs/>
          <w:color w:val="000000"/>
          <w:sz w:val="24"/>
          <w:szCs w:val="24"/>
          <w:highlight w:val="none"/>
        </w:rPr>
      </w:pPr>
      <w:bookmarkStart w:id="260" w:name="_Toc20774"/>
      <w:bookmarkStart w:id="261" w:name="_Toc28472"/>
      <w:r>
        <w:rPr>
          <w:rFonts w:hint="eastAsia" w:ascii="Times New Roman" w:hAnsi="Times New Roman" w:eastAsia="宋体" w:cs="Times New Roman"/>
          <w:b/>
          <w:bCs/>
          <w:color w:val="000000"/>
          <w:sz w:val="24"/>
          <w:szCs w:val="24"/>
          <w:highlight w:val="none"/>
          <w:lang w:val="en-US" w:eastAsia="zh-CN"/>
        </w:rPr>
        <w:t>土壤</w:t>
      </w:r>
      <w:r>
        <w:rPr>
          <w:rFonts w:hint="default" w:ascii="Times New Roman" w:hAnsi="Times New Roman" w:eastAsia="宋体" w:cs="Times New Roman"/>
          <w:b/>
          <w:bCs/>
          <w:color w:val="000000"/>
          <w:sz w:val="24"/>
          <w:szCs w:val="24"/>
          <w:highlight w:val="none"/>
        </w:rPr>
        <w:t>环境质量现状评价</w:t>
      </w:r>
      <w:bookmarkEnd w:id="260"/>
      <w:bookmarkEnd w:id="261"/>
    </w:p>
    <w:p w14:paraId="556FC60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szCs w:val="32"/>
          <w:highlight w:val="none"/>
        </w:rPr>
      </w:pPr>
      <w:r>
        <w:rPr>
          <w:rFonts w:hint="eastAsia" w:ascii="Times New Roman" w:hAnsi="Times New Roman" w:cs="Times New Roman"/>
          <w:b w:val="0"/>
          <w:bCs/>
          <w:color w:val="auto"/>
          <w:sz w:val="24"/>
          <w:szCs w:val="32"/>
          <w:highlight w:val="none"/>
          <w:lang w:eastAsia="zh-CN"/>
        </w:rPr>
        <w:t>（</w:t>
      </w:r>
      <w:r>
        <w:rPr>
          <w:rFonts w:hint="eastAsia" w:ascii="Times New Roman" w:hAnsi="Times New Roman" w:cs="Times New Roman"/>
          <w:b w:val="0"/>
          <w:bCs/>
          <w:color w:val="auto"/>
          <w:sz w:val="24"/>
          <w:szCs w:val="32"/>
          <w:highlight w:val="none"/>
          <w:lang w:val="en-US" w:eastAsia="zh-CN"/>
        </w:rPr>
        <w:t>1</w:t>
      </w:r>
      <w:r>
        <w:rPr>
          <w:rFonts w:hint="eastAsia" w:ascii="Times New Roman" w:hAnsi="Times New Roman" w:cs="Times New Roman"/>
          <w:b w:val="0"/>
          <w:bCs/>
          <w:color w:val="auto"/>
          <w:sz w:val="24"/>
          <w:szCs w:val="32"/>
          <w:highlight w:val="none"/>
          <w:lang w:eastAsia="zh-CN"/>
        </w:rPr>
        <w:t>）</w:t>
      </w:r>
      <w:r>
        <w:rPr>
          <w:rFonts w:hint="default" w:ascii="Times New Roman" w:hAnsi="Times New Roman" w:cs="Times New Roman"/>
          <w:b w:val="0"/>
          <w:bCs/>
          <w:color w:val="auto"/>
          <w:sz w:val="24"/>
          <w:szCs w:val="32"/>
          <w:highlight w:val="none"/>
        </w:rPr>
        <w:t>监测</w:t>
      </w:r>
      <w:r>
        <w:rPr>
          <w:rFonts w:hint="eastAsia" w:ascii="Times New Roman" w:hAnsi="Times New Roman" w:cs="Times New Roman"/>
          <w:b w:val="0"/>
          <w:bCs/>
          <w:color w:val="auto"/>
          <w:sz w:val="24"/>
          <w:szCs w:val="32"/>
          <w:highlight w:val="none"/>
          <w:lang w:val="en-US" w:eastAsia="zh-CN"/>
        </w:rPr>
        <w:t>布点</w:t>
      </w:r>
    </w:p>
    <w:p w14:paraId="10C41600">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根据《环境影响评价技术导则 土壤环境（试行）》(HJ964-2018)，本项目为污染影响型项目，土壤评价等级为</w:t>
      </w:r>
      <w:r>
        <w:rPr>
          <w:rFonts w:hint="eastAsia" w:ascii="Times New Roman" w:hAnsi="Times New Roman" w:cs="Times New Roman"/>
          <w:color w:val="auto"/>
          <w:sz w:val="24"/>
          <w:highlight w:val="none"/>
          <w:lang w:val="en-US" w:eastAsia="zh-CN"/>
        </w:rPr>
        <w:t>三级</w:t>
      </w:r>
      <w:r>
        <w:rPr>
          <w:rFonts w:hint="default" w:ascii="Times New Roman" w:hAnsi="Times New Roman" w:cs="Times New Roman"/>
          <w:color w:val="auto"/>
          <w:sz w:val="24"/>
          <w:highlight w:val="none"/>
        </w:rPr>
        <w:t>，根据</w:t>
      </w:r>
      <w:r>
        <w:rPr>
          <w:rFonts w:hint="eastAsia" w:ascii="Times New Roman" w:hAnsi="Times New Roman" w:cs="Times New Roman"/>
          <w:color w:val="auto"/>
          <w:sz w:val="24"/>
          <w:highlight w:val="none"/>
          <w:lang w:val="en-US" w:eastAsia="zh-CN"/>
        </w:rPr>
        <w:t>三级</w:t>
      </w:r>
      <w:r>
        <w:rPr>
          <w:rFonts w:hint="default" w:ascii="Times New Roman" w:hAnsi="Times New Roman" w:cs="Times New Roman"/>
          <w:color w:val="auto"/>
          <w:sz w:val="24"/>
          <w:highlight w:val="none"/>
        </w:rPr>
        <w:t>评价项目现状监测点的布设原则</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占地范围内土壤监测点不少于</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个表层样</w:t>
      </w:r>
      <w:r>
        <w:rPr>
          <w:rFonts w:hint="eastAsia" w:ascii="Times New Roman" w:hAnsi="Times New Roman" w:cs="Times New Roman"/>
          <w:color w:val="auto"/>
          <w:sz w:val="24"/>
          <w:highlight w:val="none"/>
          <w:lang w:eastAsia="zh-CN"/>
        </w:rPr>
        <w:t>，涉及入渗途径影响的，主要产污装置区应设置柱状样监测点；涉及大气沉降影响的，应在占地范围外主导风向的上、下风向各设置1个表层样监测点，可在最大落地浓度点增设表层样监测点</w:t>
      </w:r>
      <w:r>
        <w:rPr>
          <w:rFonts w:hint="eastAsia" w:ascii="宋体" w:hAnsi="宋体" w:eastAsia="宋体" w:cs="宋体"/>
          <w:color w:val="auto"/>
          <w:sz w:val="24"/>
          <w:highlight w:val="none"/>
        </w:rPr>
        <w:t>”</w:t>
      </w:r>
      <w:r>
        <w:rPr>
          <w:rFonts w:hint="eastAsia" w:ascii="Times New Roman" w:hAnsi="Times New Roman" w:cs="Times New Roman"/>
          <w:color w:val="auto"/>
          <w:sz w:val="24"/>
          <w:highlight w:val="none"/>
          <w:lang w:eastAsia="zh-CN"/>
        </w:rPr>
        <w:t>。</w:t>
      </w:r>
    </w:p>
    <w:p w14:paraId="28BE8DBA">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①占地范围内：本次在排土场占地范围内共设1个柱状样、2个表层样，均为建设用地，柱状样第一层均在0-0.2m取样可作为表层样分析。</w:t>
      </w:r>
    </w:p>
    <w:p w14:paraId="7243777C">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②占地范围外：本次在排土场占地范围外共布设2个表层样。</w:t>
      </w:r>
    </w:p>
    <w:p w14:paraId="78105AD5">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综上所述，本项目共布设5个土壤监测点位，包括1个柱状样、4个表层样，土壤采样深度按照实际土壤深度，监测点位布设情况见下表。</w:t>
      </w:r>
    </w:p>
    <w:p w14:paraId="1A24BDAE">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sz w:val="21"/>
          <w:szCs w:val="21"/>
          <w:highlight w:val="none"/>
          <w:lang w:val="en-US" w:eastAsia="zh-CN"/>
        </w:rPr>
      </w:pPr>
      <w:r>
        <w:rPr>
          <w:rFonts w:hint="eastAsia" w:ascii="Times New Roman" w:hAnsi="Times New Roman" w:eastAsia="宋体" w:cs="Times New Roman"/>
          <w:b/>
          <w:sz w:val="21"/>
          <w:szCs w:val="21"/>
          <w:highlight w:val="none"/>
          <w:lang w:val="en-US" w:eastAsia="zh-CN"/>
        </w:rPr>
        <w:t>土壤</w:t>
      </w:r>
      <w:r>
        <w:rPr>
          <w:rFonts w:hint="default" w:ascii="Times New Roman" w:hAnsi="Times New Roman" w:eastAsia="宋体" w:cs="Times New Roman"/>
          <w:b/>
          <w:sz w:val="21"/>
          <w:szCs w:val="21"/>
          <w:highlight w:val="none"/>
          <w:lang w:val="en-US" w:eastAsia="zh-CN"/>
        </w:rPr>
        <w:t>监测</w:t>
      </w:r>
      <w:r>
        <w:rPr>
          <w:rFonts w:hint="eastAsia" w:ascii="Times New Roman" w:hAnsi="Times New Roman" w:eastAsia="宋体" w:cs="Times New Roman"/>
          <w:b/>
          <w:sz w:val="21"/>
          <w:szCs w:val="21"/>
          <w:highlight w:val="none"/>
          <w:lang w:val="en-US" w:eastAsia="zh-CN"/>
        </w:rPr>
        <w:t>点位一览表</w:t>
      </w:r>
    </w:p>
    <w:tbl>
      <w:tblPr>
        <w:tblStyle w:val="59"/>
        <w:tblW w:w="4999"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09"/>
        <w:gridCol w:w="1668"/>
        <w:gridCol w:w="2787"/>
        <w:gridCol w:w="7"/>
        <w:gridCol w:w="2948"/>
        <w:gridCol w:w="7"/>
      </w:tblGrid>
      <w:tr w14:paraId="734304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50" w:type="pct"/>
            <w:tcBorders>
              <w:tl2br w:val="nil"/>
              <w:tr2bl w:val="nil"/>
            </w:tcBorders>
            <w:noWrap w:val="0"/>
            <w:vAlign w:val="center"/>
          </w:tcPr>
          <w:p w14:paraId="363DA8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类型</w:t>
            </w:r>
          </w:p>
        </w:tc>
        <w:tc>
          <w:tcPr>
            <w:tcW w:w="2616" w:type="pct"/>
            <w:gridSpan w:val="3"/>
            <w:tcBorders>
              <w:tl2br w:val="nil"/>
              <w:tr2bl w:val="nil"/>
            </w:tcBorders>
            <w:noWrap w:val="0"/>
            <w:vAlign w:val="center"/>
          </w:tcPr>
          <w:p w14:paraId="306E48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kern w:val="2"/>
                <w:sz w:val="21"/>
                <w:szCs w:val="21"/>
                <w:highlight w:val="none"/>
                <w:vertAlign w:val="baseline"/>
                <w:lang w:val="en-US" w:eastAsia="zh-CN" w:bidi="ar-SA"/>
              </w:rPr>
            </w:pPr>
            <w:r>
              <w:rPr>
                <w:rFonts w:hint="eastAsia" w:ascii="Times New Roman" w:hAnsi="Times New Roman" w:cs="Times New Roman"/>
                <w:b/>
                <w:bCs/>
                <w:color w:val="000000"/>
                <w:sz w:val="21"/>
                <w:szCs w:val="21"/>
                <w:highlight w:val="none"/>
                <w:vertAlign w:val="baseline"/>
                <w:lang w:val="en-US" w:eastAsia="zh-CN"/>
              </w:rPr>
              <w:t>监测点位</w:t>
            </w:r>
          </w:p>
        </w:tc>
        <w:tc>
          <w:tcPr>
            <w:tcW w:w="1732" w:type="pct"/>
            <w:gridSpan w:val="2"/>
            <w:tcBorders>
              <w:tl2br w:val="nil"/>
              <w:tr2bl w:val="nil"/>
            </w:tcBorders>
            <w:noWrap w:val="0"/>
            <w:vAlign w:val="center"/>
          </w:tcPr>
          <w:p w14:paraId="42EEFB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取样深度</w:t>
            </w:r>
          </w:p>
        </w:tc>
      </w:tr>
      <w:tr w14:paraId="2BDE06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4" w:type="pct"/>
          <w:trHeight w:val="397" w:hRule="atLeast"/>
        </w:trPr>
        <w:tc>
          <w:tcPr>
            <w:tcW w:w="650" w:type="pct"/>
            <w:vMerge w:val="restart"/>
            <w:tcBorders>
              <w:tl2br w:val="nil"/>
              <w:tr2bl w:val="nil"/>
            </w:tcBorders>
            <w:noWrap w:val="0"/>
            <w:vAlign w:val="center"/>
          </w:tcPr>
          <w:p w14:paraId="47914F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000000"/>
                <w:sz w:val="21"/>
                <w:szCs w:val="21"/>
                <w:highlight w:val="none"/>
                <w:vertAlign w:val="baseline"/>
                <w:lang w:val="en-US" w:eastAsia="zh-CN"/>
              </w:rPr>
            </w:pPr>
            <w:r>
              <w:rPr>
                <w:rFonts w:hint="eastAsia" w:ascii="Times New Roman" w:hAnsi="Times New Roman" w:cs="Times New Roman"/>
                <w:b w:val="0"/>
                <w:bCs/>
                <w:color w:val="000000"/>
                <w:sz w:val="21"/>
                <w:szCs w:val="21"/>
                <w:highlight w:val="none"/>
                <w:vertAlign w:val="baseline"/>
                <w:lang w:val="en-US" w:eastAsia="zh-CN"/>
              </w:rPr>
              <w:t>占地范围</w:t>
            </w:r>
            <w:r>
              <w:rPr>
                <w:rFonts w:hint="eastAsia" w:cs="Times New Roman"/>
                <w:b w:val="0"/>
                <w:bCs/>
                <w:color w:val="000000"/>
                <w:sz w:val="21"/>
                <w:szCs w:val="21"/>
                <w:highlight w:val="none"/>
                <w:vertAlign w:val="baseline"/>
                <w:lang w:val="en-US" w:eastAsia="zh-CN"/>
              </w:rPr>
              <w:t>内</w:t>
            </w:r>
          </w:p>
        </w:tc>
        <w:tc>
          <w:tcPr>
            <w:tcW w:w="978" w:type="pct"/>
            <w:tcBorders>
              <w:tl2br w:val="nil"/>
              <w:tr2bl w:val="nil"/>
            </w:tcBorders>
            <w:noWrap w:val="0"/>
            <w:vAlign w:val="center"/>
          </w:tcPr>
          <w:p w14:paraId="2445D2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bidi="ar-SA"/>
              </w:rPr>
            </w:pPr>
            <w:r>
              <w:rPr>
                <w:rFonts w:hint="default" w:ascii="Times New Roman" w:hAnsi="Times New Roman" w:cs="Times New Roman"/>
                <w:b w:val="0"/>
                <w:bCs/>
                <w:sz w:val="21"/>
                <w:szCs w:val="21"/>
                <w:highlight w:val="none"/>
                <w:lang w:val="en-US" w:eastAsia="zh-CN"/>
              </w:rPr>
              <w:t>Tr1</w:t>
            </w:r>
            <w:r>
              <w:rPr>
                <w:rFonts w:hint="default" w:ascii="Times New Roman" w:hAnsi="Times New Roman" w:cs="Times New Roman"/>
                <w:b w:val="0"/>
                <w:bCs/>
                <w:sz w:val="21"/>
                <w:szCs w:val="21"/>
                <w:highlight w:val="none"/>
              </w:rPr>
              <w:t>#</w:t>
            </w:r>
            <w:r>
              <w:rPr>
                <w:rFonts w:hint="eastAsia" w:cs="Times New Roman"/>
                <w:b w:val="0"/>
                <w:bCs/>
                <w:sz w:val="21"/>
                <w:szCs w:val="21"/>
                <w:highlight w:val="none"/>
                <w:lang w:val="en-US" w:eastAsia="zh-CN"/>
              </w:rPr>
              <w:t>-柱状样</w:t>
            </w:r>
          </w:p>
        </w:tc>
        <w:tc>
          <w:tcPr>
            <w:tcW w:w="1634" w:type="pct"/>
            <w:tcBorders>
              <w:tl2br w:val="nil"/>
              <w:tr2bl w:val="nil"/>
            </w:tcBorders>
            <w:noWrap w:val="0"/>
            <w:vAlign w:val="center"/>
          </w:tcPr>
          <w:p w14:paraId="6C9EFA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排土场内北部区域</w:t>
            </w:r>
          </w:p>
        </w:tc>
        <w:tc>
          <w:tcPr>
            <w:tcW w:w="1732" w:type="pct"/>
            <w:gridSpan w:val="2"/>
            <w:tcBorders>
              <w:tl2br w:val="nil"/>
              <w:tr2bl w:val="nil"/>
            </w:tcBorders>
            <w:noWrap w:val="0"/>
            <w:vAlign w:val="center"/>
          </w:tcPr>
          <w:p w14:paraId="437E44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kern w:val="2"/>
                <w:sz w:val="21"/>
                <w:szCs w:val="21"/>
                <w:highlight w:val="none"/>
                <w:lang w:val="en-US" w:eastAsia="zh-CN" w:bidi="ar-SA"/>
              </w:rPr>
            </w:pPr>
            <w:r>
              <w:rPr>
                <w:rFonts w:hint="eastAsia" w:ascii="Times New Roman" w:hAnsi="Times New Roman" w:cs="Times New Roman"/>
                <w:b w:val="0"/>
                <w:bCs/>
                <w:sz w:val="21"/>
                <w:szCs w:val="21"/>
                <w:highlight w:val="none"/>
                <w:lang w:val="en-US" w:eastAsia="zh-CN"/>
              </w:rPr>
              <w:t>0.2m</w:t>
            </w:r>
            <w:r>
              <w:rPr>
                <w:rFonts w:hint="eastAsia" w:cs="Times New Roman"/>
                <w:b w:val="0"/>
                <w:bCs/>
                <w:sz w:val="21"/>
                <w:szCs w:val="21"/>
                <w:highlight w:val="none"/>
                <w:lang w:val="en-US" w:eastAsia="zh-CN"/>
              </w:rPr>
              <w:t>、1.0m、2.2m、3.1m</w:t>
            </w:r>
          </w:p>
        </w:tc>
      </w:tr>
      <w:tr w14:paraId="2D9433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4" w:type="pct"/>
          <w:trHeight w:val="397" w:hRule="atLeast"/>
        </w:trPr>
        <w:tc>
          <w:tcPr>
            <w:tcW w:w="650" w:type="pct"/>
            <w:vMerge w:val="continue"/>
            <w:tcBorders>
              <w:tl2br w:val="nil"/>
              <w:tr2bl w:val="nil"/>
            </w:tcBorders>
            <w:noWrap w:val="0"/>
            <w:vAlign w:val="center"/>
          </w:tcPr>
          <w:p w14:paraId="276DE2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000000"/>
                <w:sz w:val="21"/>
                <w:szCs w:val="21"/>
                <w:highlight w:val="none"/>
                <w:vertAlign w:val="baseline"/>
                <w:lang w:val="en-US" w:eastAsia="zh-CN"/>
              </w:rPr>
            </w:pPr>
          </w:p>
        </w:tc>
        <w:tc>
          <w:tcPr>
            <w:tcW w:w="978" w:type="pct"/>
            <w:tcBorders>
              <w:tl2br w:val="nil"/>
              <w:tr2bl w:val="nil"/>
            </w:tcBorders>
            <w:noWrap w:val="0"/>
            <w:vAlign w:val="center"/>
          </w:tcPr>
          <w:p w14:paraId="51C061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highlight w:val="none"/>
                <w:lang w:val="en-US" w:eastAsia="zh-CN"/>
              </w:rPr>
            </w:pPr>
            <w:r>
              <w:rPr>
                <w:rFonts w:hint="default" w:ascii="Times New Roman" w:hAnsi="Times New Roman" w:cs="Times New Roman"/>
                <w:b w:val="0"/>
                <w:bCs/>
                <w:sz w:val="21"/>
                <w:szCs w:val="21"/>
                <w:highlight w:val="none"/>
                <w:lang w:val="en-US" w:eastAsia="zh-CN"/>
              </w:rPr>
              <w:t>Tr2</w:t>
            </w:r>
            <w:r>
              <w:rPr>
                <w:rFonts w:hint="default" w:ascii="Times New Roman" w:hAnsi="Times New Roman" w:cs="Times New Roman"/>
                <w:b w:val="0"/>
                <w:bCs/>
                <w:sz w:val="21"/>
                <w:szCs w:val="21"/>
                <w:highlight w:val="none"/>
              </w:rPr>
              <w:t>#</w:t>
            </w:r>
            <w:r>
              <w:rPr>
                <w:rFonts w:hint="eastAsia" w:cs="Times New Roman"/>
                <w:b w:val="0"/>
                <w:bCs/>
                <w:sz w:val="21"/>
                <w:szCs w:val="21"/>
                <w:highlight w:val="none"/>
                <w:lang w:val="en-US" w:eastAsia="zh-CN"/>
              </w:rPr>
              <w:t>-表层样</w:t>
            </w:r>
          </w:p>
        </w:tc>
        <w:tc>
          <w:tcPr>
            <w:tcW w:w="1634" w:type="pct"/>
            <w:tcBorders>
              <w:tl2br w:val="nil"/>
              <w:tr2bl w:val="nil"/>
            </w:tcBorders>
            <w:noWrap w:val="0"/>
            <w:vAlign w:val="center"/>
          </w:tcPr>
          <w:p w14:paraId="585D39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排土场内东北部区域</w:t>
            </w:r>
          </w:p>
        </w:tc>
        <w:tc>
          <w:tcPr>
            <w:tcW w:w="1732" w:type="pct"/>
            <w:gridSpan w:val="2"/>
            <w:tcBorders>
              <w:tl2br w:val="nil"/>
              <w:tr2bl w:val="nil"/>
            </w:tcBorders>
            <w:noWrap w:val="0"/>
            <w:vAlign w:val="center"/>
          </w:tcPr>
          <w:p w14:paraId="58CF20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kern w:val="2"/>
                <w:sz w:val="21"/>
                <w:szCs w:val="21"/>
                <w:highlight w:val="none"/>
                <w:lang w:val="en-US" w:eastAsia="zh-CN" w:bidi="ar-SA"/>
              </w:rPr>
            </w:pPr>
            <w:r>
              <w:rPr>
                <w:rFonts w:hint="eastAsia" w:ascii="Times New Roman" w:hAnsi="Times New Roman" w:cs="Times New Roman"/>
                <w:b w:val="0"/>
                <w:bCs/>
                <w:sz w:val="21"/>
                <w:szCs w:val="21"/>
                <w:highlight w:val="none"/>
                <w:lang w:val="en-US" w:eastAsia="zh-CN"/>
              </w:rPr>
              <w:t>0.2m</w:t>
            </w:r>
          </w:p>
        </w:tc>
      </w:tr>
      <w:tr w14:paraId="25A3E3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4" w:type="pct"/>
          <w:trHeight w:val="397" w:hRule="atLeast"/>
        </w:trPr>
        <w:tc>
          <w:tcPr>
            <w:tcW w:w="650" w:type="pct"/>
            <w:vMerge w:val="continue"/>
            <w:tcBorders>
              <w:tl2br w:val="nil"/>
              <w:tr2bl w:val="nil"/>
            </w:tcBorders>
            <w:noWrap w:val="0"/>
            <w:vAlign w:val="center"/>
          </w:tcPr>
          <w:p w14:paraId="3090B4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000000"/>
                <w:sz w:val="21"/>
                <w:szCs w:val="21"/>
                <w:highlight w:val="none"/>
                <w:vertAlign w:val="baseline"/>
                <w:lang w:val="en-US" w:eastAsia="zh-CN"/>
              </w:rPr>
            </w:pPr>
          </w:p>
        </w:tc>
        <w:tc>
          <w:tcPr>
            <w:tcW w:w="978" w:type="pct"/>
            <w:tcBorders>
              <w:tl2br w:val="nil"/>
              <w:tr2bl w:val="nil"/>
            </w:tcBorders>
            <w:noWrap w:val="0"/>
            <w:vAlign w:val="center"/>
          </w:tcPr>
          <w:p w14:paraId="59606F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highlight w:val="none"/>
                <w:lang w:val="en-US" w:eastAsia="zh-CN"/>
              </w:rPr>
            </w:pPr>
            <w:r>
              <w:rPr>
                <w:rFonts w:hint="default" w:ascii="Times New Roman" w:hAnsi="Times New Roman" w:cs="Times New Roman"/>
                <w:b w:val="0"/>
                <w:bCs/>
                <w:sz w:val="21"/>
                <w:szCs w:val="21"/>
                <w:highlight w:val="none"/>
                <w:lang w:val="en-US" w:eastAsia="zh-CN"/>
              </w:rPr>
              <w:t>Tr3</w:t>
            </w:r>
            <w:r>
              <w:rPr>
                <w:rFonts w:hint="default" w:ascii="Times New Roman" w:hAnsi="Times New Roman" w:cs="Times New Roman"/>
                <w:b w:val="0"/>
                <w:bCs/>
                <w:sz w:val="21"/>
                <w:szCs w:val="21"/>
                <w:highlight w:val="none"/>
              </w:rPr>
              <w:t>#</w:t>
            </w:r>
            <w:r>
              <w:rPr>
                <w:rFonts w:hint="eastAsia" w:cs="Times New Roman"/>
                <w:b w:val="0"/>
                <w:bCs/>
                <w:sz w:val="21"/>
                <w:szCs w:val="21"/>
                <w:highlight w:val="none"/>
                <w:lang w:val="en-US" w:eastAsia="zh-CN"/>
              </w:rPr>
              <w:t>-表层样</w:t>
            </w:r>
          </w:p>
        </w:tc>
        <w:tc>
          <w:tcPr>
            <w:tcW w:w="1634" w:type="pct"/>
            <w:tcBorders>
              <w:tl2br w:val="nil"/>
              <w:tr2bl w:val="nil"/>
            </w:tcBorders>
            <w:noWrap w:val="0"/>
            <w:vAlign w:val="center"/>
          </w:tcPr>
          <w:p w14:paraId="1E00AB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排土场内西南部区域</w:t>
            </w:r>
          </w:p>
        </w:tc>
        <w:tc>
          <w:tcPr>
            <w:tcW w:w="1732" w:type="pct"/>
            <w:gridSpan w:val="2"/>
            <w:tcBorders>
              <w:tl2br w:val="nil"/>
              <w:tr2bl w:val="nil"/>
            </w:tcBorders>
            <w:noWrap w:val="0"/>
            <w:vAlign w:val="center"/>
          </w:tcPr>
          <w:p w14:paraId="155E4C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highlight w:val="none"/>
                <w:lang w:val="en-US" w:eastAsia="zh-CN"/>
              </w:rPr>
            </w:pPr>
            <w:r>
              <w:rPr>
                <w:rFonts w:hint="eastAsia" w:ascii="Times New Roman" w:hAnsi="Times New Roman" w:cs="Times New Roman"/>
                <w:b w:val="0"/>
                <w:bCs/>
                <w:sz w:val="21"/>
                <w:szCs w:val="21"/>
                <w:highlight w:val="none"/>
                <w:lang w:val="en-US" w:eastAsia="zh-CN"/>
              </w:rPr>
              <w:t>0.2m</w:t>
            </w:r>
          </w:p>
        </w:tc>
      </w:tr>
      <w:tr w14:paraId="014157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4" w:type="pct"/>
          <w:trHeight w:val="397" w:hRule="atLeast"/>
        </w:trPr>
        <w:tc>
          <w:tcPr>
            <w:tcW w:w="650" w:type="pct"/>
            <w:vMerge w:val="restart"/>
            <w:tcBorders>
              <w:tl2br w:val="nil"/>
              <w:tr2bl w:val="nil"/>
            </w:tcBorders>
            <w:noWrap w:val="0"/>
            <w:vAlign w:val="center"/>
          </w:tcPr>
          <w:p w14:paraId="75AE04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highlight w:val="none"/>
                <w:lang w:val="en-US" w:eastAsia="zh-CN"/>
              </w:rPr>
            </w:pPr>
            <w:r>
              <w:rPr>
                <w:rFonts w:hint="eastAsia" w:ascii="Times New Roman" w:hAnsi="Times New Roman" w:cs="Times New Roman"/>
                <w:b w:val="0"/>
                <w:bCs/>
                <w:color w:val="000000"/>
                <w:sz w:val="21"/>
                <w:szCs w:val="21"/>
                <w:highlight w:val="none"/>
                <w:vertAlign w:val="baseline"/>
                <w:lang w:val="en-US" w:eastAsia="zh-CN"/>
              </w:rPr>
              <w:t>占地范围</w:t>
            </w:r>
            <w:r>
              <w:rPr>
                <w:rFonts w:hint="eastAsia" w:cs="Times New Roman"/>
                <w:b w:val="0"/>
                <w:bCs/>
                <w:color w:val="000000"/>
                <w:sz w:val="21"/>
                <w:szCs w:val="21"/>
                <w:highlight w:val="none"/>
                <w:vertAlign w:val="baseline"/>
                <w:lang w:val="en-US" w:eastAsia="zh-CN"/>
              </w:rPr>
              <w:t>外</w:t>
            </w:r>
          </w:p>
        </w:tc>
        <w:tc>
          <w:tcPr>
            <w:tcW w:w="978" w:type="pct"/>
            <w:tcBorders>
              <w:tl2br w:val="nil"/>
              <w:tr2bl w:val="nil"/>
            </w:tcBorders>
            <w:noWrap w:val="0"/>
            <w:vAlign w:val="center"/>
          </w:tcPr>
          <w:p w14:paraId="13E56D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kern w:val="2"/>
                <w:sz w:val="21"/>
                <w:szCs w:val="21"/>
                <w:highlight w:val="none"/>
                <w:lang w:val="en-US" w:eastAsia="zh-CN" w:bidi="ar-SA"/>
              </w:rPr>
            </w:pPr>
            <w:r>
              <w:rPr>
                <w:rFonts w:hint="default" w:ascii="Times New Roman" w:hAnsi="Times New Roman" w:cs="Times New Roman"/>
                <w:b w:val="0"/>
                <w:bCs/>
                <w:sz w:val="21"/>
                <w:szCs w:val="21"/>
                <w:highlight w:val="none"/>
                <w:lang w:val="en-US" w:eastAsia="zh-CN"/>
              </w:rPr>
              <w:t>Tr4</w:t>
            </w:r>
            <w:r>
              <w:rPr>
                <w:rFonts w:hint="default" w:ascii="Times New Roman" w:hAnsi="Times New Roman" w:cs="Times New Roman"/>
                <w:b w:val="0"/>
                <w:bCs/>
                <w:sz w:val="21"/>
                <w:szCs w:val="21"/>
                <w:highlight w:val="none"/>
              </w:rPr>
              <w:t>#</w:t>
            </w:r>
            <w:r>
              <w:rPr>
                <w:rFonts w:hint="eastAsia" w:cs="Times New Roman"/>
                <w:b w:val="0"/>
                <w:bCs/>
                <w:sz w:val="21"/>
                <w:szCs w:val="21"/>
                <w:highlight w:val="none"/>
                <w:lang w:val="en-US" w:eastAsia="zh-CN"/>
              </w:rPr>
              <w:t>-表层样</w:t>
            </w:r>
          </w:p>
        </w:tc>
        <w:tc>
          <w:tcPr>
            <w:tcW w:w="1634" w:type="pct"/>
            <w:tcBorders>
              <w:tl2br w:val="nil"/>
              <w:tr2bl w:val="nil"/>
            </w:tcBorders>
            <w:noWrap w:val="0"/>
            <w:vAlign w:val="center"/>
          </w:tcPr>
          <w:p w14:paraId="6CDDEF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排土场外西北侧山林</w:t>
            </w:r>
          </w:p>
        </w:tc>
        <w:tc>
          <w:tcPr>
            <w:tcW w:w="1732" w:type="pct"/>
            <w:gridSpan w:val="2"/>
            <w:tcBorders>
              <w:tl2br w:val="nil"/>
              <w:tr2bl w:val="nil"/>
            </w:tcBorders>
            <w:noWrap w:val="0"/>
            <w:vAlign w:val="center"/>
          </w:tcPr>
          <w:p w14:paraId="715547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kern w:val="2"/>
                <w:sz w:val="21"/>
                <w:szCs w:val="21"/>
                <w:highlight w:val="none"/>
                <w:lang w:val="en-US" w:eastAsia="zh-CN" w:bidi="ar-SA"/>
              </w:rPr>
            </w:pPr>
            <w:r>
              <w:rPr>
                <w:rFonts w:hint="eastAsia" w:ascii="Times New Roman" w:hAnsi="Times New Roman" w:cs="Times New Roman"/>
                <w:b w:val="0"/>
                <w:bCs/>
                <w:sz w:val="21"/>
                <w:szCs w:val="21"/>
                <w:highlight w:val="none"/>
                <w:lang w:val="en-US" w:eastAsia="zh-CN"/>
              </w:rPr>
              <w:t>0.2m</w:t>
            </w:r>
          </w:p>
        </w:tc>
      </w:tr>
      <w:tr w14:paraId="4F23A4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4" w:type="pct"/>
          <w:trHeight w:val="397" w:hRule="atLeast"/>
        </w:trPr>
        <w:tc>
          <w:tcPr>
            <w:tcW w:w="650" w:type="pct"/>
            <w:vMerge w:val="continue"/>
            <w:tcBorders>
              <w:tl2br w:val="nil"/>
              <w:tr2bl w:val="nil"/>
            </w:tcBorders>
            <w:noWrap w:val="0"/>
            <w:vAlign w:val="center"/>
          </w:tcPr>
          <w:p w14:paraId="394E80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000000"/>
                <w:sz w:val="21"/>
                <w:szCs w:val="21"/>
                <w:highlight w:val="none"/>
                <w:vertAlign w:val="baseline"/>
                <w:lang w:val="en-US" w:eastAsia="zh-CN"/>
              </w:rPr>
            </w:pPr>
          </w:p>
        </w:tc>
        <w:tc>
          <w:tcPr>
            <w:tcW w:w="978" w:type="pct"/>
            <w:tcBorders>
              <w:tl2br w:val="nil"/>
              <w:tr2bl w:val="nil"/>
            </w:tcBorders>
            <w:noWrap w:val="0"/>
            <w:vAlign w:val="center"/>
          </w:tcPr>
          <w:p w14:paraId="4F336A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highlight w:val="none"/>
                <w:lang w:val="en-US" w:eastAsia="zh-CN"/>
              </w:rPr>
            </w:pPr>
            <w:r>
              <w:rPr>
                <w:rFonts w:hint="default" w:ascii="Times New Roman" w:hAnsi="Times New Roman" w:cs="Times New Roman"/>
                <w:b w:val="0"/>
                <w:bCs/>
                <w:sz w:val="21"/>
                <w:szCs w:val="21"/>
                <w:highlight w:val="none"/>
                <w:lang w:val="en-US" w:eastAsia="zh-CN"/>
              </w:rPr>
              <w:t>Tr</w:t>
            </w:r>
            <w:r>
              <w:rPr>
                <w:rFonts w:hint="eastAsia" w:ascii="Times New Roman" w:hAnsi="Times New Roman" w:cs="Times New Roman"/>
                <w:b w:val="0"/>
                <w:bCs/>
                <w:sz w:val="21"/>
                <w:szCs w:val="21"/>
                <w:highlight w:val="none"/>
                <w:lang w:val="en-US" w:eastAsia="zh-CN"/>
              </w:rPr>
              <w:t>5</w:t>
            </w:r>
            <w:r>
              <w:rPr>
                <w:rFonts w:hint="default" w:ascii="Times New Roman" w:hAnsi="Times New Roman" w:cs="Times New Roman"/>
                <w:b w:val="0"/>
                <w:bCs/>
                <w:sz w:val="21"/>
                <w:szCs w:val="21"/>
                <w:highlight w:val="none"/>
              </w:rPr>
              <w:t>#</w:t>
            </w:r>
            <w:r>
              <w:rPr>
                <w:rFonts w:hint="eastAsia" w:cs="Times New Roman"/>
                <w:b w:val="0"/>
                <w:bCs/>
                <w:sz w:val="21"/>
                <w:szCs w:val="21"/>
                <w:highlight w:val="none"/>
                <w:lang w:val="en-US" w:eastAsia="zh-CN"/>
              </w:rPr>
              <w:t>-表层样</w:t>
            </w:r>
          </w:p>
        </w:tc>
        <w:tc>
          <w:tcPr>
            <w:tcW w:w="1634" w:type="pct"/>
            <w:tcBorders>
              <w:tl2br w:val="nil"/>
              <w:tr2bl w:val="nil"/>
            </w:tcBorders>
            <w:noWrap w:val="0"/>
            <w:vAlign w:val="center"/>
          </w:tcPr>
          <w:p w14:paraId="4B79AE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排土场外南侧山林</w:t>
            </w:r>
          </w:p>
        </w:tc>
        <w:tc>
          <w:tcPr>
            <w:tcW w:w="1732" w:type="pct"/>
            <w:gridSpan w:val="2"/>
            <w:tcBorders>
              <w:tl2br w:val="nil"/>
              <w:tr2bl w:val="nil"/>
            </w:tcBorders>
            <w:noWrap w:val="0"/>
            <w:vAlign w:val="center"/>
          </w:tcPr>
          <w:p w14:paraId="351BB5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highlight w:val="none"/>
                <w:lang w:val="en-US" w:eastAsia="zh-CN"/>
              </w:rPr>
            </w:pPr>
            <w:r>
              <w:rPr>
                <w:rFonts w:hint="eastAsia" w:ascii="Times New Roman" w:hAnsi="Times New Roman" w:cs="Times New Roman"/>
                <w:b w:val="0"/>
                <w:bCs/>
                <w:sz w:val="21"/>
                <w:szCs w:val="21"/>
                <w:highlight w:val="none"/>
                <w:lang w:val="en-US" w:eastAsia="zh-CN"/>
              </w:rPr>
              <w:t>0.2m</w:t>
            </w:r>
          </w:p>
        </w:tc>
      </w:tr>
    </w:tbl>
    <w:p w14:paraId="1F93D2D3">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）监测</w:t>
      </w:r>
      <w:r>
        <w:rPr>
          <w:rFonts w:hint="eastAsia" w:ascii="Times New Roman" w:hAnsi="Times New Roman" w:cs="Times New Roman"/>
          <w:color w:val="auto"/>
          <w:sz w:val="24"/>
          <w:highlight w:val="none"/>
          <w:lang w:val="en-US" w:eastAsia="zh-CN"/>
        </w:rPr>
        <w:t>因子及评价标准</w:t>
      </w:r>
    </w:p>
    <w:p w14:paraId="09A95106">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lang w:val="en-US"/>
        </w:rPr>
      </w:pPr>
      <w:r>
        <w:rPr>
          <w:rFonts w:hint="eastAsia" w:ascii="Times New Roman" w:hAnsi="Times New Roman" w:cs="Times New Roman"/>
          <w:color w:val="auto"/>
          <w:sz w:val="24"/>
          <w:highlight w:val="none"/>
          <w:lang w:val="en-US" w:eastAsia="zh-CN"/>
        </w:rPr>
        <w:t>本项目土壤监测因子及评价标准见下表</w:t>
      </w:r>
      <w:r>
        <w:rPr>
          <w:rFonts w:hint="default" w:ascii="Times New Roman" w:hAnsi="Times New Roman" w:cs="Times New Roman"/>
          <w:color w:val="auto"/>
          <w:sz w:val="24"/>
          <w:highlight w:val="none"/>
          <w:lang w:val="en-US" w:eastAsia="zh-CN"/>
        </w:rPr>
        <w:t>。</w:t>
      </w:r>
    </w:p>
    <w:p w14:paraId="15101407">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sz w:val="21"/>
          <w:szCs w:val="21"/>
          <w:highlight w:val="none"/>
          <w:lang w:val="en-US" w:eastAsia="zh-CN"/>
        </w:rPr>
      </w:pPr>
      <w:r>
        <w:rPr>
          <w:rFonts w:hint="eastAsia" w:ascii="Times New Roman" w:hAnsi="Times New Roman" w:eastAsia="宋体" w:cs="Times New Roman"/>
          <w:b/>
          <w:sz w:val="21"/>
          <w:szCs w:val="21"/>
          <w:highlight w:val="none"/>
          <w:lang w:val="en-US" w:eastAsia="zh-CN"/>
        </w:rPr>
        <w:t>土壤</w:t>
      </w:r>
      <w:r>
        <w:rPr>
          <w:rFonts w:hint="default" w:ascii="Times New Roman" w:hAnsi="Times New Roman" w:eastAsia="宋体" w:cs="Times New Roman"/>
          <w:b/>
          <w:sz w:val="21"/>
          <w:szCs w:val="21"/>
          <w:highlight w:val="none"/>
          <w:lang w:val="en-US" w:eastAsia="zh-CN"/>
        </w:rPr>
        <w:t>监测</w:t>
      </w:r>
      <w:r>
        <w:rPr>
          <w:rFonts w:hint="eastAsia" w:ascii="Times New Roman" w:hAnsi="Times New Roman" w:eastAsia="宋体" w:cs="Times New Roman"/>
          <w:b/>
          <w:sz w:val="21"/>
          <w:szCs w:val="21"/>
          <w:highlight w:val="none"/>
          <w:lang w:val="en-US" w:eastAsia="zh-CN"/>
        </w:rPr>
        <w:t>因子及评价标准</w:t>
      </w:r>
      <w:r>
        <w:rPr>
          <w:rFonts w:hint="default" w:ascii="Times New Roman" w:hAnsi="Times New Roman" w:eastAsia="宋体" w:cs="Times New Roman"/>
          <w:b/>
          <w:sz w:val="21"/>
          <w:szCs w:val="21"/>
          <w:highlight w:val="none"/>
          <w:lang w:val="en-US" w:eastAsia="zh-CN"/>
        </w:rPr>
        <w:t>一览表</w:t>
      </w:r>
    </w:p>
    <w:tbl>
      <w:tblPr>
        <w:tblStyle w:val="59"/>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036"/>
        <w:gridCol w:w="2220"/>
        <w:gridCol w:w="5269"/>
      </w:tblGrid>
      <w:tr w14:paraId="615FD7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07" w:type="pct"/>
            <w:tcBorders>
              <w:tl2br w:val="nil"/>
              <w:tr2bl w:val="nil"/>
            </w:tcBorders>
            <w:noWrap w:val="0"/>
            <w:vAlign w:val="center"/>
          </w:tcPr>
          <w:p w14:paraId="3A3BD6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点位</w:t>
            </w:r>
          </w:p>
        </w:tc>
        <w:tc>
          <w:tcPr>
            <w:tcW w:w="1302" w:type="pct"/>
            <w:tcBorders>
              <w:tl2br w:val="nil"/>
              <w:tr2bl w:val="nil"/>
            </w:tcBorders>
            <w:noWrap w:val="0"/>
            <w:vAlign w:val="center"/>
          </w:tcPr>
          <w:p w14:paraId="29AE4E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kern w:val="2"/>
                <w:sz w:val="21"/>
                <w:szCs w:val="21"/>
                <w:highlight w:val="none"/>
                <w:vertAlign w:val="baseline"/>
                <w:lang w:val="en-US" w:eastAsia="zh-CN" w:bidi="ar-SA"/>
              </w:rPr>
            </w:pPr>
            <w:r>
              <w:rPr>
                <w:rFonts w:hint="eastAsia" w:ascii="Times New Roman" w:hAnsi="Times New Roman" w:cs="Times New Roman"/>
                <w:b/>
                <w:bCs/>
                <w:color w:val="000000"/>
                <w:kern w:val="2"/>
                <w:sz w:val="21"/>
                <w:szCs w:val="21"/>
                <w:highlight w:val="none"/>
                <w:vertAlign w:val="baseline"/>
                <w:lang w:val="en-US" w:eastAsia="zh-CN" w:bidi="ar-SA"/>
              </w:rPr>
              <w:t>标准</w:t>
            </w:r>
          </w:p>
        </w:tc>
        <w:tc>
          <w:tcPr>
            <w:tcW w:w="3090" w:type="pct"/>
            <w:tcBorders>
              <w:tl2br w:val="nil"/>
              <w:tr2bl w:val="nil"/>
            </w:tcBorders>
            <w:noWrap w:val="0"/>
            <w:vAlign w:val="center"/>
          </w:tcPr>
          <w:p w14:paraId="47AFF3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监测因子</w:t>
            </w:r>
          </w:p>
        </w:tc>
      </w:tr>
      <w:tr w14:paraId="028E64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07" w:type="pct"/>
            <w:vMerge w:val="restart"/>
            <w:tcBorders>
              <w:tl2br w:val="nil"/>
              <w:tr2bl w:val="nil"/>
            </w:tcBorders>
            <w:noWrap w:val="0"/>
            <w:vAlign w:val="center"/>
          </w:tcPr>
          <w:p w14:paraId="4AF9DF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000000"/>
                <w:sz w:val="21"/>
                <w:szCs w:val="21"/>
                <w:highlight w:val="none"/>
                <w:vertAlign w:val="baseline"/>
                <w:lang w:eastAsia="zh-CN"/>
              </w:rPr>
            </w:pPr>
            <w:r>
              <w:rPr>
                <w:rFonts w:hint="default" w:ascii="Times New Roman" w:hAnsi="Times New Roman" w:cs="Times New Roman"/>
                <w:b w:val="0"/>
                <w:bCs/>
                <w:sz w:val="21"/>
                <w:szCs w:val="21"/>
                <w:highlight w:val="none"/>
                <w:lang w:val="en-US" w:eastAsia="zh-CN"/>
              </w:rPr>
              <w:t>Tr1</w:t>
            </w:r>
            <w:r>
              <w:rPr>
                <w:rFonts w:hint="default" w:ascii="Times New Roman" w:hAnsi="Times New Roman" w:cs="Times New Roman"/>
                <w:b w:val="0"/>
                <w:bCs/>
                <w:sz w:val="21"/>
                <w:szCs w:val="21"/>
                <w:highlight w:val="none"/>
              </w:rPr>
              <w:t>#</w:t>
            </w:r>
            <w:r>
              <w:rPr>
                <w:rFonts w:hint="eastAsia" w:ascii="Times New Roman" w:hAnsi="Times New Roman" w:cs="Times New Roman"/>
                <w:b w:val="0"/>
                <w:bCs/>
                <w:sz w:val="21"/>
                <w:szCs w:val="21"/>
                <w:highlight w:val="none"/>
                <w:lang w:eastAsia="zh-CN"/>
              </w:rPr>
              <w:t>、</w:t>
            </w:r>
            <w:r>
              <w:rPr>
                <w:rFonts w:hint="default" w:ascii="Times New Roman" w:hAnsi="Times New Roman" w:cs="Times New Roman"/>
                <w:b w:val="0"/>
                <w:bCs/>
                <w:sz w:val="21"/>
                <w:szCs w:val="21"/>
                <w:highlight w:val="none"/>
                <w:lang w:val="en-US" w:eastAsia="zh-CN"/>
              </w:rPr>
              <w:t>Tr</w:t>
            </w:r>
            <w:r>
              <w:rPr>
                <w:rFonts w:hint="eastAsia" w:ascii="Times New Roman" w:hAnsi="Times New Roman" w:cs="Times New Roman"/>
                <w:b w:val="0"/>
                <w:bCs/>
                <w:sz w:val="21"/>
                <w:szCs w:val="21"/>
                <w:highlight w:val="none"/>
                <w:lang w:val="en-US" w:eastAsia="zh-CN"/>
              </w:rPr>
              <w:t>2</w:t>
            </w:r>
            <w:r>
              <w:rPr>
                <w:rFonts w:hint="default" w:ascii="Times New Roman" w:hAnsi="Times New Roman" w:cs="Times New Roman"/>
                <w:b w:val="0"/>
                <w:bCs/>
                <w:sz w:val="21"/>
                <w:szCs w:val="21"/>
                <w:highlight w:val="none"/>
              </w:rPr>
              <w:t>#</w:t>
            </w:r>
            <w:r>
              <w:rPr>
                <w:rFonts w:hint="eastAsia" w:ascii="Times New Roman" w:hAnsi="Times New Roman" w:cs="Times New Roman"/>
                <w:b w:val="0"/>
                <w:bCs/>
                <w:sz w:val="21"/>
                <w:szCs w:val="21"/>
                <w:highlight w:val="none"/>
                <w:lang w:eastAsia="zh-CN"/>
              </w:rPr>
              <w:t>、</w:t>
            </w:r>
            <w:r>
              <w:rPr>
                <w:rFonts w:hint="default" w:ascii="Times New Roman" w:hAnsi="Times New Roman" w:cs="Times New Roman"/>
                <w:b w:val="0"/>
                <w:bCs/>
                <w:sz w:val="21"/>
                <w:szCs w:val="21"/>
                <w:highlight w:val="none"/>
                <w:lang w:val="en-US" w:eastAsia="zh-CN"/>
              </w:rPr>
              <w:t>Tr</w:t>
            </w:r>
            <w:r>
              <w:rPr>
                <w:rFonts w:hint="eastAsia" w:ascii="Times New Roman" w:hAnsi="Times New Roman" w:cs="Times New Roman"/>
                <w:b w:val="0"/>
                <w:bCs/>
                <w:sz w:val="21"/>
                <w:szCs w:val="21"/>
                <w:highlight w:val="none"/>
                <w:lang w:val="en-US" w:eastAsia="zh-CN"/>
              </w:rPr>
              <w:t>3</w:t>
            </w:r>
            <w:r>
              <w:rPr>
                <w:rFonts w:hint="default" w:ascii="Times New Roman" w:hAnsi="Times New Roman" w:cs="Times New Roman"/>
                <w:b w:val="0"/>
                <w:bCs/>
                <w:sz w:val="21"/>
                <w:szCs w:val="21"/>
                <w:highlight w:val="none"/>
              </w:rPr>
              <w:t>#</w:t>
            </w:r>
          </w:p>
        </w:tc>
        <w:tc>
          <w:tcPr>
            <w:tcW w:w="1302" w:type="pct"/>
            <w:tcBorders>
              <w:tl2br w:val="nil"/>
              <w:tr2bl w:val="nil"/>
            </w:tcBorders>
            <w:noWrap w:val="0"/>
            <w:vAlign w:val="center"/>
          </w:tcPr>
          <w:p w14:paraId="2D9165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000000"/>
                <w:kern w:val="2"/>
                <w:sz w:val="21"/>
                <w:szCs w:val="21"/>
                <w:highlight w:val="none"/>
                <w:vertAlign w:val="baseline"/>
                <w:lang w:val="en-US" w:eastAsia="zh-CN" w:bidi="ar-SA"/>
              </w:rPr>
            </w:pPr>
            <w:r>
              <w:rPr>
                <w:rFonts w:hint="default" w:ascii="Times New Roman" w:hAnsi="Times New Roman" w:cs="Times New Roman"/>
                <w:b w:val="0"/>
                <w:bCs/>
                <w:color w:val="000000"/>
                <w:sz w:val="21"/>
                <w:szCs w:val="21"/>
                <w:highlight w:val="none"/>
                <w:lang w:eastAsia="zh-CN"/>
              </w:rPr>
              <w:t>《GB36600-2018》</w:t>
            </w:r>
          </w:p>
        </w:tc>
        <w:tc>
          <w:tcPr>
            <w:tcW w:w="3090" w:type="pct"/>
            <w:tcBorders>
              <w:tl2br w:val="nil"/>
              <w:tr2bl w:val="nil"/>
            </w:tcBorders>
            <w:noWrap w:val="0"/>
            <w:vAlign w:val="center"/>
          </w:tcPr>
          <w:p w14:paraId="082666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荧[k]蒽、䓛、二苯并[a,h]蒽、茚并[1,2,3-cd]芘、萘</w:t>
            </w:r>
            <w:r>
              <w:rPr>
                <w:rFonts w:hint="default" w:ascii="Times New Roman" w:hAnsi="Times New Roman" w:cs="Times New Roman"/>
                <w:b w:val="0"/>
                <w:bCs w:val="0"/>
                <w:color w:val="auto"/>
                <w:sz w:val="21"/>
                <w:szCs w:val="21"/>
                <w:highlight w:val="none"/>
              </w:rPr>
              <w:t>、</w:t>
            </w:r>
            <w:r>
              <w:rPr>
                <w:rFonts w:hint="eastAsia" w:ascii="Times New Roman" w:hAnsi="Times New Roman" w:cs="Times New Roman"/>
                <w:b w:val="0"/>
                <w:bCs w:val="0"/>
                <w:sz w:val="21"/>
                <w:szCs w:val="21"/>
                <w:highlight w:val="none"/>
                <w:lang w:val="en-US" w:eastAsia="zh-CN"/>
              </w:rPr>
              <w:t>钴、钒、</w:t>
            </w:r>
            <w:r>
              <w:rPr>
                <w:rFonts w:hint="default" w:ascii="Times New Roman" w:hAnsi="Times New Roman" w:cs="Times New Roman"/>
                <w:b w:val="0"/>
                <w:bCs w:val="0"/>
                <w:sz w:val="21"/>
                <w:szCs w:val="21"/>
                <w:highlight w:val="none"/>
              </w:rPr>
              <w:t>石油烃（C</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rPr>
              <w:t>-C</w:t>
            </w:r>
            <w:r>
              <w:rPr>
                <w:rFonts w:hint="default" w:ascii="Times New Roman" w:hAnsi="Times New Roman" w:cs="Times New Roman"/>
                <w:b w:val="0"/>
                <w:bCs w:val="0"/>
                <w:sz w:val="21"/>
                <w:szCs w:val="21"/>
                <w:highlight w:val="none"/>
                <w:vertAlign w:val="subscript"/>
              </w:rPr>
              <w:t>40</w:t>
            </w:r>
            <w:r>
              <w:rPr>
                <w:rFonts w:hint="default" w:ascii="Times New Roman" w:hAnsi="Times New Roman" w:cs="Times New Roman"/>
                <w:b w:val="0"/>
                <w:bCs w:val="0"/>
                <w:sz w:val="21"/>
                <w:szCs w:val="21"/>
                <w:highlight w:val="none"/>
              </w:rPr>
              <w:t>）</w:t>
            </w:r>
          </w:p>
        </w:tc>
      </w:tr>
      <w:tr w14:paraId="038631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07" w:type="pct"/>
            <w:vMerge w:val="continue"/>
            <w:tcBorders>
              <w:tl2br w:val="nil"/>
              <w:tr2bl w:val="nil"/>
            </w:tcBorders>
            <w:noWrap w:val="0"/>
            <w:vAlign w:val="center"/>
          </w:tcPr>
          <w:p w14:paraId="741B95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highlight w:val="none"/>
                <w:lang w:val="en-US" w:eastAsia="zh-CN"/>
              </w:rPr>
            </w:pPr>
          </w:p>
        </w:tc>
        <w:tc>
          <w:tcPr>
            <w:tcW w:w="1302" w:type="pct"/>
            <w:tcBorders>
              <w:tl2br w:val="nil"/>
              <w:tr2bl w:val="nil"/>
            </w:tcBorders>
            <w:noWrap w:val="0"/>
            <w:vAlign w:val="center"/>
          </w:tcPr>
          <w:p w14:paraId="50D404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bidi="ar-SA"/>
              </w:rPr>
            </w:pPr>
            <w:r>
              <w:rPr>
                <w:rFonts w:hint="default" w:ascii="Times New Roman" w:hAnsi="Times New Roman" w:cs="Times New Roman"/>
                <w:b w:val="0"/>
                <w:bCs/>
                <w:sz w:val="21"/>
                <w:szCs w:val="21"/>
                <w:highlight w:val="none"/>
                <w:lang w:val="en-US" w:eastAsia="zh-CN"/>
              </w:rPr>
              <w:t>《DB13/T5216-202</w:t>
            </w:r>
            <w:r>
              <w:rPr>
                <w:rFonts w:hint="eastAsia" w:ascii="Times New Roman" w:hAnsi="Times New Roman" w:cs="Times New Roman"/>
                <w:b w:val="0"/>
                <w:bCs/>
                <w:sz w:val="21"/>
                <w:szCs w:val="21"/>
                <w:highlight w:val="none"/>
                <w:lang w:val="en-US" w:eastAsia="zh-CN"/>
              </w:rPr>
              <w:t>2</w:t>
            </w:r>
            <w:r>
              <w:rPr>
                <w:rFonts w:hint="default" w:ascii="Times New Roman" w:hAnsi="Times New Roman" w:cs="Times New Roman"/>
                <w:b w:val="0"/>
                <w:bCs/>
                <w:sz w:val="21"/>
                <w:szCs w:val="21"/>
                <w:highlight w:val="none"/>
                <w:lang w:val="en-US" w:eastAsia="zh-CN"/>
              </w:rPr>
              <w:t>》</w:t>
            </w:r>
          </w:p>
        </w:tc>
        <w:tc>
          <w:tcPr>
            <w:tcW w:w="3090" w:type="pct"/>
            <w:tcBorders>
              <w:tl2br w:val="nil"/>
              <w:tr2bl w:val="nil"/>
            </w:tcBorders>
            <w:noWrap w:val="0"/>
            <w:vAlign w:val="center"/>
          </w:tcPr>
          <w:p w14:paraId="4E0B69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bidi="ar-SA"/>
              </w:rPr>
            </w:pPr>
            <w:r>
              <w:rPr>
                <w:rFonts w:hint="eastAsia" w:ascii="Times New Roman" w:hAnsi="Times New Roman" w:cs="Times New Roman"/>
                <w:b w:val="0"/>
                <w:bCs/>
                <w:color w:val="auto"/>
                <w:sz w:val="21"/>
                <w:szCs w:val="21"/>
                <w:highlight w:val="none"/>
                <w:lang w:val="en-US" w:eastAsia="zh-CN"/>
              </w:rPr>
              <w:t>水溶性氟化物、</w:t>
            </w:r>
            <w:r>
              <w:rPr>
                <w:rFonts w:hint="default" w:ascii="Times New Roman" w:hAnsi="Times New Roman" w:cs="Times New Roman"/>
                <w:b w:val="0"/>
                <w:bCs/>
                <w:color w:val="auto"/>
                <w:sz w:val="21"/>
                <w:szCs w:val="21"/>
                <w:highlight w:val="none"/>
                <w:lang w:val="en-US" w:eastAsia="zh-CN"/>
              </w:rPr>
              <w:t>氨氮</w:t>
            </w:r>
          </w:p>
        </w:tc>
      </w:tr>
      <w:tr w14:paraId="120CC7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07" w:type="pct"/>
            <w:vMerge w:val="continue"/>
            <w:tcBorders>
              <w:tl2br w:val="nil"/>
              <w:tr2bl w:val="nil"/>
            </w:tcBorders>
            <w:noWrap w:val="0"/>
            <w:vAlign w:val="center"/>
          </w:tcPr>
          <w:p w14:paraId="2BE26D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highlight w:val="none"/>
                <w:lang w:val="en-US" w:eastAsia="zh-CN"/>
              </w:rPr>
            </w:pPr>
          </w:p>
        </w:tc>
        <w:tc>
          <w:tcPr>
            <w:tcW w:w="1302" w:type="pct"/>
            <w:tcBorders>
              <w:tl2br w:val="nil"/>
              <w:tr2bl w:val="nil"/>
            </w:tcBorders>
            <w:noWrap w:val="0"/>
            <w:vAlign w:val="center"/>
          </w:tcPr>
          <w:p w14:paraId="175CF8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kern w:val="2"/>
                <w:sz w:val="21"/>
                <w:szCs w:val="21"/>
                <w:highlight w:val="none"/>
                <w:lang w:val="en-US" w:eastAsia="zh-CN" w:bidi="ar-SA"/>
              </w:rPr>
            </w:pPr>
            <w:r>
              <w:rPr>
                <w:rFonts w:hint="eastAsia" w:ascii="Times New Roman" w:hAnsi="Times New Roman" w:cs="Times New Roman"/>
                <w:b w:val="0"/>
                <w:bCs/>
                <w:color w:val="000000"/>
                <w:sz w:val="21"/>
                <w:szCs w:val="21"/>
                <w:highlight w:val="none"/>
                <w:lang w:val="en-US" w:eastAsia="zh-CN"/>
              </w:rPr>
              <w:t>特征因子</w:t>
            </w:r>
          </w:p>
        </w:tc>
        <w:tc>
          <w:tcPr>
            <w:tcW w:w="3090" w:type="pct"/>
            <w:tcBorders>
              <w:tl2br w:val="nil"/>
              <w:tr2bl w:val="nil"/>
            </w:tcBorders>
            <w:noWrap w:val="0"/>
            <w:vAlign w:val="center"/>
          </w:tcPr>
          <w:p w14:paraId="0E166B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kern w:val="2"/>
                <w:sz w:val="21"/>
                <w:szCs w:val="21"/>
                <w:highlight w:val="none"/>
                <w:lang w:val="en-US" w:eastAsia="zh-CN" w:bidi="ar-SA"/>
              </w:rPr>
            </w:pPr>
            <w:r>
              <w:rPr>
                <w:rFonts w:hint="eastAsia" w:ascii="Times New Roman" w:hAnsi="Times New Roman" w:cs="Times New Roman"/>
                <w:b w:val="0"/>
                <w:bCs/>
                <w:sz w:val="21"/>
                <w:szCs w:val="21"/>
                <w:highlight w:val="none"/>
                <w:lang w:eastAsia="zh-CN"/>
              </w:rPr>
              <w:t>铁、磷</w:t>
            </w:r>
          </w:p>
        </w:tc>
      </w:tr>
      <w:tr w14:paraId="03D4EF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07" w:type="pct"/>
            <w:tcBorders>
              <w:tl2br w:val="nil"/>
              <w:tr2bl w:val="nil"/>
            </w:tcBorders>
            <w:noWrap w:val="0"/>
            <w:vAlign w:val="center"/>
          </w:tcPr>
          <w:p w14:paraId="1D8987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highlight w:val="none"/>
                <w:lang w:val="en-US" w:eastAsia="zh-CN"/>
              </w:rPr>
            </w:pPr>
            <w:r>
              <w:rPr>
                <w:rFonts w:hint="default" w:ascii="Times New Roman" w:hAnsi="Times New Roman" w:cs="Times New Roman"/>
                <w:b w:val="0"/>
                <w:bCs/>
                <w:sz w:val="21"/>
                <w:szCs w:val="21"/>
                <w:highlight w:val="none"/>
                <w:lang w:val="en-US" w:eastAsia="zh-CN"/>
              </w:rPr>
              <w:t>Tr</w:t>
            </w:r>
            <w:r>
              <w:rPr>
                <w:rFonts w:hint="eastAsia" w:ascii="Times New Roman" w:hAnsi="Times New Roman" w:cs="Times New Roman"/>
                <w:b w:val="0"/>
                <w:bCs/>
                <w:sz w:val="21"/>
                <w:szCs w:val="21"/>
                <w:highlight w:val="none"/>
                <w:lang w:val="en-US" w:eastAsia="zh-CN"/>
              </w:rPr>
              <w:t>4</w:t>
            </w:r>
            <w:r>
              <w:rPr>
                <w:rFonts w:hint="default" w:ascii="Times New Roman" w:hAnsi="Times New Roman" w:cs="Times New Roman"/>
                <w:b w:val="0"/>
                <w:bCs/>
                <w:sz w:val="21"/>
                <w:szCs w:val="21"/>
                <w:highlight w:val="none"/>
              </w:rPr>
              <w:t>#</w:t>
            </w:r>
            <w:r>
              <w:rPr>
                <w:rFonts w:hint="eastAsia" w:ascii="Times New Roman" w:hAnsi="Times New Roman" w:cs="Times New Roman"/>
                <w:b w:val="0"/>
                <w:bCs/>
                <w:sz w:val="21"/>
                <w:szCs w:val="21"/>
                <w:highlight w:val="none"/>
                <w:lang w:eastAsia="zh-CN"/>
              </w:rPr>
              <w:t>、</w:t>
            </w:r>
            <w:r>
              <w:rPr>
                <w:rFonts w:hint="default" w:ascii="Times New Roman" w:hAnsi="Times New Roman" w:cs="Times New Roman"/>
                <w:b w:val="0"/>
                <w:bCs/>
                <w:sz w:val="21"/>
                <w:szCs w:val="21"/>
                <w:highlight w:val="none"/>
                <w:lang w:val="en-US" w:eastAsia="zh-CN"/>
              </w:rPr>
              <w:t>Tr</w:t>
            </w:r>
            <w:r>
              <w:rPr>
                <w:rFonts w:hint="eastAsia" w:cs="Times New Roman"/>
                <w:b w:val="0"/>
                <w:bCs/>
                <w:sz w:val="21"/>
                <w:szCs w:val="21"/>
                <w:highlight w:val="none"/>
                <w:lang w:val="en-US" w:eastAsia="zh-CN"/>
              </w:rPr>
              <w:t>5</w:t>
            </w:r>
            <w:r>
              <w:rPr>
                <w:rFonts w:hint="default" w:ascii="Times New Roman" w:hAnsi="Times New Roman" w:cs="Times New Roman"/>
                <w:b w:val="0"/>
                <w:bCs/>
                <w:sz w:val="21"/>
                <w:szCs w:val="21"/>
                <w:highlight w:val="none"/>
              </w:rPr>
              <w:t>#</w:t>
            </w:r>
          </w:p>
        </w:tc>
        <w:tc>
          <w:tcPr>
            <w:tcW w:w="1302" w:type="pct"/>
            <w:tcBorders>
              <w:tl2br w:val="nil"/>
              <w:tr2bl w:val="nil"/>
            </w:tcBorders>
            <w:noWrap w:val="0"/>
            <w:vAlign w:val="center"/>
          </w:tcPr>
          <w:p w14:paraId="3643D7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000000"/>
                <w:kern w:val="2"/>
                <w:sz w:val="21"/>
                <w:szCs w:val="21"/>
                <w:highlight w:val="none"/>
                <w:vertAlign w:val="baseline"/>
                <w:lang w:val="en-US" w:eastAsia="zh-CN" w:bidi="ar-SA"/>
              </w:rPr>
            </w:pPr>
            <w:r>
              <w:rPr>
                <w:rFonts w:hint="default" w:ascii="Times New Roman" w:hAnsi="Times New Roman" w:cs="Times New Roman"/>
                <w:b w:val="0"/>
                <w:bCs/>
                <w:color w:val="000000"/>
                <w:kern w:val="2"/>
                <w:sz w:val="21"/>
                <w:szCs w:val="21"/>
                <w:highlight w:val="none"/>
                <w:vertAlign w:val="baseline"/>
                <w:lang w:val="en-US" w:eastAsia="zh-CN" w:bidi="ar-SA"/>
              </w:rPr>
              <w:t>（GB15618-2018）</w:t>
            </w:r>
          </w:p>
        </w:tc>
        <w:tc>
          <w:tcPr>
            <w:tcW w:w="3090" w:type="pct"/>
            <w:tcBorders>
              <w:tl2br w:val="nil"/>
              <w:tr2bl w:val="nil"/>
            </w:tcBorders>
            <w:noWrap w:val="0"/>
            <w:vAlign w:val="center"/>
          </w:tcPr>
          <w:p w14:paraId="5D3C8C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lang w:val="en-US" w:eastAsia="zh-CN"/>
              </w:rPr>
              <w:t>镉、汞、砷、铅、铬、铜、镍、锌</w:t>
            </w:r>
          </w:p>
        </w:tc>
      </w:tr>
    </w:tbl>
    <w:p w14:paraId="6225A1BE">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（3）监测时间、频次：监测时间为</w:t>
      </w:r>
      <w:r>
        <w:rPr>
          <w:rFonts w:hint="eastAsia" w:ascii="Times New Roman" w:hAnsi="Times New Roman" w:cs="Times New Roman"/>
          <w:color w:val="auto"/>
          <w:sz w:val="24"/>
          <w:highlight w:val="none"/>
          <w:lang w:eastAsia="zh-CN"/>
        </w:rPr>
        <w:t>2025年3月6日</w:t>
      </w:r>
      <w:r>
        <w:rPr>
          <w:rFonts w:hint="default" w:ascii="Times New Roman" w:hAnsi="Times New Roman" w:cs="Times New Roman"/>
          <w:color w:val="auto"/>
          <w:sz w:val="24"/>
          <w:highlight w:val="none"/>
        </w:rPr>
        <w:t>，监测1日，采样1次。</w:t>
      </w:r>
    </w:p>
    <w:p w14:paraId="383ADE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评价因子及</w:t>
      </w:r>
      <w:r>
        <w:rPr>
          <w:rFonts w:hint="default" w:ascii="Times New Roman" w:hAnsi="Times New Roman" w:cs="Times New Roman"/>
          <w:color w:val="auto"/>
          <w:sz w:val="24"/>
          <w:szCs w:val="24"/>
          <w:highlight w:val="none"/>
        </w:rPr>
        <w:t>评价方法</w:t>
      </w:r>
    </w:p>
    <w:p w14:paraId="412288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评价因子同监测因子，</w:t>
      </w:r>
      <w:r>
        <w:rPr>
          <w:rFonts w:hint="default" w:ascii="Times New Roman" w:hAnsi="Times New Roman" w:cs="Times New Roman"/>
          <w:color w:val="auto"/>
          <w:sz w:val="24"/>
          <w:szCs w:val="24"/>
          <w:highlight w:val="none"/>
        </w:rPr>
        <w:t>评价方法</w:t>
      </w:r>
      <w:r>
        <w:rPr>
          <w:rFonts w:hint="default" w:ascii="Times New Roman" w:hAnsi="Times New Roman" w:cs="Times New Roman"/>
          <w:color w:val="auto"/>
          <w:sz w:val="24"/>
          <w:szCs w:val="24"/>
          <w:highlight w:val="none"/>
          <w:lang w:eastAsia="zh-CN"/>
        </w:rPr>
        <w:t>参考单项水质因子</w:t>
      </w:r>
      <w:r>
        <w:rPr>
          <w:rFonts w:hint="default" w:ascii="Times New Roman" w:hAnsi="Times New Roman" w:cs="Times New Roman"/>
          <w:color w:val="auto"/>
          <w:sz w:val="24"/>
          <w:szCs w:val="24"/>
          <w:highlight w:val="none"/>
        </w:rPr>
        <w:t>标准指数法。</w:t>
      </w:r>
    </w:p>
    <w:p w14:paraId="3675DC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单项水质参数i在j点的污染指数，用下式：</w:t>
      </w:r>
    </w:p>
    <w:p w14:paraId="14AE2A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26"/>
          <w:sz w:val="24"/>
          <w:szCs w:val="24"/>
          <w:highlight w:val="none"/>
        </w:rPr>
        <w:object>
          <v:shape id="_x0000_i1026" o:spt="75" type="#_x0000_t75" style="height:30.65pt;width:63.2pt;" o:ole="t" filled="f" o:preferrelative="t" stroked="f" coordsize="21600,21600">
            <v:path/>
            <v:fill on="f" focussize="0,0"/>
            <v:stroke on="f"/>
            <v:imagedata r:id="rId23" o:title=""/>
            <o:lock v:ext="edit" aspectratio="t"/>
            <w10:wrap type="none"/>
            <w10:anchorlock/>
          </v:shape>
          <o:OLEObject Type="Embed" ProgID="Equation.3" ShapeID="_x0000_i1026" DrawAspect="Content" ObjectID="_1468075726" r:id="rId28">
            <o:LockedField>false</o:LockedField>
          </o:OLEObject>
        </w:object>
      </w:r>
    </w:p>
    <w:p w14:paraId="7D0981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式中：S</w:t>
      </w:r>
      <w:r>
        <w:rPr>
          <w:rFonts w:hint="default" w:ascii="Times New Roman" w:hAnsi="Times New Roman" w:cs="Times New Roman"/>
          <w:color w:val="auto"/>
          <w:sz w:val="24"/>
          <w:szCs w:val="24"/>
          <w:highlight w:val="none"/>
          <w:vertAlign w:val="subscript"/>
        </w:rPr>
        <w:t>i，j</w:t>
      </w:r>
      <w:r>
        <w:rPr>
          <w:rFonts w:hint="default" w:ascii="Times New Roman" w:hAnsi="Times New Roman" w:cs="Times New Roman"/>
          <w:color w:val="auto"/>
          <w:sz w:val="24"/>
          <w:szCs w:val="24"/>
          <w:highlight w:val="none"/>
        </w:rPr>
        <w:t>——单项水质参数i在第j点的污染指数；</w:t>
      </w:r>
    </w:p>
    <w:p w14:paraId="241F1C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vertAlign w:val="subscript"/>
        </w:rPr>
        <w:t>i，j</w:t>
      </w:r>
      <w:r>
        <w:rPr>
          <w:rFonts w:hint="default" w:ascii="Times New Roman" w:hAnsi="Times New Roman" w:cs="Times New Roman"/>
          <w:color w:val="auto"/>
          <w:sz w:val="24"/>
          <w:szCs w:val="24"/>
          <w:highlight w:val="none"/>
        </w:rPr>
        <w:t>——污染物i在监测点j的浓度，mg/l；</w:t>
      </w:r>
    </w:p>
    <w:p w14:paraId="036C02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vertAlign w:val="subscript"/>
        </w:rPr>
        <w:t>si</w:t>
      </w:r>
      <w:r>
        <w:rPr>
          <w:rFonts w:hint="default" w:ascii="Times New Roman" w:hAnsi="Times New Roman" w:cs="Times New Roman"/>
          <w:color w:val="auto"/>
          <w:sz w:val="24"/>
          <w:szCs w:val="24"/>
          <w:highlight w:val="none"/>
        </w:rPr>
        <w:t>——水质参数Sij的地表水质标准， mg/l；</w:t>
      </w:r>
    </w:p>
    <w:p w14:paraId="55739C8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4"/>
          <w:highlight w:val="none"/>
          <w:lang w:eastAsia="zh-CN"/>
        </w:rPr>
      </w:pPr>
      <w:r>
        <w:rPr>
          <w:rFonts w:hint="default" w:ascii="Times New Roman" w:hAnsi="Times New Roman" w:cs="Times New Roman"/>
          <w:snapToGrid w:val="0"/>
          <w:color w:val="000000"/>
          <w:kern w:val="0"/>
          <w:sz w:val="24"/>
          <w:szCs w:val="24"/>
          <w:highlight w:val="none"/>
        </w:rPr>
        <w:t>（</w:t>
      </w:r>
      <w:r>
        <w:rPr>
          <w:rFonts w:hint="eastAsia" w:ascii="Times New Roman" w:hAnsi="Times New Roman" w:cs="Times New Roman"/>
          <w:snapToGrid w:val="0"/>
          <w:color w:val="000000"/>
          <w:kern w:val="0"/>
          <w:sz w:val="24"/>
          <w:szCs w:val="24"/>
          <w:highlight w:val="none"/>
          <w:lang w:val="en-US" w:eastAsia="zh-CN"/>
        </w:rPr>
        <w:t>5</w:t>
      </w:r>
      <w:r>
        <w:rPr>
          <w:rFonts w:hint="default" w:ascii="Times New Roman" w:hAnsi="Times New Roman" w:cs="Times New Roman"/>
          <w:snapToGrid w:val="0"/>
          <w:color w:val="000000"/>
          <w:kern w:val="0"/>
          <w:sz w:val="24"/>
          <w:szCs w:val="24"/>
          <w:highlight w:val="none"/>
        </w:rPr>
        <w:t>）监测结果统计</w:t>
      </w:r>
      <w:r>
        <w:rPr>
          <w:rFonts w:hint="eastAsia" w:ascii="Times New Roman" w:hAnsi="Times New Roman" w:cs="Times New Roman"/>
          <w:snapToGrid w:val="0"/>
          <w:color w:val="000000"/>
          <w:kern w:val="0"/>
          <w:sz w:val="24"/>
          <w:szCs w:val="24"/>
          <w:highlight w:val="none"/>
          <w:lang w:eastAsia="zh-CN"/>
        </w:rPr>
        <w:t>：</w:t>
      </w:r>
      <w:r>
        <w:rPr>
          <w:rFonts w:hint="default" w:ascii="Times New Roman" w:hAnsi="Times New Roman" w:cs="Times New Roman"/>
          <w:sz w:val="24"/>
          <w:szCs w:val="24"/>
          <w:highlight w:val="none"/>
        </w:rPr>
        <w:t>建设用地土壤环境质量现状监测与统计结果见</w:t>
      </w:r>
      <w:r>
        <w:rPr>
          <w:rFonts w:hint="eastAsia" w:ascii="Times New Roman" w:hAnsi="Times New Roman" w:cs="Times New Roman"/>
          <w:sz w:val="24"/>
          <w:szCs w:val="24"/>
          <w:highlight w:val="none"/>
          <w:lang w:eastAsia="zh-CN"/>
        </w:rPr>
        <w:t>下表。</w:t>
      </w:r>
    </w:p>
    <w:p w14:paraId="3E167B54">
      <w:pPr>
        <w:pStyle w:val="185"/>
        <w:spacing w:line="360" w:lineRule="auto"/>
        <w:ind w:firstLine="480" w:firstLineChars="200"/>
        <w:rPr>
          <w:rFonts w:hint="default" w:ascii="Times New Roman" w:hAnsi="Times New Roman" w:cs="Times New Roman"/>
          <w:color w:val="auto"/>
          <w:sz w:val="24"/>
          <w:highlight w:val="none"/>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28FAA89F">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建设用地</w:t>
      </w:r>
      <w:r>
        <w:rPr>
          <w:rFonts w:hint="eastAsia" w:ascii="Times New Roman" w:hAnsi="Times New Roman" w:cs="Times New Roman"/>
          <w:b/>
          <w:color w:val="auto"/>
          <w:sz w:val="21"/>
          <w:szCs w:val="21"/>
          <w:highlight w:val="none"/>
          <w:lang w:val="en-US" w:eastAsia="zh-CN"/>
        </w:rPr>
        <w:t>Tr1</w:t>
      </w:r>
      <w:r>
        <w:rPr>
          <w:rFonts w:hint="default" w:ascii="Times New Roman" w:hAnsi="Times New Roman" w:eastAsia="宋体" w:cs="Times New Roman"/>
          <w:b/>
          <w:color w:val="auto"/>
          <w:sz w:val="21"/>
          <w:szCs w:val="21"/>
          <w:highlight w:val="none"/>
          <w:lang w:val="en-US" w:eastAsia="zh-CN"/>
        </w:rPr>
        <w:t>土壤环境质量现状监测结果（单位：mg/kg）</w:t>
      </w:r>
    </w:p>
    <w:tbl>
      <w:tblPr>
        <w:tblStyle w:val="59"/>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696"/>
        <w:gridCol w:w="993"/>
        <w:gridCol w:w="1115"/>
        <w:gridCol w:w="1268"/>
        <w:gridCol w:w="1268"/>
        <w:gridCol w:w="1268"/>
        <w:gridCol w:w="1268"/>
        <w:gridCol w:w="1268"/>
        <w:gridCol w:w="1268"/>
        <w:gridCol w:w="1268"/>
        <w:gridCol w:w="1268"/>
      </w:tblGrid>
      <w:tr w14:paraId="798C28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vMerge w:val="restart"/>
            <w:tcBorders>
              <w:tl2br w:val="nil"/>
              <w:tr2bl w:val="nil"/>
            </w:tcBorders>
            <w:vAlign w:val="center"/>
          </w:tcPr>
          <w:p w14:paraId="712D01D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监测项目</w:t>
            </w:r>
          </w:p>
        </w:tc>
        <w:tc>
          <w:tcPr>
            <w:tcW w:w="993" w:type="dxa"/>
            <w:vMerge w:val="restart"/>
            <w:tcBorders>
              <w:tl2br w:val="nil"/>
              <w:tr2bl w:val="nil"/>
            </w:tcBorders>
            <w:vAlign w:val="center"/>
          </w:tcPr>
          <w:p w14:paraId="0EE678B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1115" w:type="dxa"/>
            <w:vMerge w:val="restart"/>
            <w:tcBorders>
              <w:tl2br w:val="nil"/>
              <w:tr2bl w:val="nil"/>
            </w:tcBorders>
            <w:vAlign w:val="center"/>
          </w:tcPr>
          <w:p w14:paraId="7AD3554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第二类用地筛选值</w:t>
            </w:r>
          </w:p>
        </w:tc>
        <w:tc>
          <w:tcPr>
            <w:tcW w:w="10144" w:type="dxa"/>
            <w:gridSpan w:val="8"/>
            <w:tcBorders>
              <w:tl2br w:val="nil"/>
              <w:tr2bl w:val="nil"/>
            </w:tcBorders>
            <w:vAlign w:val="center"/>
          </w:tcPr>
          <w:p w14:paraId="37D6224E">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kern w:val="0"/>
                <w:sz w:val="21"/>
                <w:szCs w:val="21"/>
                <w:highlight w:val="none"/>
              </w:rPr>
            </w:pPr>
            <w:r>
              <w:rPr>
                <w:rFonts w:hint="default" w:ascii="Times New Roman" w:hAnsi="Times New Roman" w:cs="Times New Roman"/>
                <w:b/>
                <w:bCs/>
                <w:sz w:val="21"/>
                <w:szCs w:val="21"/>
                <w:highlight w:val="none"/>
              </w:rPr>
              <w:t>Tr1#（柱状样）</w:t>
            </w:r>
          </w:p>
        </w:tc>
      </w:tr>
      <w:tr w14:paraId="3DD94B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vMerge w:val="continue"/>
            <w:tcBorders>
              <w:tl2br w:val="nil"/>
              <w:tr2bl w:val="nil"/>
            </w:tcBorders>
            <w:vAlign w:val="center"/>
          </w:tcPr>
          <w:p w14:paraId="6AB61B7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993" w:type="dxa"/>
            <w:vMerge w:val="continue"/>
            <w:tcBorders>
              <w:tl2br w:val="nil"/>
              <w:tr2bl w:val="nil"/>
            </w:tcBorders>
            <w:vAlign w:val="center"/>
          </w:tcPr>
          <w:p w14:paraId="48DDBB9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1115" w:type="dxa"/>
            <w:vMerge w:val="continue"/>
            <w:tcBorders>
              <w:tl2br w:val="nil"/>
              <w:tr2bl w:val="nil"/>
            </w:tcBorders>
            <w:vAlign w:val="center"/>
          </w:tcPr>
          <w:p w14:paraId="50E8752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2536" w:type="dxa"/>
            <w:gridSpan w:val="2"/>
            <w:tcBorders>
              <w:tl2br w:val="nil"/>
              <w:tr2bl w:val="nil"/>
            </w:tcBorders>
            <w:vAlign w:val="center"/>
          </w:tcPr>
          <w:p w14:paraId="45F12EB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0</w:t>
            </w:r>
            <w:r>
              <w:rPr>
                <w:rFonts w:hint="default" w:ascii="Times New Roman" w:hAnsi="Times New Roman" w:cs="Times New Roman"/>
                <w:b/>
                <w:bCs/>
                <w:sz w:val="21"/>
                <w:szCs w:val="21"/>
                <w:highlight w:val="none"/>
                <w:lang w:val="en-US" w:eastAsia="zh-CN"/>
              </w:rPr>
              <w:t>.2</w:t>
            </w:r>
            <w:r>
              <w:rPr>
                <w:rFonts w:hint="default" w:ascii="Times New Roman" w:hAnsi="Times New Roman" w:cs="Times New Roman"/>
                <w:b/>
                <w:bCs/>
                <w:sz w:val="21"/>
                <w:szCs w:val="21"/>
                <w:highlight w:val="none"/>
              </w:rPr>
              <w:t>m</w:t>
            </w:r>
          </w:p>
        </w:tc>
        <w:tc>
          <w:tcPr>
            <w:tcW w:w="2536" w:type="dxa"/>
            <w:gridSpan w:val="2"/>
            <w:tcBorders>
              <w:tl2br w:val="nil"/>
              <w:tr2bl w:val="nil"/>
            </w:tcBorders>
            <w:vAlign w:val="center"/>
          </w:tcPr>
          <w:p w14:paraId="2B49F9C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lang w:val="en-US" w:eastAsia="zh-CN"/>
              </w:rPr>
              <w:t>1.0</w:t>
            </w:r>
            <w:r>
              <w:rPr>
                <w:rFonts w:hint="default" w:ascii="Times New Roman" w:hAnsi="Times New Roman" w:cs="Times New Roman"/>
                <w:b/>
                <w:bCs/>
                <w:sz w:val="21"/>
                <w:szCs w:val="21"/>
                <w:highlight w:val="none"/>
              </w:rPr>
              <w:t>m</w:t>
            </w:r>
          </w:p>
        </w:tc>
        <w:tc>
          <w:tcPr>
            <w:tcW w:w="2536" w:type="dxa"/>
            <w:gridSpan w:val="2"/>
            <w:tcBorders>
              <w:tl2br w:val="nil"/>
              <w:tr2bl w:val="nil"/>
            </w:tcBorders>
            <w:vAlign w:val="center"/>
          </w:tcPr>
          <w:p w14:paraId="1852BAC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lang w:val="en-US" w:eastAsia="zh-CN"/>
              </w:rPr>
              <w:t>2.2</w:t>
            </w:r>
            <w:r>
              <w:rPr>
                <w:rFonts w:hint="default" w:ascii="Times New Roman" w:hAnsi="Times New Roman" w:cs="Times New Roman"/>
                <w:b/>
                <w:bCs/>
                <w:sz w:val="21"/>
                <w:szCs w:val="21"/>
                <w:highlight w:val="none"/>
              </w:rPr>
              <w:t>m</w:t>
            </w:r>
          </w:p>
        </w:tc>
        <w:tc>
          <w:tcPr>
            <w:tcW w:w="2536" w:type="dxa"/>
            <w:gridSpan w:val="2"/>
            <w:tcBorders>
              <w:tl2br w:val="nil"/>
              <w:tr2bl w:val="nil"/>
            </w:tcBorders>
            <w:vAlign w:val="center"/>
          </w:tcPr>
          <w:p w14:paraId="6835733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3</w:t>
            </w:r>
            <w:r>
              <w:rPr>
                <w:rFonts w:hint="default" w:ascii="Times New Roman" w:hAnsi="Times New Roman" w:cs="Times New Roman"/>
                <w:b/>
                <w:bCs/>
                <w:sz w:val="21"/>
                <w:szCs w:val="21"/>
                <w:highlight w:val="none"/>
                <w:lang w:val="en-US" w:eastAsia="zh-CN"/>
              </w:rPr>
              <w:t>.</w:t>
            </w:r>
            <w:r>
              <w:rPr>
                <w:rFonts w:hint="eastAsia" w:cs="Times New Roman"/>
                <w:b/>
                <w:bCs/>
                <w:sz w:val="21"/>
                <w:szCs w:val="21"/>
                <w:highlight w:val="none"/>
                <w:lang w:val="en-US" w:eastAsia="zh-CN"/>
              </w:rPr>
              <w:t>1</w:t>
            </w:r>
            <w:r>
              <w:rPr>
                <w:rFonts w:hint="default" w:ascii="Times New Roman" w:hAnsi="Times New Roman" w:cs="Times New Roman"/>
                <w:b/>
                <w:bCs/>
                <w:sz w:val="21"/>
                <w:szCs w:val="21"/>
                <w:highlight w:val="none"/>
              </w:rPr>
              <w:t>m</w:t>
            </w:r>
          </w:p>
        </w:tc>
      </w:tr>
      <w:tr w14:paraId="3CC168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vMerge w:val="continue"/>
            <w:tcBorders>
              <w:tl2br w:val="nil"/>
              <w:tr2bl w:val="nil"/>
            </w:tcBorders>
            <w:vAlign w:val="center"/>
          </w:tcPr>
          <w:p w14:paraId="65D6A73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993" w:type="dxa"/>
            <w:vMerge w:val="continue"/>
            <w:tcBorders>
              <w:tl2br w:val="nil"/>
              <w:tr2bl w:val="nil"/>
            </w:tcBorders>
            <w:vAlign w:val="center"/>
          </w:tcPr>
          <w:p w14:paraId="02889E0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1115" w:type="dxa"/>
            <w:vMerge w:val="continue"/>
            <w:tcBorders>
              <w:tl2br w:val="nil"/>
              <w:tr2bl w:val="nil"/>
            </w:tcBorders>
            <w:vAlign w:val="center"/>
          </w:tcPr>
          <w:p w14:paraId="1D7B3DD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1268" w:type="dxa"/>
            <w:tcBorders>
              <w:tl2br w:val="nil"/>
              <w:tr2bl w:val="nil"/>
            </w:tcBorders>
            <w:vAlign w:val="center"/>
          </w:tcPr>
          <w:p w14:paraId="66D0326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监测值</w:t>
            </w:r>
          </w:p>
        </w:tc>
        <w:tc>
          <w:tcPr>
            <w:tcW w:w="1268" w:type="dxa"/>
            <w:tcBorders>
              <w:tl2br w:val="nil"/>
              <w:tr2bl w:val="nil"/>
            </w:tcBorders>
            <w:vAlign w:val="center"/>
          </w:tcPr>
          <w:p w14:paraId="100C0BB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标准指数</w:t>
            </w:r>
          </w:p>
        </w:tc>
        <w:tc>
          <w:tcPr>
            <w:tcW w:w="1268" w:type="dxa"/>
            <w:tcBorders>
              <w:tl2br w:val="nil"/>
              <w:tr2bl w:val="nil"/>
            </w:tcBorders>
            <w:vAlign w:val="center"/>
          </w:tcPr>
          <w:p w14:paraId="5279EA9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监测值</w:t>
            </w:r>
          </w:p>
        </w:tc>
        <w:tc>
          <w:tcPr>
            <w:tcW w:w="1268" w:type="dxa"/>
            <w:tcBorders>
              <w:tl2br w:val="nil"/>
              <w:tr2bl w:val="nil"/>
            </w:tcBorders>
            <w:vAlign w:val="center"/>
          </w:tcPr>
          <w:p w14:paraId="1A3A9A4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标准指数</w:t>
            </w:r>
          </w:p>
        </w:tc>
        <w:tc>
          <w:tcPr>
            <w:tcW w:w="1268" w:type="dxa"/>
            <w:tcBorders>
              <w:tl2br w:val="nil"/>
              <w:tr2bl w:val="nil"/>
            </w:tcBorders>
            <w:vAlign w:val="center"/>
          </w:tcPr>
          <w:p w14:paraId="16BCA73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监测值</w:t>
            </w:r>
          </w:p>
        </w:tc>
        <w:tc>
          <w:tcPr>
            <w:tcW w:w="1268" w:type="dxa"/>
            <w:tcBorders>
              <w:tl2br w:val="nil"/>
              <w:tr2bl w:val="nil"/>
            </w:tcBorders>
            <w:vAlign w:val="center"/>
          </w:tcPr>
          <w:p w14:paraId="347DC00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标准指数</w:t>
            </w:r>
          </w:p>
        </w:tc>
        <w:tc>
          <w:tcPr>
            <w:tcW w:w="1268" w:type="dxa"/>
            <w:tcBorders>
              <w:tl2br w:val="nil"/>
              <w:tr2bl w:val="nil"/>
            </w:tcBorders>
            <w:vAlign w:val="center"/>
          </w:tcPr>
          <w:p w14:paraId="527AB42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监测值</w:t>
            </w:r>
          </w:p>
        </w:tc>
        <w:tc>
          <w:tcPr>
            <w:tcW w:w="1268" w:type="dxa"/>
            <w:tcBorders>
              <w:tl2br w:val="nil"/>
              <w:tr2bl w:val="nil"/>
            </w:tcBorders>
            <w:vAlign w:val="center"/>
          </w:tcPr>
          <w:p w14:paraId="711E83D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标准指数</w:t>
            </w:r>
          </w:p>
        </w:tc>
      </w:tr>
      <w:tr w14:paraId="3B9F75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58EC67B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砷</w:t>
            </w:r>
          </w:p>
        </w:tc>
        <w:tc>
          <w:tcPr>
            <w:tcW w:w="993" w:type="dxa"/>
            <w:tcBorders>
              <w:tl2br w:val="nil"/>
              <w:tr2bl w:val="nil"/>
            </w:tcBorders>
            <w:vAlign w:val="center"/>
          </w:tcPr>
          <w:p w14:paraId="6DADE47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60BCC7A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60</w:t>
            </w:r>
          </w:p>
        </w:tc>
        <w:tc>
          <w:tcPr>
            <w:tcW w:w="1268" w:type="dxa"/>
            <w:tcBorders>
              <w:tl2br w:val="nil"/>
              <w:tr2bl w:val="nil"/>
            </w:tcBorders>
            <w:shd w:val="clear" w:color="auto" w:fill="auto"/>
            <w:vAlign w:val="center"/>
          </w:tcPr>
          <w:p w14:paraId="358C39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5.11</w:t>
            </w:r>
          </w:p>
        </w:tc>
        <w:tc>
          <w:tcPr>
            <w:tcW w:w="1268" w:type="dxa"/>
            <w:tcBorders>
              <w:tl2br w:val="nil"/>
              <w:tr2bl w:val="nil"/>
            </w:tcBorders>
            <w:vAlign w:val="center"/>
          </w:tcPr>
          <w:p w14:paraId="506993C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0.085</w:t>
            </w:r>
          </w:p>
        </w:tc>
        <w:tc>
          <w:tcPr>
            <w:tcW w:w="1268" w:type="dxa"/>
            <w:tcBorders>
              <w:tl2br w:val="nil"/>
              <w:tr2bl w:val="nil"/>
            </w:tcBorders>
            <w:vAlign w:val="center"/>
          </w:tcPr>
          <w:p w14:paraId="103EC9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3.88</w:t>
            </w:r>
          </w:p>
        </w:tc>
        <w:tc>
          <w:tcPr>
            <w:tcW w:w="1268" w:type="dxa"/>
            <w:tcBorders>
              <w:tl2br w:val="nil"/>
              <w:tr2bl w:val="nil"/>
            </w:tcBorders>
            <w:vAlign w:val="center"/>
          </w:tcPr>
          <w:p w14:paraId="17708CA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0.065</w:t>
            </w:r>
          </w:p>
        </w:tc>
        <w:tc>
          <w:tcPr>
            <w:tcW w:w="1268" w:type="dxa"/>
            <w:tcBorders>
              <w:tl2br w:val="nil"/>
              <w:tr2bl w:val="nil"/>
            </w:tcBorders>
            <w:vAlign w:val="center"/>
          </w:tcPr>
          <w:p w14:paraId="619343F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2.32</w:t>
            </w:r>
          </w:p>
        </w:tc>
        <w:tc>
          <w:tcPr>
            <w:tcW w:w="1268" w:type="dxa"/>
            <w:tcBorders>
              <w:tl2br w:val="nil"/>
              <w:tr2bl w:val="nil"/>
            </w:tcBorders>
            <w:vAlign w:val="center"/>
          </w:tcPr>
          <w:p w14:paraId="1F8BADB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0.039</w:t>
            </w:r>
          </w:p>
        </w:tc>
        <w:tc>
          <w:tcPr>
            <w:tcW w:w="1268" w:type="dxa"/>
            <w:tcBorders>
              <w:tl2br w:val="nil"/>
              <w:tr2bl w:val="nil"/>
            </w:tcBorders>
            <w:shd w:val="clear" w:color="auto" w:fill="auto"/>
            <w:vAlign w:val="center"/>
          </w:tcPr>
          <w:p w14:paraId="72AC5D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2.21</w:t>
            </w:r>
          </w:p>
        </w:tc>
        <w:tc>
          <w:tcPr>
            <w:tcW w:w="1268" w:type="dxa"/>
            <w:tcBorders>
              <w:tl2br w:val="nil"/>
              <w:tr2bl w:val="nil"/>
            </w:tcBorders>
            <w:vAlign w:val="center"/>
          </w:tcPr>
          <w:p w14:paraId="7C640AD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0.037</w:t>
            </w:r>
          </w:p>
        </w:tc>
      </w:tr>
      <w:tr w14:paraId="4D5CCD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C65E8F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镉</w:t>
            </w:r>
          </w:p>
        </w:tc>
        <w:tc>
          <w:tcPr>
            <w:tcW w:w="993" w:type="dxa"/>
            <w:tcBorders>
              <w:tl2br w:val="nil"/>
              <w:tr2bl w:val="nil"/>
            </w:tcBorders>
            <w:vAlign w:val="center"/>
          </w:tcPr>
          <w:p w14:paraId="2CCDBD3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5F8847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65</w:t>
            </w:r>
          </w:p>
        </w:tc>
        <w:tc>
          <w:tcPr>
            <w:tcW w:w="1268" w:type="dxa"/>
            <w:tcBorders>
              <w:tl2br w:val="nil"/>
              <w:tr2bl w:val="nil"/>
            </w:tcBorders>
            <w:shd w:val="clear" w:color="auto" w:fill="auto"/>
            <w:vAlign w:val="center"/>
          </w:tcPr>
          <w:p w14:paraId="72AEE7B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0.24</w:t>
            </w:r>
          </w:p>
        </w:tc>
        <w:tc>
          <w:tcPr>
            <w:tcW w:w="1268" w:type="dxa"/>
            <w:tcBorders>
              <w:tl2br w:val="nil"/>
              <w:tr2bl w:val="nil"/>
            </w:tcBorders>
            <w:vAlign w:val="center"/>
          </w:tcPr>
          <w:p w14:paraId="171CB14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0.004</w:t>
            </w:r>
          </w:p>
        </w:tc>
        <w:tc>
          <w:tcPr>
            <w:tcW w:w="1268" w:type="dxa"/>
            <w:tcBorders>
              <w:tl2br w:val="nil"/>
              <w:tr2bl w:val="nil"/>
            </w:tcBorders>
            <w:vAlign w:val="center"/>
          </w:tcPr>
          <w:p w14:paraId="5ED3A8C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0.26</w:t>
            </w:r>
          </w:p>
        </w:tc>
        <w:tc>
          <w:tcPr>
            <w:tcW w:w="1268" w:type="dxa"/>
            <w:tcBorders>
              <w:tl2br w:val="nil"/>
              <w:tr2bl w:val="nil"/>
            </w:tcBorders>
            <w:vAlign w:val="center"/>
          </w:tcPr>
          <w:p w14:paraId="711A4EE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0.004</w:t>
            </w:r>
          </w:p>
        </w:tc>
        <w:tc>
          <w:tcPr>
            <w:tcW w:w="1268" w:type="dxa"/>
            <w:tcBorders>
              <w:tl2br w:val="nil"/>
              <w:tr2bl w:val="nil"/>
            </w:tcBorders>
            <w:vAlign w:val="center"/>
          </w:tcPr>
          <w:p w14:paraId="5414C13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0.25</w:t>
            </w:r>
          </w:p>
        </w:tc>
        <w:tc>
          <w:tcPr>
            <w:tcW w:w="1268" w:type="dxa"/>
            <w:tcBorders>
              <w:tl2br w:val="nil"/>
              <w:tr2bl w:val="nil"/>
            </w:tcBorders>
            <w:vAlign w:val="center"/>
          </w:tcPr>
          <w:p w14:paraId="691D19F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0.004</w:t>
            </w:r>
          </w:p>
        </w:tc>
        <w:tc>
          <w:tcPr>
            <w:tcW w:w="1268" w:type="dxa"/>
            <w:tcBorders>
              <w:tl2br w:val="nil"/>
              <w:tr2bl w:val="nil"/>
            </w:tcBorders>
            <w:shd w:val="clear" w:color="auto" w:fill="auto"/>
            <w:vAlign w:val="center"/>
          </w:tcPr>
          <w:p w14:paraId="2A04016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0.26</w:t>
            </w:r>
          </w:p>
        </w:tc>
        <w:tc>
          <w:tcPr>
            <w:tcW w:w="1268" w:type="dxa"/>
            <w:tcBorders>
              <w:tl2br w:val="nil"/>
              <w:tr2bl w:val="nil"/>
            </w:tcBorders>
            <w:vAlign w:val="center"/>
          </w:tcPr>
          <w:p w14:paraId="551B917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0.004</w:t>
            </w:r>
          </w:p>
        </w:tc>
      </w:tr>
      <w:tr w14:paraId="04084A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3992C4A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铬（六价）</w:t>
            </w:r>
          </w:p>
        </w:tc>
        <w:tc>
          <w:tcPr>
            <w:tcW w:w="993" w:type="dxa"/>
            <w:tcBorders>
              <w:tl2br w:val="nil"/>
              <w:tr2bl w:val="nil"/>
            </w:tcBorders>
            <w:vAlign w:val="center"/>
          </w:tcPr>
          <w:p w14:paraId="38F6095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2431F30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5.7</w:t>
            </w:r>
          </w:p>
        </w:tc>
        <w:tc>
          <w:tcPr>
            <w:tcW w:w="1268" w:type="dxa"/>
            <w:tcBorders>
              <w:tl2br w:val="nil"/>
              <w:tr2bl w:val="nil"/>
            </w:tcBorders>
            <w:shd w:val="clear" w:color="auto" w:fill="auto"/>
            <w:vAlign w:val="center"/>
          </w:tcPr>
          <w:p w14:paraId="47A3779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＜0.5</w:t>
            </w:r>
          </w:p>
        </w:tc>
        <w:tc>
          <w:tcPr>
            <w:tcW w:w="1268" w:type="dxa"/>
            <w:tcBorders>
              <w:tl2br w:val="nil"/>
              <w:tr2bl w:val="nil"/>
            </w:tcBorders>
            <w:vAlign w:val="center"/>
          </w:tcPr>
          <w:p w14:paraId="7783393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w:t>
            </w:r>
          </w:p>
        </w:tc>
        <w:tc>
          <w:tcPr>
            <w:tcW w:w="1268" w:type="dxa"/>
            <w:tcBorders>
              <w:tl2br w:val="nil"/>
              <w:tr2bl w:val="nil"/>
            </w:tcBorders>
            <w:vAlign w:val="center"/>
          </w:tcPr>
          <w:p w14:paraId="0608C5D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＜0.5</w:t>
            </w:r>
          </w:p>
        </w:tc>
        <w:tc>
          <w:tcPr>
            <w:tcW w:w="1268" w:type="dxa"/>
            <w:tcBorders>
              <w:tl2br w:val="nil"/>
              <w:tr2bl w:val="nil"/>
            </w:tcBorders>
            <w:vAlign w:val="center"/>
          </w:tcPr>
          <w:p w14:paraId="17A94F9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w:t>
            </w:r>
          </w:p>
        </w:tc>
        <w:tc>
          <w:tcPr>
            <w:tcW w:w="1268" w:type="dxa"/>
            <w:tcBorders>
              <w:tl2br w:val="nil"/>
              <w:tr2bl w:val="nil"/>
            </w:tcBorders>
            <w:vAlign w:val="center"/>
          </w:tcPr>
          <w:p w14:paraId="046E855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＜0.5</w:t>
            </w:r>
          </w:p>
        </w:tc>
        <w:tc>
          <w:tcPr>
            <w:tcW w:w="1268" w:type="dxa"/>
            <w:tcBorders>
              <w:tl2br w:val="nil"/>
              <w:tr2bl w:val="nil"/>
            </w:tcBorders>
            <w:vAlign w:val="center"/>
          </w:tcPr>
          <w:p w14:paraId="5C8F695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w:t>
            </w:r>
          </w:p>
        </w:tc>
        <w:tc>
          <w:tcPr>
            <w:tcW w:w="1268" w:type="dxa"/>
            <w:tcBorders>
              <w:tl2br w:val="nil"/>
              <w:tr2bl w:val="nil"/>
            </w:tcBorders>
            <w:shd w:val="clear" w:color="auto" w:fill="auto"/>
            <w:vAlign w:val="center"/>
          </w:tcPr>
          <w:p w14:paraId="0972DFB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＜0.5</w:t>
            </w:r>
          </w:p>
        </w:tc>
        <w:tc>
          <w:tcPr>
            <w:tcW w:w="1268" w:type="dxa"/>
            <w:tcBorders>
              <w:tl2br w:val="nil"/>
              <w:tr2bl w:val="nil"/>
            </w:tcBorders>
            <w:vAlign w:val="center"/>
          </w:tcPr>
          <w:p w14:paraId="2A1A15D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w:t>
            </w:r>
          </w:p>
        </w:tc>
      </w:tr>
      <w:tr w14:paraId="57279F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EFC854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铜</w:t>
            </w:r>
          </w:p>
        </w:tc>
        <w:tc>
          <w:tcPr>
            <w:tcW w:w="993" w:type="dxa"/>
            <w:tcBorders>
              <w:tl2br w:val="nil"/>
              <w:tr2bl w:val="nil"/>
            </w:tcBorders>
            <w:vAlign w:val="center"/>
          </w:tcPr>
          <w:p w14:paraId="04BF536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1CD2103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18000</w:t>
            </w:r>
          </w:p>
        </w:tc>
        <w:tc>
          <w:tcPr>
            <w:tcW w:w="1268" w:type="dxa"/>
            <w:tcBorders>
              <w:tl2br w:val="nil"/>
              <w:tr2bl w:val="nil"/>
            </w:tcBorders>
            <w:shd w:val="clear" w:color="auto" w:fill="auto"/>
            <w:vAlign w:val="center"/>
          </w:tcPr>
          <w:p w14:paraId="0706CB1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39</w:t>
            </w:r>
          </w:p>
        </w:tc>
        <w:tc>
          <w:tcPr>
            <w:tcW w:w="1268" w:type="dxa"/>
            <w:tcBorders>
              <w:tl2br w:val="nil"/>
              <w:tr2bl w:val="nil"/>
            </w:tcBorders>
            <w:vAlign w:val="center"/>
          </w:tcPr>
          <w:p w14:paraId="1C9787D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0.002</w:t>
            </w:r>
          </w:p>
        </w:tc>
        <w:tc>
          <w:tcPr>
            <w:tcW w:w="1268" w:type="dxa"/>
            <w:tcBorders>
              <w:tl2br w:val="nil"/>
              <w:tr2bl w:val="nil"/>
            </w:tcBorders>
            <w:vAlign w:val="center"/>
          </w:tcPr>
          <w:p w14:paraId="6978CBF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35</w:t>
            </w:r>
          </w:p>
        </w:tc>
        <w:tc>
          <w:tcPr>
            <w:tcW w:w="1268" w:type="dxa"/>
            <w:tcBorders>
              <w:tl2br w:val="nil"/>
              <w:tr2bl w:val="nil"/>
            </w:tcBorders>
            <w:vAlign w:val="center"/>
          </w:tcPr>
          <w:p w14:paraId="17E07AA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0.002</w:t>
            </w:r>
          </w:p>
        </w:tc>
        <w:tc>
          <w:tcPr>
            <w:tcW w:w="1268" w:type="dxa"/>
            <w:tcBorders>
              <w:tl2br w:val="nil"/>
              <w:tr2bl w:val="nil"/>
            </w:tcBorders>
            <w:vAlign w:val="center"/>
          </w:tcPr>
          <w:p w14:paraId="3101255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32</w:t>
            </w:r>
          </w:p>
        </w:tc>
        <w:tc>
          <w:tcPr>
            <w:tcW w:w="1268" w:type="dxa"/>
            <w:tcBorders>
              <w:tl2br w:val="nil"/>
              <w:tr2bl w:val="nil"/>
            </w:tcBorders>
            <w:vAlign w:val="center"/>
          </w:tcPr>
          <w:p w14:paraId="77964B7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0.002</w:t>
            </w:r>
          </w:p>
        </w:tc>
        <w:tc>
          <w:tcPr>
            <w:tcW w:w="1268" w:type="dxa"/>
            <w:tcBorders>
              <w:tl2br w:val="nil"/>
              <w:tr2bl w:val="nil"/>
            </w:tcBorders>
            <w:shd w:val="clear" w:color="auto" w:fill="auto"/>
            <w:vAlign w:val="center"/>
          </w:tcPr>
          <w:p w14:paraId="4C26C9B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24</w:t>
            </w:r>
          </w:p>
        </w:tc>
        <w:tc>
          <w:tcPr>
            <w:tcW w:w="1268" w:type="dxa"/>
            <w:tcBorders>
              <w:tl2br w:val="nil"/>
              <w:tr2bl w:val="nil"/>
            </w:tcBorders>
            <w:vAlign w:val="center"/>
          </w:tcPr>
          <w:p w14:paraId="7D6E810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0.001</w:t>
            </w:r>
          </w:p>
        </w:tc>
      </w:tr>
      <w:tr w14:paraId="4BBE84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7382204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铅</w:t>
            </w:r>
          </w:p>
        </w:tc>
        <w:tc>
          <w:tcPr>
            <w:tcW w:w="993" w:type="dxa"/>
            <w:tcBorders>
              <w:tl2br w:val="nil"/>
              <w:tr2bl w:val="nil"/>
            </w:tcBorders>
            <w:vAlign w:val="center"/>
          </w:tcPr>
          <w:p w14:paraId="230127F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B33E28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800</w:t>
            </w:r>
          </w:p>
        </w:tc>
        <w:tc>
          <w:tcPr>
            <w:tcW w:w="1268" w:type="dxa"/>
            <w:tcBorders>
              <w:tl2br w:val="nil"/>
              <w:tr2bl w:val="nil"/>
            </w:tcBorders>
            <w:shd w:val="clear" w:color="auto" w:fill="auto"/>
            <w:vAlign w:val="center"/>
          </w:tcPr>
          <w:p w14:paraId="2447BAE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32</w:t>
            </w:r>
          </w:p>
        </w:tc>
        <w:tc>
          <w:tcPr>
            <w:tcW w:w="1268" w:type="dxa"/>
            <w:tcBorders>
              <w:tl2br w:val="nil"/>
              <w:tr2bl w:val="nil"/>
            </w:tcBorders>
            <w:vAlign w:val="center"/>
          </w:tcPr>
          <w:p w14:paraId="1DD2900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0.040</w:t>
            </w:r>
          </w:p>
        </w:tc>
        <w:tc>
          <w:tcPr>
            <w:tcW w:w="1268" w:type="dxa"/>
            <w:tcBorders>
              <w:tl2br w:val="nil"/>
              <w:tr2bl w:val="nil"/>
            </w:tcBorders>
            <w:vAlign w:val="center"/>
          </w:tcPr>
          <w:p w14:paraId="7A9D28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28</w:t>
            </w:r>
          </w:p>
        </w:tc>
        <w:tc>
          <w:tcPr>
            <w:tcW w:w="1268" w:type="dxa"/>
            <w:tcBorders>
              <w:tl2br w:val="nil"/>
              <w:tr2bl w:val="nil"/>
            </w:tcBorders>
            <w:vAlign w:val="center"/>
          </w:tcPr>
          <w:p w14:paraId="342A18B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0.035</w:t>
            </w:r>
          </w:p>
        </w:tc>
        <w:tc>
          <w:tcPr>
            <w:tcW w:w="1268" w:type="dxa"/>
            <w:tcBorders>
              <w:tl2br w:val="nil"/>
              <w:tr2bl w:val="nil"/>
            </w:tcBorders>
            <w:vAlign w:val="center"/>
          </w:tcPr>
          <w:p w14:paraId="28CB719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30</w:t>
            </w:r>
          </w:p>
        </w:tc>
        <w:tc>
          <w:tcPr>
            <w:tcW w:w="1268" w:type="dxa"/>
            <w:tcBorders>
              <w:tl2br w:val="nil"/>
              <w:tr2bl w:val="nil"/>
            </w:tcBorders>
            <w:vAlign w:val="center"/>
          </w:tcPr>
          <w:p w14:paraId="4C48A4A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0.038</w:t>
            </w:r>
          </w:p>
        </w:tc>
        <w:tc>
          <w:tcPr>
            <w:tcW w:w="1268" w:type="dxa"/>
            <w:tcBorders>
              <w:tl2br w:val="nil"/>
              <w:tr2bl w:val="nil"/>
            </w:tcBorders>
            <w:shd w:val="clear" w:color="auto" w:fill="auto"/>
            <w:vAlign w:val="center"/>
          </w:tcPr>
          <w:p w14:paraId="5847439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25</w:t>
            </w:r>
          </w:p>
        </w:tc>
        <w:tc>
          <w:tcPr>
            <w:tcW w:w="1268" w:type="dxa"/>
            <w:tcBorders>
              <w:tl2br w:val="nil"/>
              <w:tr2bl w:val="nil"/>
            </w:tcBorders>
            <w:vAlign w:val="center"/>
          </w:tcPr>
          <w:p w14:paraId="0B31F92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0.031</w:t>
            </w:r>
          </w:p>
        </w:tc>
      </w:tr>
      <w:tr w14:paraId="407100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3CB459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汞</w:t>
            </w:r>
          </w:p>
        </w:tc>
        <w:tc>
          <w:tcPr>
            <w:tcW w:w="993" w:type="dxa"/>
            <w:tcBorders>
              <w:tl2br w:val="nil"/>
              <w:tr2bl w:val="nil"/>
            </w:tcBorders>
            <w:vAlign w:val="center"/>
          </w:tcPr>
          <w:p w14:paraId="04C0BBD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5D36D18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38</w:t>
            </w:r>
          </w:p>
        </w:tc>
        <w:tc>
          <w:tcPr>
            <w:tcW w:w="1268" w:type="dxa"/>
            <w:tcBorders>
              <w:tl2br w:val="nil"/>
              <w:tr2bl w:val="nil"/>
            </w:tcBorders>
            <w:shd w:val="clear" w:color="auto" w:fill="auto"/>
            <w:vAlign w:val="center"/>
          </w:tcPr>
          <w:p w14:paraId="7B70E31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0.268</w:t>
            </w:r>
          </w:p>
        </w:tc>
        <w:tc>
          <w:tcPr>
            <w:tcW w:w="1268" w:type="dxa"/>
            <w:tcBorders>
              <w:tl2br w:val="nil"/>
              <w:tr2bl w:val="nil"/>
            </w:tcBorders>
            <w:vAlign w:val="center"/>
          </w:tcPr>
          <w:p w14:paraId="6F98129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0.007</w:t>
            </w:r>
          </w:p>
        </w:tc>
        <w:tc>
          <w:tcPr>
            <w:tcW w:w="1268" w:type="dxa"/>
            <w:tcBorders>
              <w:tl2br w:val="nil"/>
              <w:tr2bl w:val="nil"/>
            </w:tcBorders>
            <w:vAlign w:val="center"/>
          </w:tcPr>
          <w:p w14:paraId="778BE83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0.256</w:t>
            </w:r>
          </w:p>
        </w:tc>
        <w:tc>
          <w:tcPr>
            <w:tcW w:w="1268" w:type="dxa"/>
            <w:tcBorders>
              <w:tl2br w:val="nil"/>
              <w:tr2bl w:val="nil"/>
            </w:tcBorders>
            <w:vAlign w:val="center"/>
          </w:tcPr>
          <w:p w14:paraId="1B5DB5D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0.007</w:t>
            </w:r>
          </w:p>
        </w:tc>
        <w:tc>
          <w:tcPr>
            <w:tcW w:w="1268" w:type="dxa"/>
            <w:tcBorders>
              <w:tl2br w:val="nil"/>
              <w:tr2bl w:val="nil"/>
            </w:tcBorders>
            <w:vAlign w:val="center"/>
          </w:tcPr>
          <w:p w14:paraId="620D6DC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0.251</w:t>
            </w:r>
          </w:p>
        </w:tc>
        <w:tc>
          <w:tcPr>
            <w:tcW w:w="1268" w:type="dxa"/>
            <w:tcBorders>
              <w:tl2br w:val="nil"/>
              <w:tr2bl w:val="nil"/>
            </w:tcBorders>
            <w:vAlign w:val="center"/>
          </w:tcPr>
          <w:p w14:paraId="5E97916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0.007</w:t>
            </w:r>
          </w:p>
        </w:tc>
        <w:tc>
          <w:tcPr>
            <w:tcW w:w="1268" w:type="dxa"/>
            <w:tcBorders>
              <w:tl2br w:val="nil"/>
              <w:tr2bl w:val="nil"/>
            </w:tcBorders>
            <w:shd w:val="clear" w:color="auto" w:fill="auto"/>
            <w:vAlign w:val="center"/>
          </w:tcPr>
          <w:p w14:paraId="5141BCE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0.204</w:t>
            </w:r>
          </w:p>
        </w:tc>
        <w:tc>
          <w:tcPr>
            <w:tcW w:w="1268" w:type="dxa"/>
            <w:tcBorders>
              <w:tl2br w:val="nil"/>
              <w:tr2bl w:val="nil"/>
            </w:tcBorders>
            <w:vAlign w:val="center"/>
          </w:tcPr>
          <w:p w14:paraId="31E6B71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0.005</w:t>
            </w:r>
          </w:p>
        </w:tc>
      </w:tr>
      <w:tr w14:paraId="40CF5E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783B835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镍</w:t>
            </w:r>
          </w:p>
        </w:tc>
        <w:tc>
          <w:tcPr>
            <w:tcW w:w="993" w:type="dxa"/>
            <w:tcBorders>
              <w:tl2br w:val="nil"/>
              <w:tr2bl w:val="nil"/>
            </w:tcBorders>
            <w:vAlign w:val="center"/>
          </w:tcPr>
          <w:p w14:paraId="348C74B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307B57E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900</w:t>
            </w:r>
          </w:p>
        </w:tc>
        <w:tc>
          <w:tcPr>
            <w:tcW w:w="1268" w:type="dxa"/>
            <w:tcBorders>
              <w:tl2br w:val="nil"/>
              <w:tr2bl w:val="nil"/>
            </w:tcBorders>
            <w:shd w:val="clear" w:color="auto" w:fill="auto"/>
            <w:vAlign w:val="center"/>
          </w:tcPr>
          <w:p w14:paraId="7168DD8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56</w:t>
            </w:r>
          </w:p>
        </w:tc>
        <w:tc>
          <w:tcPr>
            <w:tcW w:w="1268" w:type="dxa"/>
            <w:tcBorders>
              <w:tl2br w:val="nil"/>
              <w:tr2bl w:val="nil"/>
            </w:tcBorders>
            <w:vAlign w:val="center"/>
          </w:tcPr>
          <w:p w14:paraId="30BAEA2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0.062</w:t>
            </w:r>
          </w:p>
        </w:tc>
        <w:tc>
          <w:tcPr>
            <w:tcW w:w="1268" w:type="dxa"/>
            <w:tcBorders>
              <w:tl2br w:val="nil"/>
              <w:tr2bl w:val="nil"/>
            </w:tcBorders>
            <w:vAlign w:val="center"/>
          </w:tcPr>
          <w:p w14:paraId="2476409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50</w:t>
            </w:r>
          </w:p>
        </w:tc>
        <w:tc>
          <w:tcPr>
            <w:tcW w:w="1268" w:type="dxa"/>
            <w:tcBorders>
              <w:tl2br w:val="nil"/>
              <w:tr2bl w:val="nil"/>
            </w:tcBorders>
            <w:vAlign w:val="center"/>
          </w:tcPr>
          <w:p w14:paraId="7C8D095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0.056</w:t>
            </w:r>
          </w:p>
        </w:tc>
        <w:tc>
          <w:tcPr>
            <w:tcW w:w="1268" w:type="dxa"/>
            <w:tcBorders>
              <w:tl2br w:val="nil"/>
              <w:tr2bl w:val="nil"/>
            </w:tcBorders>
            <w:vAlign w:val="center"/>
          </w:tcPr>
          <w:p w14:paraId="23B238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45</w:t>
            </w:r>
          </w:p>
        </w:tc>
        <w:tc>
          <w:tcPr>
            <w:tcW w:w="1268" w:type="dxa"/>
            <w:tcBorders>
              <w:tl2br w:val="nil"/>
              <w:tr2bl w:val="nil"/>
            </w:tcBorders>
            <w:vAlign w:val="center"/>
          </w:tcPr>
          <w:p w14:paraId="5351048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0.050</w:t>
            </w:r>
          </w:p>
        </w:tc>
        <w:tc>
          <w:tcPr>
            <w:tcW w:w="1268" w:type="dxa"/>
            <w:tcBorders>
              <w:tl2br w:val="nil"/>
              <w:tr2bl w:val="nil"/>
            </w:tcBorders>
            <w:shd w:val="clear" w:color="auto" w:fill="auto"/>
            <w:vAlign w:val="center"/>
          </w:tcPr>
          <w:p w14:paraId="6884E64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44</w:t>
            </w:r>
          </w:p>
        </w:tc>
        <w:tc>
          <w:tcPr>
            <w:tcW w:w="1268" w:type="dxa"/>
            <w:tcBorders>
              <w:tl2br w:val="nil"/>
              <w:tr2bl w:val="nil"/>
            </w:tcBorders>
            <w:vAlign w:val="center"/>
          </w:tcPr>
          <w:p w14:paraId="14EAAB0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0.049</w:t>
            </w:r>
          </w:p>
        </w:tc>
      </w:tr>
      <w:tr w14:paraId="0E4518D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3BA16D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四氯化碳</w:t>
            </w:r>
          </w:p>
        </w:tc>
        <w:tc>
          <w:tcPr>
            <w:tcW w:w="993" w:type="dxa"/>
            <w:tcBorders>
              <w:tl2br w:val="nil"/>
              <w:tr2bl w:val="nil"/>
            </w:tcBorders>
            <w:vAlign w:val="center"/>
          </w:tcPr>
          <w:p w14:paraId="6B77E77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6B411D3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1268" w:type="dxa"/>
            <w:tcBorders>
              <w:tl2br w:val="nil"/>
              <w:tr2bl w:val="nil"/>
            </w:tcBorders>
            <w:vAlign w:val="center"/>
          </w:tcPr>
          <w:p w14:paraId="11F926A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58734B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b/>
                <w:bCs/>
                <w:color w:val="000000"/>
                <w:sz w:val="21"/>
                <w:szCs w:val="21"/>
                <w:highlight w:val="none"/>
              </w:rPr>
              <w:t>/</w:t>
            </w:r>
          </w:p>
        </w:tc>
        <w:tc>
          <w:tcPr>
            <w:tcW w:w="1268" w:type="dxa"/>
            <w:tcBorders>
              <w:tl2br w:val="nil"/>
              <w:tr2bl w:val="nil"/>
            </w:tcBorders>
            <w:vAlign w:val="center"/>
          </w:tcPr>
          <w:p w14:paraId="6C00BB7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E199F6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b/>
                <w:bCs/>
                <w:color w:val="000000"/>
                <w:sz w:val="21"/>
                <w:szCs w:val="21"/>
                <w:highlight w:val="none"/>
              </w:rPr>
              <w:t>/</w:t>
            </w:r>
          </w:p>
        </w:tc>
        <w:tc>
          <w:tcPr>
            <w:tcW w:w="1268" w:type="dxa"/>
            <w:tcBorders>
              <w:tl2br w:val="nil"/>
              <w:tr2bl w:val="nil"/>
            </w:tcBorders>
            <w:vAlign w:val="center"/>
          </w:tcPr>
          <w:p w14:paraId="418158C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326A47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b/>
                <w:bCs/>
                <w:color w:val="000000"/>
                <w:sz w:val="21"/>
                <w:szCs w:val="21"/>
                <w:highlight w:val="none"/>
              </w:rPr>
              <w:t>/</w:t>
            </w:r>
          </w:p>
        </w:tc>
        <w:tc>
          <w:tcPr>
            <w:tcW w:w="1268" w:type="dxa"/>
            <w:tcBorders>
              <w:tl2br w:val="nil"/>
              <w:tr2bl w:val="nil"/>
            </w:tcBorders>
            <w:vAlign w:val="center"/>
          </w:tcPr>
          <w:p w14:paraId="0A994AC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508E53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b/>
                <w:bCs/>
                <w:color w:val="000000"/>
                <w:sz w:val="21"/>
                <w:szCs w:val="21"/>
                <w:highlight w:val="none"/>
              </w:rPr>
              <w:t>/</w:t>
            </w:r>
          </w:p>
        </w:tc>
      </w:tr>
      <w:tr w14:paraId="5B8E43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3AF3AC2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氯仿</w:t>
            </w:r>
          </w:p>
        </w:tc>
        <w:tc>
          <w:tcPr>
            <w:tcW w:w="993" w:type="dxa"/>
            <w:tcBorders>
              <w:tl2br w:val="nil"/>
              <w:tr2bl w:val="nil"/>
            </w:tcBorders>
            <w:vAlign w:val="center"/>
          </w:tcPr>
          <w:p w14:paraId="7CB2E7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2C6C5F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0.9</w:t>
            </w:r>
          </w:p>
        </w:tc>
        <w:tc>
          <w:tcPr>
            <w:tcW w:w="1268" w:type="dxa"/>
            <w:tcBorders>
              <w:tl2br w:val="nil"/>
              <w:tr2bl w:val="nil"/>
            </w:tcBorders>
            <w:vAlign w:val="center"/>
          </w:tcPr>
          <w:p w14:paraId="6344C8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22A8C3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0E32D6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12576D1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62DD17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94E540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E8598D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DFD304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156347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1491BB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氯甲烷</w:t>
            </w:r>
          </w:p>
        </w:tc>
        <w:tc>
          <w:tcPr>
            <w:tcW w:w="993" w:type="dxa"/>
            <w:tcBorders>
              <w:tl2br w:val="nil"/>
              <w:tr2bl w:val="nil"/>
            </w:tcBorders>
            <w:vAlign w:val="center"/>
          </w:tcPr>
          <w:p w14:paraId="1627B17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389221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37</w:t>
            </w:r>
          </w:p>
        </w:tc>
        <w:tc>
          <w:tcPr>
            <w:tcW w:w="1268" w:type="dxa"/>
            <w:tcBorders>
              <w:tl2br w:val="nil"/>
              <w:tr2bl w:val="nil"/>
            </w:tcBorders>
            <w:vAlign w:val="center"/>
          </w:tcPr>
          <w:p w14:paraId="3C48404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7D6FB7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6DD922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A72C1F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A36B5A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5DE4D4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41682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16646F3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1372B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5D99230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1,1-二氯乙烷</w:t>
            </w:r>
          </w:p>
        </w:tc>
        <w:tc>
          <w:tcPr>
            <w:tcW w:w="993" w:type="dxa"/>
            <w:tcBorders>
              <w:tl2br w:val="nil"/>
              <w:tr2bl w:val="nil"/>
            </w:tcBorders>
            <w:vAlign w:val="center"/>
          </w:tcPr>
          <w:p w14:paraId="0CC6DEE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3B689AC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w:t>
            </w:r>
          </w:p>
        </w:tc>
        <w:tc>
          <w:tcPr>
            <w:tcW w:w="1268" w:type="dxa"/>
            <w:tcBorders>
              <w:tl2br w:val="nil"/>
              <w:tr2bl w:val="nil"/>
            </w:tcBorders>
            <w:vAlign w:val="center"/>
          </w:tcPr>
          <w:p w14:paraId="1D45A87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249D12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19FE06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24085F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494F58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942220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5F1FA1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636CA2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4610E4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0CF6E00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1,2-二氯乙烷</w:t>
            </w:r>
          </w:p>
        </w:tc>
        <w:tc>
          <w:tcPr>
            <w:tcW w:w="993" w:type="dxa"/>
            <w:tcBorders>
              <w:tl2br w:val="nil"/>
              <w:tr2bl w:val="nil"/>
            </w:tcBorders>
            <w:vAlign w:val="center"/>
          </w:tcPr>
          <w:p w14:paraId="1CD7188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2CF66B0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1268" w:type="dxa"/>
            <w:tcBorders>
              <w:tl2br w:val="nil"/>
              <w:tr2bl w:val="nil"/>
            </w:tcBorders>
            <w:vAlign w:val="center"/>
          </w:tcPr>
          <w:p w14:paraId="70D2F6B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7FAA38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CFA4FC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5DCF25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4448C3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9EE4D6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910D07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606DCC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2077CF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030B0F2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1,1-二氯乙烯</w:t>
            </w:r>
          </w:p>
        </w:tc>
        <w:tc>
          <w:tcPr>
            <w:tcW w:w="993" w:type="dxa"/>
            <w:tcBorders>
              <w:tl2br w:val="nil"/>
              <w:tr2bl w:val="nil"/>
            </w:tcBorders>
            <w:vAlign w:val="center"/>
          </w:tcPr>
          <w:p w14:paraId="5097CBB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878DC3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66</w:t>
            </w:r>
          </w:p>
        </w:tc>
        <w:tc>
          <w:tcPr>
            <w:tcW w:w="1268" w:type="dxa"/>
            <w:tcBorders>
              <w:tl2br w:val="nil"/>
              <w:tr2bl w:val="nil"/>
            </w:tcBorders>
            <w:vAlign w:val="center"/>
          </w:tcPr>
          <w:p w14:paraId="12EE4D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D0BF2D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A458DE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C9415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D3F62A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0C731F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94FCBB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EDC29F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411784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07090B2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顺-1,2-二氯乙烯</w:t>
            </w:r>
          </w:p>
        </w:tc>
        <w:tc>
          <w:tcPr>
            <w:tcW w:w="993" w:type="dxa"/>
            <w:tcBorders>
              <w:tl2br w:val="nil"/>
              <w:tr2bl w:val="nil"/>
            </w:tcBorders>
            <w:vAlign w:val="center"/>
          </w:tcPr>
          <w:p w14:paraId="0838E38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3F20B3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596</w:t>
            </w:r>
          </w:p>
        </w:tc>
        <w:tc>
          <w:tcPr>
            <w:tcW w:w="1268" w:type="dxa"/>
            <w:tcBorders>
              <w:tl2br w:val="nil"/>
              <w:tr2bl w:val="nil"/>
            </w:tcBorders>
            <w:vAlign w:val="center"/>
          </w:tcPr>
          <w:p w14:paraId="192857A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05E832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889B1A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FCA6B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5F4CD9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7B31CF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C371C1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428D38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2E0D9A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6785AF4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反-1,2-二氯乙烯</w:t>
            </w:r>
          </w:p>
        </w:tc>
        <w:tc>
          <w:tcPr>
            <w:tcW w:w="993" w:type="dxa"/>
            <w:tcBorders>
              <w:tl2br w:val="nil"/>
              <w:tr2bl w:val="nil"/>
            </w:tcBorders>
            <w:vAlign w:val="center"/>
          </w:tcPr>
          <w:p w14:paraId="5B8BCF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3F9AD2A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54</w:t>
            </w:r>
          </w:p>
        </w:tc>
        <w:tc>
          <w:tcPr>
            <w:tcW w:w="1268" w:type="dxa"/>
            <w:tcBorders>
              <w:tl2br w:val="nil"/>
              <w:tr2bl w:val="nil"/>
            </w:tcBorders>
            <w:vAlign w:val="center"/>
          </w:tcPr>
          <w:p w14:paraId="11F59D7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43811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CCEC64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E0B21F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F2314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90665A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DDA721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50DB5F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CBCE4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36F529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二氯甲烷</w:t>
            </w:r>
          </w:p>
        </w:tc>
        <w:tc>
          <w:tcPr>
            <w:tcW w:w="993" w:type="dxa"/>
            <w:tcBorders>
              <w:tl2br w:val="nil"/>
              <w:tr2bl w:val="nil"/>
            </w:tcBorders>
            <w:vAlign w:val="center"/>
          </w:tcPr>
          <w:p w14:paraId="5D7AA2C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2DA3E05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616</w:t>
            </w:r>
          </w:p>
        </w:tc>
        <w:tc>
          <w:tcPr>
            <w:tcW w:w="1268" w:type="dxa"/>
            <w:tcBorders>
              <w:tl2br w:val="nil"/>
              <w:tr2bl w:val="nil"/>
            </w:tcBorders>
            <w:vAlign w:val="center"/>
          </w:tcPr>
          <w:p w14:paraId="4D4B33B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ADE399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4AEB52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16311C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5FCA35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427F2F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C57B33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35704A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768EF4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31F02D6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1,2-二氯丙烷</w:t>
            </w:r>
          </w:p>
        </w:tc>
        <w:tc>
          <w:tcPr>
            <w:tcW w:w="993" w:type="dxa"/>
            <w:tcBorders>
              <w:tl2br w:val="nil"/>
              <w:tr2bl w:val="nil"/>
            </w:tcBorders>
            <w:vAlign w:val="center"/>
          </w:tcPr>
          <w:p w14:paraId="4358608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37A6A71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1268" w:type="dxa"/>
            <w:tcBorders>
              <w:tl2br w:val="nil"/>
              <w:tr2bl w:val="nil"/>
            </w:tcBorders>
            <w:vAlign w:val="center"/>
          </w:tcPr>
          <w:p w14:paraId="6A9B2F2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EA5834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211904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F0A485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342675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3A81C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9E0D78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9D5459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51B3D4D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trPr>
        <w:tc>
          <w:tcPr>
            <w:tcW w:w="1696" w:type="dxa"/>
            <w:tcBorders>
              <w:tl2br w:val="nil"/>
              <w:tr2bl w:val="nil"/>
            </w:tcBorders>
            <w:vAlign w:val="center"/>
          </w:tcPr>
          <w:p w14:paraId="5002F20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1,1,1,2-四氯乙烷</w:t>
            </w:r>
          </w:p>
        </w:tc>
        <w:tc>
          <w:tcPr>
            <w:tcW w:w="993" w:type="dxa"/>
            <w:tcBorders>
              <w:tl2br w:val="nil"/>
              <w:tr2bl w:val="nil"/>
            </w:tcBorders>
            <w:vAlign w:val="center"/>
          </w:tcPr>
          <w:p w14:paraId="1B9123F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5F71311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p>
        </w:tc>
        <w:tc>
          <w:tcPr>
            <w:tcW w:w="1268" w:type="dxa"/>
            <w:tcBorders>
              <w:tl2br w:val="nil"/>
              <w:tr2bl w:val="nil"/>
            </w:tcBorders>
            <w:vAlign w:val="center"/>
          </w:tcPr>
          <w:p w14:paraId="595207B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3C09D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40D20C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68ABD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B3BEF9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EAC652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9404AB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55B233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7F8C60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33C9804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1,1,2,2-四氯乙烷</w:t>
            </w:r>
          </w:p>
        </w:tc>
        <w:tc>
          <w:tcPr>
            <w:tcW w:w="993" w:type="dxa"/>
            <w:tcBorders>
              <w:tl2br w:val="nil"/>
              <w:tr2bl w:val="nil"/>
            </w:tcBorders>
            <w:vAlign w:val="center"/>
          </w:tcPr>
          <w:p w14:paraId="0FE84C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6DCEB86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6.8</w:t>
            </w:r>
          </w:p>
        </w:tc>
        <w:tc>
          <w:tcPr>
            <w:tcW w:w="1268" w:type="dxa"/>
            <w:tcBorders>
              <w:tl2br w:val="nil"/>
              <w:tr2bl w:val="nil"/>
            </w:tcBorders>
            <w:vAlign w:val="center"/>
          </w:tcPr>
          <w:p w14:paraId="5157D1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1ED7EBE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B15821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741561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61174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51277B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95ABEC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C3240F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3995FE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CDD01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四氯乙烯</w:t>
            </w:r>
          </w:p>
        </w:tc>
        <w:tc>
          <w:tcPr>
            <w:tcW w:w="993" w:type="dxa"/>
            <w:tcBorders>
              <w:tl2br w:val="nil"/>
              <w:tr2bl w:val="nil"/>
            </w:tcBorders>
            <w:vAlign w:val="center"/>
          </w:tcPr>
          <w:p w14:paraId="489BBDB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053E362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53</w:t>
            </w:r>
          </w:p>
        </w:tc>
        <w:tc>
          <w:tcPr>
            <w:tcW w:w="1268" w:type="dxa"/>
            <w:tcBorders>
              <w:tl2br w:val="nil"/>
              <w:tr2bl w:val="nil"/>
            </w:tcBorders>
            <w:vAlign w:val="center"/>
          </w:tcPr>
          <w:p w14:paraId="622E20F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F6AF5F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700D96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725090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5B4F1B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208D0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CC895E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00334D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52E1AC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CDA591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1,1,1-三氯乙烷</w:t>
            </w:r>
          </w:p>
        </w:tc>
        <w:tc>
          <w:tcPr>
            <w:tcW w:w="993" w:type="dxa"/>
            <w:tcBorders>
              <w:tl2br w:val="nil"/>
              <w:tr2bl w:val="nil"/>
            </w:tcBorders>
            <w:vAlign w:val="center"/>
          </w:tcPr>
          <w:p w14:paraId="090955B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4DBFCCC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840</w:t>
            </w:r>
          </w:p>
        </w:tc>
        <w:tc>
          <w:tcPr>
            <w:tcW w:w="1268" w:type="dxa"/>
            <w:tcBorders>
              <w:tl2br w:val="nil"/>
              <w:tr2bl w:val="nil"/>
            </w:tcBorders>
            <w:vAlign w:val="center"/>
          </w:tcPr>
          <w:p w14:paraId="7FD82F7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230828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B34D1B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F98957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4DA71F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15F5F0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9D5B2E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E19094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4E96CF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CBDDC8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1,1,2-三氯乙烷</w:t>
            </w:r>
          </w:p>
        </w:tc>
        <w:tc>
          <w:tcPr>
            <w:tcW w:w="993" w:type="dxa"/>
            <w:tcBorders>
              <w:tl2br w:val="nil"/>
              <w:tr2bl w:val="nil"/>
            </w:tcBorders>
            <w:vAlign w:val="center"/>
          </w:tcPr>
          <w:p w14:paraId="250F1F4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144A6FB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1268" w:type="dxa"/>
            <w:tcBorders>
              <w:tl2br w:val="nil"/>
              <w:tr2bl w:val="nil"/>
            </w:tcBorders>
            <w:vAlign w:val="center"/>
          </w:tcPr>
          <w:p w14:paraId="13BE95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92934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8D9E7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99A578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4EC6DA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1FE8F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81BF19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A6F3CA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24A9F7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696F763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三氯乙烯</w:t>
            </w:r>
          </w:p>
        </w:tc>
        <w:tc>
          <w:tcPr>
            <w:tcW w:w="993" w:type="dxa"/>
            <w:tcBorders>
              <w:tl2br w:val="nil"/>
              <w:tr2bl w:val="nil"/>
            </w:tcBorders>
            <w:vAlign w:val="center"/>
          </w:tcPr>
          <w:p w14:paraId="5FE579C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50D767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1268" w:type="dxa"/>
            <w:tcBorders>
              <w:tl2br w:val="nil"/>
              <w:tr2bl w:val="nil"/>
            </w:tcBorders>
            <w:vAlign w:val="center"/>
          </w:tcPr>
          <w:p w14:paraId="1EB2C89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F0A4DD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A22ABE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FE1704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4B1DD6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795046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B344AE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CCB5E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11E22E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0B4CE53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1,2,3-三氯丙烷</w:t>
            </w:r>
          </w:p>
        </w:tc>
        <w:tc>
          <w:tcPr>
            <w:tcW w:w="993" w:type="dxa"/>
            <w:tcBorders>
              <w:tl2br w:val="nil"/>
              <w:tr2bl w:val="nil"/>
            </w:tcBorders>
            <w:vAlign w:val="center"/>
          </w:tcPr>
          <w:p w14:paraId="3C8BE5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4904AC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0.5</w:t>
            </w:r>
          </w:p>
        </w:tc>
        <w:tc>
          <w:tcPr>
            <w:tcW w:w="1268" w:type="dxa"/>
            <w:tcBorders>
              <w:tl2br w:val="nil"/>
              <w:tr2bl w:val="nil"/>
            </w:tcBorders>
            <w:vAlign w:val="center"/>
          </w:tcPr>
          <w:p w14:paraId="778E4CF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CFEDD8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C4590F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5CEC74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0FC08D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DE4110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444234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AF4156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1EEDC4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4DD10EE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氯乙烯</w:t>
            </w:r>
          </w:p>
        </w:tc>
        <w:tc>
          <w:tcPr>
            <w:tcW w:w="993" w:type="dxa"/>
            <w:tcBorders>
              <w:tl2br w:val="nil"/>
              <w:tr2bl w:val="nil"/>
            </w:tcBorders>
            <w:vAlign w:val="center"/>
          </w:tcPr>
          <w:p w14:paraId="4650F3C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2A3E135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0.43</w:t>
            </w:r>
          </w:p>
        </w:tc>
        <w:tc>
          <w:tcPr>
            <w:tcW w:w="1268" w:type="dxa"/>
            <w:tcBorders>
              <w:tl2br w:val="nil"/>
              <w:tr2bl w:val="nil"/>
            </w:tcBorders>
            <w:vAlign w:val="center"/>
          </w:tcPr>
          <w:p w14:paraId="4F29D98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DE9D8C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1334ED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DA1254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30165B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724FD3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FA4E85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15E6013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4349B3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9CF8DF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w:t>
            </w:r>
          </w:p>
        </w:tc>
        <w:tc>
          <w:tcPr>
            <w:tcW w:w="993" w:type="dxa"/>
            <w:tcBorders>
              <w:tl2br w:val="nil"/>
              <w:tr2bl w:val="nil"/>
            </w:tcBorders>
            <w:vAlign w:val="center"/>
          </w:tcPr>
          <w:p w14:paraId="3216996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27F26E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1268" w:type="dxa"/>
            <w:tcBorders>
              <w:tl2br w:val="nil"/>
              <w:tr2bl w:val="nil"/>
            </w:tcBorders>
            <w:vAlign w:val="center"/>
          </w:tcPr>
          <w:p w14:paraId="5D652D4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＜1.9×10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332034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C78D50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＜1.9×10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9DC57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67CFFD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＜1.9×10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200E8C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DD1134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＜1.9×10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C9035A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2E6243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3B499FB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氯苯</w:t>
            </w:r>
          </w:p>
        </w:tc>
        <w:tc>
          <w:tcPr>
            <w:tcW w:w="993" w:type="dxa"/>
            <w:tcBorders>
              <w:tl2br w:val="nil"/>
              <w:tr2bl w:val="nil"/>
            </w:tcBorders>
            <w:vAlign w:val="center"/>
          </w:tcPr>
          <w:p w14:paraId="70B9B3B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CA89E4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270</w:t>
            </w:r>
          </w:p>
        </w:tc>
        <w:tc>
          <w:tcPr>
            <w:tcW w:w="1268" w:type="dxa"/>
            <w:tcBorders>
              <w:tl2br w:val="nil"/>
              <w:tr2bl w:val="nil"/>
            </w:tcBorders>
            <w:vAlign w:val="center"/>
          </w:tcPr>
          <w:p w14:paraId="2D8A116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7AA504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E22D9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A4DAD3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198921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210538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72391D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FCE894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4D818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816EB8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1,2-二氯苯</w:t>
            </w:r>
          </w:p>
        </w:tc>
        <w:tc>
          <w:tcPr>
            <w:tcW w:w="993" w:type="dxa"/>
            <w:tcBorders>
              <w:tl2br w:val="nil"/>
              <w:tr2bl w:val="nil"/>
            </w:tcBorders>
            <w:vAlign w:val="center"/>
          </w:tcPr>
          <w:p w14:paraId="71D61FF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6E73B04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560</w:t>
            </w:r>
          </w:p>
        </w:tc>
        <w:tc>
          <w:tcPr>
            <w:tcW w:w="1268" w:type="dxa"/>
            <w:tcBorders>
              <w:tl2br w:val="nil"/>
              <w:tr2bl w:val="nil"/>
            </w:tcBorders>
            <w:vAlign w:val="center"/>
          </w:tcPr>
          <w:p w14:paraId="71C0C6F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CCF5A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ACDDE9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144000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D3839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B274EC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420C10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24B8F9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5F7B0E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C2A748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1,4-二氯苯</w:t>
            </w:r>
          </w:p>
        </w:tc>
        <w:tc>
          <w:tcPr>
            <w:tcW w:w="993" w:type="dxa"/>
            <w:tcBorders>
              <w:tl2br w:val="nil"/>
              <w:tr2bl w:val="nil"/>
            </w:tcBorders>
            <w:vAlign w:val="center"/>
          </w:tcPr>
          <w:p w14:paraId="25AC46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43FFCC5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w:t>
            </w:r>
          </w:p>
        </w:tc>
        <w:tc>
          <w:tcPr>
            <w:tcW w:w="1268" w:type="dxa"/>
            <w:tcBorders>
              <w:tl2br w:val="nil"/>
              <w:tr2bl w:val="nil"/>
            </w:tcBorders>
            <w:vAlign w:val="center"/>
          </w:tcPr>
          <w:p w14:paraId="02D18D6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FEEAB6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E1BEF3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6169B3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E0A6AA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BF80B6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41622C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E13B45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3D7EE6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F7BF5F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乙苯</w:t>
            </w:r>
          </w:p>
        </w:tc>
        <w:tc>
          <w:tcPr>
            <w:tcW w:w="993" w:type="dxa"/>
            <w:tcBorders>
              <w:tl2br w:val="nil"/>
              <w:tr2bl w:val="nil"/>
            </w:tcBorders>
            <w:vAlign w:val="center"/>
          </w:tcPr>
          <w:p w14:paraId="68CB54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2929938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1268" w:type="dxa"/>
            <w:tcBorders>
              <w:tl2br w:val="nil"/>
              <w:tr2bl w:val="nil"/>
            </w:tcBorders>
            <w:vAlign w:val="center"/>
          </w:tcPr>
          <w:p w14:paraId="3458047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615EC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D6A765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52F96D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324B19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5642CC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37072D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7DD6F6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3280E8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7EF0475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苯乙烯</w:t>
            </w:r>
          </w:p>
        </w:tc>
        <w:tc>
          <w:tcPr>
            <w:tcW w:w="993" w:type="dxa"/>
            <w:tcBorders>
              <w:tl2br w:val="nil"/>
              <w:tr2bl w:val="nil"/>
            </w:tcBorders>
            <w:vAlign w:val="center"/>
          </w:tcPr>
          <w:p w14:paraId="5980F2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1A4E18B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1290</w:t>
            </w:r>
          </w:p>
        </w:tc>
        <w:tc>
          <w:tcPr>
            <w:tcW w:w="1268" w:type="dxa"/>
            <w:tcBorders>
              <w:tl2br w:val="nil"/>
              <w:tr2bl w:val="nil"/>
            </w:tcBorders>
            <w:vAlign w:val="center"/>
          </w:tcPr>
          <w:p w14:paraId="60FC4F9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F6BB16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AAAB62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200E7B6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5B327B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33239C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244B2D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4CF3E9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3DFA01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10C3D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甲苯</w:t>
            </w:r>
          </w:p>
        </w:tc>
        <w:tc>
          <w:tcPr>
            <w:tcW w:w="993" w:type="dxa"/>
            <w:tcBorders>
              <w:tl2br w:val="nil"/>
              <w:tr2bl w:val="nil"/>
            </w:tcBorders>
            <w:vAlign w:val="center"/>
          </w:tcPr>
          <w:p w14:paraId="322E39D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0D78C8B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1200</w:t>
            </w:r>
          </w:p>
        </w:tc>
        <w:tc>
          <w:tcPr>
            <w:tcW w:w="1268" w:type="dxa"/>
            <w:tcBorders>
              <w:tl2br w:val="nil"/>
              <w:tr2bl w:val="nil"/>
            </w:tcBorders>
            <w:vAlign w:val="center"/>
          </w:tcPr>
          <w:p w14:paraId="3D6941C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180A8A1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3ED29E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B12170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4B0FA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E7228D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D2E66F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4CB57A2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1CB0ED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B1DBA8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间二甲苯+对二甲苯</w:t>
            </w:r>
          </w:p>
        </w:tc>
        <w:tc>
          <w:tcPr>
            <w:tcW w:w="993" w:type="dxa"/>
            <w:tcBorders>
              <w:tl2br w:val="nil"/>
              <w:tr2bl w:val="nil"/>
            </w:tcBorders>
            <w:vAlign w:val="center"/>
          </w:tcPr>
          <w:p w14:paraId="50C95E6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3335B0B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570</w:t>
            </w:r>
          </w:p>
        </w:tc>
        <w:tc>
          <w:tcPr>
            <w:tcW w:w="1268" w:type="dxa"/>
            <w:tcBorders>
              <w:tl2br w:val="nil"/>
              <w:tr2bl w:val="nil"/>
            </w:tcBorders>
            <w:vAlign w:val="center"/>
          </w:tcPr>
          <w:p w14:paraId="61DE402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CED03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5ED77C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33FF82C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07334F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0FB9A54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066E57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C92722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33EE5A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6E872D3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邻二甲苯</w:t>
            </w:r>
          </w:p>
        </w:tc>
        <w:tc>
          <w:tcPr>
            <w:tcW w:w="993" w:type="dxa"/>
            <w:tcBorders>
              <w:tl2br w:val="nil"/>
              <w:tr2bl w:val="nil"/>
            </w:tcBorders>
            <w:vAlign w:val="center"/>
          </w:tcPr>
          <w:p w14:paraId="2046547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0B3408F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640</w:t>
            </w:r>
          </w:p>
        </w:tc>
        <w:tc>
          <w:tcPr>
            <w:tcW w:w="1268" w:type="dxa"/>
            <w:tcBorders>
              <w:tl2br w:val="nil"/>
              <w:tr2bl w:val="nil"/>
            </w:tcBorders>
            <w:vAlign w:val="center"/>
          </w:tcPr>
          <w:p w14:paraId="1C838CD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6A88DF1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2C7B45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E7BEB7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F012C3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56F090F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5106F8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1268" w:type="dxa"/>
            <w:tcBorders>
              <w:tl2br w:val="nil"/>
              <w:tr2bl w:val="nil"/>
            </w:tcBorders>
            <w:vAlign w:val="center"/>
          </w:tcPr>
          <w:p w14:paraId="78BBA32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0E61D7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E8CA30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硝基苯</w:t>
            </w:r>
          </w:p>
        </w:tc>
        <w:tc>
          <w:tcPr>
            <w:tcW w:w="993" w:type="dxa"/>
            <w:tcBorders>
              <w:tl2br w:val="nil"/>
              <w:tr2bl w:val="nil"/>
            </w:tcBorders>
            <w:vAlign w:val="center"/>
          </w:tcPr>
          <w:p w14:paraId="2A8D967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302E032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76</w:t>
            </w:r>
          </w:p>
        </w:tc>
        <w:tc>
          <w:tcPr>
            <w:tcW w:w="1268" w:type="dxa"/>
            <w:tcBorders>
              <w:tl2br w:val="nil"/>
              <w:tr2bl w:val="nil"/>
            </w:tcBorders>
            <w:vAlign w:val="center"/>
          </w:tcPr>
          <w:p w14:paraId="673A207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408F016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4F6478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6BFB43C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524CC3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6779C60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473C62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31C3320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9C8F5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34688A9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苯胺</w:t>
            </w:r>
          </w:p>
        </w:tc>
        <w:tc>
          <w:tcPr>
            <w:tcW w:w="993" w:type="dxa"/>
            <w:tcBorders>
              <w:tl2br w:val="nil"/>
              <w:tr2bl w:val="nil"/>
            </w:tcBorders>
            <w:vAlign w:val="center"/>
          </w:tcPr>
          <w:p w14:paraId="3CDE33F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523643E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260</w:t>
            </w:r>
          </w:p>
        </w:tc>
        <w:tc>
          <w:tcPr>
            <w:tcW w:w="1268" w:type="dxa"/>
            <w:tcBorders>
              <w:tl2br w:val="nil"/>
              <w:tr2bl w:val="nil"/>
            </w:tcBorders>
            <w:vAlign w:val="center"/>
          </w:tcPr>
          <w:p w14:paraId="64E3C8C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44D1E26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516545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2DD611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4CAE0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3E97264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84BCC7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35DFB91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3803A5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59BE8E6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2-氯酚</w:t>
            </w:r>
          </w:p>
        </w:tc>
        <w:tc>
          <w:tcPr>
            <w:tcW w:w="993" w:type="dxa"/>
            <w:tcBorders>
              <w:tl2br w:val="nil"/>
              <w:tr2bl w:val="nil"/>
            </w:tcBorders>
            <w:vAlign w:val="center"/>
          </w:tcPr>
          <w:p w14:paraId="3AD169F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55B84C4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2256</w:t>
            </w:r>
          </w:p>
        </w:tc>
        <w:tc>
          <w:tcPr>
            <w:tcW w:w="1268" w:type="dxa"/>
            <w:tcBorders>
              <w:tl2br w:val="nil"/>
              <w:tr2bl w:val="nil"/>
            </w:tcBorders>
            <w:vAlign w:val="center"/>
          </w:tcPr>
          <w:p w14:paraId="7307BF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＜0.06</w:t>
            </w:r>
          </w:p>
        </w:tc>
        <w:tc>
          <w:tcPr>
            <w:tcW w:w="1268" w:type="dxa"/>
            <w:tcBorders>
              <w:tl2br w:val="nil"/>
              <w:tr2bl w:val="nil"/>
            </w:tcBorders>
            <w:vAlign w:val="center"/>
          </w:tcPr>
          <w:p w14:paraId="5902C7C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F93840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＜0.06</w:t>
            </w:r>
          </w:p>
        </w:tc>
        <w:tc>
          <w:tcPr>
            <w:tcW w:w="1268" w:type="dxa"/>
            <w:tcBorders>
              <w:tl2br w:val="nil"/>
              <w:tr2bl w:val="nil"/>
            </w:tcBorders>
            <w:vAlign w:val="center"/>
          </w:tcPr>
          <w:p w14:paraId="2A6BD42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267D794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＜0.06</w:t>
            </w:r>
          </w:p>
        </w:tc>
        <w:tc>
          <w:tcPr>
            <w:tcW w:w="1268" w:type="dxa"/>
            <w:tcBorders>
              <w:tl2br w:val="nil"/>
              <w:tr2bl w:val="nil"/>
            </w:tcBorders>
            <w:vAlign w:val="center"/>
          </w:tcPr>
          <w:p w14:paraId="5094BBD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F5729F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＜0.06</w:t>
            </w:r>
          </w:p>
        </w:tc>
        <w:tc>
          <w:tcPr>
            <w:tcW w:w="1268" w:type="dxa"/>
            <w:tcBorders>
              <w:tl2br w:val="nil"/>
              <w:tr2bl w:val="nil"/>
            </w:tcBorders>
            <w:vAlign w:val="center"/>
          </w:tcPr>
          <w:p w14:paraId="13E2DF9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073CE8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186E7E1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苯并[a]蒽</w:t>
            </w:r>
          </w:p>
        </w:tc>
        <w:tc>
          <w:tcPr>
            <w:tcW w:w="993" w:type="dxa"/>
            <w:tcBorders>
              <w:tl2br w:val="nil"/>
              <w:tr2bl w:val="nil"/>
            </w:tcBorders>
            <w:vAlign w:val="center"/>
          </w:tcPr>
          <w:p w14:paraId="7683576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19514BD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1268" w:type="dxa"/>
            <w:tcBorders>
              <w:tl2br w:val="nil"/>
              <w:tr2bl w:val="nil"/>
            </w:tcBorders>
            <w:vAlign w:val="center"/>
          </w:tcPr>
          <w:p w14:paraId="66B76F2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5FA2ECA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A6EF6E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0EF8B76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BD52B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12D1420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3241FE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679D60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4E9FDC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AEE17F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苯并[a]芘</w:t>
            </w:r>
          </w:p>
        </w:tc>
        <w:tc>
          <w:tcPr>
            <w:tcW w:w="993" w:type="dxa"/>
            <w:tcBorders>
              <w:tl2br w:val="nil"/>
              <w:tr2bl w:val="nil"/>
            </w:tcBorders>
            <w:vAlign w:val="center"/>
          </w:tcPr>
          <w:p w14:paraId="1742858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61E54CA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1268" w:type="dxa"/>
            <w:tcBorders>
              <w:tl2br w:val="nil"/>
              <w:tr2bl w:val="nil"/>
            </w:tcBorders>
            <w:vAlign w:val="center"/>
          </w:tcPr>
          <w:p w14:paraId="0EEE181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3456974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414211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4F34B34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53AB55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057490B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041B6B2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4AE9C01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284923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792483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苯并[b]荧蒽</w:t>
            </w:r>
          </w:p>
        </w:tc>
        <w:tc>
          <w:tcPr>
            <w:tcW w:w="993" w:type="dxa"/>
            <w:tcBorders>
              <w:tl2br w:val="nil"/>
              <w:tr2bl w:val="nil"/>
            </w:tcBorders>
            <w:vAlign w:val="center"/>
          </w:tcPr>
          <w:p w14:paraId="0F80436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61B45F1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1268" w:type="dxa"/>
            <w:tcBorders>
              <w:tl2br w:val="nil"/>
              <w:tr2bl w:val="nil"/>
            </w:tcBorders>
            <w:vAlign w:val="center"/>
          </w:tcPr>
          <w:p w14:paraId="63B6920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＜0.2</w:t>
            </w:r>
          </w:p>
        </w:tc>
        <w:tc>
          <w:tcPr>
            <w:tcW w:w="1268" w:type="dxa"/>
            <w:tcBorders>
              <w:tl2br w:val="nil"/>
              <w:tr2bl w:val="nil"/>
            </w:tcBorders>
            <w:vAlign w:val="center"/>
          </w:tcPr>
          <w:p w14:paraId="541296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F4AB59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＜0.2</w:t>
            </w:r>
          </w:p>
        </w:tc>
        <w:tc>
          <w:tcPr>
            <w:tcW w:w="1268" w:type="dxa"/>
            <w:tcBorders>
              <w:tl2br w:val="nil"/>
              <w:tr2bl w:val="nil"/>
            </w:tcBorders>
            <w:vAlign w:val="center"/>
          </w:tcPr>
          <w:p w14:paraId="5F2DA02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3B0815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＜0.2</w:t>
            </w:r>
          </w:p>
        </w:tc>
        <w:tc>
          <w:tcPr>
            <w:tcW w:w="1268" w:type="dxa"/>
            <w:tcBorders>
              <w:tl2br w:val="nil"/>
              <w:tr2bl w:val="nil"/>
            </w:tcBorders>
            <w:vAlign w:val="center"/>
          </w:tcPr>
          <w:p w14:paraId="354EDA6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D0E17C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＜0.2</w:t>
            </w:r>
          </w:p>
        </w:tc>
        <w:tc>
          <w:tcPr>
            <w:tcW w:w="1268" w:type="dxa"/>
            <w:tcBorders>
              <w:tl2br w:val="nil"/>
              <w:tr2bl w:val="nil"/>
            </w:tcBorders>
            <w:vAlign w:val="center"/>
          </w:tcPr>
          <w:p w14:paraId="11972D7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459299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07C30CA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苯并[k]荧蒽</w:t>
            </w:r>
          </w:p>
        </w:tc>
        <w:tc>
          <w:tcPr>
            <w:tcW w:w="993" w:type="dxa"/>
            <w:tcBorders>
              <w:tl2br w:val="nil"/>
              <w:tr2bl w:val="nil"/>
            </w:tcBorders>
            <w:vAlign w:val="center"/>
          </w:tcPr>
          <w:p w14:paraId="18F9D2D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B1E384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151</w:t>
            </w:r>
          </w:p>
        </w:tc>
        <w:tc>
          <w:tcPr>
            <w:tcW w:w="1268" w:type="dxa"/>
            <w:tcBorders>
              <w:tl2br w:val="nil"/>
              <w:tr2bl w:val="nil"/>
            </w:tcBorders>
            <w:vAlign w:val="center"/>
          </w:tcPr>
          <w:p w14:paraId="7C843C6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2B0723A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493712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7366BD5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436775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6F02E58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EA3517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433AD0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5540D0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5ED2E41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䓛</w:t>
            </w:r>
          </w:p>
        </w:tc>
        <w:tc>
          <w:tcPr>
            <w:tcW w:w="993" w:type="dxa"/>
            <w:tcBorders>
              <w:tl2br w:val="nil"/>
              <w:tr2bl w:val="nil"/>
            </w:tcBorders>
            <w:vAlign w:val="center"/>
          </w:tcPr>
          <w:p w14:paraId="5898508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1A5BFA7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1293</w:t>
            </w:r>
          </w:p>
        </w:tc>
        <w:tc>
          <w:tcPr>
            <w:tcW w:w="1268" w:type="dxa"/>
            <w:tcBorders>
              <w:tl2br w:val="nil"/>
              <w:tr2bl w:val="nil"/>
            </w:tcBorders>
            <w:vAlign w:val="center"/>
          </w:tcPr>
          <w:p w14:paraId="502434E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41EC80E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3DC134D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61A2117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148C9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0B7DD2C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9A0BDD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0A9338C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350B9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21B600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二苯并[a,h]蒽</w:t>
            </w:r>
          </w:p>
        </w:tc>
        <w:tc>
          <w:tcPr>
            <w:tcW w:w="993" w:type="dxa"/>
            <w:tcBorders>
              <w:tl2br w:val="nil"/>
              <w:tr2bl w:val="nil"/>
            </w:tcBorders>
            <w:vAlign w:val="center"/>
          </w:tcPr>
          <w:p w14:paraId="4FD4B64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75C440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1268" w:type="dxa"/>
            <w:tcBorders>
              <w:tl2br w:val="nil"/>
              <w:tr2bl w:val="nil"/>
            </w:tcBorders>
            <w:vAlign w:val="center"/>
          </w:tcPr>
          <w:p w14:paraId="5186A6A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237949D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B2FF7D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149437D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C5FB28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52C3856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7EED4D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1A38002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7C71A5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40479FC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茚并[1,2,3-cd]芘</w:t>
            </w:r>
          </w:p>
        </w:tc>
        <w:tc>
          <w:tcPr>
            <w:tcW w:w="993" w:type="dxa"/>
            <w:tcBorders>
              <w:tl2br w:val="nil"/>
              <w:tr2bl w:val="nil"/>
            </w:tcBorders>
            <w:vAlign w:val="center"/>
          </w:tcPr>
          <w:p w14:paraId="2B74BD4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6297A78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1268" w:type="dxa"/>
            <w:tcBorders>
              <w:tl2br w:val="nil"/>
              <w:tr2bl w:val="nil"/>
            </w:tcBorders>
            <w:vAlign w:val="center"/>
          </w:tcPr>
          <w:p w14:paraId="0479FFE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64D16C3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43458CE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4335156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F26C1D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0E18ED2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1384FA1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1268" w:type="dxa"/>
            <w:tcBorders>
              <w:tl2br w:val="nil"/>
              <w:tr2bl w:val="nil"/>
            </w:tcBorders>
            <w:vAlign w:val="center"/>
          </w:tcPr>
          <w:p w14:paraId="0D0798E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68429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2B04267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萘</w:t>
            </w:r>
          </w:p>
        </w:tc>
        <w:tc>
          <w:tcPr>
            <w:tcW w:w="993" w:type="dxa"/>
            <w:tcBorders>
              <w:tl2br w:val="nil"/>
              <w:tr2bl w:val="nil"/>
            </w:tcBorders>
            <w:vAlign w:val="center"/>
          </w:tcPr>
          <w:p w14:paraId="32D9A7D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1115" w:type="dxa"/>
            <w:tcBorders>
              <w:tl2br w:val="nil"/>
              <w:tr2bl w:val="nil"/>
            </w:tcBorders>
            <w:vAlign w:val="center"/>
          </w:tcPr>
          <w:p w14:paraId="2AB05ED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70</w:t>
            </w:r>
          </w:p>
        </w:tc>
        <w:tc>
          <w:tcPr>
            <w:tcW w:w="1268" w:type="dxa"/>
            <w:tcBorders>
              <w:tl2br w:val="nil"/>
              <w:tr2bl w:val="nil"/>
            </w:tcBorders>
            <w:vAlign w:val="center"/>
          </w:tcPr>
          <w:p w14:paraId="0D95178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44F9C7C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6EC9D58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3B2214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73EECC2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36D0004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1268" w:type="dxa"/>
            <w:tcBorders>
              <w:tl2br w:val="nil"/>
              <w:tr2bl w:val="nil"/>
            </w:tcBorders>
            <w:vAlign w:val="center"/>
          </w:tcPr>
          <w:p w14:paraId="5E0E8AF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1268" w:type="dxa"/>
            <w:tcBorders>
              <w:tl2br w:val="nil"/>
              <w:tr2bl w:val="nil"/>
            </w:tcBorders>
            <w:vAlign w:val="center"/>
          </w:tcPr>
          <w:p w14:paraId="266BC91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r>
      <w:tr w14:paraId="6A1B2C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shd w:val="clear" w:color="auto" w:fill="auto"/>
            <w:vAlign w:val="center"/>
          </w:tcPr>
          <w:p w14:paraId="21CD246E">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钒</w:t>
            </w:r>
          </w:p>
        </w:tc>
        <w:tc>
          <w:tcPr>
            <w:tcW w:w="993" w:type="dxa"/>
            <w:tcBorders>
              <w:tl2br w:val="nil"/>
              <w:tr2bl w:val="nil"/>
            </w:tcBorders>
            <w:shd w:val="clear" w:color="auto" w:fill="auto"/>
            <w:vAlign w:val="center"/>
          </w:tcPr>
          <w:p w14:paraId="60269186">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g/kg</w:t>
            </w:r>
          </w:p>
        </w:tc>
        <w:tc>
          <w:tcPr>
            <w:tcW w:w="1115" w:type="dxa"/>
            <w:tcBorders>
              <w:tl2br w:val="nil"/>
              <w:tr2bl w:val="nil"/>
            </w:tcBorders>
            <w:shd w:val="clear" w:color="auto" w:fill="auto"/>
            <w:vAlign w:val="center"/>
          </w:tcPr>
          <w:p w14:paraId="6ECD353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lang w:val="en-US" w:eastAsia="zh-CN" w:bidi="ar-SA"/>
              </w:rPr>
              <w:t>752</w:t>
            </w:r>
          </w:p>
        </w:tc>
        <w:tc>
          <w:tcPr>
            <w:tcW w:w="1268" w:type="dxa"/>
            <w:tcBorders>
              <w:tl2br w:val="nil"/>
              <w:tr2bl w:val="nil"/>
            </w:tcBorders>
            <w:shd w:val="clear" w:color="auto" w:fill="auto"/>
            <w:vAlign w:val="center"/>
          </w:tcPr>
          <w:p w14:paraId="51AF702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13.2</w:t>
            </w:r>
          </w:p>
        </w:tc>
        <w:tc>
          <w:tcPr>
            <w:tcW w:w="1268" w:type="dxa"/>
            <w:tcBorders>
              <w:tl2br w:val="nil"/>
              <w:tr2bl w:val="nil"/>
            </w:tcBorders>
            <w:shd w:val="clear" w:color="auto" w:fill="auto"/>
            <w:vAlign w:val="center"/>
          </w:tcPr>
          <w:p w14:paraId="7D8CCEC5">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0.018</w:t>
            </w:r>
          </w:p>
        </w:tc>
        <w:tc>
          <w:tcPr>
            <w:tcW w:w="1268" w:type="dxa"/>
            <w:tcBorders>
              <w:tl2br w:val="nil"/>
              <w:tr2bl w:val="nil"/>
            </w:tcBorders>
            <w:shd w:val="clear" w:color="auto" w:fill="auto"/>
            <w:vAlign w:val="center"/>
          </w:tcPr>
          <w:p w14:paraId="469097E7">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14.5</w:t>
            </w:r>
          </w:p>
        </w:tc>
        <w:tc>
          <w:tcPr>
            <w:tcW w:w="1268" w:type="dxa"/>
            <w:tcBorders>
              <w:tl2br w:val="nil"/>
              <w:tr2bl w:val="nil"/>
            </w:tcBorders>
            <w:shd w:val="clear" w:color="auto" w:fill="auto"/>
            <w:vAlign w:val="center"/>
          </w:tcPr>
          <w:p w14:paraId="3299B62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0.019</w:t>
            </w:r>
          </w:p>
        </w:tc>
        <w:tc>
          <w:tcPr>
            <w:tcW w:w="1268" w:type="dxa"/>
            <w:tcBorders>
              <w:tl2br w:val="nil"/>
              <w:tr2bl w:val="nil"/>
            </w:tcBorders>
            <w:shd w:val="clear" w:color="auto" w:fill="auto"/>
            <w:vAlign w:val="center"/>
          </w:tcPr>
          <w:p w14:paraId="5BD0C23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14.9</w:t>
            </w:r>
          </w:p>
        </w:tc>
        <w:tc>
          <w:tcPr>
            <w:tcW w:w="1268" w:type="dxa"/>
            <w:tcBorders>
              <w:tl2br w:val="nil"/>
              <w:tr2bl w:val="nil"/>
            </w:tcBorders>
            <w:shd w:val="clear" w:color="auto" w:fill="auto"/>
            <w:vAlign w:val="center"/>
          </w:tcPr>
          <w:p w14:paraId="73E48663">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1268" w:type="dxa"/>
            <w:tcBorders>
              <w:tl2br w:val="nil"/>
              <w:tr2bl w:val="nil"/>
            </w:tcBorders>
            <w:shd w:val="clear" w:color="auto" w:fill="auto"/>
            <w:vAlign w:val="center"/>
          </w:tcPr>
          <w:p w14:paraId="0929A8E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14.5</w:t>
            </w:r>
          </w:p>
        </w:tc>
        <w:tc>
          <w:tcPr>
            <w:tcW w:w="1268" w:type="dxa"/>
            <w:tcBorders>
              <w:tl2br w:val="nil"/>
              <w:tr2bl w:val="nil"/>
            </w:tcBorders>
            <w:shd w:val="clear" w:color="auto" w:fill="auto"/>
            <w:vAlign w:val="center"/>
          </w:tcPr>
          <w:p w14:paraId="350F7982">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0.019</w:t>
            </w:r>
          </w:p>
        </w:tc>
      </w:tr>
      <w:tr w14:paraId="2AF9A0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shd w:val="clear" w:color="auto" w:fill="auto"/>
            <w:vAlign w:val="center"/>
          </w:tcPr>
          <w:p w14:paraId="1D32BBA9">
            <w:pPr>
              <w:pageBreakBefore w:val="0"/>
              <w:kinsoku/>
              <w:wordWrap/>
              <w:overflowPunct/>
              <w:autoSpaceDE/>
              <w:autoSpaceDN/>
              <w:bidi w:val="0"/>
              <w:spacing w:line="240" w:lineRule="auto"/>
              <w:ind w:left="0" w:left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rPr>
              <w:t>石油烃（C</w:t>
            </w:r>
            <w:r>
              <w:rPr>
                <w:rFonts w:hint="default" w:ascii="Times New Roman" w:hAnsi="Times New Roman" w:eastAsia="宋体" w:cs="Times New Roman"/>
                <w:b w:val="0"/>
                <w:bCs w:val="0"/>
                <w:sz w:val="21"/>
                <w:szCs w:val="21"/>
                <w:highlight w:val="none"/>
                <w:vertAlign w:val="subscript"/>
              </w:rPr>
              <w:t>10</w:t>
            </w:r>
            <w:r>
              <w:rPr>
                <w:rFonts w:hint="default" w:ascii="Times New Roman" w:hAnsi="Times New Roman" w:eastAsia="宋体" w:cs="Times New Roman"/>
                <w:b w:val="0"/>
                <w:bCs w:val="0"/>
                <w:sz w:val="21"/>
                <w:szCs w:val="21"/>
                <w:highlight w:val="none"/>
                <w:vertAlign w:val="baseline"/>
                <w:lang w:val="en-US" w:eastAsia="zh-CN"/>
              </w:rPr>
              <w:t>-</w:t>
            </w:r>
            <w:r>
              <w:rPr>
                <w:rFonts w:hint="default" w:ascii="Times New Roman" w:hAnsi="Times New Roman" w:eastAsia="宋体" w:cs="Times New Roman"/>
                <w:b w:val="0"/>
                <w:bCs w:val="0"/>
                <w:sz w:val="21"/>
                <w:szCs w:val="21"/>
                <w:highlight w:val="none"/>
              </w:rPr>
              <w:t>C</w:t>
            </w:r>
            <w:r>
              <w:rPr>
                <w:rFonts w:hint="default" w:ascii="Times New Roman" w:hAnsi="Times New Roman" w:eastAsia="宋体" w:cs="Times New Roman"/>
                <w:b w:val="0"/>
                <w:bCs w:val="0"/>
                <w:sz w:val="21"/>
                <w:szCs w:val="21"/>
                <w:highlight w:val="none"/>
                <w:vertAlign w:val="subscript"/>
              </w:rPr>
              <w:t>40</w:t>
            </w:r>
            <w:r>
              <w:rPr>
                <w:rFonts w:hint="default" w:ascii="Times New Roman" w:hAnsi="Times New Roman" w:eastAsia="宋体" w:cs="Times New Roman"/>
                <w:b w:val="0"/>
                <w:bCs w:val="0"/>
                <w:sz w:val="21"/>
                <w:szCs w:val="21"/>
                <w:highlight w:val="none"/>
              </w:rPr>
              <w:t>）</w:t>
            </w:r>
          </w:p>
        </w:tc>
        <w:tc>
          <w:tcPr>
            <w:tcW w:w="993" w:type="dxa"/>
            <w:tcBorders>
              <w:tl2br w:val="nil"/>
              <w:tr2bl w:val="nil"/>
            </w:tcBorders>
            <w:shd w:val="clear" w:color="auto" w:fill="auto"/>
            <w:vAlign w:val="center"/>
          </w:tcPr>
          <w:p w14:paraId="0E8B315B">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mg/kg</w:t>
            </w:r>
          </w:p>
        </w:tc>
        <w:tc>
          <w:tcPr>
            <w:tcW w:w="1115" w:type="dxa"/>
            <w:tcBorders>
              <w:tl2br w:val="nil"/>
              <w:tr2bl w:val="nil"/>
            </w:tcBorders>
            <w:shd w:val="clear" w:color="auto" w:fill="auto"/>
            <w:vAlign w:val="center"/>
          </w:tcPr>
          <w:p w14:paraId="79A75C2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4500</w:t>
            </w:r>
          </w:p>
        </w:tc>
        <w:tc>
          <w:tcPr>
            <w:tcW w:w="1268" w:type="dxa"/>
            <w:tcBorders>
              <w:tl2br w:val="nil"/>
              <w:tr2bl w:val="nil"/>
            </w:tcBorders>
            <w:shd w:val="clear" w:color="auto" w:fill="auto"/>
            <w:vAlign w:val="center"/>
          </w:tcPr>
          <w:p w14:paraId="713AB7F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13</w:t>
            </w:r>
          </w:p>
        </w:tc>
        <w:tc>
          <w:tcPr>
            <w:tcW w:w="1268" w:type="dxa"/>
            <w:tcBorders>
              <w:tl2br w:val="nil"/>
              <w:tr2bl w:val="nil"/>
            </w:tcBorders>
            <w:shd w:val="clear" w:color="auto" w:fill="auto"/>
            <w:vAlign w:val="center"/>
          </w:tcPr>
          <w:p w14:paraId="529633D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0.003</w:t>
            </w:r>
          </w:p>
        </w:tc>
        <w:tc>
          <w:tcPr>
            <w:tcW w:w="1268" w:type="dxa"/>
            <w:tcBorders>
              <w:tl2br w:val="nil"/>
              <w:tr2bl w:val="nil"/>
            </w:tcBorders>
            <w:shd w:val="clear" w:color="auto" w:fill="auto"/>
            <w:vAlign w:val="center"/>
          </w:tcPr>
          <w:p w14:paraId="0AEE7F1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11</w:t>
            </w:r>
          </w:p>
        </w:tc>
        <w:tc>
          <w:tcPr>
            <w:tcW w:w="1268" w:type="dxa"/>
            <w:tcBorders>
              <w:tl2br w:val="nil"/>
              <w:tr2bl w:val="nil"/>
            </w:tcBorders>
            <w:shd w:val="clear" w:color="auto" w:fill="auto"/>
            <w:vAlign w:val="center"/>
          </w:tcPr>
          <w:p w14:paraId="0BE947C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0.002</w:t>
            </w:r>
          </w:p>
        </w:tc>
        <w:tc>
          <w:tcPr>
            <w:tcW w:w="1268" w:type="dxa"/>
            <w:tcBorders>
              <w:tl2br w:val="nil"/>
              <w:tr2bl w:val="nil"/>
            </w:tcBorders>
            <w:shd w:val="clear" w:color="auto" w:fill="auto"/>
            <w:vAlign w:val="center"/>
          </w:tcPr>
          <w:p w14:paraId="28963B4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16</w:t>
            </w:r>
          </w:p>
        </w:tc>
        <w:tc>
          <w:tcPr>
            <w:tcW w:w="1268" w:type="dxa"/>
            <w:tcBorders>
              <w:tl2br w:val="nil"/>
              <w:tr2bl w:val="nil"/>
            </w:tcBorders>
            <w:shd w:val="clear" w:color="auto" w:fill="auto"/>
            <w:vAlign w:val="center"/>
          </w:tcPr>
          <w:p w14:paraId="1619734C">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0.004</w:t>
            </w:r>
          </w:p>
        </w:tc>
        <w:tc>
          <w:tcPr>
            <w:tcW w:w="1268" w:type="dxa"/>
            <w:tcBorders>
              <w:tl2br w:val="nil"/>
              <w:tr2bl w:val="nil"/>
            </w:tcBorders>
            <w:shd w:val="clear" w:color="auto" w:fill="auto"/>
            <w:vAlign w:val="center"/>
          </w:tcPr>
          <w:p w14:paraId="76215AE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14</w:t>
            </w:r>
          </w:p>
        </w:tc>
        <w:tc>
          <w:tcPr>
            <w:tcW w:w="1268" w:type="dxa"/>
            <w:tcBorders>
              <w:tl2br w:val="nil"/>
              <w:tr2bl w:val="nil"/>
            </w:tcBorders>
            <w:shd w:val="clear" w:color="auto" w:fill="auto"/>
            <w:vAlign w:val="center"/>
          </w:tcPr>
          <w:p w14:paraId="6F6746CF">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0.003</w:t>
            </w:r>
          </w:p>
        </w:tc>
      </w:tr>
      <w:tr w14:paraId="417586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559669EF">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氟化物（水溶性）</w:t>
            </w:r>
          </w:p>
        </w:tc>
        <w:tc>
          <w:tcPr>
            <w:tcW w:w="993" w:type="dxa"/>
            <w:tcBorders>
              <w:tl2br w:val="nil"/>
              <w:tr2bl w:val="nil"/>
            </w:tcBorders>
            <w:vAlign w:val="center"/>
          </w:tcPr>
          <w:p w14:paraId="75E994E1">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rPr>
              <w:t>mg/kg</w:t>
            </w:r>
          </w:p>
        </w:tc>
        <w:tc>
          <w:tcPr>
            <w:tcW w:w="1115" w:type="dxa"/>
            <w:tcBorders>
              <w:tl2br w:val="nil"/>
              <w:tr2bl w:val="nil"/>
            </w:tcBorders>
            <w:vAlign w:val="center"/>
          </w:tcPr>
          <w:p w14:paraId="761BE70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10000</w:t>
            </w:r>
          </w:p>
        </w:tc>
        <w:tc>
          <w:tcPr>
            <w:tcW w:w="1268" w:type="dxa"/>
            <w:tcBorders>
              <w:tl2br w:val="nil"/>
              <w:tr2bl w:val="nil"/>
            </w:tcBorders>
            <w:shd w:val="clear" w:color="auto" w:fill="auto"/>
            <w:vAlign w:val="center"/>
          </w:tcPr>
          <w:p w14:paraId="1B15AFE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1.8</w:t>
            </w:r>
          </w:p>
        </w:tc>
        <w:tc>
          <w:tcPr>
            <w:tcW w:w="1268" w:type="dxa"/>
            <w:tcBorders>
              <w:tl2br w:val="nil"/>
              <w:tr2bl w:val="nil"/>
            </w:tcBorders>
            <w:shd w:val="clear" w:color="auto" w:fill="auto"/>
            <w:vAlign w:val="center"/>
          </w:tcPr>
          <w:p w14:paraId="41DF06F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c>
          <w:tcPr>
            <w:tcW w:w="1268" w:type="dxa"/>
            <w:tcBorders>
              <w:tl2br w:val="nil"/>
              <w:tr2bl w:val="nil"/>
            </w:tcBorders>
            <w:shd w:val="clear" w:color="auto" w:fill="auto"/>
            <w:vAlign w:val="center"/>
          </w:tcPr>
          <w:p w14:paraId="0880FF5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1.8</w:t>
            </w:r>
          </w:p>
        </w:tc>
        <w:tc>
          <w:tcPr>
            <w:tcW w:w="1268" w:type="dxa"/>
            <w:tcBorders>
              <w:tl2br w:val="nil"/>
              <w:tr2bl w:val="nil"/>
            </w:tcBorders>
            <w:shd w:val="clear" w:color="auto" w:fill="auto"/>
            <w:vAlign w:val="center"/>
          </w:tcPr>
          <w:p w14:paraId="2D27D4B6">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c>
          <w:tcPr>
            <w:tcW w:w="1268" w:type="dxa"/>
            <w:tcBorders>
              <w:tl2br w:val="nil"/>
              <w:tr2bl w:val="nil"/>
            </w:tcBorders>
            <w:shd w:val="clear" w:color="auto" w:fill="auto"/>
            <w:vAlign w:val="center"/>
          </w:tcPr>
          <w:p w14:paraId="528764DE">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1.9</w:t>
            </w:r>
          </w:p>
        </w:tc>
        <w:tc>
          <w:tcPr>
            <w:tcW w:w="1268" w:type="dxa"/>
            <w:tcBorders>
              <w:tl2br w:val="nil"/>
              <w:tr2bl w:val="nil"/>
            </w:tcBorders>
            <w:vAlign w:val="center"/>
          </w:tcPr>
          <w:p w14:paraId="38001A4C">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c>
          <w:tcPr>
            <w:tcW w:w="1268" w:type="dxa"/>
            <w:tcBorders>
              <w:tl2br w:val="nil"/>
              <w:tr2bl w:val="nil"/>
            </w:tcBorders>
            <w:shd w:val="clear" w:color="auto" w:fill="auto"/>
            <w:vAlign w:val="center"/>
          </w:tcPr>
          <w:p w14:paraId="0D9457B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1268" w:type="dxa"/>
            <w:tcBorders>
              <w:tl2br w:val="nil"/>
              <w:tr2bl w:val="nil"/>
            </w:tcBorders>
            <w:vAlign w:val="center"/>
          </w:tcPr>
          <w:p w14:paraId="0713F7B4">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r>
      <w:tr w14:paraId="0D1D56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shd w:val="clear" w:color="auto" w:fill="auto"/>
            <w:vAlign w:val="center"/>
          </w:tcPr>
          <w:p w14:paraId="109DBC6C">
            <w:pPr>
              <w:pageBreakBefore w:val="0"/>
              <w:kinsoku/>
              <w:wordWrap/>
              <w:overflowPunct/>
              <w:autoSpaceDE/>
              <w:autoSpaceDN/>
              <w:bidi w:val="0"/>
              <w:spacing w:line="240" w:lineRule="auto"/>
              <w:ind w:left="0" w:left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i w:val="0"/>
                <w:color w:val="auto"/>
                <w:spacing w:val="-5"/>
                <w:kern w:val="0"/>
                <w:sz w:val="21"/>
                <w:szCs w:val="21"/>
                <w:highlight w:val="none"/>
                <w:u w:val="none"/>
                <w:lang w:val="en-US" w:eastAsia="zh-CN" w:bidi="ar"/>
              </w:rPr>
              <w:t>氨氮</w:t>
            </w:r>
          </w:p>
        </w:tc>
        <w:tc>
          <w:tcPr>
            <w:tcW w:w="993" w:type="dxa"/>
            <w:tcBorders>
              <w:tl2br w:val="nil"/>
              <w:tr2bl w:val="nil"/>
            </w:tcBorders>
            <w:shd w:val="clear" w:color="auto" w:fill="auto"/>
            <w:vAlign w:val="center"/>
          </w:tcPr>
          <w:p w14:paraId="15B912AA">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mg/kg</w:t>
            </w:r>
          </w:p>
        </w:tc>
        <w:tc>
          <w:tcPr>
            <w:tcW w:w="1115" w:type="dxa"/>
            <w:tcBorders>
              <w:tl2br w:val="nil"/>
              <w:tr2bl w:val="nil"/>
            </w:tcBorders>
            <w:shd w:val="clear" w:color="auto" w:fill="auto"/>
            <w:vAlign w:val="center"/>
          </w:tcPr>
          <w:p w14:paraId="3682286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1200</w:t>
            </w:r>
          </w:p>
        </w:tc>
        <w:tc>
          <w:tcPr>
            <w:tcW w:w="1268" w:type="dxa"/>
            <w:tcBorders>
              <w:tl2br w:val="nil"/>
              <w:tr2bl w:val="nil"/>
            </w:tcBorders>
            <w:shd w:val="clear" w:color="auto" w:fill="auto"/>
            <w:vAlign w:val="center"/>
          </w:tcPr>
          <w:p w14:paraId="01C25D6B">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15.5</w:t>
            </w:r>
          </w:p>
        </w:tc>
        <w:tc>
          <w:tcPr>
            <w:tcW w:w="1268" w:type="dxa"/>
            <w:tcBorders>
              <w:tl2br w:val="nil"/>
              <w:tr2bl w:val="nil"/>
            </w:tcBorders>
            <w:shd w:val="clear" w:color="auto" w:fill="auto"/>
            <w:vAlign w:val="center"/>
          </w:tcPr>
          <w:p w14:paraId="5EBB1D7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0.013</w:t>
            </w:r>
          </w:p>
        </w:tc>
        <w:tc>
          <w:tcPr>
            <w:tcW w:w="1268" w:type="dxa"/>
            <w:tcBorders>
              <w:tl2br w:val="nil"/>
              <w:tr2bl w:val="nil"/>
            </w:tcBorders>
            <w:shd w:val="clear" w:color="auto" w:fill="auto"/>
            <w:vAlign w:val="center"/>
          </w:tcPr>
          <w:p w14:paraId="78C76B5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15.2</w:t>
            </w:r>
          </w:p>
        </w:tc>
        <w:tc>
          <w:tcPr>
            <w:tcW w:w="1268" w:type="dxa"/>
            <w:tcBorders>
              <w:tl2br w:val="nil"/>
              <w:tr2bl w:val="nil"/>
            </w:tcBorders>
            <w:shd w:val="clear" w:color="auto" w:fill="auto"/>
            <w:vAlign w:val="center"/>
          </w:tcPr>
          <w:p w14:paraId="2A805937">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0.013</w:t>
            </w:r>
          </w:p>
        </w:tc>
        <w:tc>
          <w:tcPr>
            <w:tcW w:w="1268" w:type="dxa"/>
            <w:tcBorders>
              <w:tl2br w:val="nil"/>
              <w:tr2bl w:val="nil"/>
            </w:tcBorders>
            <w:shd w:val="clear" w:color="auto" w:fill="auto"/>
            <w:vAlign w:val="center"/>
          </w:tcPr>
          <w:p w14:paraId="411F8D9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14.5</w:t>
            </w:r>
          </w:p>
        </w:tc>
        <w:tc>
          <w:tcPr>
            <w:tcW w:w="1268" w:type="dxa"/>
            <w:tcBorders>
              <w:tl2br w:val="nil"/>
              <w:tr2bl w:val="nil"/>
            </w:tcBorders>
            <w:shd w:val="clear" w:color="auto" w:fill="auto"/>
            <w:vAlign w:val="center"/>
          </w:tcPr>
          <w:p w14:paraId="55A17C0A">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0.012</w:t>
            </w:r>
          </w:p>
        </w:tc>
        <w:tc>
          <w:tcPr>
            <w:tcW w:w="1268" w:type="dxa"/>
            <w:tcBorders>
              <w:tl2br w:val="nil"/>
              <w:tr2bl w:val="nil"/>
            </w:tcBorders>
            <w:shd w:val="clear" w:color="auto" w:fill="auto"/>
            <w:vAlign w:val="center"/>
          </w:tcPr>
          <w:p w14:paraId="187888C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15</w:t>
            </w:r>
          </w:p>
        </w:tc>
        <w:tc>
          <w:tcPr>
            <w:tcW w:w="1268" w:type="dxa"/>
            <w:tcBorders>
              <w:tl2br w:val="nil"/>
              <w:tr2bl w:val="nil"/>
            </w:tcBorders>
            <w:shd w:val="clear" w:color="auto" w:fill="auto"/>
            <w:vAlign w:val="center"/>
          </w:tcPr>
          <w:p w14:paraId="748D102F">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0.013</w:t>
            </w:r>
          </w:p>
        </w:tc>
      </w:tr>
      <w:tr w14:paraId="01583A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shd w:val="clear" w:color="auto" w:fill="auto"/>
            <w:vAlign w:val="center"/>
          </w:tcPr>
          <w:p w14:paraId="74873F62">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总</w:t>
            </w:r>
            <w:r>
              <w:rPr>
                <w:rFonts w:hint="default" w:ascii="Times New Roman" w:hAnsi="Times New Roman" w:eastAsia="宋体" w:cs="Times New Roman"/>
                <w:b w:val="0"/>
                <w:bCs w:val="0"/>
                <w:sz w:val="21"/>
                <w:szCs w:val="21"/>
                <w:highlight w:val="none"/>
              </w:rPr>
              <w:t>磷</w:t>
            </w:r>
          </w:p>
        </w:tc>
        <w:tc>
          <w:tcPr>
            <w:tcW w:w="993" w:type="dxa"/>
            <w:tcBorders>
              <w:tl2br w:val="nil"/>
              <w:tr2bl w:val="nil"/>
            </w:tcBorders>
            <w:shd w:val="clear" w:color="auto" w:fill="auto"/>
            <w:vAlign w:val="center"/>
          </w:tcPr>
          <w:p w14:paraId="302DAC8E">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g/kg</w:t>
            </w:r>
          </w:p>
        </w:tc>
        <w:tc>
          <w:tcPr>
            <w:tcW w:w="1115" w:type="dxa"/>
            <w:tcBorders>
              <w:tl2br w:val="nil"/>
              <w:tr2bl w:val="nil"/>
            </w:tcBorders>
            <w:shd w:val="clear" w:color="auto" w:fill="auto"/>
            <w:vAlign w:val="center"/>
          </w:tcPr>
          <w:p w14:paraId="772379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w:t>
            </w:r>
          </w:p>
        </w:tc>
        <w:tc>
          <w:tcPr>
            <w:tcW w:w="1268" w:type="dxa"/>
            <w:tcBorders>
              <w:tl2br w:val="nil"/>
              <w:tr2bl w:val="nil"/>
            </w:tcBorders>
            <w:shd w:val="clear" w:color="auto" w:fill="auto"/>
            <w:vAlign w:val="center"/>
          </w:tcPr>
          <w:p w14:paraId="52D3130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0.298</w:t>
            </w:r>
          </w:p>
        </w:tc>
        <w:tc>
          <w:tcPr>
            <w:tcW w:w="1268" w:type="dxa"/>
            <w:tcBorders>
              <w:tl2br w:val="nil"/>
              <w:tr2bl w:val="nil"/>
            </w:tcBorders>
            <w:shd w:val="clear" w:color="auto" w:fill="auto"/>
            <w:vAlign w:val="center"/>
          </w:tcPr>
          <w:p w14:paraId="1C680D2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6D31C683">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0.336</w:t>
            </w:r>
          </w:p>
        </w:tc>
        <w:tc>
          <w:tcPr>
            <w:tcW w:w="1268" w:type="dxa"/>
            <w:tcBorders>
              <w:tl2br w:val="nil"/>
              <w:tr2bl w:val="nil"/>
            </w:tcBorders>
            <w:shd w:val="clear" w:color="auto" w:fill="auto"/>
            <w:vAlign w:val="center"/>
          </w:tcPr>
          <w:p w14:paraId="03146AB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0F2DDE4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0.221</w:t>
            </w:r>
          </w:p>
        </w:tc>
        <w:tc>
          <w:tcPr>
            <w:tcW w:w="1268" w:type="dxa"/>
            <w:tcBorders>
              <w:tl2br w:val="nil"/>
              <w:tr2bl w:val="nil"/>
            </w:tcBorders>
            <w:shd w:val="clear" w:color="auto" w:fill="auto"/>
            <w:vAlign w:val="center"/>
          </w:tcPr>
          <w:p w14:paraId="328353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4FD4728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0.373</w:t>
            </w:r>
          </w:p>
        </w:tc>
        <w:tc>
          <w:tcPr>
            <w:tcW w:w="1268" w:type="dxa"/>
            <w:tcBorders>
              <w:tl2br w:val="nil"/>
              <w:tr2bl w:val="nil"/>
            </w:tcBorders>
            <w:shd w:val="clear" w:color="auto" w:fill="auto"/>
            <w:vAlign w:val="center"/>
          </w:tcPr>
          <w:p w14:paraId="3C3BEA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r>
      <w:tr w14:paraId="519098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62C05A86">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sz w:val="21"/>
                <w:szCs w:val="21"/>
                <w:highlight w:val="none"/>
                <w:lang w:eastAsia="zh-CN"/>
              </w:rPr>
              <w:t>钴</w:t>
            </w:r>
          </w:p>
        </w:tc>
        <w:tc>
          <w:tcPr>
            <w:tcW w:w="993" w:type="dxa"/>
            <w:tcBorders>
              <w:tl2br w:val="nil"/>
              <w:tr2bl w:val="nil"/>
            </w:tcBorders>
            <w:vAlign w:val="center"/>
          </w:tcPr>
          <w:p w14:paraId="28C5FB04">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rPr>
              <w:t>mg/kg</w:t>
            </w:r>
          </w:p>
        </w:tc>
        <w:tc>
          <w:tcPr>
            <w:tcW w:w="1115" w:type="dxa"/>
            <w:tcBorders>
              <w:tl2br w:val="nil"/>
              <w:tr2bl w:val="nil"/>
            </w:tcBorders>
            <w:vAlign w:val="center"/>
          </w:tcPr>
          <w:p w14:paraId="0310383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val="en-US" w:eastAsia="zh-CN"/>
              </w:rPr>
              <w:t>/</w:t>
            </w:r>
          </w:p>
        </w:tc>
        <w:tc>
          <w:tcPr>
            <w:tcW w:w="1268" w:type="dxa"/>
            <w:tcBorders>
              <w:tl2br w:val="nil"/>
              <w:tr2bl w:val="nil"/>
            </w:tcBorders>
            <w:shd w:val="clear" w:color="auto" w:fill="auto"/>
            <w:vAlign w:val="center"/>
          </w:tcPr>
          <w:p w14:paraId="5CF0234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25.2</w:t>
            </w:r>
          </w:p>
        </w:tc>
        <w:tc>
          <w:tcPr>
            <w:tcW w:w="1268" w:type="dxa"/>
            <w:tcBorders>
              <w:tl2br w:val="nil"/>
              <w:tr2bl w:val="nil"/>
            </w:tcBorders>
            <w:shd w:val="clear" w:color="auto" w:fill="auto"/>
            <w:vAlign w:val="center"/>
          </w:tcPr>
          <w:p w14:paraId="6158818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58AF29D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27.5</w:t>
            </w:r>
          </w:p>
        </w:tc>
        <w:tc>
          <w:tcPr>
            <w:tcW w:w="1268" w:type="dxa"/>
            <w:tcBorders>
              <w:tl2br w:val="nil"/>
              <w:tr2bl w:val="nil"/>
            </w:tcBorders>
            <w:shd w:val="clear" w:color="auto" w:fill="auto"/>
            <w:vAlign w:val="center"/>
          </w:tcPr>
          <w:p w14:paraId="704E7B7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3B1AB175">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28.2</w:t>
            </w:r>
          </w:p>
        </w:tc>
        <w:tc>
          <w:tcPr>
            <w:tcW w:w="1268" w:type="dxa"/>
            <w:tcBorders>
              <w:tl2br w:val="nil"/>
              <w:tr2bl w:val="nil"/>
            </w:tcBorders>
            <w:shd w:val="clear" w:color="auto" w:fill="auto"/>
            <w:vAlign w:val="center"/>
          </w:tcPr>
          <w:p w14:paraId="60C318F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56CC607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27.2</w:t>
            </w:r>
          </w:p>
        </w:tc>
        <w:tc>
          <w:tcPr>
            <w:tcW w:w="1268" w:type="dxa"/>
            <w:tcBorders>
              <w:tl2br w:val="nil"/>
              <w:tr2bl w:val="nil"/>
            </w:tcBorders>
            <w:shd w:val="clear" w:color="auto" w:fill="auto"/>
            <w:vAlign w:val="center"/>
          </w:tcPr>
          <w:p w14:paraId="28DF4D0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r>
      <w:tr w14:paraId="412D0EA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6" w:type="dxa"/>
            <w:tcBorders>
              <w:tl2br w:val="nil"/>
              <w:tr2bl w:val="nil"/>
            </w:tcBorders>
            <w:vAlign w:val="center"/>
          </w:tcPr>
          <w:p w14:paraId="4627ED0D">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sz w:val="21"/>
                <w:szCs w:val="21"/>
                <w:highlight w:val="none"/>
                <w:lang w:eastAsia="zh-CN"/>
              </w:rPr>
              <w:t>铁</w:t>
            </w:r>
          </w:p>
        </w:tc>
        <w:tc>
          <w:tcPr>
            <w:tcW w:w="993" w:type="dxa"/>
            <w:tcBorders>
              <w:tl2br w:val="nil"/>
              <w:tr2bl w:val="nil"/>
            </w:tcBorders>
            <w:vAlign w:val="center"/>
          </w:tcPr>
          <w:p w14:paraId="6CFF09B2">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rPr>
              <w:t>g/kg</w:t>
            </w:r>
          </w:p>
        </w:tc>
        <w:tc>
          <w:tcPr>
            <w:tcW w:w="1115" w:type="dxa"/>
            <w:tcBorders>
              <w:tl2br w:val="nil"/>
              <w:tr2bl w:val="nil"/>
            </w:tcBorders>
            <w:vAlign w:val="center"/>
          </w:tcPr>
          <w:p w14:paraId="2E4E1FA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w:t>
            </w:r>
          </w:p>
        </w:tc>
        <w:tc>
          <w:tcPr>
            <w:tcW w:w="1268" w:type="dxa"/>
            <w:tcBorders>
              <w:tl2br w:val="nil"/>
              <w:tr2bl w:val="nil"/>
            </w:tcBorders>
            <w:shd w:val="clear" w:color="auto" w:fill="auto"/>
            <w:vAlign w:val="center"/>
          </w:tcPr>
          <w:p w14:paraId="795E7C2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41.1</w:t>
            </w:r>
          </w:p>
        </w:tc>
        <w:tc>
          <w:tcPr>
            <w:tcW w:w="1268" w:type="dxa"/>
            <w:tcBorders>
              <w:tl2br w:val="nil"/>
              <w:tr2bl w:val="nil"/>
            </w:tcBorders>
            <w:shd w:val="clear" w:color="auto" w:fill="auto"/>
            <w:vAlign w:val="center"/>
          </w:tcPr>
          <w:p w14:paraId="6E28E6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3306A95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39.7</w:t>
            </w:r>
          </w:p>
        </w:tc>
        <w:tc>
          <w:tcPr>
            <w:tcW w:w="1268" w:type="dxa"/>
            <w:tcBorders>
              <w:tl2br w:val="nil"/>
              <w:tr2bl w:val="nil"/>
            </w:tcBorders>
            <w:shd w:val="clear" w:color="auto" w:fill="auto"/>
            <w:vAlign w:val="center"/>
          </w:tcPr>
          <w:p w14:paraId="6C3A6C1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71D3570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42.0</w:t>
            </w:r>
          </w:p>
        </w:tc>
        <w:tc>
          <w:tcPr>
            <w:tcW w:w="1268" w:type="dxa"/>
            <w:tcBorders>
              <w:tl2br w:val="nil"/>
              <w:tr2bl w:val="nil"/>
            </w:tcBorders>
            <w:shd w:val="clear" w:color="auto" w:fill="auto"/>
            <w:vAlign w:val="center"/>
          </w:tcPr>
          <w:p w14:paraId="62DC03A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1268" w:type="dxa"/>
            <w:tcBorders>
              <w:tl2br w:val="nil"/>
              <w:tr2bl w:val="nil"/>
            </w:tcBorders>
            <w:shd w:val="clear" w:color="auto" w:fill="auto"/>
            <w:vAlign w:val="center"/>
          </w:tcPr>
          <w:p w14:paraId="5FFE534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42.6</w:t>
            </w:r>
          </w:p>
        </w:tc>
        <w:tc>
          <w:tcPr>
            <w:tcW w:w="1268" w:type="dxa"/>
            <w:tcBorders>
              <w:tl2br w:val="nil"/>
              <w:tr2bl w:val="nil"/>
            </w:tcBorders>
            <w:shd w:val="clear" w:color="auto" w:fill="auto"/>
            <w:vAlign w:val="center"/>
          </w:tcPr>
          <w:p w14:paraId="1C0C7C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r>
    </w:tbl>
    <w:p w14:paraId="322E7721">
      <w:pPr>
        <w:keepNext w:val="0"/>
        <w:keepLines w:val="0"/>
        <w:pageBreakBefore w:val="0"/>
        <w:widowControl w:val="0"/>
        <w:numPr>
          <w:ilvl w:val="0"/>
          <w:numId w:val="0"/>
        </w:numPr>
        <w:tabs>
          <w:tab w:val="left" w:pos="420"/>
        </w:tabs>
        <w:kinsoku/>
        <w:wordWrap/>
        <w:overflowPunct/>
        <w:topLinePunct w:val="0"/>
        <w:autoSpaceDE/>
        <w:autoSpaceDN/>
        <w:bidi w:val="0"/>
        <w:adjustRightInd w:val="0"/>
        <w:snapToGrid w:val="0"/>
        <w:spacing w:line="360" w:lineRule="auto"/>
        <w:ind w:leftChars="0"/>
        <w:jc w:val="both"/>
        <w:textAlignment w:val="auto"/>
        <w:rPr>
          <w:rFonts w:hint="eastAsia" w:ascii="宋体" w:hAnsi="宋体" w:cs="宋体"/>
          <w:b/>
          <w:bCs w:val="0"/>
          <w:color w:val="auto"/>
          <w:sz w:val="21"/>
          <w:szCs w:val="21"/>
          <w:highlight w:val="none"/>
          <w:lang w:val="en-US" w:eastAsia="zh-CN"/>
        </w:rPr>
      </w:pPr>
      <w:r>
        <w:rPr>
          <w:rFonts w:hint="eastAsia" w:ascii="Times New Roman" w:hAnsi="Times New Roman" w:cs="Calibri"/>
          <w:b/>
          <w:bCs w:val="0"/>
          <w:color w:val="auto"/>
          <w:sz w:val="21"/>
          <w:szCs w:val="21"/>
          <w:highlight w:val="none"/>
          <w:lang w:eastAsia="zh-CN"/>
        </w:rPr>
        <w:t>注：以上检测结果中</w:t>
      </w:r>
      <w:r>
        <w:rPr>
          <w:rFonts w:hint="eastAsia" w:ascii="Times New Roman" w:hAnsi="Times New Roman" w:cs="Calibri"/>
          <w:b/>
          <w:bCs w:val="0"/>
          <w:color w:val="auto"/>
          <w:sz w:val="21"/>
          <w:szCs w:val="21"/>
          <w:highlight w:val="none"/>
          <w:lang w:val="en-US" w:eastAsia="zh-CN"/>
        </w:rPr>
        <w:t>“&lt;+数值”代表小于检出限</w:t>
      </w:r>
      <w:r>
        <w:rPr>
          <w:rFonts w:hint="eastAsia" w:ascii="宋体" w:hAnsi="宋体" w:cs="宋体"/>
          <w:b/>
          <w:bCs w:val="0"/>
          <w:color w:val="auto"/>
          <w:sz w:val="21"/>
          <w:szCs w:val="21"/>
          <w:highlight w:val="none"/>
          <w:lang w:val="en-US" w:eastAsia="zh-CN"/>
        </w:rPr>
        <w:t>，其数值为该项目检出限。</w:t>
      </w:r>
    </w:p>
    <w:p w14:paraId="4FD60258">
      <w:pPr>
        <w:keepNext w:val="0"/>
        <w:keepLines w:val="0"/>
        <w:pageBreakBefore w:val="0"/>
        <w:widowControl w:val="0"/>
        <w:numPr>
          <w:ilvl w:val="0"/>
          <w:numId w:val="0"/>
        </w:numPr>
        <w:tabs>
          <w:tab w:val="left" w:pos="420"/>
        </w:tabs>
        <w:kinsoku/>
        <w:wordWrap/>
        <w:overflowPunct/>
        <w:topLinePunct w:val="0"/>
        <w:autoSpaceDE/>
        <w:autoSpaceDN/>
        <w:bidi w:val="0"/>
        <w:adjustRightInd w:val="0"/>
        <w:snapToGrid w:val="0"/>
        <w:spacing w:line="360" w:lineRule="auto"/>
        <w:ind w:leftChars="0"/>
        <w:jc w:val="both"/>
        <w:textAlignment w:val="auto"/>
        <w:rPr>
          <w:rFonts w:hint="eastAsia" w:ascii="宋体" w:hAnsi="宋体" w:cs="宋体"/>
          <w:b/>
          <w:bCs w:val="0"/>
          <w:color w:val="auto"/>
          <w:sz w:val="21"/>
          <w:szCs w:val="21"/>
          <w:highlight w:val="none"/>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6EE395D3">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建设用地</w:t>
      </w:r>
      <w:r>
        <w:rPr>
          <w:rFonts w:hint="eastAsia" w:ascii="Times New Roman" w:hAnsi="Times New Roman" w:cs="Times New Roman"/>
          <w:b/>
          <w:color w:val="auto"/>
          <w:sz w:val="21"/>
          <w:szCs w:val="21"/>
          <w:highlight w:val="none"/>
          <w:lang w:val="en-US" w:eastAsia="zh-CN"/>
        </w:rPr>
        <w:t>Tr</w:t>
      </w:r>
      <w:r>
        <w:rPr>
          <w:rFonts w:hint="eastAsia" w:cs="Times New Roman"/>
          <w:b/>
          <w:color w:val="auto"/>
          <w:sz w:val="21"/>
          <w:szCs w:val="21"/>
          <w:highlight w:val="none"/>
          <w:lang w:val="en-US" w:eastAsia="zh-CN"/>
        </w:rPr>
        <w:t>2</w:t>
      </w:r>
      <w:r>
        <w:rPr>
          <w:rFonts w:hint="eastAsia" w:ascii="Times New Roman" w:hAnsi="Times New Roman" w:cs="Times New Roman"/>
          <w:b/>
          <w:color w:val="auto"/>
          <w:sz w:val="21"/>
          <w:szCs w:val="21"/>
          <w:highlight w:val="none"/>
          <w:lang w:val="en-US" w:eastAsia="zh-CN"/>
        </w:rPr>
        <w:t>、Tr</w:t>
      </w:r>
      <w:r>
        <w:rPr>
          <w:rFonts w:hint="eastAsia"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lang w:val="en-US" w:eastAsia="zh-CN"/>
        </w:rPr>
        <w:t>土壤环境质量现状监测结果（单位：mg/kg）</w:t>
      </w:r>
    </w:p>
    <w:tbl>
      <w:tblPr>
        <w:tblStyle w:val="59"/>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6"/>
        <w:gridCol w:w="1027"/>
        <w:gridCol w:w="933"/>
        <w:gridCol w:w="1376"/>
        <w:gridCol w:w="899"/>
        <w:gridCol w:w="5"/>
        <w:gridCol w:w="1247"/>
        <w:gridCol w:w="1167"/>
        <w:gridCol w:w="5"/>
      </w:tblGrid>
      <w:tr w14:paraId="548B61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094" w:type="pct"/>
            <w:vMerge w:val="restart"/>
            <w:tcBorders>
              <w:tl2br w:val="nil"/>
              <w:tr2bl w:val="nil"/>
            </w:tcBorders>
            <w:vAlign w:val="center"/>
          </w:tcPr>
          <w:p w14:paraId="006E27B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监测项目</w:t>
            </w:r>
          </w:p>
        </w:tc>
        <w:tc>
          <w:tcPr>
            <w:tcW w:w="602" w:type="pct"/>
            <w:vMerge w:val="restart"/>
            <w:tcBorders>
              <w:tl2br w:val="nil"/>
              <w:tr2bl w:val="nil"/>
            </w:tcBorders>
            <w:vAlign w:val="center"/>
          </w:tcPr>
          <w:p w14:paraId="5CE0024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547" w:type="pct"/>
            <w:vMerge w:val="restart"/>
            <w:tcBorders>
              <w:tl2br w:val="nil"/>
              <w:tr2bl w:val="nil"/>
            </w:tcBorders>
            <w:vAlign w:val="center"/>
          </w:tcPr>
          <w:p w14:paraId="0C293A4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第二类用地筛选值</w:t>
            </w:r>
          </w:p>
        </w:tc>
        <w:tc>
          <w:tcPr>
            <w:tcW w:w="1337" w:type="pct"/>
            <w:gridSpan w:val="3"/>
            <w:tcBorders>
              <w:tl2br w:val="nil"/>
              <w:tr2bl w:val="nil"/>
            </w:tcBorders>
            <w:vAlign w:val="center"/>
          </w:tcPr>
          <w:p w14:paraId="6AD9CBFD">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kern w:val="0"/>
                <w:sz w:val="21"/>
                <w:szCs w:val="21"/>
                <w:highlight w:val="none"/>
              </w:rPr>
            </w:pPr>
            <w:r>
              <w:rPr>
                <w:rFonts w:hint="default" w:ascii="Times New Roman" w:hAnsi="Times New Roman" w:cs="Times New Roman"/>
                <w:b/>
                <w:bCs/>
                <w:sz w:val="21"/>
                <w:szCs w:val="21"/>
                <w:highlight w:val="none"/>
              </w:rPr>
              <w:t>Tr</w:t>
            </w:r>
            <w:r>
              <w:rPr>
                <w:rFonts w:hint="eastAsia" w:cs="Times New Roman"/>
                <w:b/>
                <w:bCs/>
                <w:sz w:val="21"/>
                <w:szCs w:val="21"/>
                <w:highlight w:val="none"/>
                <w:lang w:val="en-US" w:eastAsia="zh-CN"/>
              </w:rPr>
              <w:t>2</w:t>
            </w:r>
            <w:r>
              <w:rPr>
                <w:rFonts w:hint="default" w:ascii="Times New Roman" w:hAnsi="Times New Roman" w:cs="Times New Roman"/>
                <w:b/>
                <w:bCs/>
                <w:sz w:val="21"/>
                <w:szCs w:val="21"/>
                <w:highlight w:val="none"/>
              </w:rPr>
              <w:t>#（</w:t>
            </w:r>
            <w:r>
              <w:rPr>
                <w:rFonts w:hint="eastAsia" w:cs="Times New Roman"/>
                <w:b/>
                <w:bCs/>
                <w:sz w:val="21"/>
                <w:szCs w:val="21"/>
                <w:highlight w:val="none"/>
                <w:lang w:val="en-US" w:eastAsia="zh-CN"/>
              </w:rPr>
              <w:t>表层</w:t>
            </w:r>
            <w:r>
              <w:rPr>
                <w:rFonts w:hint="default" w:ascii="Times New Roman" w:hAnsi="Times New Roman" w:cs="Times New Roman"/>
                <w:b/>
                <w:bCs/>
                <w:sz w:val="21"/>
                <w:szCs w:val="21"/>
                <w:highlight w:val="none"/>
              </w:rPr>
              <w:t>样）</w:t>
            </w:r>
          </w:p>
        </w:tc>
        <w:tc>
          <w:tcPr>
            <w:tcW w:w="1418" w:type="pct"/>
            <w:gridSpan w:val="3"/>
            <w:tcBorders>
              <w:tl2br w:val="nil"/>
              <w:tr2bl w:val="nil"/>
            </w:tcBorders>
            <w:vAlign w:val="bottom"/>
          </w:tcPr>
          <w:p w14:paraId="55728B2D">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Tr</w:t>
            </w:r>
            <w:r>
              <w:rPr>
                <w:rFonts w:hint="eastAsia" w:cs="Times New Roman"/>
                <w:b/>
                <w:bCs/>
                <w:sz w:val="21"/>
                <w:szCs w:val="21"/>
                <w:highlight w:val="none"/>
                <w:lang w:val="en-US" w:eastAsia="zh-CN"/>
              </w:rPr>
              <w:t>3</w:t>
            </w:r>
            <w:r>
              <w:rPr>
                <w:rFonts w:hint="default" w:ascii="Times New Roman" w:hAnsi="Times New Roman" w:cs="Times New Roman"/>
                <w:b/>
                <w:bCs/>
                <w:sz w:val="21"/>
                <w:szCs w:val="21"/>
                <w:highlight w:val="none"/>
              </w:rPr>
              <w:t>#（表层样）</w:t>
            </w:r>
          </w:p>
        </w:tc>
      </w:tr>
      <w:tr w14:paraId="4F1281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vMerge w:val="continue"/>
            <w:tcBorders>
              <w:tl2br w:val="nil"/>
              <w:tr2bl w:val="nil"/>
            </w:tcBorders>
            <w:vAlign w:val="center"/>
          </w:tcPr>
          <w:p w14:paraId="38A035A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602" w:type="pct"/>
            <w:vMerge w:val="continue"/>
            <w:tcBorders>
              <w:tl2br w:val="nil"/>
              <w:tr2bl w:val="nil"/>
            </w:tcBorders>
            <w:vAlign w:val="center"/>
          </w:tcPr>
          <w:p w14:paraId="17CA151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547" w:type="pct"/>
            <w:vMerge w:val="continue"/>
            <w:tcBorders>
              <w:tl2br w:val="nil"/>
              <w:tr2bl w:val="nil"/>
            </w:tcBorders>
            <w:vAlign w:val="center"/>
          </w:tcPr>
          <w:p w14:paraId="7AF3FD7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1334" w:type="pct"/>
            <w:gridSpan w:val="2"/>
            <w:tcBorders>
              <w:tl2br w:val="nil"/>
              <w:tr2bl w:val="nil"/>
            </w:tcBorders>
            <w:vAlign w:val="center"/>
          </w:tcPr>
          <w:p w14:paraId="37CAE6A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0</w:t>
            </w:r>
            <w:r>
              <w:rPr>
                <w:rFonts w:hint="default" w:ascii="Times New Roman" w:hAnsi="Times New Roman" w:cs="Times New Roman"/>
                <w:b/>
                <w:bCs/>
                <w:sz w:val="21"/>
                <w:szCs w:val="21"/>
                <w:highlight w:val="none"/>
                <w:lang w:val="en-US" w:eastAsia="zh-CN"/>
              </w:rPr>
              <w:t>.2</w:t>
            </w:r>
            <w:r>
              <w:rPr>
                <w:rFonts w:hint="default" w:ascii="Times New Roman" w:hAnsi="Times New Roman" w:cs="Times New Roman"/>
                <w:b/>
                <w:bCs/>
                <w:sz w:val="21"/>
                <w:szCs w:val="21"/>
                <w:highlight w:val="none"/>
              </w:rPr>
              <w:t>m</w:t>
            </w:r>
          </w:p>
        </w:tc>
        <w:tc>
          <w:tcPr>
            <w:tcW w:w="1418" w:type="pct"/>
            <w:gridSpan w:val="3"/>
            <w:tcBorders>
              <w:tl2br w:val="nil"/>
              <w:tr2bl w:val="nil"/>
            </w:tcBorders>
            <w:vAlign w:val="bottom"/>
          </w:tcPr>
          <w:p w14:paraId="7CEE878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lang w:val="en-US" w:eastAsia="zh-CN"/>
              </w:rPr>
              <w:t>0.2</w:t>
            </w:r>
            <w:r>
              <w:rPr>
                <w:rFonts w:hint="default" w:ascii="Times New Roman" w:hAnsi="Times New Roman" w:cs="Times New Roman"/>
                <w:b/>
                <w:bCs/>
                <w:sz w:val="21"/>
                <w:szCs w:val="21"/>
                <w:highlight w:val="none"/>
              </w:rPr>
              <w:t>m</w:t>
            </w:r>
          </w:p>
        </w:tc>
      </w:tr>
      <w:tr w14:paraId="2FA683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vMerge w:val="continue"/>
            <w:tcBorders>
              <w:tl2br w:val="nil"/>
              <w:tr2bl w:val="nil"/>
            </w:tcBorders>
            <w:vAlign w:val="center"/>
          </w:tcPr>
          <w:p w14:paraId="26D263C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602" w:type="pct"/>
            <w:vMerge w:val="continue"/>
            <w:tcBorders>
              <w:tl2br w:val="nil"/>
              <w:tr2bl w:val="nil"/>
            </w:tcBorders>
            <w:vAlign w:val="center"/>
          </w:tcPr>
          <w:p w14:paraId="6DBFFBA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547" w:type="pct"/>
            <w:vMerge w:val="continue"/>
            <w:tcBorders>
              <w:tl2br w:val="nil"/>
              <w:tr2bl w:val="nil"/>
            </w:tcBorders>
            <w:vAlign w:val="center"/>
          </w:tcPr>
          <w:p w14:paraId="2CC79DC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p>
        </w:tc>
        <w:tc>
          <w:tcPr>
            <w:tcW w:w="807" w:type="pct"/>
            <w:tcBorders>
              <w:tl2br w:val="nil"/>
              <w:tr2bl w:val="nil"/>
            </w:tcBorders>
            <w:vAlign w:val="center"/>
          </w:tcPr>
          <w:p w14:paraId="1210A7A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监测值</w:t>
            </w:r>
          </w:p>
        </w:tc>
        <w:tc>
          <w:tcPr>
            <w:tcW w:w="527" w:type="pct"/>
            <w:tcBorders>
              <w:tl2br w:val="nil"/>
              <w:tr2bl w:val="nil"/>
            </w:tcBorders>
            <w:vAlign w:val="center"/>
          </w:tcPr>
          <w:p w14:paraId="234488E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标准指数</w:t>
            </w:r>
          </w:p>
        </w:tc>
        <w:tc>
          <w:tcPr>
            <w:tcW w:w="734" w:type="pct"/>
            <w:gridSpan w:val="2"/>
            <w:tcBorders>
              <w:tl2br w:val="nil"/>
              <w:tr2bl w:val="nil"/>
            </w:tcBorders>
            <w:vAlign w:val="center"/>
          </w:tcPr>
          <w:p w14:paraId="5134B0D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监测值</w:t>
            </w:r>
          </w:p>
        </w:tc>
        <w:tc>
          <w:tcPr>
            <w:tcW w:w="683" w:type="pct"/>
            <w:tcBorders>
              <w:tl2br w:val="nil"/>
              <w:tr2bl w:val="nil"/>
            </w:tcBorders>
            <w:vAlign w:val="center"/>
          </w:tcPr>
          <w:p w14:paraId="4B00560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标准指数</w:t>
            </w:r>
          </w:p>
        </w:tc>
      </w:tr>
      <w:tr w14:paraId="45697A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5E28F19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砷</w:t>
            </w:r>
          </w:p>
        </w:tc>
        <w:tc>
          <w:tcPr>
            <w:tcW w:w="602" w:type="pct"/>
            <w:tcBorders>
              <w:tl2br w:val="nil"/>
              <w:tr2bl w:val="nil"/>
            </w:tcBorders>
            <w:vAlign w:val="center"/>
          </w:tcPr>
          <w:p w14:paraId="577D520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BBA6FE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60</w:t>
            </w:r>
          </w:p>
        </w:tc>
        <w:tc>
          <w:tcPr>
            <w:tcW w:w="1376" w:type="dxa"/>
            <w:tcBorders>
              <w:tl2br w:val="nil"/>
              <w:tr2bl w:val="nil"/>
            </w:tcBorders>
            <w:vAlign w:val="center"/>
          </w:tcPr>
          <w:p w14:paraId="16F67B7E">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0.060</w:t>
            </w:r>
          </w:p>
        </w:tc>
        <w:tc>
          <w:tcPr>
            <w:tcW w:w="899" w:type="dxa"/>
            <w:tcBorders>
              <w:tl2br w:val="nil"/>
              <w:tr2bl w:val="nil"/>
            </w:tcBorders>
            <w:vAlign w:val="center"/>
          </w:tcPr>
          <w:p w14:paraId="257ABE93">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2.18</w:t>
            </w:r>
          </w:p>
        </w:tc>
        <w:tc>
          <w:tcPr>
            <w:tcW w:w="1252" w:type="dxa"/>
            <w:gridSpan w:val="2"/>
            <w:tcBorders>
              <w:tl2br w:val="nil"/>
              <w:tr2bl w:val="nil"/>
            </w:tcBorders>
            <w:shd w:val="clear" w:color="auto" w:fill="auto"/>
            <w:vAlign w:val="center"/>
          </w:tcPr>
          <w:p w14:paraId="54B1EAA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0.036</w:t>
            </w:r>
          </w:p>
        </w:tc>
        <w:tc>
          <w:tcPr>
            <w:tcW w:w="1167" w:type="dxa"/>
            <w:tcBorders>
              <w:tl2br w:val="nil"/>
              <w:tr2bl w:val="nil"/>
            </w:tcBorders>
            <w:vAlign w:val="center"/>
          </w:tcPr>
          <w:p w14:paraId="4C81F99C">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0.060</w:t>
            </w:r>
          </w:p>
        </w:tc>
      </w:tr>
      <w:tr w14:paraId="1CC13F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B224E3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镉</w:t>
            </w:r>
          </w:p>
        </w:tc>
        <w:tc>
          <w:tcPr>
            <w:tcW w:w="602" w:type="pct"/>
            <w:tcBorders>
              <w:tl2br w:val="nil"/>
              <w:tr2bl w:val="nil"/>
            </w:tcBorders>
            <w:vAlign w:val="center"/>
          </w:tcPr>
          <w:p w14:paraId="6639653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CB836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65</w:t>
            </w:r>
          </w:p>
        </w:tc>
        <w:tc>
          <w:tcPr>
            <w:tcW w:w="1376" w:type="dxa"/>
            <w:tcBorders>
              <w:tl2br w:val="nil"/>
              <w:tr2bl w:val="nil"/>
            </w:tcBorders>
            <w:vAlign w:val="center"/>
          </w:tcPr>
          <w:p w14:paraId="69E586C1">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0.004</w:t>
            </w:r>
          </w:p>
        </w:tc>
        <w:tc>
          <w:tcPr>
            <w:tcW w:w="899" w:type="dxa"/>
            <w:tcBorders>
              <w:tl2br w:val="nil"/>
              <w:tr2bl w:val="nil"/>
            </w:tcBorders>
            <w:vAlign w:val="center"/>
          </w:tcPr>
          <w:p w14:paraId="469A85C5">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0.21</w:t>
            </w:r>
          </w:p>
        </w:tc>
        <w:tc>
          <w:tcPr>
            <w:tcW w:w="1252" w:type="dxa"/>
            <w:gridSpan w:val="2"/>
            <w:tcBorders>
              <w:tl2br w:val="nil"/>
              <w:tr2bl w:val="nil"/>
            </w:tcBorders>
            <w:shd w:val="clear" w:color="auto" w:fill="auto"/>
            <w:vAlign w:val="center"/>
          </w:tcPr>
          <w:p w14:paraId="53C1F73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0.003</w:t>
            </w:r>
          </w:p>
        </w:tc>
        <w:tc>
          <w:tcPr>
            <w:tcW w:w="1167" w:type="dxa"/>
            <w:tcBorders>
              <w:tl2br w:val="nil"/>
              <w:tr2bl w:val="nil"/>
            </w:tcBorders>
            <w:vAlign w:val="center"/>
          </w:tcPr>
          <w:p w14:paraId="0CC32987">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0.004</w:t>
            </w:r>
          </w:p>
        </w:tc>
      </w:tr>
      <w:tr w14:paraId="7BD016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501F33E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铬（六价）</w:t>
            </w:r>
          </w:p>
        </w:tc>
        <w:tc>
          <w:tcPr>
            <w:tcW w:w="602" w:type="pct"/>
            <w:tcBorders>
              <w:tl2br w:val="nil"/>
              <w:tr2bl w:val="nil"/>
            </w:tcBorders>
            <w:vAlign w:val="center"/>
          </w:tcPr>
          <w:p w14:paraId="7691F7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59168C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5.7</w:t>
            </w:r>
          </w:p>
        </w:tc>
        <w:tc>
          <w:tcPr>
            <w:tcW w:w="1376" w:type="dxa"/>
            <w:tcBorders>
              <w:tl2br w:val="nil"/>
              <w:tr2bl w:val="nil"/>
            </w:tcBorders>
            <w:vAlign w:val="center"/>
          </w:tcPr>
          <w:p w14:paraId="5D64A170">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899" w:type="dxa"/>
            <w:tcBorders>
              <w:tl2br w:val="nil"/>
              <w:tr2bl w:val="nil"/>
            </w:tcBorders>
            <w:vAlign w:val="center"/>
          </w:tcPr>
          <w:p w14:paraId="7C4EBDE4">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＜0.5</w:t>
            </w:r>
          </w:p>
        </w:tc>
        <w:tc>
          <w:tcPr>
            <w:tcW w:w="1252" w:type="dxa"/>
            <w:gridSpan w:val="2"/>
            <w:tcBorders>
              <w:tl2br w:val="nil"/>
              <w:tr2bl w:val="nil"/>
            </w:tcBorders>
            <w:shd w:val="clear" w:color="auto" w:fill="auto"/>
            <w:vAlign w:val="center"/>
          </w:tcPr>
          <w:p w14:paraId="1951AB5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1167" w:type="dxa"/>
            <w:tcBorders>
              <w:tl2br w:val="nil"/>
              <w:tr2bl w:val="nil"/>
            </w:tcBorders>
            <w:vAlign w:val="center"/>
          </w:tcPr>
          <w:p w14:paraId="78FE1010">
            <w:pPr>
              <w:keepNext w:val="0"/>
              <w:keepLines w:val="0"/>
              <w:widowControl/>
              <w:suppressLineNumbers w:val="0"/>
              <w:jc w:val="center"/>
              <w:textAlignment w:val="center"/>
              <w:rPr>
                <w:rFonts w:hint="default" w:ascii="Times New Roman" w:hAnsi="Times New Roman" w:cs="Times New Roman"/>
                <w:b/>
                <w:bCs/>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w:t>
            </w:r>
          </w:p>
        </w:tc>
      </w:tr>
      <w:tr w14:paraId="20902C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1BBEB4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铜</w:t>
            </w:r>
          </w:p>
        </w:tc>
        <w:tc>
          <w:tcPr>
            <w:tcW w:w="602" w:type="pct"/>
            <w:tcBorders>
              <w:tl2br w:val="nil"/>
              <w:tr2bl w:val="nil"/>
            </w:tcBorders>
            <w:vAlign w:val="center"/>
          </w:tcPr>
          <w:p w14:paraId="37B200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DCB469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18000</w:t>
            </w:r>
          </w:p>
        </w:tc>
        <w:tc>
          <w:tcPr>
            <w:tcW w:w="1376" w:type="dxa"/>
            <w:tcBorders>
              <w:tl2br w:val="nil"/>
              <w:tr2bl w:val="nil"/>
            </w:tcBorders>
            <w:vAlign w:val="center"/>
          </w:tcPr>
          <w:p w14:paraId="6145561A">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0.003</w:t>
            </w:r>
          </w:p>
        </w:tc>
        <w:tc>
          <w:tcPr>
            <w:tcW w:w="899" w:type="dxa"/>
            <w:tcBorders>
              <w:tl2br w:val="nil"/>
              <w:tr2bl w:val="nil"/>
            </w:tcBorders>
            <w:vAlign w:val="center"/>
          </w:tcPr>
          <w:p w14:paraId="253FAD07">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43</w:t>
            </w:r>
          </w:p>
        </w:tc>
        <w:tc>
          <w:tcPr>
            <w:tcW w:w="1252" w:type="dxa"/>
            <w:gridSpan w:val="2"/>
            <w:tcBorders>
              <w:tl2br w:val="nil"/>
              <w:tr2bl w:val="nil"/>
            </w:tcBorders>
            <w:shd w:val="clear" w:color="auto" w:fill="auto"/>
            <w:vAlign w:val="center"/>
          </w:tcPr>
          <w:p w14:paraId="4CFBCF4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0.002</w:t>
            </w:r>
          </w:p>
        </w:tc>
        <w:tc>
          <w:tcPr>
            <w:tcW w:w="1167" w:type="dxa"/>
            <w:tcBorders>
              <w:tl2br w:val="nil"/>
              <w:tr2bl w:val="nil"/>
            </w:tcBorders>
            <w:vAlign w:val="center"/>
          </w:tcPr>
          <w:p w14:paraId="54DBD9F6">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0.003</w:t>
            </w:r>
          </w:p>
        </w:tc>
      </w:tr>
      <w:tr w14:paraId="11D310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45DFF69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铅</w:t>
            </w:r>
          </w:p>
        </w:tc>
        <w:tc>
          <w:tcPr>
            <w:tcW w:w="602" w:type="pct"/>
            <w:tcBorders>
              <w:tl2br w:val="nil"/>
              <w:tr2bl w:val="nil"/>
            </w:tcBorders>
            <w:vAlign w:val="center"/>
          </w:tcPr>
          <w:p w14:paraId="6CEB9CA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18B62FF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800</w:t>
            </w:r>
          </w:p>
        </w:tc>
        <w:tc>
          <w:tcPr>
            <w:tcW w:w="1376" w:type="dxa"/>
            <w:tcBorders>
              <w:tl2br w:val="nil"/>
              <w:tr2bl w:val="nil"/>
            </w:tcBorders>
            <w:vAlign w:val="center"/>
          </w:tcPr>
          <w:p w14:paraId="0089CCA3">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0.036</w:t>
            </w:r>
          </w:p>
        </w:tc>
        <w:tc>
          <w:tcPr>
            <w:tcW w:w="899" w:type="dxa"/>
            <w:tcBorders>
              <w:tl2br w:val="nil"/>
              <w:tr2bl w:val="nil"/>
            </w:tcBorders>
            <w:vAlign w:val="center"/>
          </w:tcPr>
          <w:p w14:paraId="018A645A">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28</w:t>
            </w:r>
          </w:p>
        </w:tc>
        <w:tc>
          <w:tcPr>
            <w:tcW w:w="1252" w:type="dxa"/>
            <w:gridSpan w:val="2"/>
            <w:tcBorders>
              <w:tl2br w:val="nil"/>
              <w:tr2bl w:val="nil"/>
            </w:tcBorders>
            <w:shd w:val="clear" w:color="auto" w:fill="auto"/>
            <w:vAlign w:val="center"/>
          </w:tcPr>
          <w:p w14:paraId="388CA11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0.035</w:t>
            </w:r>
          </w:p>
        </w:tc>
        <w:tc>
          <w:tcPr>
            <w:tcW w:w="1167" w:type="dxa"/>
            <w:tcBorders>
              <w:tl2br w:val="nil"/>
              <w:tr2bl w:val="nil"/>
            </w:tcBorders>
            <w:vAlign w:val="center"/>
          </w:tcPr>
          <w:p w14:paraId="7C58B123">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0.036</w:t>
            </w:r>
          </w:p>
        </w:tc>
      </w:tr>
      <w:tr w14:paraId="48B727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6144824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汞</w:t>
            </w:r>
          </w:p>
        </w:tc>
        <w:tc>
          <w:tcPr>
            <w:tcW w:w="602" w:type="pct"/>
            <w:tcBorders>
              <w:tl2br w:val="nil"/>
              <w:tr2bl w:val="nil"/>
            </w:tcBorders>
            <w:vAlign w:val="center"/>
          </w:tcPr>
          <w:p w14:paraId="0E703D1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385DE5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38</w:t>
            </w:r>
          </w:p>
        </w:tc>
        <w:tc>
          <w:tcPr>
            <w:tcW w:w="1376" w:type="dxa"/>
            <w:tcBorders>
              <w:tl2br w:val="nil"/>
              <w:tr2bl w:val="nil"/>
            </w:tcBorders>
            <w:vAlign w:val="center"/>
          </w:tcPr>
          <w:p w14:paraId="4D4AD8B5">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0.007</w:t>
            </w:r>
          </w:p>
        </w:tc>
        <w:tc>
          <w:tcPr>
            <w:tcW w:w="899" w:type="dxa"/>
            <w:tcBorders>
              <w:tl2br w:val="nil"/>
              <w:tr2bl w:val="nil"/>
            </w:tcBorders>
            <w:vAlign w:val="center"/>
          </w:tcPr>
          <w:p w14:paraId="6BDE6375">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0.268</w:t>
            </w:r>
          </w:p>
        </w:tc>
        <w:tc>
          <w:tcPr>
            <w:tcW w:w="1252" w:type="dxa"/>
            <w:gridSpan w:val="2"/>
            <w:tcBorders>
              <w:tl2br w:val="nil"/>
              <w:tr2bl w:val="nil"/>
            </w:tcBorders>
            <w:shd w:val="clear" w:color="auto" w:fill="auto"/>
            <w:vAlign w:val="center"/>
          </w:tcPr>
          <w:p w14:paraId="3E28183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0.007</w:t>
            </w:r>
          </w:p>
        </w:tc>
        <w:tc>
          <w:tcPr>
            <w:tcW w:w="1167" w:type="dxa"/>
            <w:tcBorders>
              <w:tl2br w:val="nil"/>
              <w:tr2bl w:val="nil"/>
            </w:tcBorders>
            <w:vAlign w:val="center"/>
          </w:tcPr>
          <w:p w14:paraId="13199C43">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0.007</w:t>
            </w:r>
          </w:p>
        </w:tc>
      </w:tr>
      <w:tr w14:paraId="3BDB8B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849E2C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镍</w:t>
            </w:r>
          </w:p>
        </w:tc>
        <w:tc>
          <w:tcPr>
            <w:tcW w:w="602" w:type="pct"/>
            <w:tcBorders>
              <w:tl2br w:val="nil"/>
              <w:tr2bl w:val="nil"/>
            </w:tcBorders>
            <w:vAlign w:val="center"/>
          </w:tcPr>
          <w:p w14:paraId="64C6F0E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6CA63B0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900</w:t>
            </w:r>
          </w:p>
        </w:tc>
        <w:tc>
          <w:tcPr>
            <w:tcW w:w="1376" w:type="dxa"/>
            <w:tcBorders>
              <w:tl2br w:val="nil"/>
              <w:tr2bl w:val="nil"/>
            </w:tcBorders>
            <w:vAlign w:val="center"/>
          </w:tcPr>
          <w:p w14:paraId="360A996F">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0.074</w:t>
            </w:r>
          </w:p>
        </w:tc>
        <w:tc>
          <w:tcPr>
            <w:tcW w:w="899" w:type="dxa"/>
            <w:tcBorders>
              <w:tl2br w:val="nil"/>
              <w:tr2bl w:val="nil"/>
            </w:tcBorders>
            <w:vAlign w:val="center"/>
          </w:tcPr>
          <w:p w14:paraId="569A38B4">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67</w:t>
            </w:r>
          </w:p>
        </w:tc>
        <w:tc>
          <w:tcPr>
            <w:tcW w:w="1252" w:type="dxa"/>
            <w:gridSpan w:val="2"/>
            <w:tcBorders>
              <w:tl2br w:val="nil"/>
              <w:tr2bl w:val="nil"/>
            </w:tcBorders>
            <w:shd w:val="clear" w:color="auto" w:fill="auto"/>
            <w:vAlign w:val="center"/>
          </w:tcPr>
          <w:p w14:paraId="55DB5F8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0.074</w:t>
            </w:r>
          </w:p>
        </w:tc>
        <w:tc>
          <w:tcPr>
            <w:tcW w:w="1167" w:type="dxa"/>
            <w:tcBorders>
              <w:tl2br w:val="nil"/>
              <w:tr2bl w:val="nil"/>
            </w:tcBorders>
            <w:vAlign w:val="center"/>
          </w:tcPr>
          <w:p w14:paraId="5ECB014E">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0.074</w:t>
            </w:r>
          </w:p>
        </w:tc>
      </w:tr>
      <w:tr w14:paraId="1673E1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A2506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四氯化碳</w:t>
            </w:r>
          </w:p>
        </w:tc>
        <w:tc>
          <w:tcPr>
            <w:tcW w:w="602" w:type="pct"/>
            <w:tcBorders>
              <w:tl2br w:val="nil"/>
              <w:tr2bl w:val="nil"/>
            </w:tcBorders>
            <w:vAlign w:val="center"/>
          </w:tcPr>
          <w:p w14:paraId="5294AF4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6831B61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807" w:type="pct"/>
            <w:tcBorders>
              <w:tl2br w:val="nil"/>
              <w:tr2bl w:val="nil"/>
            </w:tcBorders>
            <w:vAlign w:val="center"/>
          </w:tcPr>
          <w:p w14:paraId="236A749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05ABBE4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b/>
                <w:bCs/>
                <w:color w:val="000000"/>
                <w:sz w:val="21"/>
                <w:szCs w:val="21"/>
                <w:highlight w:val="none"/>
              </w:rPr>
              <w:t>/</w:t>
            </w:r>
          </w:p>
        </w:tc>
        <w:tc>
          <w:tcPr>
            <w:tcW w:w="734" w:type="pct"/>
            <w:gridSpan w:val="2"/>
            <w:tcBorders>
              <w:tl2br w:val="nil"/>
              <w:tr2bl w:val="nil"/>
            </w:tcBorders>
            <w:vAlign w:val="center"/>
          </w:tcPr>
          <w:p w14:paraId="4F0321F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000000"/>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70F25EC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000000"/>
                <w:sz w:val="21"/>
                <w:szCs w:val="21"/>
                <w:highlight w:val="none"/>
              </w:rPr>
            </w:pPr>
            <w:r>
              <w:rPr>
                <w:rFonts w:hint="default" w:ascii="Times New Roman" w:hAnsi="Times New Roman" w:cs="Times New Roman"/>
                <w:b/>
                <w:bCs/>
                <w:color w:val="000000"/>
                <w:sz w:val="21"/>
                <w:szCs w:val="21"/>
                <w:highlight w:val="none"/>
              </w:rPr>
              <w:t>/</w:t>
            </w:r>
          </w:p>
        </w:tc>
      </w:tr>
      <w:tr w14:paraId="0AA2A6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5E58068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氯仿</w:t>
            </w:r>
          </w:p>
        </w:tc>
        <w:tc>
          <w:tcPr>
            <w:tcW w:w="602" w:type="pct"/>
            <w:tcBorders>
              <w:tl2br w:val="nil"/>
              <w:tr2bl w:val="nil"/>
            </w:tcBorders>
            <w:vAlign w:val="center"/>
          </w:tcPr>
          <w:p w14:paraId="685307D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75D7711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0.9</w:t>
            </w:r>
          </w:p>
        </w:tc>
        <w:tc>
          <w:tcPr>
            <w:tcW w:w="807" w:type="pct"/>
            <w:tcBorders>
              <w:tl2br w:val="nil"/>
              <w:tr2bl w:val="nil"/>
            </w:tcBorders>
            <w:vAlign w:val="center"/>
          </w:tcPr>
          <w:p w14:paraId="3B6E5F0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714E245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BA65C7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36E2528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2F8106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5F6727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氯甲烷</w:t>
            </w:r>
          </w:p>
        </w:tc>
        <w:tc>
          <w:tcPr>
            <w:tcW w:w="602" w:type="pct"/>
            <w:tcBorders>
              <w:tl2br w:val="nil"/>
              <w:tr2bl w:val="nil"/>
            </w:tcBorders>
            <w:vAlign w:val="center"/>
          </w:tcPr>
          <w:p w14:paraId="6639F22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5796859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37</w:t>
            </w:r>
          </w:p>
        </w:tc>
        <w:tc>
          <w:tcPr>
            <w:tcW w:w="807" w:type="pct"/>
            <w:tcBorders>
              <w:tl2br w:val="nil"/>
              <w:tr2bl w:val="nil"/>
            </w:tcBorders>
            <w:vAlign w:val="center"/>
          </w:tcPr>
          <w:p w14:paraId="05ED4D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18315CB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4C6776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0A1B290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451FE2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5B0D35F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1,1-二氯乙烷</w:t>
            </w:r>
          </w:p>
        </w:tc>
        <w:tc>
          <w:tcPr>
            <w:tcW w:w="602" w:type="pct"/>
            <w:tcBorders>
              <w:tl2br w:val="nil"/>
              <w:tr2bl w:val="nil"/>
            </w:tcBorders>
            <w:vAlign w:val="center"/>
          </w:tcPr>
          <w:p w14:paraId="6B4FCEE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25968D0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w:t>
            </w:r>
          </w:p>
        </w:tc>
        <w:tc>
          <w:tcPr>
            <w:tcW w:w="807" w:type="pct"/>
            <w:tcBorders>
              <w:tl2br w:val="nil"/>
              <w:tr2bl w:val="nil"/>
            </w:tcBorders>
            <w:vAlign w:val="center"/>
          </w:tcPr>
          <w:p w14:paraId="04488ED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555AC88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277F9C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1A43C56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37724D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D4E168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1,2-二氯乙烷</w:t>
            </w:r>
          </w:p>
        </w:tc>
        <w:tc>
          <w:tcPr>
            <w:tcW w:w="602" w:type="pct"/>
            <w:tcBorders>
              <w:tl2br w:val="nil"/>
              <w:tr2bl w:val="nil"/>
            </w:tcBorders>
            <w:vAlign w:val="center"/>
          </w:tcPr>
          <w:p w14:paraId="16C4D97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8BC4BB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807" w:type="pct"/>
            <w:tcBorders>
              <w:tl2br w:val="nil"/>
              <w:tr2bl w:val="nil"/>
            </w:tcBorders>
            <w:vAlign w:val="center"/>
          </w:tcPr>
          <w:p w14:paraId="4E2EF5F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3CFAF7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638E697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0FF27E0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4A21A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AFE44D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1,1-二氯乙烯</w:t>
            </w:r>
          </w:p>
        </w:tc>
        <w:tc>
          <w:tcPr>
            <w:tcW w:w="602" w:type="pct"/>
            <w:tcBorders>
              <w:tl2br w:val="nil"/>
              <w:tr2bl w:val="nil"/>
            </w:tcBorders>
            <w:vAlign w:val="center"/>
          </w:tcPr>
          <w:p w14:paraId="7D379A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B70DDD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66</w:t>
            </w:r>
          </w:p>
        </w:tc>
        <w:tc>
          <w:tcPr>
            <w:tcW w:w="807" w:type="pct"/>
            <w:tcBorders>
              <w:tl2br w:val="nil"/>
              <w:tr2bl w:val="nil"/>
            </w:tcBorders>
            <w:vAlign w:val="center"/>
          </w:tcPr>
          <w:p w14:paraId="40C7E01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75A524A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6BBD133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29FCD56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556B4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2E28EBF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顺-1,2-二氯乙烯</w:t>
            </w:r>
          </w:p>
        </w:tc>
        <w:tc>
          <w:tcPr>
            <w:tcW w:w="602" w:type="pct"/>
            <w:tcBorders>
              <w:tl2br w:val="nil"/>
              <w:tr2bl w:val="nil"/>
            </w:tcBorders>
            <w:vAlign w:val="center"/>
          </w:tcPr>
          <w:p w14:paraId="1B30841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5F3AE3A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596</w:t>
            </w:r>
          </w:p>
        </w:tc>
        <w:tc>
          <w:tcPr>
            <w:tcW w:w="807" w:type="pct"/>
            <w:tcBorders>
              <w:tl2br w:val="nil"/>
              <w:tr2bl w:val="nil"/>
            </w:tcBorders>
            <w:vAlign w:val="center"/>
          </w:tcPr>
          <w:p w14:paraId="74EF15E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25A91CE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2BAEFEB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7528FFF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3A914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429C0A5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反-1,2-二氯乙烯</w:t>
            </w:r>
          </w:p>
        </w:tc>
        <w:tc>
          <w:tcPr>
            <w:tcW w:w="602" w:type="pct"/>
            <w:tcBorders>
              <w:tl2br w:val="nil"/>
              <w:tr2bl w:val="nil"/>
            </w:tcBorders>
            <w:vAlign w:val="center"/>
          </w:tcPr>
          <w:p w14:paraId="3A91BB3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6C9966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54</w:t>
            </w:r>
          </w:p>
        </w:tc>
        <w:tc>
          <w:tcPr>
            <w:tcW w:w="807" w:type="pct"/>
            <w:tcBorders>
              <w:tl2br w:val="nil"/>
              <w:tr2bl w:val="nil"/>
            </w:tcBorders>
            <w:vAlign w:val="center"/>
          </w:tcPr>
          <w:p w14:paraId="50A514C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57E69F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313D801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6BB64B4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7267A0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47A4F92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二氯甲烷</w:t>
            </w:r>
          </w:p>
        </w:tc>
        <w:tc>
          <w:tcPr>
            <w:tcW w:w="602" w:type="pct"/>
            <w:tcBorders>
              <w:tl2br w:val="nil"/>
              <w:tr2bl w:val="nil"/>
            </w:tcBorders>
            <w:vAlign w:val="center"/>
          </w:tcPr>
          <w:p w14:paraId="0E68898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29A365E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616</w:t>
            </w:r>
          </w:p>
        </w:tc>
        <w:tc>
          <w:tcPr>
            <w:tcW w:w="807" w:type="pct"/>
            <w:tcBorders>
              <w:tl2br w:val="nil"/>
              <w:tr2bl w:val="nil"/>
            </w:tcBorders>
            <w:vAlign w:val="center"/>
          </w:tcPr>
          <w:p w14:paraId="02C749C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5E9F013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4CD1260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05C1E4F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2096EC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6E60745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1,2-二氯丙烷</w:t>
            </w:r>
          </w:p>
        </w:tc>
        <w:tc>
          <w:tcPr>
            <w:tcW w:w="602" w:type="pct"/>
            <w:tcBorders>
              <w:tl2br w:val="nil"/>
              <w:tr2bl w:val="nil"/>
            </w:tcBorders>
            <w:vAlign w:val="center"/>
          </w:tcPr>
          <w:p w14:paraId="5D04C25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6674E37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807" w:type="pct"/>
            <w:tcBorders>
              <w:tl2br w:val="nil"/>
              <w:tr2bl w:val="nil"/>
            </w:tcBorders>
            <w:vAlign w:val="center"/>
          </w:tcPr>
          <w:p w14:paraId="4EF0D39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05D6D34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4760754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6FB2722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65CDF0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57088AD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1,1,1,2-四氯乙烷</w:t>
            </w:r>
          </w:p>
        </w:tc>
        <w:tc>
          <w:tcPr>
            <w:tcW w:w="602" w:type="pct"/>
            <w:tcBorders>
              <w:tl2br w:val="nil"/>
              <w:tr2bl w:val="nil"/>
            </w:tcBorders>
            <w:vAlign w:val="center"/>
          </w:tcPr>
          <w:p w14:paraId="67DFC54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8C7244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p>
        </w:tc>
        <w:tc>
          <w:tcPr>
            <w:tcW w:w="807" w:type="pct"/>
            <w:tcBorders>
              <w:tl2br w:val="nil"/>
              <w:tr2bl w:val="nil"/>
            </w:tcBorders>
            <w:vAlign w:val="center"/>
          </w:tcPr>
          <w:p w14:paraId="03F4219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71B47FF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BF4648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2DA9A12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23E6F5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9F6980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1,1,2,2-四氯乙烷</w:t>
            </w:r>
          </w:p>
        </w:tc>
        <w:tc>
          <w:tcPr>
            <w:tcW w:w="602" w:type="pct"/>
            <w:tcBorders>
              <w:tl2br w:val="nil"/>
              <w:tr2bl w:val="nil"/>
            </w:tcBorders>
            <w:vAlign w:val="center"/>
          </w:tcPr>
          <w:p w14:paraId="6358814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D32CBB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6.8</w:t>
            </w:r>
          </w:p>
        </w:tc>
        <w:tc>
          <w:tcPr>
            <w:tcW w:w="807" w:type="pct"/>
            <w:tcBorders>
              <w:tl2br w:val="nil"/>
              <w:tr2bl w:val="nil"/>
            </w:tcBorders>
            <w:vAlign w:val="center"/>
          </w:tcPr>
          <w:p w14:paraId="0D73280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4742410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7A3376F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3647377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48B4CC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21E5045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四氯乙烯</w:t>
            </w:r>
          </w:p>
        </w:tc>
        <w:tc>
          <w:tcPr>
            <w:tcW w:w="602" w:type="pct"/>
            <w:tcBorders>
              <w:tl2br w:val="nil"/>
              <w:tr2bl w:val="nil"/>
            </w:tcBorders>
            <w:vAlign w:val="center"/>
          </w:tcPr>
          <w:p w14:paraId="6D241FE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74A5847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53</w:t>
            </w:r>
          </w:p>
        </w:tc>
        <w:tc>
          <w:tcPr>
            <w:tcW w:w="807" w:type="pct"/>
            <w:tcBorders>
              <w:tl2br w:val="nil"/>
              <w:tr2bl w:val="nil"/>
            </w:tcBorders>
            <w:vAlign w:val="center"/>
          </w:tcPr>
          <w:p w14:paraId="276EE2B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75C5809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671D985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＜1.4×10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5922442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782943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7789BF4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1,1,1-三氯乙烷</w:t>
            </w:r>
          </w:p>
        </w:tc>
        <w:tc>
          <w:tcPr>
            <w:tcW w:w="602" w:type="pct"/>
            <w:tcBorders>
              <w:tl2br w:val="nil"/>
              <w:tr2bl w:val="nil"/>
            </w:tcBorders>
            <w:vAlign w:val="center"/>
          </w:tcPr>
          <w:p w14:paraId="7BC1236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6B2F3C1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840</w:t>
            </w:r>
          </w:p>
        </w:tc>
        <w:tc>
          <w:tcPr>
            <w:tcW w:w="807" w:type="pct"/>
            <w:tcBorders>
              <w:tl2br w:val="nil"/>
              <w:tr2bl w:val="nil"/>
            </w:tcBorders>
            <w:vAlign w:val="center"/>
          </w:tcPr>
          <w:p w14:paraId="39A697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175DE04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37A3089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4BB3076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1D8BAC9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3F8905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1,1,2-三氯乙烷</w:t>
            </w:r>
          </w:p>
        </w:tc>
        <w:tc>
          <w:tcPr>
            <w:tcW w:w="602" w:type="pct"/>
            <w:tcBorders>
              <w:tl2br w:val="nil"/>
              <w:tr2bl w:val="nil"/>
            </w:tcBorders>
            <w:vAlign w:val="center"/>
          </w:tcPr>
          <w:p w14:paraId="2CAC069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67D4B2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807" w:type="pct"/>
            <w:tcBorders>
              <w:tl2br w:val="nil"/>
              <w:tr2bl w:val="nil"/>
            </w:tcBorders>
            <w:vAlign w:val="center"/>
          </w:tcPr>
          <w:p w14:paraId="1F84F66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58162A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747B8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3FB8C9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58FDDB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2B89737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三氯乙烯</w:t>
            </w:r>
          </w:p>
        </w:tc>
        <w:tc>
          <w:tcPr>
            <w:tcW w:w="602" w:type="pct"/>
            <w:tcBorders>
              <w:tl2br w:val="nil"/>
              <w:tr2bl w:val="nil"/>
            </w:tcBorders>
            <w:vAlign w:val="center"/>
          </w:tcPr>
          <w:p w14:paraId="3F40D25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62EF0AD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807" w:type="pct"/>
            <w:tcBorders>
              <w:tl2br w:val="nil"/>
              <w:tr2bl w:val="nil"/>
            </w:tcBorders>
            <w:vAlign w:val="center"/>
          </w:tcPr>
          <w:p w14:paraId="271510A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59C9C9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0378E3D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1306734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E82AE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002BFC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1,2,3-三氯丙烷</w:t>
            </w:r>
          </w:p>
        </w:tc>
        <w:tc>
          <w:tcPr>
            <w:tcW w:w="602" w:type="pct"/>
            <w:tcBorders>
              <w:tl2br w:val="nil"/>
              <w:tr2bl w:val="nil"/>
            </w:tcBorders>
            <w:vAlign w:val="center"/>
          </w:tcPr>
          <w:p w14:paraId="0BF9CFD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5FF1A69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0.5</w:t>
            </w:r>
          </w:p>
        </w:tc>
        <w:tc>
          <w:tcPr>
            <w:tcW w:w="807" w:type="pct"/>
            <w:tcBorders>
              <w:tl2br w:val="nil"/>
              <w:tr2bl w:val="nil"/>
            </w:tcBorders>
            <w:vAlign w:val="center"/>
          </w:tcPr>
          <w:p w14:paraId="2963CED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1F0690F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55E6E31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585456A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A328B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2052373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氯乙烯</w:t>
            </w:r>
          </w:p>
        </w:tc>
        <w:tc>
          <w:tcPr>
            <w:tcW w:w="602" w:type="pct"/>
            <w:tcBorders>
              <w:tl2br w:val="nil"/>
              <w:tr2bl w:val="nil"/>
            </w:tcBorders>
            <w:vAlign w:val="center"/>
          </w:tcPr>
          <w:p w14:paraId="1BCF64E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253EEC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0.43</w:t>
            </w:r>
          </w:p>
        </w:tc>
        <w:tc>
          <w:tcPr>
            <w:tcW w:w="807" w:type="pct"/>
            <w:tcBorders>
              <w:tl2br w:val="nil"/>
              <w:tr2bl w:val="nil"/>
            </w:tcBorders>
            <w:vAlign w:val="center"/>
          </w:tcPr>
          <w:p w14:paraId="3798677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08F8F72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5B1DC8F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＜1.0×10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10CD245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46920B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7A157EE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w:t>
            </w:r>
          </w:p>
        </w:tc>
        <w:tc>
          <w:tcPr>
            <w:tcW w:w="602" w:type="pct"/>
            <w:tcBorders>
              <w:tl2br w:val="nil"/>
              <w:tr2bl w:val="nil"/>
            </w:tcBorders>
            <w:vAlign w:val="center"/>
          </w:tcPr>
          <w:p w14:paraId="5E52117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2905784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807" w:type="pct"/>
            <w:tcBorders>
              <w:tl2br w:val="nil"/>
              <w:tr2bl w:val="nil"/>
            </w:tcBorders>
            <w:vAlign w:val="center"/>
          </w:tcPr>
          <w:p w14:paraId="6B6ECAF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＜1.9×10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5CA8A96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62AFBA6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＜1.9×10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3DBB075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321DD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CE05FD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氯苯</w:t>
            </w:r>
          </w:p>
        </w:tc>
        <w:tc>
          <w:tcPr>
            <w:tcW w:w="602" w:type="pct"/>
            <w:tcBorders>
              <w:tl2br w:val="nil"/>
              <w:tr2bl w:val="nil"/>
            </w:tcBorders>
            <w:vAlign w:val="center"/>
          </w:tcPr>
          <w:p w14:paraId="52B2D0F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196E97F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270</w:t>
            </w:r>
          </w:p>
        </w:tc>
        <w:tc>
          <w:tcPr>
            <w:tcW w:w="807" w:type="pct"/>
            <w:tcBorders>
              <w:tl2br w:val="nil"/>
              <w:tr2bl w:val="nil"/>
            </w:tcBorders>
            <w:vAlign w:val="center"/>
          </w:tcPr>
          <w:p w14:paraId="50FF75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5FA02B8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754681B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510EA82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5C97E5C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58F049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1,2-二氯苯</w:t>
            </w:r>
          </w:p>
        </w:tc>
        <w:tc>
          <w:tcPr>
            <w:tcW w:w="602" w:type="pct"/>
            <w:tcBorders>
              <w:tl2br w:val="nil"/>
              <w:tr2bl w:val="nil"/>
            </w:tcBorders>
            <w:vAlign w:val="center"/>
          </w:tcPr>
          <w:p w14:paraId="5C3A275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1D0B27F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560</w:t>
            </w:r>
          </w:p>
        </w:tc>
        <w:tc>
          <w:tcPr>
            <w:tcW w:w="807" w:type="pct"/>
            <w:tcBorders>
              <w:tl2br w:val="nil"/>
              <w:tr2bl w:val="nil"/>
            </w:tcBorders>
            <w:vAlign w:val="center"/>
          </w:tcPr>
          <w:p w14:paraId="5D217CC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42CB4C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583D166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7DE816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1A2C33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10478AB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1,4-二氯苯</w:t>
            </w:r>
          </w:p>
        </w:tc>
        <w:tc>
          <w:tcPr>
            <w:tcW w:w="602" w:type="pct"/>
            <w:tcBorders>
              <w:tl2br w:val="nil"/>
              <w:tr2bl w:val="nil"/>
            </w:tcBorders>
            <w:vAlign w:val="center"/>
          </w:tcPr>
          <w:p w14:paraId="7C63EB5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766E605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w:t>
            </w:r>
          </w:p>
        </w:tc>
        <w:tc>
          <w:tcPr>
            <w:tcW w:w="807" w:type="pct"/>
            <w:tcBorders>
              <w:tl2br w:val="nil"/>
              <w:tr2bl w:val="nil"/>
            </w:tcBorders>
            <w:vAlign w:val="center"/>
          </w:tcPr>
          <w:p w14:paraId="19B6B40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4D15122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55134E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＜1.5×10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0CC7168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60B877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56C202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乙苯</w:t>
            </w:r>
          </w:p>
        </w:tc>
        <w:tc>
          <w:tcPr>
            <w:tcW w:w="602" w:type="pct"/>
            <w:tcBorders>
              <w:tl2br w:val="nil"/>
              <w:tr2bl w:val="nil"/>
            </w:tcBorders>
            <w:vAlign w:val="center"/>
          </w:tcPr>
          <w:p w14:paraId="6D20D2B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5394B2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28</w:t>
            </w:r>
          </w:p>
        </w:tc>
        <w:tc>
          <w:tcPr>
            <w:tcW w:w="807" w:type="pct"/>
            <w:tcBorders>
              <w:tl2br w:val="nil"/>
              <w:tr2bl w:val="nil"/>
            </w:tcBorders>
            <w:vAlign w:val="center"/>
          </w:tcPr>
          <w:p w14:paraId="4FABFB6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17E05C3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6BF9F35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1E1C423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FE263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821ECB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苯乙烯</w:t>
            </w:r>
          </w:p>
        </w:tc>
        <w:tc>
          <w:tcPr>
            <w:tcW w:w="602" w:type="pct"/>
            <w:tcBorders>
              <w:tl2br w:val="nil"/>
              <w:tr2bl w:val="nil"/>
            </w:tcBorders>
            <w:vAlign w:val="center"/>
          </w:tcPr>
          <w:p w14:paraId="59FC4B8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59EC2E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1290</w:t>
            </w:r>
          </w:p>
        </w:tc>
        <w:tc>
          <w:tcPr>
            <w:tcW w:w="807" w:type="pct"/>
            <w:tcBorders>
              <w:tl2br w:val="nil"/>
              <w:tr2bl w:val="nil"/>
            </w:tcBorders>
            <w:vAlign w:val="center"/>
          </w:tcPr>
          <w:p w14:paraId="3B68707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2EA873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0EB8698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＜1.1×10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7BD027D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49AD1A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B49302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甲苯</w:t>
            </w:r>
          </w:p>
        </w:tc>
        <w:tc>
          <w:tcPr>
            <w:tcW w:w="602" w:type="pct"/>
            <w:tcBorders>
              <w:tl2br w:val="nil"/>
              <w:tr2bl w:val="nil"/>
            </w:tcBorders>
            <w:vAlign w:val="center"/>
          </w:tcPr>
          <w:p w14:paraId="1E630D8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557BA78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1200</w:t>
            </w:r>
          </w:p>
        </w:tc>
        <w:tc>
          <w:tcPr>
            <w:tcW w:w="807" w:type="pct"/>
            <w:tcBorders>
              <w:tl2br w:val="nil"/>
              <w:tr2bl w:val="nil"/>
            </w:tcBorders>
            <w:vAlign w:val="center"/>
          </w:tcPr>
          <w:p w14:paraId="5BCBD5D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74EA308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C0B444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＜1.3×10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45D86D4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143042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0FEA8F5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间二甲苯+对二甲苯</w:t>
            </w:r>
          </w:p>
        </w:tc>
        <w:tc>
          <w:tcPr>
            <w:tcW w:w="602" w:type="pct"/>
            <w:tcBorders>
              <w:tl2br w:val="nil"/>
              <w:tr2bl w:val="nil"/>
            </w:tcBorders>
            <w:vAlign w:val="center"/>
          </w:tcPr>
          <w:p w14:paraId="381F5A4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D53D8C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570</w:t>
            </w:r>
          </w:p>
        </w:tc>
        <w:tc>
          <w:tcPr>
            <w:tcW w:w="807" w:type="pct"/>
            <w:tcBorders>
              <w:tl2br w:val="nil"/>
              <w:tr2bl w:val="nil"/>
            </w:tcBorders>
            <w:vAlign w:val="center"/>
          </w:tcPr>
          <w:p w14:paraId="1B996B8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4EF1BC5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3BB97AD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678F47C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3C000B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FCAD93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邻二甲苯</w:t>
            </w:r>
          </w:p>
        </w:tc>
        <w:tc>
          <w:tcPr>
            <w:tcW w:w="602" w:type="pct"/>
            <w:tcBorders>
              <w:tl2br w:val="nil"/>
              <w:tr2bl w:val="nil"/>
            </w:tcBorders>
            <w:vAlign w:val="center"/>
          </w:tcPr>
          <w:p w14:paraId="65CADBD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9F58B3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640</w:t>
            </w:r>
          </w:p>
        </w:tc>
        <w:tc>
          <w:tcPr>
            <w:tcW w:w="807" w:type="pct"/>
            <w:tcBorders>
              <w:tl2br w:val="nil"/>
              <w:tr2bl w:val="nil"/>
            </w:tcBorders>
            <w:vAlign w:val="center"/>
          </w:tcPr>
          <w:p w14:paraId="404BFBD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527" w:type="pct"/>
            <w:tcBorders>
              <w:tl2br w:val="nil"/>
              <w:tr2bl w:val="nil"/>
            </w:tcBorders>
            <w:vAlign w:val="center"/>
          </w:tcPr>
          <w:p w14:paraId="4B31A85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4B64613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＜1.2×10</w:t>
            </w:r>
            <w:r>
              <w:rPr>
                <w:rFonts w:hint="default" w:ascii="Times New Roman" w:hAnsi="Times New Roman" w:cs="Times New Roman"/>
                <w:color w:val="000000"/>
                <w:sz w:val="21"/>
                <w:szCs w:val="21"/>
                <w:highlight w:val="none"/>
                <w:vertAlign w:val="superscript"/>
              </w:rPr>
              <w:t>-3</w:t>
            </w:r>
          </w:p>
        </w:tc>
        <w:tc>
          <w:tcPr>
            <w:tcW w:w="683" w:type="pct"/>
            <w:tcBorders>
              <w:tl2br w:val="nil"/>
              <w:tr2bl w:val="nil"/>
            </w:tcBorders>
            <w:vAlign w:val="center"/>
          </w:tcPr>
          <w:p w14:paraId="7277AEA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64AC41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7214A74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硝基苯</w:t>
            </w:r>
          </w:p>
        </w:tc>
        <w:tc>
          <w:tcPr>
            <w:tcW w:w="602" w:type="pct"/>
            <w:tcBorders>
              <w:tl2br w:val="nil"/>
              <w:tr2bl w:val="nil"/>
            </w:tcBorders>
            <w:vAlign w:val="center"/>
          </w:tcPr>
          <w:p w14:paraId="3E54DDF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25646F1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76</w:t>
            </w:r>
          </w:p>
        </w:tc>
        <w:tc>
          <w:tcPr>
            <w:tcW w:w="807" w:type="pct"/>
            <w:tcBorders>
              <w:tl2br w:val="nil"/>
              <w:tr2bl w:val="nil"/>
            </w:tcBorders>
            <w:vAlign w:val="center"/>
          </w:tcPr>
          <w:p w14:paraId="6CA5BF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527" w:type="pct"/>
            <w:tcBorders>
              <w:tl2br w:val="nil"/>
              <w:tr2bl w:val="nil"/>
            </w:tcBorders>
            <w:vAlign w:val="center"/>
          </w:tcPr>
          <w:p w14:paraId="49C38AA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09F3F2A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＜0.09</w:t>
            </w:r>
          </w:p>
        </w:tc>
        <w:tc>
          <w:tcPr>
            <w:tcW w:w="683" w:type="pct"/>
            <w:tcBorders>
              <w:tl2br w:val="nil"/>
              <w:tr2bl w:val="nil"/>
            </w:tcBorders>
            <w:vAlign w:val="center"/>
          </w:tcPr>
          <w:p w14:paraId="6118B32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DA9DB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7AE760D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苯胺</w:t>
            </w:r>
          </w:p>
        </w:tc>
        <w:tc>
          <w:tcPr>
            <w:tcW w:w="602" w:type="pct"/>
            <w:tcBorders>
              <w:tl2br w:val="nil"/>
              <w:tr2bl w:val="nil"/>
            </w:tcBorders>
            <w:vAlign w:val="center"/>
          </w:tcPr>
          <w:p w14:paraId="7AF357A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0D2F611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260</w:t>
            </w:r>
          </w:p>
        </w:tc>
        <w:tc>
          <w:tcPr>
            <w:tcW w:w="807" w:type="pct"/>
            <w:tcBorders>
              <w:tl2br w:val="nil"/>
              <w:tr2bl w:val="nil"/>
            </w:tcBorders>
            <w:vAlign w:val="center"/>
          </w:tcPr>
          <w:p w14:paraId="551DCD6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527" w:type="pct"/>
            <w:tcBorders>
              <w:tl2br w:val="nil"/>
              <w:tr2bl w:val="nil"/>
            </w:tcBorders>
            <w:vAlign w:val="center"/>
          </w:tcPr>
          <w:p w14:paraId="05C5F4C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4D4A9E4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＜0.09</w:t>
            </w:r>
          </w:p>
        </w:tc>
        <w:tc>
          <w:tcPr>
            <w:tcW w:w="683" w:type="pct"/>
            <w:tcBorders>
              <w:tl2br w:val="nil"/>
              <w:tr2bl w:val="nil"/>
            </w:tcBorders>
            <w:vAlign w:val="center"/>
          </w:tcPr>
          <w:p w14:paraId="55F5CD1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51F8C38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2C39752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2-氯酚</w:t>
            </w:r>
          </w:p>
        </w:tc>
        <w:tc>
          <w:tcPr>
            <w:tcW w:w="602" w:type="pct"/>
            <w:tcBorders>
              <w:tl2br w:val="nil"/>
              <w:tr2bl w:val="nil"/>
            </w:tcBorders>
            <w:vAlign w:val="center"/>
          </w:tcPr>
          <w:p w14:paraId="44C8C19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7180C48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2256</w:t>
            </w:r>
          </w:p>
        </w:tc>
        <w:tc>
          <w:tcPr>
            <w:tcW w:w="807" w:type="pct"/>
            <w:tcBorders>
              <w:tl2br w:val="nil"/>
              <w:tr2bl w:val="nil"/>
            </w:tcBorders>
            <w:vAlign w:val="center"/>
          </w:tcPr>
          <w:p w14:paraId="74C186B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＜0.06</w:t>
            </w:r>
          </w:p>
        </w:tc>
        <w:tc>
          <w:tcPr>
            <w:tcW w:w="527" w:type="pct"/>
            <w:tcBorders>
              <w:tl2br w:val="nil"/>
              <w:tr2bl w:val="nil"/>
            </w:tcBorders>
            <w:vAlign w:val="center"/>
          </w:tcPr>
          <w:p w14:paraId="5F11F44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0EC2E4F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＜0.06</w:t>
            </w:r>
          </w:p>
        </w:tc>
        <w:tc>
          <w:tcPr>
            <w:tcW w:w="683" w:type="pct"/>
            <w:tcBorders>
              <w:tl2br w:val="nil"/>
              <w:tr2bl w:val="nil"/>
            </w:tcBorders>
            <w:vAlign w:val="center"/>
          </w:tcPr>
          <w:p w14:paraId="303FDC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35244AE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1AD0CF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苯并[a]蒽</w:t>
            </w:r>
          </w:p>
        </w:tc>
        <w:tc>
          <w:tcPr>
            <w:tcW w:w="602" w:type="pct"/>
            <w:tcBorders>
              <w:tl2br w:val="nil"/>
              <w:tr2bl w:val="nil"/>
            </w:tcBorders>
            <w:vAlign w:val="center"/>
          </w:tcPr>
          <w:p w14:paraId="7B57DBA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10766D6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807" w:type="pct"/>
            <w:tcBorders>
              <w:tl2br w:val="nil"/>
              <w:tr2bl w:val="nil"/>
            </w:tcBorders>
            <w:vAlign w:val="center"/>
          </w:tcPr>
          <w:p w14:paraId="46D4F59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527" w:type="pct"/>
            <w:tcBorders>
              <w:tl2br w:val="nil"/>
              <w:tr2bl w:val="nil"/>
            </w:tcBorders>
            <w:vAlign w:val="center"/>
          </w:tcPr>
          <w:p w14:paraId="4B48708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7D1A8FB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＜0.1</w:t>
            </w:r>
          </w:p>
        </w:tc>
        <w:tc>
          <w:tcPr>
            <w:tcW w:w="683" w:type="pct"/>
            <w:tcBorders>
              <w:tl2br w:val="nil"/>
              <w:tr2bl w:val="nil"/>
            </w:tcBorders>
            <w:vAlign w:val="center"/>
          </w:tcPr>
          <w:p w14:paraId="0046EFD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64CA50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F24DB1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苯并[a]芘</w:t>
            </w:r>
          </w:p>
        </w:tc>
        <w:tc>
          <w:tcPr>
            <w:tcW w:w="602" w:type="pct"/>
            <w:tcBorders>
              <w:tl2br w:val="nil"/>
              <w:tr2bl w:val="nil"/>
            </w:tcBorders>
            <w:vAlign w:val="center"/>
          </w:tcPr>
          <w:p w14:paraId="2B68DD5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31465D0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807" w:type="pct"/>
            <w:tcBorders>
              <w:tl2br w:val="nil"/>
              <w:tr2bl w:val="nil"/>
            </w:tcBorders>
            <w:vAlign w:val="center"/>
          </w:tcPr>
          <w:p w14:paraId="0FE2133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527" w:type="pct"/>
            <w:tcBorders>
              <w:tl2br w:val="nil"/>
              <w:tr2bl w:val="nil"/>
            </w:tcBorders>
            <w:vAlign w:val="center"/>
          </w:tcPr>
          <w:p w14:paraId="49FADBA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32CB643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＜0.1</w:t>
            </w:r>
          </w:p>
        </w:tc>
        <w:tc>
          <w:tcPr>
            <w:tcW w:w="683" w:type="pct"/>
            <w:tcBorders>
              <w:tl2br w:val="nil"/>
              <w:tr2bl w:val="nil"/>
            </w:tcBorders>
            <w:vAlign w:val="center"/>
          </w:tcPr>
          <w:p w14:paraId="76887F14">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5AD0A8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1F19D69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苯并[b]荧蒽</w:t>
            </w:r>
          </w:p>
        </w:tc>
        <w:tc>
          <w:tcPr>
            <w:tcW w:w="602" w:type="pct"/>
            <w:tcBorders>
              <w:tl2br w:val="nil"/>
              <w:tr2bl w:val="nil"/>
            </w:tcBorders>
            <w:vAlign w:val="center"/>
          </w:tcPr>
          <w:p w14:paraId="4A27F8F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20162DC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807" w:type="pct"/>
            <w:tcBorders>
              <w:tl2br w:val="nil"/>
              <w:tr2bl w:val="nil"/>
            </w:tcBorders>
            <w:vAlign w:val="center"/>
          </w:tcPr>
          <w:p w14:paraId="41B1F1B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＜0.2</w:t>
            </w:r>
          </w:p>
        </w:tc>
        <w:tc>
          <w:tcPr>
            <w:tcW w:w="527" w:type="pct"/>
            <w:tcBorders>
              <w:tl2br w:val="nil"/>
              <w:tr2bl w:val="nil"/>
            </w:tcBorders>
            <w:vAlign w:val="center"/>
          </w:tcPr>
          <w:p w14:paraId="4D82BBE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09F7986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＜0.2</w:t>
            </w:r>
          </w:p>
        </w:tc>
        <w:tc>
          <w:tcPr>
            <w:tcW w:w="683" w:type="pct"/>
            <w:tcBorders>
              <w:tl2br w:val="nil"/>
              <w:tr2bl w:val="nil"/>
            </w:tcBorders>
            <w:vAlign w:val="center"/>
          </w:tcPr>
          <w:p w14:paraId="3E497F9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4C4C63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58501DD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苯并[k]荧蒽</w:t>
            </w:r>
          </w:p>
        </w:tc>
        <w:tc>
          <w:tcPr>
            <w:tcW w:w="602" w:type="pct"/>
            <w:tcBorders>
              <w:tl2br w:val="nil"/>
              <w:tr2bl w:val="nil"/>
            </w:tcBorders>
            <w:vAlign w:val="center"/>
          </w:tcPr>
          <w:p w14:paraId="52FDA65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17528A7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151</w:t>
            </w:r>
          </w:p>
        </w:tc>
        <w:tc>
          <w:tcPr>
            <w:tcW w:w="807" w:type="pct"/>
            <w:tcBorders>
              <w:tl2br w:val="nil"/>
              <w:tr2bl w:val="nil"/>
            </w:tcBorders>
            <w:vAlign w:val="center"/>
          </w:tcPr>
          <w:p w14:paraId="3A33743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527" w:type="pct"/>
            <w:tcBorders>
              <w:tl2br w:val="nil"/>
              <w:tr2bl w:val="nil"/>
            </w:tcBorders>
            <w:vAlign w:val="center"/>
          </w:tcPr>
          <w:p w14:paraId="2DF1A0A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38E5656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＜0.1</w:t>
            </w:r>
          </w:p>
        </w:tc>
        <w:tc>
          <w:tcPr>
            <w:tcW w:w="683" w:type="pct"/>
            <w:tcBorders>
              <w:tl2br w:val="nil"/>
              <w:tr2bl w:val="nil"/>
            </w:tcBorders>
            <w:vAlign w:val="center"/>
          </w:tcPr>
          <w:p w14:paraId="5E122BC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328495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19FD325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䓛</w:t>
            </w:r>
          </w:p>
        </w:tc>
        <w:tc>
          <w:tcPr>
            <w:tcW w:w="602" w:type="pct"/>
            <w:tcBorders>
              <w:tl2br w:val="nil"/>
              <w:tr2bl w:val="nil"/>
            </w:tcBorders>
            <w:vAlign w:val="center"/>
          </w:tcPr>
          <w:p w14:paraId="52433A0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785158D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1293</w:t>
            </w:r>
          </w:p>
        </w:tc>
        <w:tc>
          <w:tcPr>
            <w:tcW w:w="807" w:type="pct"/>
            <w:tcBorders>
              <w:tl2br w:val="nil"/>
              <w:tr2bl w:val="nil"/>
            </w:tcBorders>
            <w:vAlign w:val="center"/>
          </w:tcPr>
          <w:p w14:paraId="6158D5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527" w:type="pct"/>
            <w:tcBorders>
              <w:tl2br w:val="nil"/>
              <w:tr2bl w:val="nil"/>
            </w:tcBorders>
            <w:vAlign w:val="center"/>
          </w:tcPr>
          <w:p w14:paraId="1FD6A4E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79305A2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＜0.1</w:t>
            </w:r>
          </w:p>
        </w:tc>
        <w:tc>
          <w:tcPr>
            <w:tcW w:w="683" w:type="pct"/>
            <w:tcBorders>
              <w:tl2br w:val="nil"/>
              <w:tr2bl w:val="nil"/>
            </w:tcBorders>
            <w:vAlign w:val="center"/>
          </w:tcPr>
          <w:p w14:paraId="11859B7D">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606125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16E9831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二苯并[a,h]蒽</w:t>
            </w:r>
          </w:p>
        </w:tc>
        <w:tc>
          <w:tcPr>
            <w:tcW w:w="602" w:type="pct"/>
            <w:tcBorders>
              <w:tl2br w:val="nil"/>
              <w:tr2bl w:val="nil"/>
            </w:tcBorders>
            <w:vAlign w:val="center"/>
          </w:tcPr>
          <w:p w14:paraId="52D5B9B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42C9FAA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807" w:type="pct"/>
            <w:tcBorders>
              <w:tl2br w:val="nil"/>
              <w:tr2bl w:val="nil"/>
            </w:tcBorders>
            <w:vAlign w:val="center"/>
          </w:tcPr>
          <w:p w14:paraId="1FCE216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527" w:type="pct"/>
            <w:tcBorders>
              <w:tl2br w:val="nil"/>
              <w:tr2bl w:val="nil"/>
            </w:tcBorders>
            <w:vAlign w:val="center"/>
          </w:tcPr>
          <w:p w14:paraId="20482BD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854E41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＜0.1</w:t>
            </w:r>
          </w:p>
        </w:tc>
        <w:tc>
          <w:tcPr>
            <w:tcW w:w="683" w:type="pct"/>
            <w:tcBorders>
              <w:tl2br w:val="nil"/>
              <w:tr2bl w:val="nil"/>
            </w:tcBorders>
            <w:vAlign w:val="center"/>
          </w:tcPr>
          <w:p w14:paraId="2887DB3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700994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47A09F90">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茚并[1,2,3-cd]芘</w:t>
            </w:r>
          </w:p>
        </w:tc>
        <w:tc>
          <w:tcPr>
            <w:tcW w:w="602" w:type="pct"/>
            <w:tcBorders>
              <w:tl2br w:val="nil"/>
              <w:tr2bl w:val="nil"/>
            </w:tcBorders>
            <w:vAlign w:val="center"/>
          </w:tcPr>
          <w:p w14:paraId="3BFBC41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1802FB1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807" w:type="pct"/>
            <w:tcBorders>
              <w:tl2br w:val="nil"/>
              <w:tr2bl w:val="nil"/>
            </w:tcBorders>
            <w:vAlign w:val="center"/>
          </w:tcPr>
          <w:p w14:paraId="268E016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＜0.1</w:t>
            </w:r>
          </w:p>
        </w:tc>
        <w:tc>
          <w:tcPr>
            <w:tcW w:w="527" w:type="pct"/>
            <w:tcBorders>
              <w:tl2br w:val="nil"/>
              <w:tr2bl w:val="nil"/>
            </w:tcBorders>
            <w:vAlign w:val="center"/>
          </w:tcPr>
          <w:p w14:paraId="705F3042">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18E2F13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＜0.1</w:t>
            </w:r>
          </w:p>
        </w:tc>
        <w:tc>
          <w:tcPr>
            <w:tcW w:w="683" w:type="pct"/>
            <w:tcBorders>
              <w:tl2br w:val="nil"/>
              <w:tr2bl w:val="nil"/>
            </w:tcBorders>
            <w:vAlign w:val="center"/>
          </w:tcPr>
          <w:p w14:paraId="590290E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210914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6B4B1583">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萘</w:t>
            </w:r>
          </w:p>
        </w:tc>
        <w:tc>
          <w:tcPr>
            <w:tcW w:w="602" w:type="pct"/>
            <w:tcBorders>
              <w:tl2br w:val="nil"/>
              <w:tr2bl w:val="nil"/>
            </w:tcBorders>
            <w:vAlign w:val="center"/>
          </w:tcPr>
          <w:p w14:paraId="2FAFC511">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mg/kg</w:t>
            </w:r>
          </w:p>
        </w:tc>
        <w:tc>
          <w:tcPr>
            <w:tcW w:w="547" w:type="pct"/>
            <w:tcBorders>
              <w:tl2br w:val="nil"/>
              <w:tr2bl w:val="nil"/>
            </w:tcBorders>
            <w:vAlign w:val="center"/>
          </w:tcPr>
          <w:p w14:paraId="53E54E0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70</w:t>
            </w:r>
          </w:p>
        </w:tc>
        <w:tc>
          <w:tcPr>
            <w:tcW w:w="807" w:type="pct"/>
            <w:tcBorders>
              <w:tl2br w:val="nil"/>
              <w:tr2bl w:val="nil"/>
            </w:tcBorders>
            <w:vAlign w:val="center"/>
          </w:tcPr>
          <w:p w14:paraId="0B6EEDAA">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＜0.09</w:t>
            </w:r>
          </w:p>
        </w:tc>
        <w:tc>
          <w:tcPr>
            <w:tcW w:w="527" w:type="pct"/>
            <w:tcBorders>
              <w:tl2br w:val="nil"/>
              <w:tr2bl w:val="nil"/>
            </w:tcBorders>
            <w:vAlign w:val="center"/>
          </w:tcPr>
          <w:p w14:paraId="3B0500E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vAlign w:val="center"/>
          </w:tcPr>
          <w:p w14:paraId="6D88138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＜0.09</w:t>
            </w:r>
          </w:p>
        </w:tc>
        <w:tc>
          <w:tcPr>
            <w:tcW w:w="683" w:type="pct"/>
            <w:tcBorders>
              <w:tl2br w:val="nil"/>
              <w:tr2bl w:val="nil"/>
            </w:tcBorders>
            <w:vAlign w:val="center"/>
          </w:tcPr>
          <w:p w14:paraId="2DA5856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w:t>
            </w:r>
          </w:p>
        </w:tc>
      </w:tr>
      <w:tr w14:paraId="063995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shd w:val="clear" w:color="auto" w:fill="auto"/>
            <w:vAlign w:val="center"/>
          </w:tcPr>
          <w:p w14:paraId="2A3AC36C">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钒</w:t>
            </w:r>
          </w:p>
        </w:tc>
        <w:tc>
          <w:tcPr>
            <w:tcW w:w="602" w:type="pct"/>
            <w:tcBorders>
              <w:tl2br w:val="nil"/>
              <w:tr2bl w:val="nil"/>
            </w:tcBorders>
            <w:shd w:val="clear" w:color="auto" w:fill="auto"/>
            <w:vAlign w:val="center"/>
          </w:tcPr>
          <w:p w14:paraId="342C0679">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g/kg</w:t>
            </w:r>
          </w:p>
        </w:tc>
        <w:tc>
          <w:tcPr>
            <w:tcW w:w="547" w:type="pct"/>
            <w:tcBorders>
              <w:tl2br w:val="nil"/>
              <w:tr2bl w:val="nil"/>
            </w:tcBorders>
            <w:shd w:val="clear" w:color="auto" w:fill="auto"/>
            <w:vAlign w:val="center"/>
          </w:tcPr>
          <w:p w14:paraId="0DD4986E">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lang w:val="en-US" w:eastAsia="zh-CN" w:bidi="ar-SA"/>
              </w:rPr>
              <w:t>752</w:t>
            </w:r>
          </w:p>
        </w:tc>
        <w:tc>
          <w:tcPr>
            <w:tcW w:w="807" w:type="pct"/>
            <w:tcBorders>
              <w:tl2br w:val="nil"/>
              <w:tr2bl w:val="nil"/>
            </w:tcBorders>
            <w:shd w:val="clear" w:color="auto" w:fill="auto"/>
            <w:vAlign w:val="center"/>
          </w:tcPr>
          <w:p w14:paraId="5EDF4E0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14.7</w:t>
            </w:r>
          </w:p>
        </w:tc>
        <w:tc>
          <w:tcPr>
            <w:tcW w:w="899" w:type="dxa"/>
            <w:tcBorders>
              <w:tl2br w:val="nil"/>
              <w:tr2bl w:val="nil"/>
            </w:tcBorders>
            <w:shd w:val="clear" w:color="auto" w:fill="auto"/>
            <w:vAlign w:val="center"/>
          </w:tcPr>
          <w:p w14:paraId="669B35AD">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734" w:type="pct"/>
            <w:gridSpan w:val="2"/>
            <w:tcBorders>
              <w:tl2br w:val="nil"/>
              <w:tr2bl w:val="nil"/>
            </w:tcBorders>
            <w:shd w:val="clear" w:color="auto" w:fill="auto"/>
            <w:vAlign w:val="center"/>
          </w:tcPr>
          <w:p w14:paraId="1C90827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14.2</w:t>
            </w:r>
          </w:p>
        </w:tc>
        <w:tc>
          <w:tcPr>
            <w:tcW w:w="1167" w:type="dxa"/>
            <w:tcBorders>
              <w:tl2br w:val="nil"/>
              <w:tr2bl w:val="nil"/>
            </w:tcBorders>
            <w:vAlign w:val="center"/>
          </w:tcPr>
          <w:p w14:paraId="02AC0DCD">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0.019</w:t>
            </w:r>
          </w:p>
        </w:tc>
      </w:tr>
      <w:tr w14:paraId="5DAB29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shd w:val="clear" w:color="auto" w:fill="auto"/>
            <w:vAlign w:val="center"/>
          </w:tcPr>
          <w:p w14:paraId="0A148F61">
            <w:pPr>
              <w:pageBreakBefore w:val="0"/>
              <w:kinsoku/>
              <w:wordWrap/>
              <w:overflowPunct/>
              <w:autoSpaceDE/>
              <w:autoSpaceDN/>
              <w:bidi w:val="0"/>
              <w:spacing w:line="240" w:lineRule="auto"/>
              <w:ind w:left="0" w:left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rPr>
              <w:t>石油烃（C</w:t>
            </w:r>
            <w:r>
              <w:rPr>
                <w:rFonts w:hint="default" w:ascii="Times New Roman" w:hAnsi="Times New Roman" w:eastAsia="宋体" w:cs="Times New Roman"/>
                <w:b w:val="0"/>
                <w:bCs w:val="0"/>
                <w:sz w:val="21"/>
                <w:szCs w:val="21"/>
                <w:highlight w:val="none"/>
                <w:vertAlign w:val="subscript"/>
              </w:rPr>
              <w:t>10</w:t>
            </w:r>
            <w:r>
              <w:rPr>
                <w:rFonts w:hint="default" w:ascii="Times New Roman" w:hAnsi="Times New Roman" w:eastAsia="宋体" w:cs="Times New Roman"/>
                <w:b w:val="0"/>
                <w:bCs w:val="0"/>
                <w:sz w:val="21"/>
                <w:szCs w:val="21"/>
                <w:highlight w:val="none"/>
                <w:vertAlign w:val="baseline"/>
                <w:lang w:val="en-US" w:eastAsia="zh-CN"/>
              </w:rPr>
              <w:t>-</w:t>
            </w:r>
            <w:r>
              <w:rPr>
                <w:rFonts w:hint="default" w:ascii="Times New Roman" w:hAnsi="Times New Roman" w:eastAsia="宋体" w:cs="Times New Roman"/>
                <w:b w:val="0"/>
                <w:bCs w:val="0"/>
                <w:sz w:val="21"/>
                <w:szCs w:val="21"/>
                <w:highlight w:val="none"/>
              </w:rPr>
              <w:t>C</w:t>
            </w:r>
            <w:r>
              <w:rPr>
                <w:rFonts w:hint="default" w:ascii="Times New Roman" w:hAnsi="Times New Roman" w:eastAsia="宋体" w:cs="Times New Roman"/>
                <w:b w:val="0"/>
                <w:bCs w:val="0"/>
                <w:sz w:val="21"/>
                <w:szCs w:val="21"/>
                <w:highlight w:val="none"/>
                <w:vertAlign w:val="subscript"/>
              </w:rPr>
              <w:t>40</w:t>
            </w:r>
            <w:r>
              <w:rPr>
                <w:rFonts w:hint="default" w:ascii="Times New Roman" w:hAnsi="Times New Roman" w:eastAsia="宋体" w:cs="Times New Roman"/>
                <w:b w:val="0"/>
                <w:bCs w:val="0"/>
                <w:sz w:val="21"/>
                <w:szCs w:val="21"/>
                <w:highlight w:val="none"/>
              </w:rPr>
              <w:t>）</w:t>
            </w:r>
          </w:p>
        </w:tc>
        <w:tc>
          <w:tcPr>
            <w:tcW w:w="602" w:type="pct"/>
            <w:tcBorders>
              <w:tl2br w:val="nil"/>
              <w:tr2bl w:val="nil"/>
            </w:tcBorders>
            <w:shd w:val="clear" w:color="auto" w:fill="auto"/>
            <w:vAlign w:val="center"/>
          </w:tcPr>
          <w:p w14:paraId="7EB83CC2">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mg/kg</w:t>
            </w:r>
          </w:p>
        </w:tc>
        <w:tc>
          <w:tcPr>
            <w:tcW w:w="547" w:type="pct"/>
            <w:tcBorders>
              <w:tl2br w:val="nil"/>
              <w:tr2bl w:val="nil"/>
            </w:tcBorders>
            <w:shd w:val="clear" w:color="auto" w:fill="auto"/>
            <w:vAlign w:val="center"/>
          </w:tcPr>
          <w:p w14:paraId="2010C0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4500</w:t>
            </w:r>
          </w:p>
        </w:tc>
        <w:tc>
          <w:tcPr>
            <w:tcW w:w="807" w:type="pct"/>
            <w:tcBorders>
              <w:tl2br w:val="nil"/>
              <w:tr2bl w:val="nil"/>
            </w:tcBorders>
            <w:shd w:val="clear" w:color="auto" w:fill="auto"/>
            <w:vAlign w:val="center"/>
          </w:tcPr>
          <w:p w14:paraId="52E97BE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17</w:t>
            </w:r>
          </w:p>
        </w:tc>
        <w:tc>
          <w:tcPr>
            <w:tcW w:w="899" w:type="dxa"/>
            <w:tcBorders>
              <w:tl2br w:val="nil"/>
              <w:tr2bl w:val="nil"/>
            </w:tcBorders>
            <w:shd w:val="clear" w:color="auto" w:fill="auto"/>
            <w:vAlign w:val="center"/>
          </w:tcPr>
          <w:p w14:paraId="687CC5C8">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0.004</w:t>
            </w:r>
          </w:p>
        </w:tc>
        <w:tc>
          <w:tcPr>
            <w:tcW w:w="734" w:type="pct"/>
            <w:gridSpan w:val="2"/>
            <w:tcBorders>
              <w:tl2br w:val="nil"/>
              <w:tr2bl w:val="nil"/>
            </w:tcBorders>
            <w:shd w:val="clear" w:color="auto" w:fill="auto"/>
            <w:vAlign w:val="center"/>
          </w:tcPr>
          <w:p w14:paraId="3A79E24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15</w:t>
            </w:r>
          </w:p>
        </w:tc>
        <w:tc>
          <w:tcPr>
            <w:tcW w:w="1167" w:type="dxa"/>
            <w:tcBorders>
              <w:tl2br w:val="nil"/>
              <w:tr2bl w:val="nil"/>
            </w:tcBorders>
            <w:vAlign w:val="center"/>
          </w:tcPr>
          <w:p w14:paraId="11F84997">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0.003</w:t>
            </w:r>
          </w:p>
        </w:tc>
      </w:tr>
      <w:tr w14:paraId="158B66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3FD06724">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氟化物（水溶性）</w:t>
            </w:r>
          </w:p>
        </w:tc>
        <w:tc>
          <w:tcPr>
            <w:tcW w:w="602" w:type="pct"/>
            <w:tcBorders>
              <w:tl2br w:val="nil"/>
              <w:tr2bl w:val="nil"/>
            </w:tcBorders>
            <w:vAlign w:val="center"/>
          </w:tcPr>
          <w:p w14:paraId="67A5A4A4">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rPr>
              <w:t>mg/kg</w:t>
            </w:r>
          </w:p>
        </w:tc>
        <w:tc>
          <w:tcPr>
            <w:tcW w:w="547" w:type="pct"/>
            <w:tcBorders>
              <w:tl2br w:val="nil"/>
              <w:tr2bl w:val="nil"/>
            </w:tcBorders>
            <w:vAlign w:val="center"/>
          </w:tcPr>
          <w:p w14:paraId="5B5B1206">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10000</w:t>
            </w:r>
          </w:p>
        </w:tc>
        <w:tc>
          <w:tcPr>
            <w:tcW w:w="807" w:type="pct"/>
            <w:tcBorders>
              <w:tl2br w:val="nil"/>
              <w:tr2bl w:val="nil"/>
            </w:tcBorders>
            <w:shd w:val="clear" w:color="auto" w:fill="auto"/>
            <w:vAlign w:val="center"/>
          </w:tcPr>
          <w:p w14:paraId="52182BF6">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1.8</w:t>
            </w:r>
          </w:p>
        </w:tc>
        <w:tc>
          <w:tcPr>
            <w:tcW w:w="899" w:type="dxa"/>
            <w:tcBorders>
              <w:tl2br w:val="nil"/>
              <w:tr2bl w:val="nil"/>
            </w:tcBorders>
            <w:vAlign w:val="center"/>
          </w:tcPr>
          <w:p w14:paraId="09E96F44">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c>
          <w:tcPr>
            <w:tcW w:w="734" w:type="pct"/>
            <w:gridSpan w:val="2"/>
            <w:tcBorders>
              <w:tl2br w:val="nil"/>
              <w:tr2bl w:val="nil"/>
            </w:tcBorders>
            <w:shd w:val="clear" w:color="auto" w:fill="auto"/>
            <w:vAlign w:val="center"/>
          </w:tcPr>
          <w:p w14:paraId="06587C3E">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2.0</w:t>
            </w:r>
          </w:p>
        </w:tc>
        <w:tc>
          <w:tcPr>
            <w:tcW w:w="1167" w:type="dxa"/>
            <w:tcBorders>
              <w:tl2br w:val="nil"/>
              <w:tr2bl w:val="nil"/>
            </w:tcBorders>
            <w:vAlign w:val="center"/>
          </w:tcPr>
          <w:p w14:paraId="1E34EDB6">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r>
      <w:tr w14:paraId="5E15F9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shd w:val="clear" w:color="auto" w:fill="auto"/>
            <w:vAlign w:val="center"/>
          </w:tcPr>
          <w:p w14:paraId="22FEF2AD">
            <w:pPr>
              <w:pageBreakBefore w:val="0"/>
              <w:kinsoku/>
              <w:wordWrap/>
              <w:overflowPunct/>
              <w:autoSpaceDE/>
              <w:autoSpaceDN/>
              <w:bidi w:val="0"/>
              <w:spacing w:line="240" w:lineRule="auto"/>
              <w:ind w:left="0" w:left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i w:val="0"/>
                <w:color w:val="auto"/>
                <w:spacing w:val="-5"/>
                <w:kern w:val="0"/>
                <w:sz w:val="21"/>
                <w:szCs w:val="21"/>
                <w:highlight w:val="none"/>
                <w:u w:val="none"/>
                <w:lang w:val="en-US" w:eastAsia="zh-CN" w:bidi="ar"/>
              </w:rPr>
              <w:t>氨氮</w:t>
            </w:r>
          </w:p>
        </w:tc>
        <w:tc>
          <w:tcPr>
            <w:tcW w:w="602" w:type="pct"/>
            <w:tcBorders>
              <w:tl2br w:val="nil"/>
              <w:tr2bl w:val="nil"/>
            </w:tcBorders>
            <w:shd w:val="clear" w:color="auto" w:fill="auto"/>
            <w:vAlign w:val="center"/>
          </w:tcPr>
          <w:p w14:paraId="2673B916">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mg/kg</w:t>
            </w:r>
          </w:p>
        </w:tc>
        <w:tc>
          <w:tcPr>
            <w:tcW w:w="547" w:type="pct"/>
            <w:tcBorders>
              <w:tl2br w:val="nil"/>
              <w:tr2bl w:val="nil"/>
            </w:tcBorders>
            <w:shd w:val="clear" w:color="auto" w:fill="auto"/>
            <w:vAlign w:val="center"/>
          </w:tcPr>
          <w:p w14:paraId="1700D37B">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1200</w:t>
            </w:r>
          </w:p>
        </w:tc>
        <w:tc>
          <w:tcPr>
            <w:tcW w:w="807" w:type="pct"/>
            <w:tcBorders>
              <w:tl2br w:val="nil"/>
              <w:tr2bl w:val="nil"/>
            </w:tcBorders>
            <w:shd w:val="clear" w:color="auto" w:fill="auto"/>
            <w:vAlign w:val="center"/>
          </w:tcPr>
          <w:p w14:paraId="266FDB5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15</w:t>
            </w:r>
          </w:p>
        </w:tc>
        <w:tc>
          <w:tcPr>
            <w:tcW w:w="899" w:type="dxa"/>
            <w:tcBorders>
              <w:tl2br w:val="nil"/>
              <w:tr2bl w:val="nil"/>
            </w:tcBorders>
            <w:shd w:val="clear" w:color="auto" w:fill="auto"/>
            <w:vAlign w:val="center"/>
          </w:tcPr>
          <w:p w14:paraId="66833B6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0.013</w:t>
            </w:r>
          </w:p>
        </w:tc>
        <w:tc>
          <w:tcPr>
            <w:tcW w:w="734" w:type="pct"/>
            <w:gridSpan w:val="2"/>
            <w:tcBorders>
              <w:tl2br w:val="nil"/>
              <w:tr2bl w:val="nil"/>
            </w:tcBorders>
            <w:shd w:val="clear" w:color="auto" w:fill="auto"/>
            <w:vAlign w:val="center"/>
          </w:tcPr>
          <w:p w14:paraId="29FF4D0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14.2</w:t>
            </w:r>
          </w:p>
        </w:tc>
        <w:tc>
          <w:tcPr>
            <w:tcW w:w="1167" w:type="dxa"/>
            <w:tcBorders>
              <w:tl2br w:val="nil"/>
              <w:tr2bl w:val="nil"/>
            </w:tcBorders>
            <w:vAlign w:val="center"/>
          </w:tcPr>
          <w:p w14:paraId="109A92D2">
            <w:pPr>
              <w:keepNext w:val="0"/>
              <w:keepLines w:val="0"/>
              <w:widowControl/>
              <w:suppressLineNumbers w:val="0"/>
              <w:jc w:val="center"/>
              <w:textAlignment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0.012</w:t>
            </w:r>
          </w:p>
        </w:tc>
      </w:tr>
      <w:tr w14:paraId="7F1584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shd w:val="clear" w:color="auto" w:fill="auto"/>
            <w:vAlign w:val="center"/>
          </w:tcPr>
          <w:p w14:paraId="0F7C22D9">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总</w:t>
            </w:r>
            <w:r>
              <w:rPr>
                <w:rFonts w:hint="default" w:ascii="Times New Roman" w:hAnsi="Times New Roman" w:eastAsia="宋体" w:cs="Times New Roman"/>
                <w:b w:val="0"/>
                <w:bCs w:val="0"/>
                <w:sz w:val="21"/>
                <w:szCs w:val="21"/>
                <w:highlight w:val="none"/>
              </w:rPr>
              <w:t>磷</w:t>
            </w:r>
          </w:p>
        </w:tc>
        <w:tc>
          <w:tcPr>
            <w:tcW w:w="602" w:type="pct"/>
            <w:tcBorders>
              <w:tl2br w:val="nil"/>
              <w:tr2bl w:val="nil"/>
            </w:tcBorders>
            <w:shd w:val="clear" w:color="auto" w:fill="auto"/>
            <w:vAlign w:val="center"/>
          </w:tcPr>
          <w:p w14:paraId="52EC1FD6">
            <w:pPr>
              <w:pageBreakBefore w:val="0"/>
              <w:kinsoku/>
              <w:wordWrap/>
              <w:overflowPunct/>
              <w:autoSpaceDE/>
              <w:autoSpaceDN/>
              <w:bidi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g/kg</w:t>
            </w:r>
          </w:p>
        </w:tc>
        <w:tc>
          <w:tcPr>
            <w:tcW w:w="547" w:type="pct"/>
            <w:tcBorders>
              <w:tl2br w:val="nil"/>
              <w:tr2bl w:val="nil"/>
            </w:tcBorders>
            <w:shd w:val="clear" w:color="auto" w:fill="auto"/>
            <w:vAlign w:val="center"/>
          </w:tcPr>
          <w:p w14:paraId="5A2AA75C">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w:t>
            </w:r>
          </w:p>
        </w:tc>
        <w:tc>
          <w:tcPr>
            <w:tcW w:w="807" w:type="pct"/>
            <w:tcBorders>
              <w:tl2br w:val="nil"/>
              <w:tr2bl w:val="nil"/>
            </w:tcBorders>
            <w:shd w:val="clear" w:color="auto" w:fill="auto"/>
            <w:vAlign w:val="center"/>
          </w:tcPr>
          <w:p w14:paraId="012C209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0.415</w:t>
            </w:r>
          </w:p>
        </w:tc>
        <w:tc>
          <w:tcPr>
            <w:tcW w:w="527" w:type="pct"/>
            <w:tcBorders>
              <w:tl2br w:val="nil"/>
              <w:tr2bl w:val="nil"/>
            </w:tcBorders>
            <w:shd w:val="clear" w:color="auto" w:fill="auto"/>
            <w:vAlign w:val="center"/>
          </w:tcPr>
          <w:p w14:paraId="2C08AA1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shd w:val="clear" w:color="auto" w:fill="auto"/>
            <w:vAlign w:val="center"/>
          </w:tcPr>
          <w:p w14:paraId="04D07E6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0.343</w:t>
            </w:r>
          </w:p>
        </w:tc>
        <w:tc>
          <w:tcPr>
            <w:tcW w:w="683" w:type="pct"/>
            <w:tcBorders>
              <w:tl2br w:val="nil"/>
              <w:tr2bl w:val="nil"/>
            </w:tcBorders>
            <w:shd w:val="clear" w:color="auto" w:fill="auto"/>
            <w:vAlign w:val="center"/>
          </w:tcPr>
          <w:p w14:paraId="2E28B525">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r>
      <w:tr w14:paraId="6BB22B3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90" w:hRule="atLeast"/>
        </w:trPr>
        <w:tc>
          <w:tcPr>
            <w:tcW w:w="1094" w:type="pct"/>
            <w:tcBorders>
              <w:tl2br w:val="nil"/>
              <w:tr2bl w:val="nil"/>
            </w:tcBorders>
            <w:vAlign w:val="center"/>
          </w:tcPr>
          <w:p w14:paraId="73CD6AB6">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sz w:val="21"/>
                <w:szCs w:val="21"/>
                <w:highlight w:val="none"/>
                <w:lang w:eastAsia="zh-CN"/>
              </w:rPr>
              <w:t>钴</w:t>
            </w:r>
          </w:p>
        </w:tc>
        <w:tc>
          <w:tcPr>
            <w:tcW w:w="602" w:type="pct"/>
            <w:tcBorders>
              <w:tl2br w:val="nil"/>
              <w:tr2bl w:val="nil"/>
            </w:tcBorders>
            <w:vAlign w:val="center"/>
          </w:tcPr>
          <w:p w14:paraId="3228D1FC">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rPr>
              <w:t>mg/kg</w:t>
            </w:r>
          </w:p>
        </w:tc>
        <w:tc>
          <w:tcPr>
            <w:tcW w:w="547" w:type="pct"/>
            <w:tcBorders>
              <w:tl2br w:val="nil"/>
              <w:tr2bl w:val="nil"/>
            </w:tcBorders>
            <w:vAlign w:val="center"/>
          </w:tcPr>
          <w:p w14:paraId="4755437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w:t>
            </w:r>
          </w:p>
        </w:tc>
        <w:tc>
          <w:tcPr>
            <w:tcW w:w="807" w:type="pct"/>
            <w:tcBorders>
              <w:tl2br w:val="nil"/>
              <w:tr2bl w:val="nil"/>
            </w:tcBorders>
            <w:shd w:val="clear" w:color="auto" w:fill="auto"/>
            <w:vAlign w:val="center"/>
          </w:tcPr>
          <w:p w14:paraId="1245EDB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27.6</w:t>
            </w:r>
          </w:p>
        </w:tc>
        <w:tc>
          <w:tcPr>
            <w:tcW w:w="527" w:type="pct"/>
            <w:tcBorders>
              <w:tl2br w:val="nil"/>
              <w:tr2bl w:val="nil"/>
            </w:tcBorders>
            <w:shd w:val="clear" w:color="auto" w:fill="auto"/>
            <w:vAlign w:val="center"/>
          </w:tcPr>
          <w:p w14:paraId="4B29C599">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shd w:val="clear" w:color="auto" w:fill="auto"/>
            <w:vAlign w:val="center"/>
          </w:tcPr>
          <w:p w14:paraId="3FAAF12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26.8</w:t>
            </w:r>
          </w:p>
        </w:tc>
        <w:tc>
          <w:tcPr>
            <w:tcW w:w="683" w:type="pct"/>
            <w:tcBorders>
              <w:tl2br w:val="nil"/>
              <w:tr2bl w:val="nil"/>
            </w:tcBorders>
            <w:shd w:val="clear" w:color="auto" w:fill="auto"/>
            <w:vAlign w:val="center"/>
          </w:tcPr>
          <w:p w14:paraId="30AB57BF">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r>
      <w:tr w14:paraId="0288F8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gridAfter w:val="1"/>
          <w:wAfter w:w="3" w:type="pct"/>
          <w:trHeight w:val="340" w:hRule="atLeast"/>
        </w:trPr>
        <w:tc>
          <w:tcPr>
            <w:tcW w:w="1094" w:type="pct"/>
            <w:tcBorders>
              <w:tl2br w:val="nil"/>
              <w:tr2bl w:val="nil"/>
            </w:tcBorders>
            <w:vAlign w:val="center"/>
          </w:tcPr>
          <w:p w14:paraId="436787E9">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sz w:val="21"/>
                <w:szCs w:val="21"/>
                <w:highlight w:val="none"/>
                <w:lang w:eastAsia="zh-CN"/>
              </w:rPr>
              <w:t>铁</w:t>
            </w:r>
          </w:p>
        </w:tc>
        <w:tc>
          <w:tcPr>
            <w:tcW w:w="602" w:type="pct"/>
            <w:tcBorders>
              <w:tl2br w:val="nil"/>
              <w:tr2bl w:val="nil"/>
            </w:tcBorders>
            <w:vAlign w:val="center"/>
          </w:tcPr>
          <w:p w14:paraId="0DF34BDA">
            <w:pPr>
              <w:pageBreakBefore w:val="0"/>
              <w:kinsoku/>
              <w:wordWrap/>
              <w:overflowPunct/>
              <w:autoSpaceDE/>
              <w:autoSpaceDN/>
              <w:bidi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b w:val="0"/>
                <w:bCs w:val="0"/>
                <w:color w:val="auto"/>
                <w:sz w:val="21"/>
                <w:szCs w:val="21"/>
                <w:highlight w:val="none"/>
              </w:rPr>
              <w:t>g/kg</w:t>
            </w:r>
          </w:p>
        </w:tc>
        <w:tc>
          <w:tcPr>
            <w:tcW w:w="547" w:type="pct"/>
            <w:tcBorders>
              <w:tl2br w:val="nil"/>
              <w:tr2bl w:val="nil"/>
            </w:tcBorders>
            <w:vAlign w:val="center"/>
          </w:tcPr>
          <w:p w14:paraId="7F87365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w:t>
            </w:r>
          </w:p>
        </w:tc>
        <w:tc>
          <w:tcPr>
            <w:tcW w:w="807" w:type="pct"/>
            <w:tcBorders>
              <w:tl2br w:val="nil"/>
              <w:tr2bl w:val="nil"/>
            </w:tcBorders>
            <w:shd w:val="clear" w:color="auto" w:fill="auto"/>
            <w:vAlign w:val="center"/>
          </w:tcPr>
          <w:p w14:paraId="7EA795B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37.6</w:t>
            </w:r>
          </w:p>
        </w:tc>
        <w:tc>
          <w:tcPr>
            <w:tcW w:w="527" w:type="pct"/>
            <w:tcBorders>
              <w:tl2br w:val="nil"/>
              <w:tr2bl w:val="nil"/>
            </w:tcBorders>
            <w:shd w:val="clear" w:color="auto" w:fill="auto"/>
            <w:vAlign w:val="center"/>
          </w:tcPr>
          <w:p w14:paraId="5C43C3D7">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c>
          <w:tcPr>
            <w:tcW w:w="734" w:type="pct"/>
            <w:gridSpan w:val="2"/>
            <w:tcBorders>
              <w:tl2br w:val="nil"/>
              <w:tr2bl w:val="nil"/>
            </w:tcBorders>
            <w:shd w:val="clear" w:color="auto" w:fill="auto"/>
            <w:vAlign w:val="center"/>
          </w:tcPr>
          <w:p w14:paraId="5E00D2D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40.5</w:t>
            </w:r>
          </w:p>
        </w:tc>
        <w:tc>
          <w:tcPr>
            <w:tcW w:w="683" w:type="pct"/>
            <w:tcBorders>
              <w:tl2br w:val="nil"/>
              <w:tr2bl w:val="nil"/>
            </w:tcBorders>
            <w:shd w:val="clear" w:color="auto" w:fill="auto"/>
            <w:vAlign w:val="center"/>
          </w:tcPr>
          <w:p w14:paraId="38571698">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000000"/>
                <w:sz w:val="21"/>
                <w:szCs w:val="21"/>
                <w:highlight w:val="none"/>
              </w:rPr>
              <w:t>/</w:t>
            </w:r>
          </w:p>
        </w:tc>
      </w:tr>
    </w:tbl>
    <w:p w14:paraId="56BC6678">
      <w:pPr>
        <w:keepNext w:val="0"/>
        <w:keepLines w:val="0"/>
        <w:pageBreakBefore w:val="0"/>
        <w:widowControl w:val="0"/>
        <w:numPr>
          <w:ilvl w:val="0"/>
          <w:numId w:val="0"/>
        </w:numPr>
        <w:tabs>
          <w:tab w:val="left" w:pos="420"/>
        </w:tabs>
        <w:kinsoku/>
        <w:wordWrap/>
        <w:overflowPunct/>
        <w:topLinePunct w:val="0"/>
        <w:autoSpaceDE/>
        <w:autoSpaceDN/>
        <w:bidi w:val="0"/>
        <w:adjustRightInd w:val="0"/>
        <w:snapToGrid w:val="0"/>
        <w:spacing w:line="360" w:lineRule="auto"/>
        <w:ind w:leftChars="0"/>
        <w:jc w:val="both"/>
        <w:textAlignment w:val="auto"/>
        <w:rPr>
          <w:rFonts w:hint="eastAsia" w:ascii="宋体" w:hAnsi="宋体" w:cs="宋体"/>
          <w:b/>
          <w:bCs w:val="0"/>
          <w:color w:val="auto"/>
          <w:sz w:val="21"/>
          <w:szCs w:val="21"/>
          <w:highlight w:val="none"/>
          <w:lang w:val="en-US" w:eastAsia="zh-CN"/>
        </w:rPr>
      </w:pPr>
      <w:r>
        <w:rPr>
          <w:rFonts w:hint="eastAsia" w:ascii="Times New Roman" w:hAnsi="Times New Roman" w:cs="Calibri"/>
          <w:b/>
          <w:bCs w:val="0"/>
          <w:color w:val="auto"/>
          <w:sz w:val="21"/>
          <w:szCs w:val="21"/>
          <w:highlight w:val="none"/>
          <w:lang w:eastAsia="zh-CN"/>
        </w:rPr>
        <w:t>注：以上检测结果中</w:t>
      </w:r>
      <w:r>
        <w:rPr>
          <w:rFonts w:hint="eastAsia" w:ascii="Times New Roman" w:hAnsi="Times New Roman" w:cs="Calibri"/>
          <w:b/>
          <w:bCs w:val="0"/>
          <w:color w:val="auto"/>
          <w:sz w:val="21"/>
          <w:szCs w:val="21"/>
          <w:highlight w:val="none"/>
          <w:lang w:val="en-US" w:eastAsia="zh-CN"/>
        </w:rPr>
        <w:t>“&lt;+数值”代表小于检出限</w:t>
      </w:r>
      <w:r>
        <w:rPr>
          <w:rFonts w:hint="eastAsia" w:ascii="宋体" w:hAnsi="宋体" w:cs="宋体"/>
          <w:b/>
          <w:bCs w:val="0"/>
          <w:color w:val="auto"/>
          <w:sz w:val="21"/>
          <w:szCs w:val="21"/>
          <w:highlight w:val="none"/>
          <w:lang w:val="en-US" w:eastAsia="zh-CN"/>
        </w:rPr>
        <w:t>，其数值为该项目检出限。</w:t>
      </w:r>
    </w:p>
    <w:p w14:paraId="6BED4E98">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sz w:val="21"/>
          <w:szCs w:val="21"/>
          <w:highlight w:val="none"/>
          <w:lang w:val="en-US" w:eastAsia="zh-CN"/>
        </w:rPr>
      </w:pPr>
      <w:r>
        <w:rPr>
          <w:rFonts w:hint="eastAsia" w:ascii="Times New Roman" w:hAnsi="Times New Roman" w:eastAsia="宋体" w:cs="Times New Roman"/>
          <w:b/>
          <w:sz w:val="21"/>
          <w:szCs w:val="21"/>
          <w:highlight w:val="none"/>
          <w:lang w:val="en-US" w:eastAsia="zh-CN"/>
        </w:rPr>
        <w:t>农用地</w:t>
      </w:r>
      <w:r>
        <w:rPr>
          <w:rFonts w:hint="default" w:ascii="Times New Roman" w:hAnsi="Times New Roman" w:eastAsia="宋体" w:cs="Times New Roman"/>
          <w:b/>
          <w:sz w:val="21"/>
          <w:szCs w:val="21"/>
          <w:highlight w:val="none"/>
          <w:lang w:val="en-US" w:eastAsia="zh-CN"/>
        </w:rPr>
        <w:t>土壤环境质量现状监测结果（单位：mg/kg）</w:t>
      </w:r>
    </w:p>
    <w:tbl>
      <w:tblPr>
        <w:tblStyle w:val="58"/>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403"/>
        <w:gridCol w:w="1859"/>
        <w:gridCol w:w="1182"/>
        <w:gridCol w:w="1369"/>
        <w:gridCol w:w="1311"/>
        <w:gridCol w:w="1397"/>
      </w:tblGrid>
      <w:tr w14:paraId="509456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vMerge w:val="restart"/>
            <w:tcBorders>
              <w:tl2br w:val="nil"/>
              <w:tr2bl w:val="nil"/>
            </w:tcBorders>
            <w:noWrap w:val="0"/>
            <w:vAlign w:val="center"/>
          </w:tcPr>
          <w:p w14:paraId="681474C6">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firstLine="0" w:firstLineChars="0"/>
              <w:jc w:val="center"/>
              <w:textAlignment w:val="auto"/>
              <w:outlineLvl w:val="9"/>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监测项目</w:t>
            </w:r>
          </w:p>
        </w:tc>
        <w:tc>
          <w:tcPr>
            <w:tcW w:w="1090" w:type="pct"/>
            <w:vMerge w:val="restart"/>
            <w:tcBorders>
              <w:tl2br w:val="nil"/>
              <w:tr2bl w:val="nil"/>
            </w:tcBorders>
            <w:noWrap w:val="0"/>
            <w:vAlign w:val="center"/>
          </w:tcPr>
          <w:p w14:paraId="3915DF0F">
            <w:pPr>
              <w:pStyle w:val="310"/>
              <w:jc w:val="center"/>
              <w:rPr>
                <w:rFonts w:hint="default" w:ascii="Times New Roman" w:hAnsi="Times New Roman" w:eastAsia="宋体"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lang w:val="en-US" w:eastAsia="zh-CN"/>
              </w:rPr>
              <w:t>风险筛选值（pH&gt;7.5）</w:t>
            </w:r>
          </w:p>
        </w:tc>
        <w:tc>
          <w:tcPr>
            <w:tcW w:w="1496" w:type="pct"/>
            <w:gridSpan w:val="2"/>
            <w:tcBorders>
              <w:tl2br w:val="nil"/>
              <w:tr2bl w:val="nil"/>
            </w:tcBorders>
            <w:noWrap w:val="0"/>
            <w:vAlign w:val="center"/>
          </w:tcPr>
          <w:p w14:paraId="66282DA7">
            <w:pPr>
              <w:keepNext w:val="0"/>
              <w:keepLines w:val="0"/>
              <w:pageBreakBefore w:val="0"/>
              <w:widowControl w:val="0"/>
              <w:tabs>
                <w:tab w:val="left" w:pos="1255"/>
              </w:tabs>
              <w:kinsoku/>
              <w:wordWrap/>
              <w:overflowPunct/>
              <w:topLinePunct w:val="0"/>
              <w:autoSpaceDE/>
              <w:autoSpaceDN/>
              <w:bidi w:val="0"/>
              <w:adjustRightInd w:val="0"/>
              <w:snapToGrid w:val="0"/>
              <w:spacing w:line="240" w:lineRule="atLeast"/>
              <w:ind w:left="0" w:leftChars="0" w:firstLine="0" w:firstLineChars="0"/>
              <w:jc w:val="center"/>
              <w:textAlignment w:val="auto"/>
              <w:outlineLvl w:val="9"/>
              <w:rPr>
                <w:rFonts w:hint="default" w:ascii="Times New Roman" w:hAnsi="Times New Roman" w:eastAsia="宋体" w:cs="Times New Roman"/>
                <w:b/>
                <w:bCs/>
                <w:color w:val="auto"/>
                <w:spacing w:val="0"/>
                <w:sz w:val="21"/>
                <w:szCs w:val="21"/>
                <w:highlight w:val="none"/>
                <w:lang w:val="en-US" w:eastAsia="zh-CN"/>
              </w:rPr>
            </w:pPr>
            <w:r>
              <w:rPr>
                <w:rFonts w:hint="eastAsia" w:cs="Times New Roman"/>
                <w:b/>
                <w:bCs/>
                <w:color w:val="auto"/>
                <w:spacing w:val="0"/>
                <w:sz w:val="21"/>
                <w:szCs w:val="21"/>
                <w:highlight w:val="none"/>
                <w:lang w:val="en-US" w:eastAsia="zh-CN"/>
              </w:rPr>
              <w:t>T</w:t>
            </w:r>
            <w:r>
              <w:rPr>
                <w:rFonts w:hint="default" w:ascii="Times New Roman" w:hAnsi="Times New Roman" w:cs="Times New Roman"/>
                <w:b/>
                <w:bCs/>
                <w:color w:val="auto"/>
                <w:spacing w:val="0"/>
                <w:sz w:val="21"/>
                <w:szCs w:val="21"/>
                <w:highlight w:val="none"/>
                <w:lang w:val="en-US" w:eastAsia="zh-CN"/>
              </w:rPr>
              <w:t>r</w:t>
            </w:r>
            <w:r>
              <w:rPr>
                <w:rFonts w:hint="eastAsia" w:cs="Times New Roman"/>
                <w:b/>
                <w:bCs/>
                <w:color w:val="auto"/>
                <w:spacing w:val="0"/>
                <w:sz w:val="21"/>
                <w:szCs w:val="21"/>
                <w:highlight w:val="none"/>
                <w:lang w:val="en-US" w:eastAsia="zh-CN"/>
              </w:rPr>
              <w:t>4</w:t>
            </w:r>
            <w:r>
              <w:rPr>
                <w:rFonts w:hint="default" w:ascii="Times New Roman" w:hAnsi="Times New Roman" w:cs="Times New Roman"/>
                <w:b/>
                <w:bCs/>
                <w:color w:val="auto"/>
                <w:spacing w:val="0"/>
                <w:sz w:val="21"/>
                <w:szCs w:val="21"/>
                <w:highlight w:val="none"/>
                <w:lang w:val="en-US" w:eastAsia="zh-CN"/>
              </w:rPr>
              <w:t>#（表层样0.2m）</w:t>
            </w:r>
          </w:p>
        </w:tc>
        <w:tc>
          <w:tcPr>
            <w:tcW w:w="1588" w:type="pct"/>
            <w:gridSpan w:val="2"/>
            <w:tcBorders>
              <w:tl2br w:val="nil"/>
              <w:tr2bl w:val="nil"/>
            </w:tcBorders>
            <w:noWrap w:val="0"/>
            <w:vAlign w:val="center"/>
          </w:tcPr>
          <w:p w14:paraId="162B4030">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outlineLvl w:val="9"/>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Tr</w:t>
            </w:r>
            <w:r>
              <w:rPr>
                <w:rFonts w:hint="eastAsia" w:cs="Times New Roman"/>
                <w:b/>
                <w:bCs/>
                <w:color w:val="auto"/>
                <w:spacing w:val="0"/>
                <w:sz w:val="21"/>
                <w:szCs w:val="21"/>
                <w:highlight w:val="none"/>
                <w:lang w:val="en-US" w:eastAsia="zh-CN"/>
              </w:rPr>
              <w:t>5</w:t>
            </w:r>
            <w:r>
              <w:rPr>
                <w:rFonts w:hint="default" w:ascii="Times New Roman" w:hAnsi="Times New Roman" w:cs="Times New Roman"/>
                <w:b/>
                <w:bCs/>
                <w:color w:val="auto"/>
                <w:spacing w:val="0"/>
                <w:sz w:val="21"/>
                <w:szCs w:val="21"/>
                <w:highlight w:val="none"/>
                <w:lang w:val="en-US" w:eastAsia="zh-CN"/>
              </w:rPr>
              <w:t>#（表层样0.2m）</w:t>
            </w:r>
          </w:p>
        </w:tc>
      </w:tr>
      <w:tr w14:paraId="32CB5F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vMerge w:val="continue"/>
            <w:tcBorders>
              <w:tl2br w:val="nil"/>
              <w:tr2bl w:val="nil"/>
            </w:tcBorders>
            <w:noWrap w:val="0"/>
            <w:vAlign w:val="center"/>
          </w:tcPr>
          <w:p w14:paraId="3AE645B1">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firstLine="0" w:firstLineChars="0"/>
              <w:jc w:val="center"/>
              <w:textAlignment w:val="auto"/>
              <w:outlineLvl w:val="9"/>
              <w:rPr>
                <w:rFonts w:hint="default" w:ascii="Times New Roman" w:hAnsi="Times New Roman" w:eastAsia="宋体" w:cs="Times New Roman"/>
                <w:b/>
                <w:bCs/>
                <w:color w:val="auto"/>
                <w:spacing w:val="0"/>
                <w:sz w:val="21"/>
                <w:szCs w:val="21"/>
                <w:highlight w:val="none"/>
              </w:rPr>
            </w:pPr>
          </w:p>
        </w:tc>
        <w:tc>
          <w:tcPr>
            <w:tcW w:w="1090" w:type="pct"/>
            <w:vMerge w:val="continue"/>
            <w:tcBorders>
              <w:tl2br w:val="nil"/>
              <w:tr2bl w:val="nil"/>
            </w:tcBorders>
            <w:noWrap w:val="0"/>
            <w:vAlign w:val="center"/>
          </w:tcPr>
          <w:p w14:paraId="65BD342E">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firstLine="0" w:firstLineChars="0"/>
              <w:jc w:val="center"/>
              <w:textAlignment w:val="auto"/>
              <w:outlineLvl w:val="9"/>
              <w:rPr>
                <w:rFonts w:hint="default" w:ascii="Times New Roman" w:hAnsi="Times New Roman" w:eastAsia="宋体" w:cs="Times New Roman"/>
                <w:b/>
                <w:bCs/>
                <w:color w:val="auto"/>
                <w:spacing w:val="0"/>
                <w:sz w:val="21"/>
                <w:szCs w:val="21"/>
                <w:highlight w:val="none"/>
              </w:rPr>
            </w:pPr>
          </w:p>
        </w:tc>
        <w:tc>
          <w:tcPr>
            <w:tcW w:w="693" w:type="pct"/>
            <w:tcBorders>
              <w:tl2br w:val="nil"/>
              <w:tr2bl w:val="nil"/>
            </w:tcBorders>
            <w:noWrap w:val="0"/>
            <w:vAlign w:val="center"/>
          </w:tcPr>
          <w:p w14:paraId="6315BE02">
            <w:pPr>
              <w:keepNext w:val="0"/>
              <w:keepLines w:val="0"/>
              <w:pageBreakBefore w:val="0"/>
              <w:widowControl w:val="0"/>
              <w:tabs>
                <w:tab w:val="left" w:pos="1255"/>
              </w:tabs>
              <w:kinsoku/>
              <w:wordWrap/>
              <w:overflowPunct/>
              <w:topLinePunct w:val="0"/>
              <w:autoSpaceDE/>
              <w:autoSpaceDN/>
              <w:bidi w:val="0"/>
              <w:adjustRightInd w:val="0"/>
              <w:snapToGrid w:val="0"/>
              <w:spacing w:line="240" w:lineRule="atLeast"/>
              <w:ind w:left="0" w:leftChars="0" w:firstLine="0" w:firstLineChars="0"/>
              <w:jc w:val="center"/>
              <w:textAlignment w:val="auto"/>
              <w:outlineLvl w:val="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lang w:val="en-US" w:eastAsia="zh-CN"/>
              </w:rPr>
              <w:t>监测值</w:t>
            </w:r>
          </w:p>
        </w:tc>
        <w:tc>
          <w:tcPr>
            <w:tcW w:w="803" w:type="pct"/>
            <w:tcBorders>
              <w:tl2br w:val="nil"/>
              <w:tr2bl w:val="nil"/>
            </w:tcBorders>
            <w:noWrap w:val="0"/>
            <w:vAlign w:val="center"/>
          </w:tcPr>
          <w:p w14:paraId="2749BD9B">
            <w:pPr>
              <w:keepNext w:val="0"/>
              <w:keepLines w:val="0"/>
              <w:pageBreakBefore w:val="0"/>
              <w:widowControl w:val="0"/>
              <w:tabs>
                <w:tab w:val="left" w:pos="1255"/>
              </w:tabs>
              <w:kinsoku/>
              <w:wordWrap/>
              <w:overflowPunct/>
              <w:topLinePunct w:val="0"/>
              <w:autoSpaceDE/>
              <w:autoSpaceDN/>
              <w:bidi w:val="0"/>
              <w:adjustRightInd w:val="0"/>
              <w:snapToGrid w:val="0"/>
              <w:spacing w:line="240" w:lineRule="atLeast"/>
              <w:ind w:left="0" w:leftChars="0" w:firstLine="0" w:firstLineChars="0"/>
              <w:jc w:val="center"/>
              <w:textAlignment w:val="auto"/>
              <w:outlineLvl w:val="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lang w:val="en-US" w:eastAsia="zh-CN"/>
              </w:rPr>
              <w:t>标准指数</w:t>
            </w:r>
          </w:p>
        </w:tc>
        <w:tc>
          <w:tcPr>
            <w:tcW w:w="769" w:type="pct"/>
            <w:tcBorders>
              <w:tl2br w:val="nil"/>
              <w:tr2bl w:val="nil"/>
            </w:tcBorders>
            <w:noWrap w:val="0"/>
            <w:vAlign w:val="center"/>
          </w:tcPr>
          <w:p w14:paraId="442FDFCA">
            <w:pPr>
              <w:keepNext w:val="0"/>
              <w:keepLines w:val="0"/>
              <w:pageBreakBefore w:val="0"/>
              <w:widowControl w:val="0"/>
              <w:tabs>
                <w:tab w:val="left" w:pos="1255"/>
              </w:tabs>
              <w:kinsoku/>
              <w:wordWrap/>
              <w:overflowPunct/>
              <w:topLinePunct w:val="0"/>
              <w:autoSpaceDE/>
              <w:autoSpaceDN/>
              <w:bidi w:val="0"/>
              <w:adjustRightInd w:val="0"/>
              <w:snapToGrid w:val="0"/>
              <w:spacing w:line="240" w:lineRule="atLeast"/>
              <w:ind w:left="0" w:leftChars="0" w:firstLine="0" w:firstLineChars="0"/>
              <w:jc w:val="center"/>
              <w:textAlignment w:val="auto"/>
              <w:outlineLvl w:val="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lang w:val="en-US" w:eastAsia="zh-CN"/>
              </w:rPr>
              <w:t>监测值</w:t>
            </w:r>
          </w:p>
        </w:tc>
        <w:tc>
          <w:tcPr>
            <w:tcW w:w="819" w:type="pct"/>
            <w:tcBorders>
              <w:tl2br w:val="nil"/>
              <w:tr2bl w:val="nil"/>
            </w:tcBorders>
            <w:noWrap w:val="0"/>
            <w:vAlign w:val="center"/>
          </w:tcPr>
          <w:p w14:paraId="2C143573">
            <w:pPr>
              <w:keepNext w:val="0"/>
              <w:keepLines w:val="0"/>
              <w:pageBreakBefore w:val="0"/>
              <w:widowControl w:val="0"/>
              <w:tabs>
                <w:tab w:val="left" w:pos="1255"/>
              </w:tabs>
              <w:kinsoku/>
              <w:wordWrap/>
              <w:overflowPunct/>
              <w:topLinePunct w:val="0"/>
              <w:autoSpaceDE/>
              <w:autoSpaceDN/>
              <w:bidi w:val="0"/>
              <w:adjustRightInd w:val="0"/>
              <w:snapToGrid w:val="0"/>
              <w:spacing w:line="240" w:lineRule="atLeast"/>
              <w:ind w:left="0" w:leftChars="0" w:firstLine="0" w:firstLineChars="0"/>
              <w:jc w:val="center"/>
              <w:textAlignment w:val="auto"/>
              <w:outlineLvl w:val="9"/>
              <w:rPr>
                <w:rFonts w:hint="default" w:ascii="Times New Roman" w:hAnsi="Times New Roman" w:eastAsia="宋体" w:cs="Times New Roman"/>
                <w:b/>
                <w:bCs/>
                <w:color w:val="auto"/>
                <w:spacing w:val="0"/>
                <w:kern w:val="2"/>
                <w:sz w:val="21"/>
                <w:szCs w:val="21"/>
                <w:highlight w:val="none"/>
                <w:lang w:val="en-US" w:eastAsia="zh-CN" w:bidi="ar-SA"/>
              </w:rPr>
            </w:pPr>
            <w:r>
              <w:rPr>
                <w:rFonts w:hint="default" w:ascii="Times New Roman" w:hAnsi="Times New Roman" w:eastAsia="宋体" w:cs="Times New Roman"/>
                <w:b/>
                <w:bCs/>
                <w:color w:val="auto"/>
                <w:spacing w:val="0"/>
                <w:sz w:val="21"/>
                <w:szCs w:val="21"/>
                <w:highlight w:val="none"/>
                <w:lang w:val="en-US" w:eastAsia="zh-CN"/>
              </w:rPr>
              <w:t>标准指数</w:t>
            </w:r>
          </w:p>
        </w:tc>
      </w:tr>
      <w:tr w14:paraId="49E295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7EBA185D">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pH</w:t>
            </w:r>
          </w:p>
        </w:tc>
        <w:tc>
          <w:tcPr>
            <w:tcW w:w="1090" w:type="pct"/>
            <w:tcBorders>
              <w:tl2br w:val="nil"/>
              <w:tr2bl w:val="nil"/>
            </w:tcBorders>
            <w:noWrap w:val="0"/>
            <w:vAlign w:val="center"/>
          </w:tcPr>
          <w:p w14:paraId="0FCD94F4">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182" w:type="dxa"/>
            <w:tcBorders>
              <w:tl2br w:val="nil"/>
              <w:tr2bl w:val="nil"/>
            </w:tcBorders>
            <w:noWrap w:val="0"/>
            <w:vAlign w:val="center"/>
          </w:tcPr>
          <w:p w14:paraId="343A735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7.97</w:t>
            </w:r>
          </w:p>
        </w:tc>
        <w:tc>
          <w:tcPr>
            <w:tcW w:w="803" w:type="pct"/>
            <w:tcBorders>
              <w:tl2br w:val="nil"/>
              <w:tr2bl w:val="nil"/>
            </w:tcBorders>
            <w:noWrap w:val="0"/>
            <w:vAlign w:val="center"/>
          </w:tcPr>
          <w:p w14:paraId="21BD8FA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311" w:type="dxa"/>
            <w:tcBorders>
              <w:tl2br w:val="nil"/>
              <w:tr2bl w:val="nil"/>
            </w:tcBorders>
            <w:noWrap w:val="0"/>
            <w:vAlign w:val="center"/>
          </w:tcPr>
          <w:p w14:paraId="5215B9A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7.68</w:t>
            </w:r>
          </w:p>
        </w:tc>
        <w:tc>
          <w:tcPr>
            <w:tcW w:w="819" w:type="pct"/>
            <w:tcBorders>
              <w:tl2br w:val="nil"/>
              <w:tr2bl w:val="nil"/>
            </w:tcBorders>
            <w:noWrap w:val="0"/>
            <w:vAlign w:val="center"/>
          </w:tcPr>
          <w:p w14:paraId="4D197CF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14:paraId="74F938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1DC27354">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镉</w:t>
            </w:r>
          </w:p>
        </w:tc>
        <w:tc>
          <w:tcPr>
            <w:tcW w:w="1090" w:type="pct"/>
            <w:tcBorders>
              <w:tl2br w:val="nil"/>
              <w:tr2bl w:val="nil"/>
            </w:tcBorders>
            <w:noWrap w:val="0"/>
            <w:vAlign w:val="center"/>
          </w:tcPr>
          <w:p w14:paraId="7E821CA0">
            <w:pPr>
              <w:pStyle w:val="161"/>
              <w:bidi w:val="0"/>
              <w:jc w:val="center"/>
              <w:rPr>
                <w:rFonts w:hint="default" w:ascii="Times New Roman" w:hAnsi="Times New Roman" w:eastAsia="宋体" w:cs="Times New Roman"/>
                <w:color w:val="auto"/>
                <w:spacing w:val="-17"/>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0.6</w:t>
            </w:r>
          </w:p>
        </w:tc>
        <w:tc>
          <w:tcPr>
            <w:tcW w:w="1182" w:type="dxa"/>
            <w:tcBorders>
              <w:tl2br w:val="nil"/>
              <w:tr2bl w:val="nil"/>
            </w:tcBorders>
            <w:shd w:val="clear" w:color="auto" w:fill="auto"/>
            <w:noWrap w:val="0"/>
            <w:vAlign w:val="center"/>
          </w:tcPr>
          <w:p w14:paraId="6594F2E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0.20</w:t>
            </w:r>
          </w:p>
        </w:tc>
        <w:tc>
          <w:tcPr>
            <w:tcW w:w="803" w:type="pct"/>
            <w:tcBorders>
              <w:tl2br w:val="nil"/>
              <w:tr2bl w:val="nil"/>
            </w:tcBorders>
            <w:shd w:val="clear" w:color="auto" w:fill="auto"/>
            <w:noWrap w:val="0"/>
            <w:vAlign w:val="center"/>
          </w:tcPr>
          <w:p w14:paraId="140B07B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0.37</w:t>
            </w:r>
          </w:p>
        </w:tc>
        <w:tc>
          <w:tcPr>
            <w:tcW w:w="1311" w:type="dxa"/>
            <w:tcBorders>
              <w:tl2br w:val="nil"/>
              <w:tr2bl w:val="nil"/>
            </w:tcBorders>
            <w:shd w:val="clear" w:color="auto" w:fill="auto"/>
            <w:noWrap w:val="0"/>
            <w:vAlign w:val="center"/>
          </w:tcPr>
          <w:p w14:paraId="5BA349B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0.25</w:t>
            </w:r>
          </w:p>
        </w:tc>
        <w:tc>
          <w:tcPr>
            <w:tcW w:w="819" w:type="pct"/>
            <w:tcBorders>
              <w:tl2br w:val="nil"/>
              <w:tr2bl w:val="nil"/>
            </w:tcBorders>
            <w:noWrap w:val="0"/>
            <w:vAlign w:val="center"/>
          </w:tcPr>
          <w:p w14:paraId="0ACF91C2">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0.38</w:t>
            </w:r>
          </w:p>
        </w:tc>
      </w:tr>
      <w:tr w14:paraId="1E19A2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29C89C7E">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汞</w:t>
            </w:r>
          </w:p>
        </w:tc>
        <w:tc>
          <w:tcPr>
            <w:tcW w:w="1090" w:type="pct"/>
            <w:tcBorders>
              <w:tl2br w:val="nil"/>
              <w:tr2bl w:val="nil"/>
            </w:tcBorders>
            <w:noWrap w:val="0"/>
            <w:vAlign w:val="center"/>
          </w:tcPr>
          <w:p w14:paraId="7F592E29">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3.4</w:t>
            </w:r>
          </w:p>
        </w:tc>
        <w:tc>
          <w:tcPr>
            <w:tcW w:w="1182" w:type="dxa"/>
            <w:tcBorders>
              <w:tl2br w:val="nil"/>
              <w:tr2bl w:val="nil"/>
            </w:tcBorders>
            <w:shd w:val="clear" w:color="auto" w:fill="auto"/>
            <w:noWrap w:val="0"/>
            <w:vAlign w:val="center"/>
          </w:tcPr>
          <w:p w14:paraId="71170F26">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0.252</w:t>
            </w:r>
          </w:p>
        </w:tc>
        <w:tc>
          <w:tcPr>
            <w:tcW w:w="803" w:type="pct"/>
            <w:tcBorders>
              <w:tl2br w:val="nil"/>
              <w:tr2bl w:val="nil"/>
            </w:tcBorders>
            <w:shd w:val="clear" w:color="auto" w:fill="auto"/>
            <w:noWrap w:val="0"/>
            <w:vAlign w:val="center"/>
          </w:tcPr>
          <w:p w14:paraId="1F666802">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0.07</w:t>
            </w:r>
          </w:p>
        </w:tc>
        <w:tc>
          <w:tcPr>
            <w:tcW w:w="1311" w:type="dxa"/>
            <w:tcBorders>
              <w:tl2br w:val="nil"/>
              <w:tr2bl w:val="nil"/>
            </w:tcBorders>
            <w:shd w:val="clear" w:color="auto" w:fill="auto"/>
            <w:noWrap w:val="0"/>
            <w:vAlign w:val="center"/>
          </w:tcPr>
          <w:p w14:paraId="2204A48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0.256</w:t>
            </w:r>
          </w:p>
        </w:tc>
        <w:tc>
          <w:tcPr>
            <w:tcW w:w="819" w:type="pct"/>
            <w:tcBorders>
              <w:tl2br w:val="nil"/>
              <w:tr2bl w:val="nil"/>
            </w:tcBorders>
            <w:noWrap w:val="0"/>
            <w:vAlign w:val="center"/>
          </w:tcPr>
          <w:p w14:paraId="24AD113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0.06</w:t>
            </w:r>
          </w:p>
        </w:tc>
      </w:tr>
      <w:tr w14:paraId="7A4084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1B679915">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砷</w:t>
            </w:r>
          </w:p>
        </w:tc>
        <w:tc>
          <w:tcPr>
            <w:tcW w:w="1090" w:type="pct"/>
            <w:tcBorders>
              <w:tl2br w:val="nil"/>
              <w:tr2bl w:val="nil"/>
            </w:tcBorders>
            <w:noWrap w:val="0"/>
            <w:vAlign w:val="center"/>
          </w:tcPr>
          <w:p w14:paraId="34836824">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w:t>
            </w:r>
          </w:p>
        </w:tc>
        <w:tc>
          <w:tcPr>
            <w:tcW w:w="1182" w:type="dxa"/>
            <w:tcBorders>
              <w:tl2br w:val="nil"/>
              <w:tr2bl w:val="nil"/>
            </w:tcBorders>
            <w:shd w:val="clear" w:color="auto" w:fill="auto"/>
            <w:noWrap w:val="0"/>
            <w:vAlign w:val="center"/>
          </w:tcPr>
          <w:p w14:paraId="183B7E7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2.13</w:t>
            </w:r>
          </w:p>
        </w:tc>
        <w:tc>
          <w:tcPr>
            <w:tcW w:w="803" w:type="pct"/>
            <w:tcBorders>
              <w:tl2br w:val="nil"/>
              <w:tr2bl w:val="nil"/>
            </w:tcBorders>
            <w:shd w:val="clear" w:color="auto" w:fill="auto"/>
            <w:noWrap w:val="0"/>
            <w:vAlign w:val="center"/>
          </w:tcPr>
          <w:p w14:paraId="774D6AF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0.13</w:t>
            </w:r>
          </w:p>
        </w:tc>
        <w:tc>
          <w:tcPr>
            <w:tcW w:w="1311" w:type="dxa"/>
            <w:tcBorders>
              <w:tl2br w:val="nil"/>
              <w:tr2bl w:val="nil"/>
            </w:tcBorders>
            <w:shd w:val="clear" w:color="auto" w:fill="auto"/>
            <w:noWrap w:val="0"/>
            <w:vAlign w:val="center"/>
          </w:tcPr>
          <w:p w14:paraId="4667275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3.33</w:t>
            </w:r>
          </w:p>
        </w:tc>
        <w:tc>
          <w:tcPr>
            <w:tcW w:w="819" w:type="pct"/>
            <w:tcBorders>
              <w:tl2br w:val="nil"/>
              <w:tr2bl w:val="nil"/>
            </w:tcBorders>
            <w:noWrap w:val="0"/>
            <w:vAlign w:val="center"/>
          </w:tcPr>
          <w:p w14:paraId="1839EAB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0.11</w:t>
            </w:r>
          </w:p>
        </w:tc>
      </w:tr>
      <w:tr w14:paraId="0F0107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5616E429">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铅</w:t>
            </w:r>
          </w:p>
        </w:tc>
        <w:tc>
          <w:tcPr>
            <w:tcW w:w="1090" w:type="pct"/>
            <w:tcBorders>
              <w:tl2br w:val="nil"/>
              <w:tr2bl w:val="nil"/>
            </w:tcBorders>
            <w:noWrap w:val="0"/>
            <w:vAlign w:val="center"/>
          </w:tcPr>
          <w:p w14:paraId="07B15977">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170</w:t>
            </w:r>
          </w:p>
        </w:tc>
        <w:tc>
          <w:tcPr>
            <w:tcW w:w="1182" w:type="dxa"/>
            <w:tcBorders>
              <w:tl2br w:val="nil"/>
              <w:tr2bl w:val="nil"/>
            </w:tcBorders>
            <w:shd w:val="clear" w:color="auto" w:fill="auto"/>
            <w:noWrap w:val="0"/>
            <w:vAlign w:val="center"/>
          </w:tcPr>
          <w:p w14:paraId="2082E98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30</w:t>
            </w:r>
          </w:p>
        </w:tc>
        <w:tc>
          <w:tcPr>
            <w:tcW w:w="803" w:type="pct"/>
            <w:tcBorders>
              <w:tl2br w:val="nil"/>
              <w:tr2bl w:val="nil"/>
            </w:tcBorders>
            <w:shd w:val="clear" w:color="auto" w:fill="auto"/>
            <w:noWrap w:val="0"/>
            <w:vAlign w:val="center"/>
          </w:tcPr>
          <w:p w14:paraId="569079E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0.19</w:t>
            </w:r>
          </w:p>
        </w:tc>
        <w:tc>
          <w:tcPr>
            <w:tcW w:w="1311" w:type="dxa"/>
            <w:tcBorders>
              <w:tl2br w:val="nil"/>
              <w:tr2bl w:val="nil"/>
            </w:tcBorders>
            <w:shd w:val="clear" w:color="auto" w:fill="auto"/>
            <w:noWrap w:val="0"/>
            <w:vAlign w:val="center"/>
          </w:tcPr>
          <w:p w14:paraId="36EFDBE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33</w:t>
            </w:r>
          </w:p>
        </w:tc>
        <w:tc>
          <w:tcPr>
            <w:tcW w:w="819" w:type="pct"/>
            <w:tcBorders>
              <w:tl2br w:val="nil"/>
              <w:tr2bl w:val="nil"/>
            </w:tcBorders>
            <w:noWrap w:val="0"/>
            <w:vAlign w:val="center"/>
          </w:tcPr>
          <w:p w14:paraId="2FE08BF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0.27</w:t>
            </w:r>
          </w:p>
        </w:tc>
      </w:tr>
      <w:tr w14:paraId="2233662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46F970BB">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铬</w:t>
            </w:r>
          </w:p>
        </w:tc>
        <w:tc>
          <w:tcPr>
            <w:tcW w:w="1090" w:type="pct"/>
            <w:tcBorders>
              <w:tl2br w:val="nil"/>
              <w:tr2bl w:val="nil"/>
            </w:tcBorders>
            <w:noWrap w:val="0"/>
            <w:vAlign w:val="center"/>
          </w:tcPr>
          <w:p w14:paraId="5804DA09">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250</w:t>
            </w:r>
          </w:p>
        </w:tc>
        <w:tc>
          <w:tcPr>
            <w:tcW w:w="1182" w:type="dxa"/>
            <w:tcBorders>
              <w:tl2br w:val="nil"/>
              <w:tr2bl w:val="nil"/>
            </w:tcBorders>
            <w:shd w:val="clear" w:color="auto" w:fill="auto"/>
            <w:noWrap w:val="0"/>
            <w:vAlign w:val="center"/>
          </w:tcPr>
          <w:p w14:paraId="479FFE12">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49</w:t>
            </w:r>
          </w:p>
        </w:tc>
        <w:tc>
          <w:tcPr>
            <w:tcW w:w="803" w:type="pct"/>
            <w:tcBorders>
              <w:tl2br w:val="nil"/>
              <w:tr2bl w:val="nil"/>
            </w:tcBorders>
            <w:shd w:val="clear" w:color="auto" w:fill="auto"/>
            <w:noWrap w:val="0"/>
            <w:vAlign w:val="center"/>
          </w:tcPr>
          <w:p w14:paraId="4D45F26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0.14</w:t>
            </w:r>
          </w:p>
        </w:tc>
        <w:tc>
          <w:tcPr>
            <w:tcW w:w="1311" w:type="dxa"/>
            <w:tcBorders>
              <w:tl2br w:val="nil"/>
              <w:tr2bl w:val="nil"/>
            </w:tcBorders>
            <w:shd w:val="clear" w:color="auto" w:fill="auto"/>
            <w:noWrap w:val="0"/>
            <w:vAlign w:val="center"/>
          </w:tcPr>
          <w:p w14:paraId="2A643D0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39</w:t>
            </w:r>
          </w:p>
        </w:tc>
        <w:tc>
          <w:tcPr>
            <w:tcW w:w="819" w:type="pct"/>
            <w:tcBorders>
              <w:tl2br w:val="nil"/>
              <w:tr2bl w:val="nil"/>
            </w:tcBorders>
            <w:noWrap w:val="0"/>
            <w:vAlign w:val="center"/>
          </w:tcPr>
          <w:p w14:paraId="7CB571B4">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0.13</w:t>
            </w:r>
          </w:p>
        </w:tc>
      </w:tr>
      <w:tr w14:paraId="6DFC48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0A69633C">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铜</w:t>
            </w:r>
          </w:p>
        </w:tc>
        <w:tc>
          <w:tcPr>
            <w:tcW w:w="1090" w:type="pct"/>
            <w:tcBorders>
              <w:tl2br w:val="nil"/>
              <w:tr2bl w:val="nil"/>
            </w:tcBorders>
            <w:noWrap w:val="0"/>
            <w:vAlign w:val="center"/>
          </w:tcPr>
          <w:p w14:paraId="07D665FB">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100</w:t>
            </w:r>
          </w:p>
        </w:tc>
        <w:tc>
          <w:tcPr>
            <w:tcW w:w="1182" w:type="dxa"/>
            <w:tcBorders>
              <w:tl2br w:val="nil"/>
              <w:tr2bl w:val="nil"/>
            </w:tcBorders>
            <w:shd w:val="clear" w:color="auto" w:fill="auto"/>
            <w:noWrap w:val="0"/>
            <w:vAlign w:val="center"/>
          </w:tcPr>
          <w:p w14:paraId="20E5BC06">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w:t>
            </w:r>
          </w:p>
        </w:tc>
        <w:tc>
          <w:tcPr>
            <w:tcW w:w="803" w:type="pct"/>
            <w:tcBorders>
              <w:tl2br w:val="nil"/>
              <w:tr2bl w:val="nil"/>
            </w:tcBorders>
            <w:shd w:val="clear" w:color="auto" w:fill="auto"/>
            <w:noWrap w:val="0"/>
            <w:vAlign w:val="center"/>
          </w:tcPr>
          <w:p w14:paraId="05CF1CE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0.28</w:t>
            </w:r>
          </w:p>
        </w:tc>
        <w:tc>
          <w:tcPr>
            <w:tcW w:w="1311" w:type="dxa"/>
            <w:tcBorders>
              <w:tl2br w:val="nil"/>
              <w:tr2bl w:val="nil"/>
            </w:tcBorders>
            <w:shd w:val="clear" w:color="auto" w:fill="auto"/>
            <w:noWrap w:val="0"/>
            <w:vAlign w:val="center"/>
          </w:tcPr>
          <w:p w14:paraId="3CBA822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w:t>
            </w:r>
          </w:p>
        </w:tc>
        <w:tc>
          <w:tcPr>
            <w:tcW w:w="819" w:type="pct"/>
            <w:tcBorders>
              <w:tl2br w:val="nil"/>
              <w:tr2bl w:val="nil"/>
            </w:tcBorders>
            <w:noWrap w:val="0"/>
            <w:vAlign w:val="center"/>
          </w:tcPr>
          <w:p w14:paraId="3B550C6D">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0.34</w:t>
            </w:r>
          </w:p>
        </w:tc>
      </w:tr>
      <w:tr w14:paraId="53C204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063A267D">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镍</w:t>
            </w:r>
          </w:p>
        </w:tc>
        <w:tc>
          <w:tcPr>
            <w:tcW w:w="1090" w:type="pct"/>
            <w:tcBorders>
              <w:tl2br w:val="nil"/>
              <w:tr2bl w:val="nil"/>
            </w:tcBorders>
            <w:noWrap w:val="0"/>
            <w:vAlign w:val="center"/>
          </w:tcPr>
          <w:p w14:paraId="56D0E4F5">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190</w:t>
            </w:r>
          </w:p>
        </w:tc>
        <w:tc>
          <w:tcPr>
            <w:tcW w:w="1182" w:type="dxa"/>
            <w:tcBorders>
              <w:tl2br w:val="nil"/>
              <w:tr2bl w:val="nil"/>
            </w:tcBorders>
            <w:noWrap w:val="0"/>
            <w:vAlign w:val="center"/>
          </w:tcPr>
          <w:p w14:paraId="1772F7B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53</w:t>
            </w:r>
          </w:p>
        </w:tc>
        <w:tc>
          <w:tcPr>
            <w:tcW w:w="803" w:type="pct"/>
            <w:tcBorders>
              <w:tl2br w:val="nil"/>
              <w:tr2bl w:val="nil"/>
            </w:tcBorders>
            <w:noWrap w:val="0"/>
            <w:vAlign w:val="center"/>
          </w:tcPr>
          <w:p w14:paraId="0E32918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0.13</w:t>
            </w:r>
          </w:p>
        </w:tc>
        <w:tc>
          <w:tcPr>
            <w:tcW w:w="1311" w:type="dxa"/>
            <w:tcBorders>
              <w:tl2br w:val="nil"/>
              <w:tr2bl w:val="nil"/>
            </w:tcBorders>
            <w:shd w:val="clear" w:color="auto" w:fill="auto"/>
            <w:noWrap w:val="0"/>
            <w:vAlign w:val="center"/>
          </w:tcPr>
          <w:p w14:paraId="74F25BD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53</w:t>
            </w:r>
          </w:p>
        </w:tc>
        <w:tc>
          <w:tcPr>
            <w:tcW w:w="819" w:type="pct"/>
            <w:tcBorders>
              <w:tl2br w:val="nil"/>
              <w:tr2bl w:val="nil"/>
            </w:tcBorders>
            <w:noWrap w:val="0"/>
            <w:vAlign w:val="center"/>
          </w:tcPr>
          <w:p w14:paraId="0008E46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0.14</w:t>
            </w:r>
          </w:p>
        </w:tc>
      </w:tr>
      <w:tr w14:paraId="7814FC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23" w:type="pct"/>
            <w:tcBorders>
              <w:tl2br w:val="nil"/>
              <w:tr2bl w:val="nil"/>
            </w:tcBorders>
            <w:noWrap w:val="0"/>
            <w:vAlign w:val="center"/>
          </w:tcPr>
          <w:p w14:paraId="1838AE2E">
            <w:pPr>
              <w:pStyle w:val="161"/>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锌</w:t>
            </w:r>
          </w:p>
        </w:tc>
        <w:tc>
          <w:tcPr>
            <w:tcW w:w="1090" w:type="pct"/>
            <w:tcBorders>
              <w:tl2br w:val="nil"/>
              <w:tr2bl w:val="nil"/>
            </w:tcBorders>
            <w:noWrap w:val="0"/>
            <w:vAlign w:val="center"/>
          </w:tcPr>
          <w:p w14:paraId="1A22332E">
            <w:pPr>
              <w:pStyle w:val="161"/>
              <w:bidi w:val="0"/>
              <w:jc w:val="center"/>
              <w:rPr>
                <w:rFonts w:hint="default" w:ascii="Times New Roman" w:hAnsi="Times New Roman" w:eastAsia="宋体" w:cs="Times New Roman"/>
                <w:color w:val="auto"/>
                <w:spacing w:val="-17"/>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300</w:t>
            </w:r>
          </w:p>
        </w:tc>
        <w:tc>
          <w:tcPr>
            <w:tcW w:w="1182" w:type="dxa"/>
            <w:tcBorders>
              <w:tl2br w:val="nil"/>
              <w:tr2bl w:val="nil"/>
            </w:tcBorders>
            <w:shd w:val="clear" w:color="auto" w:fill="auto"/>
            <w:noWrap w:val="0"/>
            <w:vAlign w:val="center"/>
          </w:tcPr>
          <w:p w14:paraId="37388F8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49</w:t>
            </w:r>
          </w:p>
        </w:tc>
        <w:tc>
          <w:tcPr>
            <w:tcW w:w="803" w:type="pct"/>
            <w:tcBorders>
              <w:tl2br w:val="nil"/>
              <w:tr2bl w:val="nil"/>
            </w:tcBorders>
            <w:shd w:val="clear" w:color="auto" w:fill="auto"/>
            <w:noWrap w:val="0"/>
            <w:vAlign w:val="center"/>
          </w:tcPr>
          <w:p w14:paraId="33BA6B6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0.07</w:t>
            </w:r>
          </w:p>
        </w:tc>
        <w:tc>
          <w:tcPr>
            <w:tcW w:w="1311" w:type="dxa"/>
            <w:tcBorders>
              <w:tl2br w:val="nil"/>
              <w:tr2bl w:val="nil"/>
            </w:tcBorders>
            <w:shd w:val="clear" w:color="auto" w:fill="auto"/>
            <w:noWrap w:val="0"/>
            <w:vAlign w:val="center"/>
          </w:tcPr>
          <w:p w14:paraId="37B74521">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45</w:t>
            </w:r>
          </w:p>
        </w:tc>
        <w:tc>
          <w:tcPr>
            <w:tcW w:w="819" w:type="pct"/>
            <w:tcBorders>
              <w:tl2br w:val="nil"/>
              <w:tr2bl w:val="nil"/>
            </w:tcBorders>
            <w:noWrap w:val="0"/>
            <w:vAlign w:val="center"/>
          </w:tcPr>
          <w:p w14:paraId="08A48E32">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0.10</w:t>
            </w:r>
          </w:p>
        </w:tc>
      </w:tr>
    </w:tbl>
    <w:p w14:paraId="6927238D">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土壤理化特性调查表</w:t>
      </w:r>
    </w:p>
    <w:tbl>
      <w:tblPr>
        <w:tblStyle w:val="317"/>
        <w:tblW w:w="522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2"/>
        <w:gridCol w:w="801"/>
        <w:gridCol w:w="688"/>
        <w:gridCol w:w="688"/>
        <w:gridCol w:w="688"/>
        <w:gridCol w:w="691"/>
        <w:gridCol w:w="1285"/>
        <w:gridCol w:w="1290"/>
        <w:gridCol w:w="1223"/>
        <w:gridCol w:w="1166"/>
      </w:tblGrid>
      <w:tr w14:paraId="1CA896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564" w:type="pct"/>
            <w:gridSpan w:val="2"/>
            <w:tcBorders>
              <w:tl2br w:val="nil"/>
              <w:tr2bl w:val="nil"/>
            </w:tcBorders>
            <w:noWrap w:val="0"/>
            <w:vAlign w:val="center"/>
          </w:tcPr>
          <w:p w14:paraId="545F4ECE">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监测点位</w:t>
            </w:r>
          </w:p>
        </w:tc>
        <w:tc>
          <w:tcPr>
            <w:tcW w:w="1582" w:type="pct"/>
            <w:gridSpan w:val="4"/>
            <w:tcBorders>
              <w:tl2br w:val="nil"/>
              <w:tr2bl w:val="nil"/>
            </w:tcBorders>
            <w:noWrap w:val="0"/>
            <w:vAlign w:val="center"/>
          </w:tcPr>
          <w:p w14:paraId="701B51C1">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right="0" w:firstLine="0" w:firstLineChars="0"/>
              <w:jc w:val="center"/>
              <w:textAlignment w:val="auto"/>
              <w:outlineLvl w:val="9"/>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Tr1#</w:t>
            </w:r>
          </w:p>
        </w:tc>
        <w:tc>
          <w:tcPr>
            <w:tcW w:w="738" w:type="pct"/>
            <w:tcBorders>
              <w:tl2br w:val="nil"/>
              <w:tr2bl w:val="nil"/>
            </w:tcBorders>
            <w:noWrap w:val="0"/>
            <w:vAlign w:val="center"/>
          </w:tcPr>
          <w:p w14:paraId="360B0B3D">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right="0" w:firstLine="0" w:firstLineChars="0"/>
              <w:jc w:val="center"/>
              <w:textAlignment w:val="auto"/>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Tr</w:t>
            </w:r>
            <w:r>
              <w:rPr>
                <w:rFonts w:hint="eastAsia"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w:t>
            </w:r>
          </w:p>
        </w:tc>
        <w:tc>
          <w:tcPr>
            <w:tcW w:w="741" w:type="pct"/>
            <w:tcBorders>
              <w:tl2br w:val="nil"/>
              <w:tr2bl w:val="nil"/>
            </w:tcBorders>
            <w:noWrap w:val="0"/>
            <w:vAlign w:val="center"/>
          </w:tcPr>
          <w:p w14:paraId="3C54DC8B">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right="0" w:firstLine="0" w:firstLineChars="0"/>
              <w:jc w:val="center"/>
              <w:textAlignment w:val="auto"/>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Tr</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702" w:type="pct"/>
            <w:tcBorders>
              <w:tl2br w:val="nil"/>
              <w:tr2bl w:val="nil"/>
            </w:tcBorders>
            <w:noWrap w:val="0"/>
            <w:vAlign w:val="center"/>
          </w:tcPr>
          <w:p w14:paraId="2D43AE59">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right="0" w:firstLine="0" w:firstLineChars="0"/>
              <w:jc w:val="center"/>
              <w:textAlignment w:val="auto"/>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Tr</w:t>
            </w:r>
            <w:r>
              <w:rPr>
                <w:rFonts w:hint="eastAsia"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w:t>
            </w:r>
          </w:p>
        </w:tc>
        <w:tc>
          <w:tcPr>
            <w:tcW w:w="670" w:type="pct"/>
            <w:tcBorders>
              <w:tl2br w:val="nil"/>
              <w:tr2bl w:val="nil"/>
            </w:tcBorders>
            <w:shd w:val="clear" w:color="auto" w:fill="auto"/>
            <w:noWrap w:val="0"/>
            <w:vAlign w:val="center"/>
          </w:tcPr>
          <w:p w14:paraId="0D338374">
            <w:pPr>
              <w:keepNext w:val="0"/>
              <w:keepLines w:val="0"/>
              <w:pageBreakBefore w:val="0"/>
              <w:widowControl w:val="0"/>
              <w:tabs>
                <w:tab w:val="left" w:pos="1255"/>
              </w:tabs>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Tr</w:t>
            </w:r>
            <w:r>
              <w:rPr>
                <w:rFonts w:hint="eastAsia"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val="en-US" w:eastAsia="zh-CN"/>
              </w:rPr>
              <w:t>#</w:t>
            </w:r>
          </w:p>
        </w:tc>
      </w:tr>
      <w:tr w14:paraId="546003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564" w:type="pct"/>
            <w:gridSpan w:val="2"/>
            <w:tcBorders>
              <w:tl2br w:val="nil"/>
              <w:tr2bl w:val="nil"/>
            </w:tcBorders>
            <w:noWrap w:val="0"/>
            <w:vAlign w:val="center"/>
          </w:tcPr>
          <w:p w14:paraId="73238D97">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地理坐标</w:t>
            </w:r>
          </w:p>
        </w:tc>
        <w:tc>
          <w:tcPr>
            <w:tcW w:w="1582" w:type="pct"/>
            <w:gridSpan w:val="4"/>
            <w:tcBorders>
              <w:tl2br w:val="nil"/>
              <w:tr2bl w:val="nil"/>
            </w:tcBorders>
            <w:noWrap w:val="0"/>
            <w:vAlign w:val="center"/>
          </w:tcPr>
          <w:p w14:paraId="4EA67F7E">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E</w:t>
            </w:r>
            <w:r>
              <w:rPr>
                <w:rFonts w:hint="default" w:ascii="Times New Roman" w:hAnsi="Times New Roman" w:eastAsia="宋体" w:cs="Times New Roman"/>
                <w:b w:val="0"/>
                <w:bCs w:val="0"/>
                <w:color w:val="auto"/>
                <w:sz w:val="21"/>
                <w:szCs w:val="21"/>
                <w:highlight w:val="none"/>
                <w:lang w:eastAsia="zh-CN"/>
              </w:rPr>
              <w:t>117.792955339</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eastAsia="zh-CN"/>
              </w:rPr>
              <w:t>N41.245650236</w:t>
            </w:r>
            <w:r>
              <w:rPr>
                <w:rFonts w:hint="default" w:ascii="Times New Roman" w:hAnsi="Times New Roman" w:eastAsia="宋体" w:cs="Times New Roman"/>
                <w:b w:val="0"/>
                <w:bCs w:val="0"/>
                <w:color w:val="auto"/>
                <w:sz w:val="21"/>
                <w:szCs w:val="21"/>
                <w:highlight w:val="none"/>
              </w:rPr>
              <w:t>°</w:t>
            </w:r>
          </w:p>
        </w:tc>
        <w:tc>
          <w:tcPr>
            <w:tcW w:w="738" w:type="pct"/>
            <w:tcBorders>
              <w:tl2br w:val="nil"/>
              <w:tr2bl w:val="nil"/>
            </w:tcBorders>
            <w:noWrap w:val="0"/>
            <w:vAlign w:val="center"/>
          </w:tcPr>
          <w:p w14:paraId="4D468BC2">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b w:val="0"/>
                <w:bCs w:val="0"/>
                <w:color w:val="auto"/>
                <w:spacing w:val="-28"/>
                <w:sz w:val="21"/>
                <w:szCs w:val="21"/>
                <w:highlight w:val="none"/>
                <w:lang w:eastAsia="zh-CN"/>
              </w:rPr>
            </w:pPr>
            <w:r>
              <w:rPr>
                <w:rFonts w:hint="default" w:ascii="Times New Roman" w:hAnsi="Times New Roman" w:eastAsia="宋体" w:cs="Times New Roman"/>
                <w:b w:val="0"/>
                <w:bCs w:val="0"/>
                <w:color w:val="auto"/>
                <w:spacing w:val="-28"/>
                <w:sz w:val="21"/>
                <w:szCs w:val="21"/>
                <w:highlight w:val="none"/>
                <w:lang w:eastAsia="zh-CN"/>
              </w:rPr>
              <w:t>E117.796552183</w:t>
            </w:r>
            <w:r>
              <w:rPr>
                <w:rFonts w:hint="default" w:ascii="Times New Roman" w:hAnsi="Times New Roman" w:eastAsia="宋体" w:cs="Times New Roman"/>
                <w:b w:val="0"/>
                <w:bCs w:val="0"/>
                <w:color w:val="auto"/>
                <w:spacing w:val="-28"/>
                <w:sz w:val="21"/>
                <w:szCs w:val="21"/>
                <w:highlight w:val="none"/>
              </w:rPr>
              <w:t>°</w:t>
            </w:r>
            <w:r>
              <w:rPr>
                <w:rFonts w:hint="default" w:ascii="Times New Roman" w:hAnsi="Times New Roman" w:cs="Times New Roman"/>
                <w:b w:val="0"/>
                <w:bCs w:val="0"/>
                <w:color w:val="auto"/>
                <w:spacing w:val="-28"/>
                <w:sz w:val="21"/>
                <w:szCs w:val="21"/>
                <w:highlight w:val="none"/>
                <w:lang w:eastAsia="zh-CN"/>
              </w:rPr>
              <w:t>、</w:t>
            </w:r>
            <w:r>
              <w:rPr>
                <w:rFonts w:hint="default" w:ascii="Times New Roman" w:hAnsi="Times New Roman" w:eastAsia="宋体" w:cs="Times New Roman"/>
                <w:b w:val="0"/>
                <w:bCs w:val="0"/>
                <w:color w:val="auto"/>
                <w:spacing w:val="-28"/>
                <w:sz w:val="21"/>
                <w:szCs w:val="21"/>
                <w:highlight w:val="none"/>
                <w:lang w:eastAsia="zh-CN"/>
              </w:rPr>
              <w:t>N</w:t>
            </w:r>
            <w:r>
              <w:rPr>
                <w:rFonts w:hint="default" w:ascii="Times New Roman" w:hAnsi="Times New Roman" w:eastAsia="宋体" w:cs="Times New Roman"/>
                <w:b w:val="0"/>
                <w:bCs w:val="0"/>
                <w:color w:val="auto"/>
                <w:spacing w:val="-28"/>
                <w:sz w:val="21"/>
                <w:szCs w:val="21"/>
                <w:highlight w:val="none"/>
              </w:rPr>
              <w:t>41.24659035°</w:t>
            </w:r>
          </w:p>
        </w:tc>
        <w:tc>
          <w:tcPr>
            <w:tcW w:w="741" w:type="pct"/>
            <w:tcBorders>
              <w:tl2br w:val="nil"/>
              <w:tr2bl w:val="nil"/>
            </w:tcBorders>
            <w:noWrap w:val="0"/>
            <w:vAlign w:val="center"/>
          </w:tcPr>
          <w:p w14:paraId="7B1C9D54">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b w:val="0"/>
                <w:bCs w:val="0"/>
                <w:color w:val="auto"/>
                <w:spacing w:val="-28"/>
                <w:sz w:val="21"/>
                <w:szCs w:val="21"/>
                <w:highlight w:val="none"/>
                <w:lang w:eastAsia="zh-CN"/>
              </w:rPr>
            </w:pPr>
            <w:r>
              <w:rPr>
                <w:rFonts w:hint="default" w:ascii="Times New Roman" w:hAnsi="Times New Roman" w:eastAsia="宋体" w:cs="Times New Roman"/>
                <w:b w:val="0"/>
                <w:bCs w:val="0"/>
                <w:color w:val="auto"/>
                <w:spacing w:val="-28"/>
                <w:sz w:val="21"/>
                <w:szCs w:val="21"/>
                <w:highlight w:val="none"/>
                <w:lang w:eastAsia="zh-CN"/>
              </w:rPr>
              <w:t>E</w:t>
            </w:r>
            <w:r>
              <w:rPr>
                <w:rFonts w:hint="default" w:ascii="Times New Roman" w:hAnsi="Times New Roman" w:eastAsia="宋体" w:cs="Times New Roman"/>
                <w:b w:val="0"/>
                <w:bCs w:val="0"/>
                <w:color w:val="auto"/>
                <w:spacing w:val="-28"/>
                <w:sz w:val="21"/>
                <w:szCs w:val="21"/>
                <w:highlight w:val="none"/>
              </w:rPr>
              <w:t>117.793481053</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cs="Times New Roman"/>
                <w:b w:val="0"/>
                <w:bCs w:val="0"/>
                <w:color w:val="auto"/>
                <w:spacing w:val="-28"/>
                <w:sz w:val="21"/>
                <w:szCs w:val="21"/>
                <w:highlight w:val="none"/>
                <w:lang w:eastAsia="zh-CN"/>
              </w:rPr>
              <w:t>、</w:t>
            </w:r>
            <w:r>
              <w:rPr>
                <w:rFonts w:hint="default" w:ascii="Times New Roman" w:hAnsi="Times New Roman" w:eastAsia="宋体" w:cs="Times New Roman"/>
                <w:b w:val="0"/>
                <w:bCs w:val="0"/>
                <w:color w:val="auto"/>
                <w:spacing w:val="-28"/>
                <w:sz w:val="21"/>
                <w:szCs w:val="21"/>
                <w:highlight w:val="none"/>
                <w:lang w:eastAsia="zh-CN"/>
              </w:rPr>
              <w:t>N</w:t>
            </w:r>
            <w:r>
              <w:rPr>
                <w:rFonts w:hint="default" w:ascii="Times New Roman" w:hAnsi="Times New Roman" w:eastAsia="宋体" w:cs="Times New Roman"/>
                <w:b w:val="0"/>
                <w:bCs w:val="0"/>
                <w:color w:val="auto"/>
                <w:spacing w:val="-28"/>
                <w:sz w:val="21"/>
                <w:szCs w:val="21"/>
                <w:highlight w:val="none"/>
              </w:rPr>
              <w:t>41.240533922°</w:t>
            </w:r>
          </w:p>
        </w:tc>
        <w:tc>
          <w:tcPr>
            <w:tcW w:w="702" w:type="pct"/>
            <w:tcBorders>
              <w:tl2br w:val="nil"/>
              <w:tr2bl w:val="nil"/>
            </w:tcBorders>
            <w:noWrap w:val="0"/>
            <w:vAlign w:val="center"/>
          </w:tcPr>
          <w:p w14:paraId="73CF3679">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b w:val="0"/>
                <w:bCs w:val="0"/>
                <w:color w:val="auto"/>
                <w:spacing w:val="-28"/>
                <w:sz w:val="21"/>
                <w:szCs w:val="21"/>
                <w:highlight w:val="none"/>
                <w:lang w:eastAsia="zh-CN"/>
              </w:rPr>
            </w:pPr>
            <w:r>
              <w:rPr>
                <w:rFonts w:hint="default" w:ascii="Times New Roman" w:hAnsi="Times New Roman" w:eastAsia="宋体" w:cs="Times New Roman"/>
                <w:b w:val="0"/>
                <w:bCs w:val="0"/>
                <w:color w:val="auto"/>
                <w:spacing w:val="-28"/>
                <w:sz w:val="21"/>
                <w:szCs w:val="21"/>
                <w:highlight w:val="none"/>
                <w:lang w:eastAsia="zh-CN"/>
              </w:rPr>
              <w:t>E</w:t>
            </w:r>
            <w:r>
              <w:rPr>
                <w:rFonts w:hint="default" w:ascii="Times New Roman" w:hAnsi="Times New Roman" w:eastAsia="宋体" w:cs="Times New Roman"/>
                <w:b w:val="0"/>
                <w:bCs w:val="0"/>
                <w:color w:val="auto"/>
                <w:spacing w:val="-28"/>
                <w:sz w:val="21"/>
                <w:szCs w:val="21"/>
                <w:highlight w:val="none"/>
              </w:rPr>
              <w:t>117.790934294°</w:t>
            </w:r>
            <w:r>
              <w:rPr>
                <w:rFonts w:hint="default" w:ascii="Times New Roman" w:hAnsi="Times New Roman" w:cs="Times New Roman"/>
                <w:b w:val="0"/>
                <w:bCs w:val="0"/>
                <w:color w:val="auto"/>
                <w:spacing w:val="-28"/>
                <w:sz w:val="21"/>
                <w:szCs w:val="21"/>
                <w:highlight w:val="none"/>
                <w:lang w:eastAsia="zh-CN"/>
              </w:rPr>
              <w:t>、</w:t>
            </w:r>
            <w:r>
              <w:rPr>
                <w:rFonts w:hint="default" w:ascii="Times New Roman" w:hAnsi="Times New Roman" w:eastAsia="宋体" w:cs="Times New Roman"/>
                <w:b w:val="0"/>
                <w:bCs w:val="0"/>
                <w:color w:val="auto"/>
                <w:spacing w:val="-28"/>
                <w:sz w:val="21"/>
                <w:szCs w:val="21"/>
                <w:highlight w:val="none"/>
                <w:lang w:eastAsia="zh-CN"/>
              </w:rPr>
              <w:t>N</w:t>
            </w:r>
            <w:r>
              <w:rPr>
                <w:rFonts w:hint="default" w:ascii="Times New Roman" w:hAnsi="Times New Roman" w:eastAsia="宋体" w:cs="Times New Roman"/>
                <w:b w:val="0"/>
                <w:bCs w:val="0"/>
                <w:color w:val="auto"/>
                <w:spacing w:val="-28"/>
                <w:sz w:val="21"/>
                <w:szCs w:val="21"/>
                <w:highlight w:val="none"/>
              </w:rPr>
              <w:t>41.245927844°</w:t>
            </w:r>
          </w:p>
        </w:tc>
        <w:tc>
          <w:tcPr>
            <w:tcW w:w="670" w:type="pct"/>
            <w:tcBorders>
              <w:tl2br w:val="nil"/>
              <w:tr2bl w:val="nil"/>
            </w:tcBorders>
            <w:shd w:val="clear" w:color="auto" w:fill="auto"/>
            <w:noWrap w:val="0"/>
            <w:vAlign w:val="center"/>
          </w:tcPr>
          <w:p w14:paraId="506C622D">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28"/>
                <w:kern w:val="2"/>
                <w:sz w:val="21"/>
                <w:szCs w:val="21"/>
                <w:highlight w:val="none"/>
                <w:lang w:val="en-US" w:eastAsia="zh-CN" w:bidi="ar-SA"/>
              </w:rPr>
            </w:pPr>
            <w:r>
              <w:rPr>
                <w:rFonts w:hint="default" w:ascii="Times New Roman" w:hAnsi="Times New Roman" w:eastAsia="宋体" w:cs="Times New Roman"/>
                <w:b w:val="0"/>
                <w:bCs w:val="0"/>
                <w:color w:val="auto"/>
                <w:spacing w:val="-28"/>
                <w:sz w:val="21"/>
                <w:szCs w:val="21"/>
                <w:highlight w:val="none"/>
                <w:lang w:eastAsia="zh-CN"/>
              </w:rPr>
              <w:t>E</w:t>
            </w:r>
            <w:r>
              <w:rPr>
                <w:rFonts w:hint="default" w:ascii="Times New Roman" w:hAnsi="Times New Roman" w:eastAsia="宋体" w:cs="Times New Roman"/>
                <w:b w:val="0"/>
                <w:bCs w:val="0"/>
                <w:color w:val="auto"/>
                <w:spacing w:val="-28"/>
                <w:sz w:val="21"/>
                <w:szCs w:val="21"/>
                <w:highlight w:val="none"/>
              </w:rPr>
              <w:t>117.796180696°</w:t>
            </w:r>
            <w:r>
              <w:rPr>
                <w:rFonts w:hint="default" w:ascii="Times New Roman" w:hAnsi="Times New Roman" w:cs="Times New Roman"/>
                <w:b w:val="0"/>
                <w:bCs w:val="0"/>
                <w:color w:val="auto"/>
                <w:spacing w:val="-28"/>
                <w:sz w:val="21"/>
                <w:szCs w:val="21"/>
                <w:highlight w:val="none"/>
                <w:lang w:eastAsia="zh-CN"/>
              </w:rPr>
              <w:t>、</w:t>
            </w:r>
            <w:r>
              <w:rPr>
                <w:rFonts w:hint="default" w:ascii="Times New Roman" w:hAnsi="Times New Roman" w:eastAsia="宋体" w:cs="Times New Roman"/>
                <w:b w:val="0"/>
                <w:bCs w:val="0"/>
                <w:color w:val="auto"/>
                <w:spacing w:val="-28"/>
                <w:sz w:val="21"/>
                <w:szCs w:val="21"/>
                <w:highlight w:val="none"/>
                <w:lang w:eastAsia="zh-CN"/>
              </w:rPr>
              <w:t>N</w:t>
            </w:r>
            <w:r>
              <w:rPr>
                <w:rFonts w:hint="default" w:ascii="Times New Roman" w:hAnsi="Times New Roman" w:eastAsia="宋体" w:cs="Times New Roman"/>
                <w:b w:val="0"/>
                <w:bCs w:val="0"/>
                <w:color w:val="auto"/>
                <w:spacing w:val="-28"/>
                <w:sz w:val="21"/>
                <w:szCs w:val="21"/>
                <w:highlight w:val="none"/>
              </w:rPr>
              <w:t>41.239034567°</w:t>
            </w:r>
          </w:p>
        </w:tc>
      </w:tr>
      <w:tr w14:paraId="0C6D2F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564" w:type="pct"/>
            <w:gridSpan w:val="2"/>
            <w:tcBorders>
              <w:tl2br w:val="nil"/>
              <w:tr2bl w:val="nil"/>
            </w:tcBorders>
            <w:noWrap w:val="0"/>
            <w:vAlign w:val="center"/>
          </w:tcPr>
          <w:p w14:paraId="60542900">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层次</w:t>
            </w:r>
            <w:r>
              <w:rPr>
                <w:rFonts w:hint="default" w:ascii="Times New Roman" w:hAnsi="Times New Roman" w:cs="Times New Roman"/>
                <w:color w:val="auto"/>
                <w:kern w:val="2"/>
                <w:sz w:val="21"/>
                <w:szCs w:val="21"/>
                <w:highlight w:val="none"/>
                <w:lang w:val="en-US" w:eastAsia="zh-CN" w:bidi="ar-SA"/>
              </w:rPr>
              <w:t>（m）</w:t>
            </w:r>
          </w:p>
        </w:tc>
        <w:tc>
          <w:tcPr>
            <w:tcW w:w="395" w:type="pct"/>
            <w:tcBorders>
              <w:tl2br w:val="nil"/>
              <w:tr2bl w:val="nil"/>
            </w:tcBorders>
            <w:noWrap w:val="0"/>
            <w:vAlign w:val="center"/>
          </w:tcPr>
          <w:p w14:paraId="358A034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0.2m</w:t>
            </w:r>
          </w:p>
        </w:tc>
        <w:tc>
          <w:tcPr>
            <w:tcW w:w="395" w:type="pct"/>
            <w:tcBorders>
              <w:tl2br w:val="nil"/>
              <w:tr2bl w:val="nil"/>
            </w:tcBorders>
            <w:noWrap w:val="0"/>
            <w:vAlign w:val="center"/>
          </w:tcPr>
          <w:p w14:paraId="2326259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1.0m</w:t>
            </w:r>
          </w:p>
        </w:tc>
        <w:tc>
          <w:tcPr>
            <w:tcW w:w="395" w:type="pct"/>
            <w:tcBorders>
              <w:tl2br w:val="nil"/>
              <w:tr2bl w:val="nil"/>
            </w:tcBorders>
            <w:noWrap w:val="0"/>
            <w:vAlign w:val="center"/>
          </w:tcPr>
          <w:p w14:paraId="2AD7415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2.2m</w:t>
            </w:r>
          </w:p>
        </w:tc>
        <w:tc>
          <w:tcPr>
            <w:tcW w:w="396" w:type="pct"/>
            <w:tcBorders>
              <w:tl2br w:val="nil"/>
              <w:tr2bl w:val="nil"/>
            </w:tcBorders>
            <w:noWrap w:val="0"/>
            <w:vAlign w:val="center"/>
          </w:tcPr>
          <w:p w14:paraId="6A1ED11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r>
              <w:rPr>
                <w:rFonts w:hint="eastAsia"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val="en-US" w:eastAsia="zh-CN"/>
              </w:rPr>
              <w:t>m</w:t>
            </w:r>
          </w:p>
        </w:tc>
        <w:tc>
          <w:tcPr>
            <w:tcW w:w="738" w:type="pct"/>
            <w:tcBorders>
              <w:tl2br w:val="nil"/>
              <w:tr2bl w:val="nil"/>
            </w:tcBorders>
            <w:noWrap w:val="0"/>
            <w:vAlign w:val="center"/>
          </w:tcPr>
          <w:p w14:paraId="50CCDA55">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w:t>
            </w:r>
          </w:p>
        </w:tc>
        <w:tc>
          <w:tcPr>
            <w:tcW w:w="741" w:type="pct"/>
            <w:tcBorders>
              <w:tl2br w:val="nil"/>
              <w:tr2bl w:val="nil"/>
            </w:tcBorders>
            <w:noWrap w:val="0"/>
            <w:vAlign w:val="center"/>
          </w:tcPr>
          <w:p w14:paraId="0E9C5E15">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w:t>
            </w:r>
          </w:p>
        </w:tc>
        <w:tc>
          <w:tcPr>
            <w:tcW w:w="702" w:type="pct"/>
            <w:tcBorders>
              <w:tl2br w:val="nil"/>
              <w:tr2bl w:val="nil"/>
            </w:tcBorders>
            <w:noWrap w:val="0"/>
            <w:vAlign w:val="center"/>
          </w:tcPr>
          <w:p w14:paraId="50D40F9D">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w:t>
            </w:r>
          </w:p>
        </w:tc>
        <w:tc>
          <w:tcPr>
            <w:tcW w:w="670" w:type="pct"/>
            <w:tcBorders>
              <w:tl2br w:val="nil"/>
              <w:tr2bl w:val="nil"/>
            </w:tcBorders>
            <w:shd w:val="clear" w:color="auto" w:fill="auto"/>
            <w:noWrap w:val="0"/>
            <w:vAlign w:val="center"/>
          </w:tcPr>
          <w:p w14:paraId="77616F3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w:t>
            </w:r>
          </w:p>
        </w:tc>
      </w:tr>
      <w:tr w14:paraId="3607E1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restart"/>
            <w:tcBorders>
              <w:tl2br w:val="nil"/>
              <w:tr2bl w:val="nil"/>
            </w:tcBorders>
            <w:noWrap w:val="0"/>
            <w:vAlign w:val="center"/>
          </w:tcPr>
          <w:p w14:paraId="06154E47">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现场记录</w:t>
            </w:r>
          </w:p>
        </w:tc>
        <w:tc>
          <w:tcPr>
            <w:tcW w:w="460" w:type="pct"/>
            <w:tcBorders>
              <w:tl2br w:val="nil"/>
              <w:tr2bl w:val="nil"/>
            </w:tcBorders>
            <w:noWrap w:val="0"/>
            <w:vAlign w:val="center"/>
          </w:tcPr>
          <w:p w14:paraId="0A63E711">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颜色</w:t>
            </w:r>
          </w:p>
        </w:tc>
        <w:tc>
          <w:tcPr>
            <w:tcW w:w="688" w:type="dxa"/>
            <w:tcBorders>
              <w:tl2br w:val="nil"/>
              <w:tr2bl w:val="nil"/>
            </w:tcBorders>
            <w:noWrap w:val="0"/>
            <w:vAlign w:val="center"/>
          </w:tcPr>
          <w:p w14:paraId="2977852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688" w:type="dxa"/>
            <w:tcBorders>
              <w:tl2br w:val="nil"/>
              <w:tr2bl w:val="nil"/>
            </w:tcBorders>
            <w:noWrap w:val="0"/>
            <w:vAlign w:val="center"/>
          </w:tcPr>
          <w:p w14:paraId="2808C8F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688" w:type="dxa"/>
            <w:tcBorders>
              <w:tl2br w:val="nil"/>
              <w:tr2bl w:val="nil"/>
            </w:tcBorders>
            <w:noWrap w:val="0"/>
            <w:vAlign w:val="center"/>
          </w:tcPr>
          <w:p w14:paraId="5B79634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691" w:type="dxa"/>
            <w:tcBorders>
              <w:tl2br w:val="nil"/>
              <w:tr2bl w:val="nil"/>
            </w:tcBorders>
            <w:noWrap w:val="0"/>
            <w:vAlign w:val="center"/>
          </w:tcPr>
          <w:p w14:paraId="221B0DD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1285" w:type="dxa"/>
            <w:tcBorders>
              <w:tl2br w:val="nil"/>
              <w:tr2bl w:val="nil"/>
            </w:tcBorders>
            <w:noWrap w:val="0"/>
            <w:vAlign w:val="center"/>
          </w:tcPr>
          <w:p w14:paraId="56E0ECA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暗栗</w:t>
            </w:r>
          </w:p>
        </w:tc>
        <w:tc>
          <w:tcPr>
            <w:tcW w:w="1290" w:type="dxa"/>
            <w:tcBorders>
              <w:tl2br w:val="nil"/>
              <w:tr2bl w:val="nil"/>
            </w:tcBorders>
            <w:noWrap w:val="0"/>
            <w:vAlign w:val="center"/>
          </w:tcPr>
          <w:p w14:paraId="30A9CAD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1223" w:type="dxa"/>
            <w:tcBorders>
              <w:tl2br w:val="nil"/>
              <w:tr2bl w:val="nil"/>
            </w:tcBorders>
            <w:noWrap w:val="0"/>
            <w:vAlign w:val="center"/>
          </w:tcPr>
          <w:p w14:paraId="25447DD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1166" w:type="dxa"/>
            <w:tcBorders>
              <w:tl2br w:val="nil"/>
              <w:tr2bl w:val="nil"/>
            </w:tcBorders>
            <w:shd w:val="clear" w:color="auto" w:fill="auto"/>
            <w:noWrap w:val="0"/>
            <w:vAlign w:val="center"/>
          </w:tcPr>
          <w:p w14:paraId="2DBF3396">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r>
      <w:tr w14:paraId="675AAB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719BCCB2">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60" w:type="pct"/>
            <w:tcBorders>
              <w:tl2br w:val="nil"/>
              <w:tr2bl w:val="nil"/>
            </w:tcBorders>
            <w:noWrap w:val="0"/>
            <w:vAlign w:val="center"/>
          </w:tcPr>
          <w:p w14:paraId="241E72DB">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结构</w:t>
            </w:r>
          </w:p>
        </w:tc>
        <w:tc>
          <w:tcPr>
            <w:tcW w:w="688" w:type="dxa"/>
            <w:tcBorders>
              <w:tl2br w:val="nil"/>
              <w:tr2bl w:val="nil"/>
            </w:tcBorders>
            <w:noWrap w:val="0"/>
            <w:vAlign w:val="center"/>
          </w:tcPr>
          <w:p w14:paraId="5DE57651">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c>
          <w:tcPr>
            <w:tcW w:w="688" w:type="dxa"/>
            <w:tcBorders>
              <w:tl2br w:val="nil"/>
              <w:tr2bl w:val="nil"/>
            </w:tcBorders>
            <w:noWrap w:val="0"/>
            <w:vAlign w:val="center"/>
          </w:tcPr>
          <w:p w14:paraId="10E7463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c>
          <w:tcPr>
            <w:tcW w:w="688" w:type="dxa"/>
            <w:tcBorders>
              <w:tl2br w:val="nil"/>
              <w:tr2bl w:val="nil"/>
            </w:tcBorders>
            <w:noWrap w:val="0"/>
            <w:vAlign w:val="center"/>
          </w:tcPr>
          <w:p w14:paraId="469F27D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c>
          <w:tcPr>
            <w:tcW w:w="691" w:type="dxa"/>
            <w:tcBorders>
              <w:tl2br w:val="nil"/>
              <w:tr2bl w:val="nil"/>
            </w:tcBorders>
            <w:noWrap w:val="0"/>
            <w:vAlign w:val="center"/>
          </w:tcPr>
          <w:p w14:paraId="131F25F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c>
          <w:tcPr>
            <w:tcW w:w="1285" w:type="dxa"/>
            <w:tcBorders>
              <w:tl2br w:val="nil"/>
              <w:tr2bl w:val="nil"/>
            </w:tcBorders>
            <w:noWrap w:val="0"/>
            <w:vAlign w:val="center"/>
          </w:tcPr>
          <w:p w14:paraId="4E41001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c>
          <w:tcPr>
            <w:tcW w:w="1290" w:type="dxa"/>
            <w:tcBorders>
              <w:tl2br w:val="nil"/>
              <w:tr2bl w:val="nil"/>
            </w:tcBorders>
            <w:noWrap w:val="0"/>
            <w:vAlign w:val="center"/>
          </w:tcPr>
          <w:p w14:paraId="791193F6">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c>
          <w:tcPr>
            <w:tcW w:w="1223" w:type="dxa"/>
            <w:tcBorders>
              <w:tl2br w:val="nil"/>
              <w:tr2bl w:val="nil"/>
            </w:tcBorders>
            <w:noWrap w:val="0"/>
            <w:vAlign w:val="center"/>
          </w:tcPr>
          <w:p w14:paraId="3200FA3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c>
          <w:tcPr>
            <w:tcW w:w="1166" w:type="dxa"/>
            <w:tcBorders>
              <w:tl2br w:val="nil"/>
              <w:tr2bl w:val="nil"/>
            </w:tcBorders>
            <w:shd w:val="clear" w:color="auto" w:fill="auto"/>
            <w:noWrap w:val="0"/>
            <w:vAlign w:val="center"/>
          </w:tcPr>
          <w:p w14:paraId="62E9A91D">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团粒结构体</w:t>
            </w:r>
          </w:p>
        </w:tc>
      </w:tr>
      <w:tr w14:paraId="5CDBAE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049EB5C6">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60" w:type="pct"/>
            <w:tcBorders>
              <w:tl2br w:val="nil"/>
              <w:tr2bl w:val="nil"/>
            </w:tcBorders>
            <w:noWrap w:val="0"/>
            <w:vAlign w:val="center"/>
          </w:tcPr>
          <w:p w14:paraId="1D93EE26">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质地</w:t>
            </w:r>
          </w:p>
        </w:tc>
        <w:tc>
          <w:tcPr>
            <w:tcW w:w="688" w:type="dxa"/>
            <w:tcBorders>
              <w:tl2br w:val="nil"/>
              <w:tr2bl w:val="nil"/>
            </w:tcBorders>
            <w:noWrap w:val="0"/>
            <w:vAlign w:val="center"/>
          </w:tcPr>
          <w:p w14:paraId="4D974CC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c>
          <w:tcPr>
            <w:tcW w:w="688" w:type="dxa"/>
            <w:tcBorders>
              <w:tl2br w:val="nil"/>
              <w:tr2bl w:val="nil"/>
            </w:tcBorders>
            <w:noWrap w:val="0"/>
            <w:vAlign w:val="center"/>
          </w:tcPr>
          <w:p w14:paraId="1D5EB3E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c>
          <w:tcPr>
            <w:tcW w:w="688" w:type="dxa"/>
            <w:tcBorders>
              <w:tl2br w:val="nil"/>
              <w:tr2bl w:val="nil"/>
            </w:tcBorders>
            <w:noWrap w:val="0"/>
            <w:vAlign w:val="center"/>
          </w:tcPr>
          <w:p w14:paraId="42DD6FA6">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c>
          <w:tcPr>
            <w:tcW w:w="691" w:type="dxa"/>
            <w:tcBorders>
              <w:tl2br w:val="nil"/>
              <w:tr2bl w:val="nil"/>
            </w:tcBorders>
            <w:noWrap w:val="0"/>
            <w:vAlign w:val="center"/>
          </w:tcPr>
          <w:p w14:paraId="469865D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c>
          <w:tcPr>
            <w:tcW w:w="1285" w:type="dxa"/>
            <w:tcBorders>
              <w:tl2br w:val="nil"/>
              <w:tr2bl w:val="nil"/>
            </w:tcBorders>
            <w:noWrap w:val="0"/>
            <w:vAlign w:val="center"/>
          </w:tcPr>
          <w:p w14:paraId="78875D94">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c>
          <w:tcPr>
            <w:tcW w:w="1290" w:type="dxa"/>
            <w:tcBorders>
              <w:tl2br w:val="nil"/>
              <w:tr2bl w:val="nil"/>
            </w:tcBorders>
            <w:noWrap w:val="0"/>
            <w:vAlign w:val="center"/>
          </w:tcPr>
          <w:p w14:paraId="069EEDE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c>
          <w:tcPr>
            <w:tcW w:w="1223" w:type="dxa"/>
            <w:tcBorders>
              <w:tl2br w:val="nil"/>
              <w:tr2bl w:val="nil"/>
            </w:tcBorders>
            <w:noWrap w:val="0"/>
            <w:vAlign w:val="center"/>
          </w:tcPr>
          <w:p w14:paraId="120B46D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c>
          <w:tcPr>
            <w:tcW w:w="1166" w:type="dxa"/>
            <w:tcBorders>
              <w:tl2br w:val="nil"/>
              <w:tr2bl w:val="nil"/>
            </w:tcBorders>
            <w:shd w:val="clear" w:color="auto" w:fill="auto"/>
            <w:noWrap w:val="0"/>
            <w:vAlign w:val="center"/>
          </w:tcPr>
          <w:p w14:paraId="3AA0128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轻壤土</w:t>
            </w:r>
          </w:p>
        </w:tc>
      </w:tr>
      <w:tr w14:paraId="7D1E23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7DD5368A">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60" w:type="pct"/>
            <w:tcBorders>
              <w:tl2br w:val="nil"/>
              <w:tr2bl w:val="nil"/>
            </w:tcBorders>
            <w:noWrap w:val="0"/>
            <w:vAlign w:val="center"/>
          </w:tcPr>
          <w:p w14:paraId="319E7B23">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砂砾含量</w:t>
            </w:r>
          </w:p>
        </w:tc>
        <w:tc>
          <w:tcPr>
            <w:tcW w:w="688" w:type="dxa"/>
            <w:tcBorders>
              <w:tl2br w:val="nil"/>
              <w:tr2bl w:val="nil"/>
            </w:tcBorders>
            <w:noWrap w:val="0"/>
            <w:vAlign w:val="center"/>
          </w:tcPr>
          <w:p w14:paraId="13D58E7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12</w:t>
            </w:r>
          </w:p>
        </w:tc>
        <w:tc>
          <w:tcPr>
            <w:tcW w:w="688" w:type="dxa"/>
            <w:tcBorders>
              <w:tl2br w:val="nil"/>
              <w:tr2bl w:val="nil"/>
            </w:tcBorders>
            <w:noWrap w:val="0"/>
            <w:vAlign w:val="center"/>
          </w:tcPr>
          <w:p w14:paraId="2E359DC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w:t>
            </w:r>
          </w:p>
        </w:tc>
        <w:tc>
          <w:tcPr>
            <w:tcW w:w="688" w:type="dxa"/>
            <w:tcBorders>
              <w:tl2br w:val="nil"/>
              <w:tr2bl w:val="nil"/>
            </w:tcBorders>
            <w:noWrap w:val="0"/>
            <w:vAlign w:val="center"/>
          </w:tcPr>
          <w:p w14:paraId="303C8E42">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w:t>
            </w:r>
          </w:p>
        </w:tc>
        <w:tc>
          <w:tcPr>
            <w:tcW w:w="691" w:type="dxa"/>
            <w:tcBorders>
              <w:tl2br w:val="nil"/>
              <w:tr2bl w:val="nil"/>
            </w:tcBorders>
            <w:noWrap w:val="0"/>
            <w:vAlign w:val="center"/>
          </w:tcPr>
          <w:p w14:paraId="28B9CA4D">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w:t>
            </w:r>
          </w:p>
        </w:tc>
        <w:tc>
          <w:tcPr>
            <w:tcW w:w="1285" w:type="dxa"/>
            <w:tcBorders>
              <w:tl2br w:val="nil"/>
              <w:tr2bl w:val="nil"/>
            </w:tcBorders>
            <w:noWrap w:val="0"/>
            <w:vAlign w:val="center"/>
          </w:tcPr>
          <w:p w14:paraId="45636CB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w:t>
            </w:r>
          </w:p>
        </w:tc>
        <w:tc>
          <w:tcPr>
            <w:tcW w:w="1290" w:type="dxa"/>
            <w:tcBorders>
              <w:tl2br w:val="nil"/>
              <w:tr2bl w:val="nil"/>
            </w:tcBorders>
            <w:noWrap w:val="0"/>
            <w:vAlign w:val="center"/>
          </w:tcPr>
          <w:p w14:paraId="795628A4">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w:t>
            </w:r>
          </w:p>
        </w:tc>
        <w:tc>
          <w:tcPr>
            <w:tcW w:w="1223" w:type="dxa"/>
            <w:tcBorders>
              <w:tl2br w:val="nil"/>
              <w:tr2bl w:val="nil"/>
            </w:tcBorders>
            <w:noWrap w:val="0"/>
            <w:vAlign w:val="center"/>
          </w:tcPr>
          <w:p w14:paraId="1643E8C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w:t>
            </w:r>
          </w:p>
        </w:tc>
        <w:tc>
          <w:tcPr>
            <w:tcW w:w="1166" w:type="dxa"/>
            <w:tcBorders>
              <w:tl2br w:val="nil"/>
              <w:tr2bl w:val="nil"/>
            </w:tcBorders>
            <w:shd w:val="clear" w:color="auto" w:fill="auto"/>
            <w:noWrap w:val="0"/>
            <w:vAlign w:val="center"/>
          </w:tcPr>
          <w:p w14:paraId="7F18296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w:t>
            </w:r>
          </w:p>
        </w:tc>
      </w:tr>
      <w:tr w14:paraId="02497F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5E097625">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60" w:type="pct"/>
            <w:tcBorders>
              <w:tl2br w:val="nil"/>
              <w:tr2bl w:val="nil"/>
            </w:tcBorders>
            <w:noWrap w:val="0"/>
            <w:vAlign w:val="center"/>
          </w:tcPr>
          <w:p w14:paraId="0292DB09">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其他异物</w:t>
            </w:r>
          </w:p>
        </w:tc>
        <w:tc>
          <w:tcPr>
            <w:tcW w:w="688" w:type="dxa"/>
            <w:tcBorders>
              <w:tl2br w:val="nil"/>
              <w:tr2bl w:val="nil"/>
            </w:tcBorders>
            <w:noWrap w:val="0"/>
            <w:vAlign w:val="center"/>
          </w:tcPr>
          <w:p w14:paraId="4429234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c>
          <w:tcPr>
            <w:tcW w:w="688" w:type="dxa"/>
            <w:tcBorders>
              <w:tl2br w:val="nil"/>
              <w:tr2bl w:val="nil"/>
            </w:tcBorders>
            <w:noWrap w:val="0"/>
            <w:vAlign w:val="center"/>
          </w:tcPr>
          <w:p w14:paraId="045B2DE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c>
          <w:tcPr>
            <w:tcW w:w="688" w:type="dxa"/>
            <w:tcBorders>
              <w:tl2br w:val="nil"/>
              <w:tr2bl w:val="nil"/>
            </w:tcBorders>
            <w:noWrap w:val="0"/>
            <w:vAlign w:val="center"/>
          </w:tcPr>
          <w:p w14:paraId="7D86859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c>
          <w:tcPr>
            <w:tcW w:w="691" w:type="dxa"/>
            <w:tcBorders>
              <w:tl2br w:val="nil"/>
              <w:tr2bl w:val="nil"/>
            </w:tcBorders>
            <w:noWrap w:val="0"/>
            <w:vAlign w:val="center"/>
          </w:tcPr>
          <w:p w14:paraId="7E9E191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c>
          <w:tcPr>
            <w:tcW w:w="1285" w:type="dxa"/>
            <w:tcBorders>
              <w:tl2br w:val="nil"/>
              <w:tr2bl w:val="nil"/>
            </w:tcBorders>
            <w:noWrap w:val="0"/>
            <w:vAlign w:val="center"/>
          </w:tcPr>
          <w:p w14:paraId="674B9CB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c>
          <w:tcPr>
            <w:tcW w:w="1290" w:type="dxa"/>
            <w:tcBorders>
              <w:tl2br w:val="nil"/>
              <w:tr2bl w:val="nil"/>
            </w:tcBorders>
            <w:noWrap w:val="0"/>
            <w:vAlign w:val="center"/>
          </w:tcPr>
          <w:p w14:paraId="2DE79C6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c>
          <w:tcPr>
            <w:tcW w:w="1223" w:type="dxa"/>
            <w:tcBorders>
              <w:tl2br w:val="nil"/>
              <w:tr2bl w:val="nil"/>
            </w:tcBorders>
            <w:noWrap w:val="0"/>
            <w:vAlign w:val="center"/>
          </w:tcPr>
          <w:p w14:paraId="7CA2322D">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c>
          <w:tcPr>
            <w:tcW w:w="1166" w:type="dxa"/>
            <w:tcBorders>
              <w:tl2br w:val="nil"/>
              <w:tr2bl w:val="nil"/>
            </w:tcBorders>
            <w:shd w:val="clear" w:color="auto" w:fill="auto"/>
            <w:noWrap w:val="0"/>
            <w:vAlign w:val="center"/>
          </w:tcPr>
          <w:p w14:paraId="5323E1D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石子</w:t>
            </w:r>
          </w:p>
        </w:tc>
      </w:tr>
      <w:tr w14:paraId="482382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restart"/>
            <w:tcBorders>
              <w:tl2br w:val="nil"/>
              <w:tr2bl w:val="nil"/>
            </w:tcBorders>
            <w:noWrap w:val="0"/>
            <w:vAlign w:val="center"/>
          </w:tcPr>
          <w:p w14:paraId="2CF1B2A2">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试验室</w:t>
            </w:r>
            <w:r>
              <w:rPr>
                <w:rFonts w:hint="default" w:ascii="Times New Roman" w:hAnsi="Times New Roman" w:eastAsia="宋体" w:cs="Times New Roman"/>
                <w:color w:val="auto"/>
                <w:kern w:val="2"/>
                <w:sz w:val="21"/>
                <w:szCs w:val="21"/>
                <w:highlight w:val="none"/>
                <w:lang w:val="en-US" w:eastAsia="zh-CN" w:bidi="ar-SA"/>
              </w:rPr>
              <w:t>测定</w:t>
            </w:r>
          </w:p>
        </w:tc>
        <w:tc>
          <w:tcPr>
            <w:tcW w:w="460" w:type="pct"/>
            <w:tcBorders>
              <w:tl2br w:val="nil"/>
              <w:tr2bl w:val="nil"/>
            </w:tcBorders>
            <w:noWrap w:val="0"/>
            <w:vAlign w:val="center"/>
          </w:tcPr>
          <w:p w14:paraId="47E45063">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pH值</w:t>
            </w:r>
          </w:p>
        </w:tc>
        <w:tc>
          <w:tcPr>
            <w:tcW w:w="688" w:type="dxa"/>
            <w:tcBorders>
              <w:tl2br w:val="nil"/>
              <w:tr2bl w:val="nil"/>
            </w:tcBorders>
            <w:noWrap w:val="0"/>
            <w:vAlign w:val="center"/>
          </w:tcPr>
          <w:p w14:paraId="370C000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27.3</w:t>
            </w:r>
          </w:p>
        </w:tc>
        <w:tc>
          <w:tcPr>
            <w:tcW w:w="688" w:type="dxa"/>
            <w:tcBorders>
              <w:tl2br w:val="nil"/>
              <w:tr2bl w:val="nil"/>
            </w:tcBorders>
            <w:noWrap w:val="0"/>
            <w:vAlign w:val="center"/>
          </w:tcPr>
          <w:p w14:paraId="0FE2A71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26.2</w:t>
            </w:r>
          </w:p>
        </w:tc>
        <w:tc>
          <w:tcPr>
            <w:tcW w:w="688" w:type="dxa"/>
            <w:tcBorders>
              <w:tl2br w:val="nil"/>
              <w:tr2bl w:val="nil"/>
            </w:tcBorders>
            <w:noWrap w:val="0"/>
            <w:vAlign w:val="center"/>
          </w:tcPr>
          <w:p w14:paraId="0E59962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26.8</w:t>
            </w:r>
          </w:p>
        </w:tc>
        <w:tc>
          <w:tcPr>
            <w:tcW w:w="691" w:type="dxa"/>
            <w:tcBorders>
              <w:tl2br w:val="nil"/>
              <w:tr2bl w:val="nil"/>
            </w:tcBorders>
            <w:noWrap w:val="0"/>
            <w:vAlign w:val="center"/>
          </w:tcPr>
          <w:p w14:paraId="10583E52">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23.8</w:t>
            </w:r>
          </w:p>
        </w:tc>
        <w:tc>
          <w:tcPr>
            <w:tcW w:w="1285" w:type="dxa"/>
            <w:tcBorders>
              <w:tl2br w:val="nil"/>
              <w:tr2bl w:val="nil"/>
            </w:tcBorders>
            <w:noWrap w:val="0"/>
            <w:vAlign w:val="center"/>
          </w:tcPr>
          <w:p w14:paraId="7EE40C81">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25.3</w:t>
            </w:r>
          </w:p>
        </w:tc>
        <w:tc>
          <w:tcPr>
            <w:tcW w:w="1290" w:type="dxa"/>
            <w:tcBorders>
              <w:tl2br w:val="nil"/>
              <w:tr2bl w:val="nil"/>
            </w:tcBorders>
            <w:noWrap w:val="0"/>
            <w:vAlign w:val="center"/>
          </w:tcPr>
          <w:p w14:paraId="0811DFC4">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25.6</w:t>
            </w:r>
          </w:p>
        </w:tc>
        <w:tc>
          <w:tcPr>
            <w:tcW w:w="1223" w:type="dxa"/>
            <w:tcBorders>
              <w:tl2br w:val="nil"/>
              <w:tr2bl w:val="nil"/>
            </w:tcBorders>
            <w:noWrap w:val="0"/>
            <w:vAlign w:val="center"/>
          </w:tcPr>
          <w:p w14:paraId="42B8C75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24.3</w:t>
            </w:r>
          </w:p>
        </w:tc>
        <w:tc>
          <w:tcPr>
            <w:tcW w:w="1166" w:type="dxa"/>
            <w:tcBorders>
              <w:tl2br w:val="nil"/>
              <w:tr2bl w:val="nil"/>
            </w:tcBorders>
            <w:shd w:val="clear" w:color="auto" w:fill="auto"/>
            <w:noWrap w:val="0"/>
            <w:vAlign w:val="center"/>
          </w:tcPr>
          <w:p w14:paraId="7F1A63E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23.9</w:t>
            </w:r>
          </w:p>
        </w:tc>
      </w:tr>
      <w:tr w14:paraId="70BECE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6348CD76">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60" w:type="pct"/>
            <w:tcBorders>
              <w:tl2br w:val="nil"/>
              <w:tr2bl w:val="nil"/>
            </w:tcBorders>
            <w:noWrap w:val="0"/>
            <w:vAlign w:val="center"/>
          </w:tcPr>
          <w:p w14:paraId="2FFDBA25">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spacing w:val="-20"/>
                <w:kern w:val="2"/>
                <w:sz w:val="21"/>
                <w:szCs w:val="21"/>
                <w:highlight w:val="none"/>
                <w:lang w:val="en-US" w:eastAsia="zh-CN" w:bidi="ar-SA"/>
              </w:rPr>
            </w:pPr>
            <w:r>
              <w:rPr>
                <w:rFonts w:hint="default" w:ascii="Times New Roman" w:hAnsi="Times New Roman" w:eastAsia="宋体" w:cs="Times New Roman"/>
                <w:color w:val="auto"/>
                <w:spacing w:val="-20"/>
                <w:kern w:val="2"/>
                <w:sz w:val="21"/>
                <w:szCs w:val="21"/>
                <w:highlight w:val="none"/>
                <w:lang w:val="en-US" w:eastAsia="zh-CN" w:bidi="ar-SA"/>
              </w:rPr>
              <w:t>阳离子交换量（Cmol/kg（+））</w:t>
            </w:r>
          </w:p>
        </w:tc>
        <w:tc>
          <w:tcPr>
            <w:tcW w:w="688" w:type="dxa"/>
            <w:tcBorders>
              <w:tl2br w:val="nil"/>
              <w:tr2bl w:val="nil"/>
            </w:tcBorders>
            <w:noWrap w:val="0"/>
            <w:vAlign w:val="center"/>
          </w:tcPr>
          <w:p w14:paraId="61ACD72E">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348</w:t>
            </w:r>
          </w:p>
        </w:tc>
        <w:tc>
          <w:tcPr>
            <w:tcW w:w="688" w:type="dxa"/>
            <w:tcBorders>
              <w:tl2br w:val="nil"/>
              <w:tr2bl w:val="nil"/>
            </w:tcBorders>
            <w:noWrap w:val="0"/>
            <w:vAlign w:val="center"/>
          </w:tcPr>
          <w:p w14:paraId="2795295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314</w:t>
            </w:r>
          </w:p>
        </w:tc>
        <w:tc>
          <w:tcPr>
            <w:tcW w:w="688" w:type="dxa"/>
            <w:tcBorders>
              <w:tl2br w:val="nil"/>
              <w:tr2bl w:val="nil"/>
            </w:tcBorders>
            <w:noWrap w:val="0"/>
            <w:vAlign w:val="center"/>
          </w:tcPr>
          <w:p w14:paraId="61338A4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351</w:t>
            </w:r>
          </w:p>
        </w:tc>
        <w:tc>
          <w:tcPr>
            <w:tcW w:w="691" w:type="dxa"/>
            <w:tcBorders>
              <w:tl2br w:val="nil"/>
              <w:tr2bl w:val="nil"/>
            </w:tcBorders>
            <w:noWrap w:val="0"/>
            <w:vAlign w:val="center"/>
          </w:tcPr>
          <w:p w14:paraId="071A442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325</w:t>
            </w:r>
          </w:p>
        </w:tc>
        <w:tc>
          <w:tcPr>
            <w:tcW w:w="1285" w:type="dxa"/>
            <w:tcBorders>
              <w:tl2br w:val="nil"/>
              <w:tr2bl w:val="nil"/>
            </w:tcBorders>
            <w:noWrap w:val="0"/>
            <w:vAlign w:val="center"/>
          </w:tcPr>
          <w:p w14:paraId="5ADEF3D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363</w:t>
            </w:r>
          </w:p>
        </w:tc>
        <w:tc>
          <w:tcPr>
            <w:tcW w:w="1290" w:type="dxa"/>
            <w:tcBorders>
              <w:tl2br w:val="nil"/>
              <w:tr2bl w:val="nil"/>
            </w:tcBorders>
            <w:noWrap w:val="0"/>
            <w:vAlign w:val="center"/>
          </w:tcPr>
          <w:p w14:paraId="2EEB46C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382</w:t>
            </w:r>
          </w:p>
        </w:tc>
        <w:tc>
          <w:tcPr>
            <w:tcW w:w="1223" w:type="dxa"/>
            <w:tcBorders>
              <w:tl2br w:val="nil"/>
              <w:tr2bl w:val="nil"/>
            </w:tcBorders>
            <w:noWrap w:val="0"/>
            <w:vAlign w:val="center"/>
          </w:tcPr>
          <w:p w14:paraId="1AED7F52">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369</w:t>
            </w:r>
          </w:p>
        </w:tc>
        <w:tc>
          <w:tcPr>
            <w:tcW w:w="1166" w:type="dxa"/>
            <w:tcBorders>
              <w:tl2br w:val="nil"/>
              <w:tr2bl w:val="nil"/>
            </w:tcBorders>
            <w:shd w:val="clear" w:color="auto" w:fill="auto"/>
            <w:noWrap w:val="0"/>
            <w:vAlign w:val="center"/>
          </w:tcPr>
          <w:p w14:paraId="528E1EA8">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347</w:t>
            </w:r>
          </w:p>
        </w:tc>
      </w:tr>
      <w:tr w14:paraId="4E5ACB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5D6F221B">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60" w:type="pct"/>
            <w:tcBorders>
              <w:tl2br w:val="nil"/>
              <w:tr2bl w:val="nil"/>
            </w:tcBorders>
            <w:noWrap w:val="0"/>
            <w:vAlign w:val="center"/>
          </w:tcPr>
          <w:p w14:paraId="2B002E6D">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spacing w:val="-20"/>
                <w:kern w:val="2"/>
                <w:sz w:val="21"/>
                <w:szCs w:val="21"/>
                <w:highlight w:val="none"/>
                <w:lang w:val="en-US" w:eastAsia="zh-CN" w:bidi="ar-SA"/>
              </w:rPr>
            </w:pPr>
            <w:r>
              <w:rPr>
                <w:rFonts w:hint="default" w:ascii="Times New Roman" w:hAnsi="Times New Roman" w:eastAsia="宋体" w:cs="Times New Roman"/>
                <w:color w:val="auto"/>
                <w:spacing w:val="-20"/>
                <w:kern w:val="2"/>
                <w:sz w:val="21"/>
                <w:szCs w:val="21"/>
                <w:highlight w:val="none"/>
                <w:lang w:val="en-US" w:eastAsia="zh-CN" w:bidi="ar-SA"/>
              </w:rPr>
              <w:t>氧化还原电位（mV）</w:t>
            </w:r>
          </w:p>
        </w:tc>
        <w:tc>
          <w:tcPr>
            <w:tcW w:w="688" w:type="dxa"/>
            <w:tcBorders>
              <w:tl2br w:val="nil"/>
              <w:tr2bl w:val="nil"/>
            </w:tcBorders>
            <w:noWrap w:val="0"/>
            <w:vAlign w:val="center"/>
          </w:tcPr>
          <w:p w14:paraId="599DDB81">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1.14×10-3</w:t>
            </w:r>
          </w:p>
        </w:tc>
        <w:tc>
          <w:tcPr>
            <w:tcW w:w="688" w:type="dxa"/>
            <w:tcBorders>
              <w:tl2br w:val="nil"/>
              <w:tr2bl w:val="nil"/>
            </w:tcBorders>
            <w:noWrap w:val="0"/>
            <w:vAlign w:val="center"/>
          </w:tcPr>
          <w:p w14:paraId="135B649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1.16×10-3</w:t>
            </w:r>
          </w:p>
        </w:tc>
        <w:tc>
          <w:tcPr>
            <w:tcW w:w="688" w:type="dxa"/>
            <w:tcBorders>
              <w:tl2br w:val="nil"/>
              <w:tr2bl w:val="nil"/>
            </w:tcBorders>
            <w:noWrap w:val="0"/>
            <w:vAlign w:val="center"/>
          </w:tcPr>
          <w:p w14:paraId="495F4F6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1.13×10-3</w:t>
            </w:r>
          </w:p>
        </w:tc>
        <w:tc>
          <w:tcPr>
            <w:tcW w:w="691" w:type="dxa"/>
            <w:tcBorders>
              <w:tl2br w:val="nil"/>
              <w:tr2bl w:val="nil"/>
            </w:tcBorders>
            <w:noWrap w:val="0"/>
            <w:vAlign w:val="center"/>
          </w:tcPr>
          <w:p w14:paraId="735BA68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1.15×10-3</w:t>
            </w:r>
          </w:p>
        </w:tc>
        <w:tc>
          <w:tcPr>
            <w:tcW w:w="1285" w:type="dxa"/>
            <w:tcBorders>
              <w:tl2br w:val="nil"/>
              <w:tr2bl w:val="nil"/>
            </w:tcBorders>
            <w:noWrap w:val="0"/>
            <w:vAlign w:val="center"/>
          </w:tcPr>
          <w:p w14:paraId="6547F41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1.12×10-3</w:t>
            </w:r>
          </w:p>
        </w:tc>
        <w:tc>
          <w:tcPr>
            <w:tcW w:w="1290" w:type="dxa"/>
            <w:tcBorders>
              <w:tl2br w:val="nil"/>
              <w:tr2bl w:val="nil"/>
            </w:tcBorders>
            <w:noWrap w:val="0"/>
            <w:vAlign w:val="center"/>
          </w:tcPr>
          <w:p w14:paraId="4E650E7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1.10×10-3</w:t>
            </w:r>
          </w:p>
        </w:tc>
        <w:tc>
          <w:tcPr>
            <w:tcW w:w="1223" w:type="dxa"/>
            <w:tcBorders>
              <w:tl2br w:val="nil"/>
              <w:tr2bl w:val="nil"/>
            </w:tcBorders>
            <w:noWrap w:val="0"/>
            <w:vAlign w:val="center"/>
          </w:tcPr>
          <w:p w14:paraId="5653D09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1.11×10-3</w:t>
            </w:r>
          </w:p>
        </w:tc>
        <w:tc>
          <w:tcPr>
            <w:tcW w:w="1166" w:type="dxa"/>
            <w:tcBorders>
              <w:tl2br w:val="nil"/>
              <w:tr2bl w:val="nil"/>
            </w:tcBorders>
            <w:shd w:val="clear" w:color="auto" w:fill="auto"/>
            <w:noWrap w:val="0"/>
            <w:vAlign w:val="center"/>
          </w:tcPr>
          <w:p w14:paraId="7D3B5C9F">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1.10×10-3</w:t>
            </w:r>
          </w:p>
        </w:tc>
      </w:tr>
      <w:tr w14:paraId="280BC4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75D87D86">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60" w:type="pct"/>
            <w:tcBorders>
              <w:tl2br w:val="nil"/>
              <w:tr2bl w:val="nil"/>
            </w:tcBorders>
            <w:noWrap w:val="0"/>
            <w:vAlign w:val="center"/>
          </w:tcPr>
          <w:p w14:paraId="5A859B56">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pacing w:val="-20"/>
                <w:sz w:val="21"/>
                <w:szCs w:val="21"/>
                <w:highlight w:val="none"/>
                <w:lang w:val="en-US" w:eastAsia="zh-CN"/>
              </w:rPr>
            </w:pPr>
            <w:r>
              <w:rPr>
                <w:rFonts w:hint="default" w:ascii="Times New Roman" w:hAnsi="Times New Roman" w:eastAsia="宋体" w:cs="Times New Roman"/>
                <w:color w:val="auto"/>
                <w:spacing w:val="-20"/>
                <w:sz w:val="21"/>
                <w:szCs w:val="21"/>
                <w:highlight w:val="none"/>
                <w:lang w:val="en-US" w:eastAsia="zh-CN"/>
              </w:rPr>
              <w:t>饱和导水率（cm/s）</w:t>
            </w:r>
          </w:p>
        </w:tc>
        <w:tc>
          <w:tcPr>
            <w:tcW w:w="688" w:type="dxa"/>
            <w:tcBorders>
              <w:tl2br w:val="nil"/>
              <w:tr2bl w:val="nil"/>
            </w:tcBorders>
            <w:noWrap w:val="0"/>
            <w:vAlign w:val="center"/>
          </w:tcPr>
          <w:p w14:paraId="0C97F2F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1.20</w:t>
            </w:r>
          </w:p>
        </w:tc>
        <w:tc>
          <w:tcPr>
            <w:tcW w:w="688" w:type="dxa"/>
            <w:tcBorders>
              <w:tl2br w:val="nil"/>
              <w:tr2bl w:val="nil"/>
            </w:tcBorders>
            <w:noWrap w:val="0"/>
            <w:vAlign w:val="center"/>
          </w:tcPr>
          <w:p w14:paraId="5129C011">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1.08</w:t>
            </w:r>
          </w:p>
        </w:tc>
        <w:tc>
          <w:tcPr>
            <w:tcW w:w="688" w:type="dxa"/>
            <w:tcBorders>
              <w:tl2br w:val="nil"/>
              <w:tr2bl w:val="nil"/>
            </w:tcBorders>
            <w:noWrap w:val="0"/>
            <w:vAlign w:val="center"/>
          </w:tcPr>
          <w:p w14:paraId="3A95ADB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1.21</w:t>
            </w:r>
          </w:p>
        </w:tc>
        <w:tc>
          <w:tcPr>
            <w:tcW w:w="691" w:type="dxa"/>
            <w:tcBorders>
              <w:tl2br w:val="nil"/>
              <w:tr2bl w:val="nil"/>
            </w:tcBorders>
            <w:noWrap w:val="0"/>
            <w:vAlign w:val="center"/>
          </w:tcPr>
          <w:p w14:paraId="6965D9D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1.22</w:t>
            </w:r>
          </w:p>
        </w:tc>
        <w:tc>
          <w:tcPr>
            <w:tcW w:w="1285" w:type="dxa"/>
            <w:tcBorders>
              <w:tl2br w:val="nil"/>
              <w:tr2bl w:val="nil"/>
            </w:tcBorders>
            <w:noWrap w:val="0"/>
            <w:vAlign w:val="center"/>
          </w:tcPr>
          <w:p w14:paraId="1AC22284">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1.07</w:t>
            </w:r>
          </w:p>
        </w:tc>
        <w:tc>
          <w:tcPr>
            <w:tcW w:w="1290" w:type="dxa"/>
            <w:tcBorders>
              <w:tl2br w:val="nil"/>
              <w:tr2bl w:val="nil"/>
            </w:tcBorders>
            <w:noWrap w:val="0"/>
            <w:vAlign w:val="center"/>
          </w:tcPr>
          <w:p w14:paraId="2C4705D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1.21</w:t>
            </w:r>
          </w:p>
        </w:tc>
        <w:tc>
          <w:tcPr>
            <w:tcW w:w="1223" w:type="dxa"/>
            <w:tcBorders>
              <w:tl2br w:val="nil"/>
              <w:tr2bl w:val="nil"/>
            </w:tcBorders>
            <w:noWrap w:val="0"/>
            <w:vAlign w:val="center"/>
          </w:tcPr>
          <w:p w14:paraId="64DFC6EC">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1.09</w:t>
            </w:r>
          </w:p>
        </w:tc>
        <w:tc>
          <w:tcPr>
            <w:tcW w:w="1166" w:type="dxa"/>
            <w:tcBorders>
              <w:tl2br w:val="nil"/>
              <w:tr2bl w:val="nil"/>
            </w:tcBorders>
            <w:shd w:val="clear" w:color="auto" w:fill="auto"/>
            <w:noWrap w:val="0"/>
            <w:vAlign w:val="center"/>
          </w:tcPr>
          <w:p w14:paraId="660C30BD">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1.11</w:t>
            </w:r>
          </w:p>
        </w:tc>
      </w:tr>
      <w:tr w14:paraId="534712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3D98156F">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460" w:type="pct"/>
            <w:tcBorders>
              <w:tl2br w:val="nil"/>
              <w:tr2bl w:val="nil"/>
            </w:tcBorders>
            <w:noWrap w:val="0"/>
            <w:vAlign w:val="center"/>
          </w:tcPr>
          <w:p w14:paraId="20F4E260">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eastAsia="宋体" w:cs="Times New Roman"/>
                <w:color w:val="auto"/>
                <w:spacing w:val="-20"/>
                <w:sz w:val="21"/>
                <w:szCs w:val="21"/>
                <w:highlight w:val="none"/>
                <w:lang w:val="en-US" w:eastAsia="zh-CN"/>
              </w:rPr>
            </w:pPr>
            <w:r>
              <w:rPr>
                <w:rFonts w:hint="default" w:ascii="Times New Roman" w:hAnsi="Times New Roman" w:eastAsia="宋体" w:cs="Times New Roman"/>
                <w:color w:val="auto"/>
                <w:spacing w:val="-20"/>
                <w:sz w:val="21"/>
                <w:szCs w:val="21"/>
                <w:highlight w:val="none"/>
                <w:lang w:val="en-US" w:eastAsia="zh-CN"/>
              </w:rPr>
              <w:t>土壤容重（kg/m</w:t>
            </w:r>
            <w:r>
              <w:rPr>
                <w:rFonts w:hint="default" w:ascii="Times New Roman" w:hAnsi="Times New Roman" w:eastAsia="宋体" w:cs="Times New Roman"/>
                <w:color w:val="auto"/>
                <w:spacing w:val="-20"/>
                <w:sz w:val="21"/>
                <w:szCs w:val="21"/>
                <w:highlight w:val="none"/>
                <w:vertAlign w:val="superscript"/>
                <w:lang w:val="en-US" w:eastAsia="zh-CN"/>
              </w:rPr>
              <w:t>3</w:t>
            </w:r>
            <w:r>
              <w:rPr>
                <w:rFonts w:hint="default" w:ascii="Times New Roman" w:hAnsi="Times New Roman" w:eastAsia="宋体" w:cs="Times New Roman"/>
                <w:color w:val="auto"/>
                <w:spacing w:val="-20"/>
                <w:sz w:val="21"/>
                <w:szCs w:val="21"/>
                <w:highlight w:val="none"/>
                <w:lang w:val="en-US" w:eastAsia="zh-CN"/>
              </w:rPr>
              <w:t>）</w:t>
            </w:r>
          </w:p>
        </w:tc>
        <w:tc>
          <w:tcPr>
            <w:tcW w:w="688" w:type="dxa"/>
            <w:tcBorders>
              <w:tl2br w:val="nil"/>
              <w:tr2bl w:val="nil"/>
            </w:tcBorders>
            <w:noWrap w:val="0"/>
            <w:vAlign w:val="center"/>
          </w:tcPr>
          <w:p w14:paraId="7FE8B66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46</w:t>
            </w:r>
          </w:p>
        </w:tc>
        <w:tc>
          <w:tcPr>
            <w:tcW w:w="688" w:type="dxa"/>
            <w:tcBorders>
              <w:tl2br w:val="nil"/>
              <w:tr2bl w:val="nil"/>
            </w:tcBorders>
            <w:noWrap w:val="0"/>
            <w:vAlign w:val="center"/>
          </w:tcPr>
          <w:p w14:paraId="6C535E1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48</w:t>
            </w:r>
          </w:p>
        </w:tc>
        <w:tc>
          <w:tcPr>
            <w:tcW w:w="688" w:type="dxa"/>
            <w:tcBorders>
              <w:tl2br w:val="nil"/>
              <w:tr2bl w:val="nil"/>
            </w:tcBorders>
            <w:noWrap w:val="0"/>
            <w:vAlign w:val="center"/>
          </w:tcPr>
          <w:p w14:paraId="3B4B88C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45</w:t>
            </w:r>
          </w:p>
        </w:tc>
        <w:tc>
          <w:tcPr>
            <w:tcW w:w="691" w:type="dxa"/>
            <w:tcBorders>
              <w:tl2br w:val="nil"/>
              <w:tr2bl w:val="nil"/>
            </w:tcBorders>
            <w:noWrap w:val="0"/>
            <w:vAlign w:val="center"/>
          </w:tcPr>
          <w:p w14:paraId="6A27A19A">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46</w:t>
            </w:r>
          </w:p>
        </w:tc>
        <w:tc>
          <w:tcPr>
            <w:tcW w:w="1285" w:type="dxa"/>
            <w:tcBorders>
              <w:tl2br w:val="nil"/>
              <w:tr2bl w:val="nil"/>
            </w:tcBorders>
            <w:noWrap w:val="0"/>
            <w:vAlign w:val="center"/>
          </w:tcPr>
          <w:p w14:paraId="5608B77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48</w:t>
            </w:r>
          </w:p>
        </w:tc>
        <w:tc>
          <w:tcPr>
            <w:tcW w:w="1290" w:type="dxa"/>
            <w:tcBorders>
              <w:tl2br w:val="nil"/>
              <w:tr2bl w:val="nil"/>
            </w:tcBorders>
            <w:noWrap w:val="0"/>
            <w:vAlign w:val="center"/>
          </w:tcPr>
          <w:p w14:paraId="574C34F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45</w:t>
            </w:r>
          </w:p>
        </w:tc>
        <w:tc>
          <w:tcPr>
            <w:tcW w:w="1223" w:type="dxa"/>
            <w:tcBorders>
              <w:tl2br w:val="nil"/>
              <w:tr2bl w:val="nil"/>
            </w:tcBorders>
            <w:noWrap w:val="0"/>
            <w:vAlign w:val="center"/>
          </w:tcPr>
          <w:p w14:paraId="2C0F1E77">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58</w:t>
            </w:r>
          </w:p>
        </w:tc>
        <w:tc>
          <w:tcPr>
            <w:tcW w:w="1166" w:type="dxa"/>
            <w:tcBorders>
              <w:tl2br w:val="nil"/>
              <w:tr2bl w:val="nil"/>
            </w:tcBorders>
            <w:shd w:val="clear" w:color="auto" w:fill="auto"/>
            <w:noWrap w:val="0"/>
            <w:vAlign w:val="center"/>
          </w:tcPr>
          <w:p w14:paraId="3BF1AD19">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40</w:t>
            </w:r>
          </w:p>
        </w:tc>
      </w:tr>
      <w:tr w14:paraId="7A5E0E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4" w:type="pct"/>
            <w:vMerge w:val="continue"/>
            <w:tcBorders>
              <w:tl2br w:val="nil"/>
              <w:tr2bl w:val="nil"/>
            </w:tcBorders>
            <w:noWrap w:val="0"/>
            <w:vAlign w:val="center"/>
          </w:tcPr>
          <w:p w14:paraId="4AA0FE30">
            <w:pPr>
              <w:keepNext w:val="0"/>
              <w:keepLines w:val="0"/>
              <w:pageBreakBefore w:val="0"/>
              <w:widowControl/>
              <w:kinsoku/>
              <w:wordWrap/>
              <w:overflowPunct/>
              <w:topLinePunct w:val="0"/>
              <w:autoSpaceDE/>
              <w:autoSpaceDN/>
              <w:bidi w:val="0"/>
              <w:adjustRightInd w:val="0"/>
              <w:snapToGrid w:val="0"/>
              <w:spacing w:line="240" w:lineRule="exact"/>
              <w:ind w:left="0" w:right="0" w:firstLine="0" w:firstLineChars="0"/>
              <w:jc w:val="center"/>
              <w:textAlignment w:val="auto"/>
              <w:rPr>
                <w:rFonts w:hint="default" w:ascii="Times New Roman" w:hAnsi="Times New Roman" w:cs="Times New Roman"/>
                <w:sz w:val="21"/>
                <w:szCs w:val="21"/>
                <w:highlight w:val="none"/>
              </w:rPr>
            </w:pPr>
          </w:p>
          <w:p w14:paraId="4BF2083D">
            <w:pPr>
              <w:pStyle w:val="51"/>
              <w:rPr>
                <w:rFonts w:hint="default" w:ascii="Times New Roman" w:hAnsi="Times New Roman" w:cs="Times New Roman"/>
                <w:sz w:val="21"/>
                <w:szCs w:val="21"/>
                <w:highlight w:val="none"/>
              </w:rPr>
            </w:pPr>
          </w:p>
        </w:tc>
        <w:tc>
          <w:tcPr>
            <w:tcW w:w="460" w:type="pct"/>
            <w:tcBorders>
              <w:tl2br w:val="nil"/>
              <w:tr2bl w:val="nil"/>
            </w:tcBorders>
            <w:noWrap w:val="0"/>
            <w:vAlign w:val="center"/>
          </w:tcPr>
          <w:p w14:paraId="2C79BD56">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color w:val="auto"/>
                <w:spacing w:val="-20"/>
                <w:kern w:val="2"/>
                <w:sz w:val="21"/>
                <w:szCs w:val="21"/>
                <w:highlight w:val="none"/>
                <w:lang w:val="en-US" w:eastAsia="zh-CN" w:bidi="ar-SA"/>
              </w:rPr>
            </w:pPr>
            <w:r>
              <w:rPr>
                <w:rFonts w:hint="default" w:ascii="Times New Roman" w:hAnsi="Times New Roman" w:eastAsia="宋体" w:cs="Times New Roman"/>
                <w:color w:val="auto"/>
                <w:spacing w:val="-20"/>
                <w:kern w:val="2"/>
                <w:sz w:val="21"/>
                <w:szCs w:val="21"/>
                <w:highlight w:val="none"/>
                <w:lang w:val="en-US" w:eastAsia="zh-CN" w:bidi="ar-SA"/>
              </w:rPr>
              <w:t>孔隙度（%）</w:t>
            </w:r>
          </w:p>
        </w:tc>
        <w:tc>
          <w:tcPr>
            <w:tcW w:w="688" w:type="dxa"/>
            <w:tcBorders>
              <w:tl2br w:val="nil"/>
              <w:tr2bl w:val="nil"/>
            </w:tcBorders>
            <w:noWrap w:val="0"/>
            <w:vAlign w:val="center"/>
          </w:tcPr>
          <w:p w14:paraId="29017234">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688" w:type="dxa"/>
            <w:tcBorders>
              <w:tl2br w:val="nil"/>
              <w:tr2bl w:val="nil"/>
            </w:tcBorders>
            <w:noWrap w:val="0"/>
            <w:vAlign w:val="center"/>
          </w:tcPr>
          <w:p w14:paraId="6E37521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688" w:type="dxa"/>
            <w:tcBorders>
              <w:tl2br w:val="nil"/>
              <w:tr2bl w:val="nil"/>
            </w:tcBorders>
            <w:noWrap w:val="0"/>
            <w:vAlign w:val="center"/>
          </w:tcPr>
          <w:p w14:paraId="395ACEDB">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691" w:type="dxa"/>
            <w:tcBorders>
              <w:tl2br w:val="nil"/>
              <w:tr2bl w:val="nil"/>
            </w:tcBorders>
            <w:noWrap w:val="0"/>
            <w:vAlign w:val="center"/>
          </w:tcPr>
          <w:p w14:paraId="7EFB90A3">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1285" w:type="dxa"/>
            <w:tcBorders>
              <w:tl2br w:val="nil"/>
              <w:tr2bl w:val="nil"/>
            </w:tcBorders>
            <w:noWrap w:val="0"/>
            <w:vAlign w:val="center"/>
          </w:tcPr>
          <w:p w14:paraId="6903DDC4">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暗栗</w:t>
            </w:r>
          </w:p>
        </w:tc>
        <w:tc>
          <w:tcPr>
            <w:tcW w:w="1290" w:type="dxa"/>
            <w:tcBorders>
              <w:tl2br w:val="nil"/>
              <w:tr2bl w:val="nil"/>
            </w:tcBorders>
            <w:noWrap w:val="0"/>
            <w:vAlign w:val="center"/>
          </w:tcPr>
          <w:p w14:paraId="4D28F441">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1223" w:type="dxa"/>
            <w:tcBorders>
              <w:tl2br w:val="nil"/>
              <w:tr2bl w:val="nil"/>
            </w:tcBorders>
            <w:noWrap w:val="0"/>
            <w:vAlign w:val="center"/>
          </w:tcPr>
          <w:p w14:paraId="26EAE3F1">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c>
          <w:tcPr>
            <w:tcW w:w="1166" w:type="dxa"/>
            <w:tcBorders>
              <w:tl2br w:val="nil"/>
              <w:tr2bl w:val="nil"/>
            </w:tcBorders>
            <w:shd w:val="clear" w:color="auto" w:fill="auto"/>
            <w:noWrap w:val="0"/>
            <w:vAlign w:val="center"/>
          </w:tcPr>
          <w:p w14:paraId="26E6F590">
            <w:pPr>
              <w:pStyle w:val="161"/>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黄棕</w:t>
            </w:r>
          </w:p>
        </w:tc>
      </w:tr>
    </w:tbl>
    <w:p w14:paraId="744750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lang w:val="en-US" w:eastAsia="zh-CN"/>
        </w:rPr>
      </w:pPr>
      <w:r>
        <w:rPr>
          <w:rFonts w:hint="eastAsia" w:ascii="Times New Roman" w:hAnsi="Times New Roman" w:cs="Times New Roman"/>
          <w:color w:val="auto"/>
          <w:sz w:val="24"/>
          <w:highlight w:val="none"/>
          <w:lang w:val="en-US" w:eastAsia="zh-CN"/>
        </w:rPr>
        <w:t>（6）</w:t>
      </w:r>
      <w:r>
        <w:rPr>
          <w:rFonts w:hint="default" w:ascii="Times New Roman" w:hAnsi="Times New Roman" w:cs="Times New Roman"/>
          <w:color w:val="auto"/>
          <w:kern w:val="0"/>
          <w:sz w:val="24"/>
          <w:highlight w:val="none"/>
          <w:lang w:val="en-US" w:eastAsia="zh-CN"/>
        </w:rPr>
        <w:t>土壤环境质量现状评价</w:t>
      </w:r>
    </w:p>
    <w:p w14:paraId="027FFDD3">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根据监测结果可知，各建设用地监测点位</w:t>
      </w:r>
      <w:r>
        <w:rPr>
          <w:rFonts w:hint="default" w:ascii="Times New Roman" w:hAnsi="Times New Roman" w:cs="Times New Roman"/>
          <w:color w:val="auto"/>
          <w:sz w:val="24"/>
          <w:highlight w:val="none"/>
        </w:rPr>
        <w:t>各项监测因子均满足《土壤环境质量 建设用地土壤污染风险管控标准（试行）》（GB36600-2018）、《建设用地土壤污染风险筛选值》（</w:t>
      </w:r>
      <w:r>
        <w:rPr>
          <w:rFonts w:hint="eastAsia" w:ascii="Times New Roman" w:hAnsi="Times New Roman" w:cs="Times New Roman"/>
          <w:color w:val="auto"/>
          <w:sz w:val="24"/>
          <w:highlight w:val="none"/>
          <w:lang w:eastAsia="zh-CN"/>
        </w:rPr>
        <w:t>DB13/T5216-2022</w:t>
      </w:r>
      <w:r>
        <w:rPr>
          <w:rFonts w:hint="default" w:ascii="Times New Roman" w:hAnsi="Times New Roman" w:cs="Times New Roman"/>
          <w:color w:val="auto"/>
          <w:sz w:val="24"/>
          <w:highlight w:val="none"/>
        </w:rPr>
        <w:t>）相关标准</w:t>
      </w:r>
      <w:r>
        <w:rPr>
          <w:rFonts w:hint="eastAsia" w:ascii="Times New Roman" w:hAnsi="Times New Roman" w:cs="Times New Roman"/>
          <w:color w:val="auto"/>
          <w:sz w:val="24"/>
          <w:highlight w:val="none"/>
          <w:lang w:val="en-US" w:eastAsia="zh-CN"/>
        </w:rPr>
        <w:t>要求</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各农用地</w:t>
      </w:r>
      <w:r>
        <w:rPr>
          <w:rFonts w:hint="default" w:ascii="Times New Roman" w:hAnsi="Times New Roman" w:cs="Times New Roman"/>
          <w:color w:val="auto"/>
          <w:sz w:val="24"/>
          <w:highlight w:val="none"/>
        </w:rPr>
        <w:t>各项监测因子均满足《土壤环境质量 农用地土壤污染风险管控标准（试行）》（GB15618-2018）表1风险筛选值，项目区域土壤环境质量较好</w:t>
      </w:r>
      <w:r>
        <w:rPr>
          <w:rFonts w:hint="eastAsia" w:ascii="Times New Roman" w:hAnsi="Times New Roman" w:cs="Times New Roman"/>
          <w:color w:val="auto"/>
          <w:sz w:val="24"/>
          <w:highlight w:val="none"/>
          <w:lang w:eastAsia="zh-CN"/>
        </w:rPr>
        <w:t>。</w:t>
      </w:r>
    </w:p>
    <w:p w14:paraId="7BC82A84">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eastAsia="宋体" w:cs="Times New Roman"/>
          <w:b/>
          <w:bCs/>
          <w:color w:val="000000"/>
          <w:sz w:val="24"/>
          <w:szCs w:val="24"/>
          <w:highlight w:val="none"/>
        </w:rPr>
      </w:pPr>
      <w:bookmarkStart w:id="262" w:name="_Toc12554"/>
      <w:bookmarkStart w:id="263" w:name="_Toc27926"/>
      <w:r>
        <w:rPr>
          <w:rFonts w:hint="default" w:ascii="Times New Roman" w:hAnsi="Times New Roman" w:eastAsia="宋体" w:cs="Times New Roman"/>
          <w:b/>
          <w:bCs/>
          <w:color w:val="000000"/>
          <w:sz w:val="24"/>
          <w:szCs w:val="24"/>
          <w:highlight w:val="none"/>
        </w:rPr>
        <w:t>生态环境质量现状评价</w:t>
      </w:r>
      <w:bookmarkEnd w:id="262"/>
      <w:bookmarkEnd w:id="263"/>
    </w:p>
    <w:p w14:paraId="0FDCF065">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bCs/>
          <w:color w:val="000000"/>
          <w:sz w:val="24"/>
          <w:highlight w:val="none"/>
          <w:lang w:val="en-US" w:eastAsia="zh-CN"/>
        </w:rPr>
      </w:pPr>
      <w:r>
        <w:rPr>
          <w:rFonts w:hint="eastAsia" w:ascii="Times New Roman" w:hAnsi="Times New Roman" w:cs="Times New Roman"/>
          <w:b/>
          <w:bCs/>
          <w:color w:val="000000"/>
          <w:sz w:val="24"/>
          <w:highlight w:val="none"/>
          <w:lang w:eastAsia="zh-CN"/>
        </w:rPr>
        <w:t>4.2.6</w:t>
      </w:r>
      <w:r>
        <w:rPr>
          <w:rFonts w:hint="default" w:ascii="Times New Roman" w:hAnsi="Times New Roman" w:cs="Times New Roman"/>
          <w:b/>
          <w:bCs/>
          <w:color w:val="000000"/>
          <w:sz w:val="24"/>
          <w:highlight w:val="none"/>
        </w:rPr>
        <w:t>.1</w:t>
      </w:r>
      <w:r>
        <w:rPr>
          <w:rFonts w:hint="eastAsia" w:cs="Times New Roman"/>
          <w:b/>
          <w:bCs/>
          <w:color w:val="000000"/>
          <w:sz w:val="24"/>
          <w:highlight w:val="none"/>
          <w:lang w:val="en-US" w:eastAsia="zh-CN"/>
        </w:rPr>
        <w:t>调查方法及评价内容</w:t>
      </w:r>
    </w:p>
    <w:p w14:paraId="74938CCA">
      <w:pPr>
        <w:pStyle w:val="185"/>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000000"/>
          <w:sz w:val="24"/>
          <w:highlight w:val="none"/>
          <w:lang w:val="en-US"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1</w:t>
      </w: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调查范围</w:t>
      </w:r>
    </w:p>
    <w:p w14:paraId="2E6055C2">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本项目</w:t>
      </w:r>
      <w:r>
        <w:rPr>
          <w:rFonts w:hint="default" w:ascii="Times New Roman" w:hAnsi="Times New Roman" w:cs="Times New Roman"/>
          <w:color w:val="000000"/>
          <w:sz w:val="24"/>
          <w:highlight w:val="none"/>
        </w:rPr>
        <w:t>生态现状调查范围</w:t>
      </w:r>
      <w:r>
        <w:rPr>
          <w:rFonts w:hint="eastAsia" w:ascii="Times New Roman" w:hAnsi="Times New Roman" w:cs="Times New Roman"/>
          <w:color w:val="000000"/>
          <w:sz w:val="24"/>
          <w:highlight w:val="none"/>
          <w:lang w:val="en-US" w:eastAsia="zh-CN"/>
        </w:rPr>
        <w:t>为</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eastAsia="zh-CN"/>
        </w:rPr>
        <w:t>排土场</w:t>
      </w:r>
      <w:r>
        <w:rPr>
          <w:rFonts w:hint="eastAsia" w:ascii="Times New Roman" w:hAnsi="Times New Roman" w:cs="Times New Roman"/>
          <w:color w:val="000000"/>
          <w:sz w:val="24"/>
          <w:highlight w:val="none"/>
          <w:lang w:val="en-US" w:eastAsia="zh-CN"/>
        </w:rPr>
        <w:t>占地范围</w:t>
      </w:r>
      <w:r>
        <w:rPr>
          <w:rFonts w:hint="default" w:ascii="Times New Roman" w:hAnsi="Times New Roman" w:cs="Times New Roman"/>
          <w:color w:val="000000"/>
          <w:sz w:val="24"/>
          <w:highlight w:val="none"/>
        </w:rPr>
        <w:t>，调查面积为</w:t>
      </w:r>
      <w:r>
        <w:rPr>
          <w:rFonts w:hint="eastAsia" w:ascii="Times New Roman" w:hAnsi="Times New Roman" w:cs="Times New Roman"/>
          <w:color w:val="000000"/>
          <w:sz w:val="24"/>
          <w:highlight w:val="none"/>
          <w:lang w:val="en-US" w:eastAsia="zh-CN"/>
        </w:rPr>
        <w:t>0.39k</w:t>
      </w:r>
      <w:r>
        <w:rPr>
          <w:rFonts w:hint="default" w:ascii="Times New Roman" w:hAnsi="Times New Roman" w:cs="Times New Roman"/>
          <w:color w:val="000000"/>
          <w:sz w:val="24"/>
          <w:highlight w:val="none"/>
        </w:rPr>
        <w:t>m</w:t>
      </w:r>
      <w:r>
        <w:rPr>
          <w:rFonts w:hint="default" w:ascii="Times New Roman" w:hAnsi="Times New Roman" w:cs="Times New Roman"/>
          <w:color w:val="000000"/>
          <w:sz w:val="24"/>
          <w:highlight w:val="none"/>
          <w:vertAlign w:val="superscript"/>
        </w:rPr>
        <w:t>2</w:t>
      </w:r>
      <w:r>
        <w:rPr>
          <w:rFonts w:hint="default" w:ascii="Times New Roman" w:hAnsi="Times New Roman" w:cs="Times New Roman"/>
          <w:color w:val="000000"/>
          <w:sz w:val="24"/>
          <w:highlight w:val="none"/>
        </w:rPr>
        <w:t>。</w:t>
      </w:r>
    </w:p>
    <w:p w14:paraId="6615533C">
      <w:pPr>
        <w:pStyle w:val="185"/>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000000"/>
          <w:sz w:val="24"/>
          <w:highlight w:val="none"/>
          <w:lang w:val="en-US"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2</w:t>
      </w: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调查时间</w:t>
      </w:r>
    </w:p>
    <w:p w14:paraId="2DC2DE5B">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cs="Times New Roman"/>
          <w:color w:val="auto"/>
          <w:sz w:val="24"/>
          <w:highlight w:val="none"/>
        </w:rPr>
        <w:t>本次生态现状调查</w:t>
      </w:r>
      <w:r>
        <w:rPr>
          <w:rFonts w:hint="default" w:ascii="Times New Roman" w:hAnsi="Times New Roman" w:cs="Times New Roman"/>
          <w:color w:val="auto"/>
          <w:sz w:val="24"/>
          <w:highlight w:val="none"/>
          <w:lang w:val="en-US" w:eastAsia="zh-CN"/>
        </w:rPr>
        <w:t>使用</w:t>
      </w:r>
      <w:r>
        <w:rPr>
          <w:rFonts w:hint="default" w:ascii="Times New Roman" w:hAnsi="Times New Roman" w:cs="Times New Roman"/>
          <w:color w:val="auto"/>
          <w:sz w:val="24"/>
          <w:highlight w:val="none"/>
        </w:rPr>
        <w:t>遥感影像来源202</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年</w:t>
      </w:r>
      <w:r>
        <w:rPr>
          <w:rFonts w:hint="eastAsia"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月高分辨率卫星影像</w:t>
      </w:r>
      <w:r>
        <w:rPr>
          <w:rFonts w:hint="eastAsia" w:ascii="Times New Roman" w:hAnsi="Times New Roman" w:cs="Times New Roman"/>
          <w:color w:val="000000"/>
          <w:sz w:val="24"/>
          <w:highlight w:val="none"/>
          <w:lang w:val="en-US" w:eastAsia="zh-CN"/>
        </w:rPr>
        <w:t>。</w:t>
      </w:r>
    </w:p>
    <w:p w14:paraId="6CA7FC07">
      <w:pPr>
        <w:pStyle w:val="185"/>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cs="Times New Roman"/>
          <w:b/>
          <w:bCs/>
          <w:color w:val="000000"/>
          <w:sz w:val="24"/>
          <w:highlight w:val="none"/>
          <w:lang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3</w:t>
      </w:r>
      <w:r>
        <w:rPr>
          <w:rFonts w:hint="eastAsia" w:ascii="Times New Roman" w:hAnsi="Times New Roman" w:cs="Times New Roman"/>
          <w:b/>
          <w:bCs/>
          <w:color w:val="000000"/>
          <w:sz w:val="24"/>
          <w:highlight w:val="none"/>
          <w:lang w:eastAsia="zh-CN"/>
        </w:rPr>
        <w:t>）调查方法</w:t>
      </w:r>
    </w:p>
    <w:p w14:paraId="421844AB">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eastAsia="zh-CN"/>
        </w:rPr>
        <w:t>根据《环境影响评价技术导则 生态影响》（HJ19-2022）的要求，结合</w:t>
      </w:r>
      <w:r>
        <w:rPr>
          <w:rFonts w:hint="eastAsia" w:ascii="Times New Roman" w:hAnsi="Times New Roman" w:cs="Times New Roman"/>
          <w:color w:val="000000"/>
          <w:sz w:val="24"/>
          <w:highlight w:val="none"/>
          <w:lang w:val="en-US" w:eastAsia="zh-CN"/>
        </w:rPr>
        <w:t>项目实际情况，</w:t>
      </w:r>
      <w:r>
        <w:rPr>
          <w:rFonts w:hint="eastAsia" w:ascii="Times New Roman" w:hAnsi="Times New Roman" w:cs="Times New Roman"/>
          <w:color w:val="000000"/>
          <w:sz w:val="24"/>
          <w:highlight w:val="none"/>
          <w:lang w:eastAsia="zh-CN"/>
        </w:rPr>
        <w:t>本次调查主要通过基础资料收集、调查走访等方式，并充分利用遥感、全球定位系统（GPS）以及信息系统软件等技术手段进行评价范围内的生态环境现状的调查工作。</w:t>
      </w:r>
    </w:p>
    <w:p w14:paraId="46A09FE7">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val="en-US" w:eastAsia="zh-CN"/>
        </w:rPr>
        <w:t>1）</w:t>
      </w:r>
      <w:r>
        <w:rPr>
          <w:rFonts w:hint="eastAsia" w:ascii="Times New Roman" w:hAnsi="Times New Roman" w:cs="Times New Roman"/>
          <w:color w:val="000000"/>
          <w:sz w:val="24"/>
          <w:highlight w:val="none"/>
          <w:lang w:eastAsia="zh-CN"/>
        </w:rPr>
        <w:t>资料收集</w:t>
      </w:r>
    </w:p>
    <w:p w14:paraId="46740540">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收集</w:t>
      </w:r>
      <w:r>
        <w:rPr>
          <w:rFonts w:hint="eastAsia" w:ascii="Times New Roman" w:hAnsi="Times New Roman" w:cs="Times New Roman"/>
          <w:color w:val="000000"/>
          <w:sz w:val="24"/>
          <w:highlight w:val="none"/>
          <w:lang w:val="en-US" w:eastAsia="zh-CN"/>
        </w:rPr>
        <w:t>评价范围内</w:t>
      </w:r>
      <w:r>
        <w:rPr>
          <w:rFonts w:hint="eastAsia" w:ascii="Times New Roman" w:hAnsi="Times New Roman" w:cs="Times New Roman"/>
          <w:color w:val="000000"/>
          <w:sz w:val="24"/>
          <w:highlight w:val="none"/>
          <w:lang w:eastAsia="zh-CN"/>
        </w:rPr>
        <w:t>非生物因子特征(气候、土壤、地形地貌、水文地质等)、动植物类型及分布、植被类型及分布、土壤侵蚀、生态功能区划、土地利用等资料，分析各生态要素现状情况，结合现场调查，得出</w:t>
      </w:r>
      <w:r>
        <w:rPr>
          <w:rFonts w:hint="eastAsia" w:ascii="Times New Roman" w:hAnsi="Times New Roman" w:cs="Times New Roman"/>
          <w:color w:val="000000"/>
          <w:sz w:val="24"/>
          <w:highlight w:val="none"/>
          <w:lang w:val="en-US" w:eastAsia="zh-CN"/>
        </w:rPr>
        <w:t>评价范围内</w:t>
      </w:r>
      <w:r>
        <w:rPr>
          <w:rFonts w:hint="eastAsia" w:ascii="Times New Roman" w:hAnsi="Times New Roman" w:cs="Times New Roman"/>
          <w:color w:val="000000"/>
          <w:sz w:val="24"/>
          <w:highlight w:val="none"/>
          <w:lang w:eastAsia="zh-CN"/>
        </w:rPr>
        <w:t>物种种群分布、植被类型分布、土地利用及水土流失等现状情况。</w:t>
      </w:r>
    </w:p>
    <w:p w14:paraId="15615CBB">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val="en-US" w:eastAsia="zh-CN"/>
        </w:rPr>
        <w:t>2）</w:t>
      </w:r>
      <w:r>
        <w:rPr>
          <w:rFonts w:hint="eastAsia" w:ascii="Times New Roman" w:hAnsi="Times New Roman" w:cs="Times New Roman"/>
          <w:color w:val="000000"/>
          <w:sz w:val="24"/>
          <w:highlight w:val="none"/>
          <w:lang w:eastAsia="zh-CN"/>
        </w:rPr>
        <w:t>卫星遥感影像解译</w:t>
      </w:r>
    </w:p>
    <w:p w14:paraId="5055FEB3">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采用GPS、RS和GIS相结合的空间信息技术，进行地面类型的数字化判读，完成数字化的植被图和土地利用类型图，进行景观质量和生态环境质量的定性和定量评价。</w:t>
      </w:r>
    </w:p>
    <w:p w14:paraId="26DFD958">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从遥感信息获取的地面覆盖类型，必需在地面调查和历史植被基础上进行综合判读，才能最终赋予生态学的含义。生态环境现状遥感信息提取将以20</w:t>
      </w:r>
      <w:r>
        <w:rPr>
          <w:rFonts w:hint="eastAsia" w:ascii="Times New Roman" w:hAnsi="Times New Roman" w:cs="Times New Roman"/>
          <w:color w:val="000000"/>
          <w:sz w:val="24"/>
          <w:highlight w:val="none"/>
          <w:lang w:val="en-US" w:eastAsia="zh-CN"/>
        </w:rPr>
        <w:t>24</w:t>
      </w:r>
      <w:r>
        <w:rPr>
          <w:rFonts w:hint="eastAsia" w:ascii="Times New Roman" w:hAnsi="Times New Roman" w:cs="Times New Roman"/>
          <w:color w:val="000000"/>
          <w:sz w:val="24"/>
          <w:highlight w:val="none"/>
          <w:lang w:eastAsia="zh-CN"/>
        </w:rPr>
        <w:t>年高分辨率卫星影像作为主要数据源进行评价范围内土地利用/土地覆被现状解析（包括数据几何校正、地表覆盖分类判读等）。</w:t>
      </w:r>
    </w:p>
    <w:p w14:paraId="0732AB07">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000000"/>
          <w:sz w:val="24"/>
          <w:highlight w:val="none"/>
          <w:lang w:eastAsia="zh-CN"/>
        </w:rPr>
      </w:pPr>
      <w:r>
        <w:rPr>
          <w:rFonts w:hint="eastAsia" w:ascii="Times New Roman" w:hAnsi="Times New Roman" w:cs="Times New Roman"/>
          <w:color w:val="000000"/>
          <w:sz w:val="24"/>
          <w:highlight w:val="none"/>
          <w:lang w:eastAsia="zh-CN"/>
        </w:rPr>
        <w:t>根据评价区生态环境特征，结合遥感手段的优势，对构成生态环境的某一专题要素进行信息提取，分析其现状、变化及趋势。结合地面的GPS样点和等高线、坡度、坡向等信息，对植被图进行目视解译校正，得到符合精度要求的植被图。在植被图的基础上，进一步合并有关地面类型，得到土地利用现状类型图。</w:t>
      </w:r>
    </w:p>
    <w:p w14:paraId="2EE470D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bCs/>
          <w:color w:val="000000"/>
          <w:sz w:val="24"/>
          <w:highlight w:val="none"/>
          <w:lang w:val="en-US" w:eastAsia="zh-CN"/>
        </w:rPr>
      </w:pPr>
      <w:r>
        <w:rPr>
          <w:rFonts w:hint="eastAsia" w:ascii="Times New Roman" w:hAnsi="Times New Roman" w:cs="Times New Roman"/>
          <w:b/>
          <w:bCs/>
          <w:color w:val="000000"/>
          <w:sz w:val="24"/>
          <w:highlight w:val="none"/>
          <w:lang w:eastAsia="zh-CN"/>
        </w:rPr>
        <w:t>4.2.6</w:t>
      </w:r>
      <w:r>
        <w:rPr>
          <w:rFonts w:hint="default" w:ascii="Times New Roman" w:hAnsi="Times New Roman" w:cs="Times New Roman"/>
          <w:b/>
          <w:bCs/>
          <w:color w:val="000000"/>
          <w:sz w:val="24"/>
          <w:highlight w:val="none"/>
        </w:rPr>
        <w:t>.</w:t>
      </w:r>
      <w:r>
        <w:rPr>
          <w:rFonts w:hint="eastAsia" w:cs="Times New Roman"/>
          <w:b/>
          <w:bCs/>
          <w:color w:val="000000"/>
          <w:sz w:val="24"/>
          <w:highlight w:val="none"/>
          <w:lang w:val="en-US" w:eastAsia="zh-CN"/>
        </w:rPr>
        <w:t>2</w:t>
      </w:r>
      <w:r>
        <w:rPr>
          <w:rFonts w:hint="default" w:ascii="Times New Roman" w:hAnsi="Times New Roman" w:eastAsia="宋体" w:cs="Times New Roman"/>
          <w:b/>
          <w:bCs/>
          <w:sz w:val="24"/>
          <w:szCs w:val="24"/>
          <w:highlight w:val="none"/>
        </w:rPr>
        <w:t>生态</w:t>
      </w:r>
      <w:r>
        <w:rPr>
          <w:rFonts w:hint="default" w:ascii="Times New Roman" w:hAnsi="Times New Roman" w:cs="Times New Roman"/>
          <w:b/>
          <w:bCs/>
          <w:color w:val="000000"/>
          <w:sz w:val="24"/>
          <w:highlight w:val="none"/>
        </w:rPr>
        <w:t>系统</w:t>
      </w:r>
      <w:r>
        <w:rPr>
          <w:rFonts w:hint="eastAsia" w:ascii="Times New Roman" w:hAnsi="Times New Roman" w:cs="Times New Roman"/>
          <w:b/>
          <w:bCs/>
          <w:color w:val="000000"/>
          <w:sz w:val="24"/>
          <w:highlight w:val="none"/>
          <w:lang w:val="en-US" w:eastAsia="zh-CN"/>
        </w:rPr>
        <w:t>调查与评价</w:t>
      </w:r>
    </w:p>
    <w:p w14:paraId="11F790AF">
      <w:pPr>
        <w:pStyle w:val="185"/>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1、地形地貌</w:t>
      </w:r>
    </w:p>
    <w:p w14:paraId="04BFDD42">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000000"/>
          <w:sz w:val="24"/>
          <w:highlight w:val="none"/>
          <w:lang w:eastAsia="zh-CN"/>
        </w:rPr>
      </w:pPr>
      <w:r>
        <w:rPr>
          <w:rFonts w:hint="eastAsia" w:ascii="Times New Roman" w:hAnsi="Times New Roman" w:cs="Times New Roman"/>
          <w:sz w:val="24"/>
          <w:szCs w:val="24"/>
          <w:highlight w:val="none"/>
          <w:lang w:val="en-US" w:eastAsia="zh-CN"/>
        </w:rPr>
        <w:t>隆化处在冀北山区，山地古老，近似丘陵，河谷平川，尤以伊逊河两岸河谷较为宽阔。地面平坦，土质肥沃，庙宫水库建成后，两岸稻谷飘香，阡陌纵横。县域除河谷、狭窄平川外大部为低山丘陵，有“八山一水一分田”之称。燕山余脉在县域自西北向东南斜向延伸，形成西北高东南低的地势。隆化县平均海拔750m。境内主要有燕山及其余脉，七老图山脉绵延在东部县境，成为该县与内蒙古喀喇沁旗的分界线。最高峰位于北部和围场县交界处的敖包山，海拔1852m。最低点为鹦鹉河（上游为武烈河）最南边界处河谷，高程约423m</w:t>
      </w:r>
      <w:r>
        <w:rPr>
          <w:rFonts w:hint="default" w:ascii="Times New Roman" w:hAnsi="Times New Roman" w:cs="Times New Roman"/>
          <w:sz w:val="24"/>
          <w:szCs w:val="24"/>
          <w:highlight w:val="none"/>
        </w:rPr>
        <w:t>。</w:t>
      </w:r>
    </w:p>
    <w:p w14:paraId="2EA0FAC6">
      <w:pPr>
        <w:pStyle w:val="185"/>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000000"/>
          <w:sz w:val="24"/>
          <w:highlight w:val="none"/>
          <w:lang w:val="en-US" w:eastAsia="zh-CN"/>
        </w:rPr>
      </w:pPr>
      <w:r>
        <w:rPr>
          <w:rFonts w:hint="eastAsia" w:ascii="Times New Roman" w:hAnsi="Times New Roman" w:cs="Times New Roman"/>
          <w:b/>
          <w:bCs/>
          <w:color w:val="000000"/>
          <w:sz w:val="24"/>
          <w:highlight w:val="none"/>
          <w:lang w:val="en-US" w:eastAsia="zh-CN"/>
        </w:rPr>
        <w:t>2、生态系统类型及特征</w:t>
      </w:r>
    </w:p>
    <w:p w14:paraId="059FAF39">
      <w:pPr>
        <w:pStyle w:val="185"/>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sz w:val="24"/>
          <w:szCs w:val="22"/>
          <w:highlight w:val="none"/>
          <w:lang w:eastAsia="zh-CN"/>
        </w:rPr>
      </w:pPr>
      <w:r>
        <w:rPr>
          <w:rFonts w:hint="default" w:ascii="Times New Roman" w:hAnsi="Times New Roman" w:cs="Times New Roman"/>
          <w:b/>
          <w:bCs/>
          <w:sz w:val="24"/>
          <w:szCs w:val="22"/>
          <w:highlight w:val="none"/>
          <w:lang w:eastAsia="zh-CN"/>
        </w:rPr>
        <w:t>（</w:t>
      </w:r>
      <w:r>
        <w:rPr>
          <w:rFonts w:hint="default" w:ascii="Times New Roman" w:hAnsi="Times New Roman" w:cs="Times New Roman"/>
          <w:b/>
          <w:bCs/>
          <w:sz w:val="24"/>
          <w:szCs w:val="22"/>
          <w:highlight w:val="none"/>
          <w:lang w:val="en-US" w:eastAsia="zh-CN"/>
        </w:rPr>
        <w:t>1</w:t>
      </w:r>
      <w:r>
        <w:rPr>
          <w:rFonts w:hint="default" w:ascii="Times New Roman" w:hAnsi="Times New Roman" w:cs="Times New Roman"/>
          <w:b/>
          <w:bCs/>
          <w:sz w:val="24"/>
          <w:szCs w:val="22"/>
          <w:highlight w:val="none"/>
          <w:lang w:eastAsia="zh-CN"/>
        </w:rPr>
        <w:t>）生态系统组成与生境质量现状</w:t>
      </w:r>
    </w:p>
    <w:p w14:paraId="6381B9AA">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sz w:val="24"/>
          <w:szCs w:val="22"/>
          <w:highlight w:val="none"/>
          <w:lang w:val="en-US" w:eastAsia="zh-CN"/>
        </w:rPr>
      </w:pPr>
      <w:r>
        <w:rPr>
          <w:rFonts w:hint="default" w:ascii="Times New Roman" w:hAnsi="Times New Roman" w:cs="Times New Roman"/>
          <w:sz w:val="24"/>
          <w:szCs w:val="22"/>
          <w:highlight w:val="none"/>
          <w:lang w:eastAsia="zh-CN"/>
        </w:rPr>
        <w:t>根据《环境影响评价技术导则 生态影响》（HJ19-2022）</w:t>
      </w:r>
      <w:r>
        <w:rPr>
          <w:rFonts w:hint="eastAsia" w:ascii="Times New Roman" w:hAnsi="Times New Roman" w:cs="Times New Roman"/>
          <w:sz w:val="24"/>
          <w:szCs w:val="22"/>
          <w:highlight w:val="none"/>
          <w:lang w:eastAsia="zh-CN"/>
        </w:rPr>
        <w:t>，</w:t>
      </w:r>
      <w:r>
        <w:rPr>
          <w:rFonts w:hint="eastAsia" w:ascii="Times New Roman" w:hAnsi="Times New Roman" w:cs="Times New Roman"/>
          <w:sz w:val="24"/>
          <w:szCs w:val="22"/>
          <w:highlight w:val="none"/>
          <w:lang w:val="en-US" w:eastAsia="zh-CN"/>
        </w:rPr>
        <w:t>生态系统类型分类采用《</w:t>
      </w:r>
      <w:r>
        <w:rPr>
          <w:rFonts w:hint="default" w:ascii="Times New Roman" w:hAnsi="Times New Roman" w:cs="Times New Roman"/>
          <w:sz w:val="24"/>
          <w:szCs w:val="22"/>
          <w:highlight w:val="none"/>
          <w:lang w:eastAsia="zh-CN"/>
        </w:rPr>
        <w:t>全国生态状况调查评估技术规范</w:t>
      </w:r>
      <w:r>
        <w:rPr>
          <w:rFonts w:hint="eastAsia" w:ascii="Times New Roman" w:hAnsi="Times New Roman" w:cs="Times New Roman"/>
          <w:sz w:val="24"/>
          <w:szCs w:val="22"/>
          <w:highlight w:val="none"/>
          <w:lang w:val="en-US" w:eastAsia="zh-CN"/>
        </w:rPr>
        <w:t>—</w:t>
      </w:r>
      <w:r>
        <w:rPr>
          <w:rFonts w:hint="default" w:ascii="Times New Roman" w:hAnsi="Times New Roman" w:cs="Times New Roman"/>
          <w:sz w:val="24"/>
          <w:szCs w:val="22"/>
          <w:highlight w:val="none"/>
          <w:lang w:eastAsia="zh-CN"/>
        </w:rPr>
        <w:t>生态系统遥感解译与野外核查</w:t>
      </w:r>
      <w:r>
        <w:rPr>
          <w:rFonts w:hint="eastAsia" w:ascii="Times New Roman" w:hAnsi="Times New Roman" w:cs="Times New Roman"/>
          <w:sz w:val="24"/>
          <w:szCs w:val="22"/>
          <w:highlight w:val="none"/>
          <w:lang w:val="en-US" w:eastAsia="zh-CN"/>
        </w:rPr>
        <w:t>》（</w:t>
      </w:r>
      <w:r>
        <w:rPr>
          <w:rFonts w:hint="default" w:ascii="Times New Roman" w:hAnsi="Times New Roman" w:cs="Times New Roman"/>
          <w:sz w:val="24"/>
          <w:szCs w:val="22"/>
          <w:highlight w:val="none"/>
          <w:lang w:eastAsia="zh-CN"/>
        </w:rPr>
        <w:t>HJ 1166-2021</w:t>
      </w:r>
      <w:r>
        <w:rPr>
          <w:rFonts w:hint="eastAsia" w:ascii="Times New Roman" w:hAnsi="Times New Roman" w:cs="Times New Roman"/>
          <w:sz w:val="24"/>
          <w:szCs w:val="22"/>
          <w:highlight w:val="none"/>
          <w:lang w:val="en-US" w:eastAsia="zh-CN"/>
        </w:rPr>
        <w:t>）中II级类型进行分类</w:t>
      </w:r>
      <w:r>
        <w:rPr>
          <w:rFonts w:hint="eastAsia" w:ascii="Times New Roman" w:hAnsi="Times New Roman" w:cs="Times New Roman"/>
          <w:sz w:val="24"/>
          <w:szCs w:val="22"/>
          <w:highlight w:val="none"/>
          <w:lang w:eastAsia="zh-CN"/>
        </w:rPr>
        <w:t>，</w:t>
      </w:r>
      <w:r>
        <w:rPr>
          <w:rFonts w:hint="eastAsia" w:ascii="Times New Roman" w:hAnsi="Times New Roman" w:cs="Times New Roman"/>
          <w:sz w:val="24"/>
          <w:szCs w:val="22"/>
          <w:highlight w:val="none"/>
          <w:lang w:val="en-US" w:eastAsia="zh-CN"/>
        </w:rPr>
        <w:t>结合</w:t>
      </w:r>
      <w:r>
        <w:rPr>
          <w:rFonts w:hint="default" w:ascii="Times New Roman" w:hAnsi="Times New Roman" w:cs="Times New Roman"/>
          <w:sz w:val="24"/>
          <w:szCs w:val="22"/>
          <w:highlight w:val="none"/>
          <w:lang w:eastAsia="zh-CN"/>
        </w:rPr>
        <w:t>遥感影像解译和实地调查，</w:t>
      </w:r>
      <w:r>
        <w:rPr>
          <w:rFonts w:hint="eastAsia" w:ascii="Times New Roman" w:hAnsi="Times New Roman" w:cs="Times New Roman"/>
          <w:sz w:val="24"/>
          <w:szCs w:val="22"/>
          <w:highlight w:val="none"/>
          <w:lang w:val="en-US" w:eastAsia="zh-CN"/>
        </w:rPr>
        <w:t>项目在已闭库尾矿库上建设，评价范围东北沟</w:t>
      </w:r>
      <w:r>
        <w:rPr>
          <w:rFonts w:hint="eastAsia" w:ascii="Times New Roman" w:hAnsi="Times New Roman" w:cs="Times New Roman"/>
          <w:b w:val="0"/>
          <w:bCs w:val="0"/>
          <w:color w:val="000000"/>
          <w:sz w:val="24"/>
          <w:highlight w:val="none"/>
          <w:lang w:val="en-US" w:eastAsia="zh-CN"/>
        </w:rPr>
        <w:t>尾矿库占地区域</w:t>
      </w:r>
      <w:r>
        <w:rPr>
          <w:rFonts w:hint="eastAsia" w:ascii="Times New Roman" w:hAnsi="Times New Roman" w:cs="Times New Roman"/>
          <w:sz w:val="24"/>
          <w:szCs w:val="22"/>
          <w:highlight w:val="none"/>
          <w:lang w:val="en-US" w:eastAsia="zh-CN"/>
        </w:rPr>
        <w:t>内已进行生态恢复，恢复植被以沙棘为主，生态系统类型为灌丛生态系统；</w:t>
      </w:r>
      <w:r>
        <w:rPr>
          <w:rFonts w:hint="eastAsia" w:ascii="Times New Roman" w:hAnsi="Times New Roman" w:cs="Times New Roman"/>
          <w:b w:val="0"/>
          <w:bCs w:val="0"/>
          <w:color w:val="000000"/>
          <w:sz w:val="24"/>
          <w:highlight w:val="none"/>
          <w:lang w:val="en-US" w:eastAsia="zh-CN"/>
        </w:rPr>
        <w:t>未被东北沟尾矿库占用区域</w:t>
      </w:r>
      <w:r>
        <w:rPr>
          <w:rFonts w:hint="eastAsia" w:ascii="Times New Roman" w:hAnsi="Times New Roman" w:cs="Times New Roman"/>
          <w:sz w:val="24"/>
          <w:szCs w:val="22"/>
          <w:highlight w:val="none"/>
          <w:lang w:val="en-US" w:eastAsia="zh-CN"/>
        </w:rPr>
        <w:t>还涉及针叶林、稀疏灌丛、稀疏草地</w:t>
      </w:r>
      <w:r>
        <w:rPr>
          <w:rFonts w:hint="default" w:ascii="Times New Roman" w:hAnsi="Times New Roman" w:cs="Times New Roman"/>
          <w:sz w:val="24"/>
          <w:szCs w:val="22"/>
          <w:highlight w:val="none"/>
          <w:lang w:eastAsia="zh-CN"/>
        </w:rPr>
        <w:t>。</w:t>
      </w:r>
      <w:r>
        <w:rPr>
          <w:rFonts w:hint="eastAsia" w:ascii="Times New Roman" w:hAnsi="Times New Roman" w:cs="Times New Roman"/>
          <w:sz w:val="24"/>
          <w:szCs w:val="22"/>
          <w:highlight w:val="none"/>
          <w:lang w:val="en-US" w:eastAsia="zh-CN"/>
        </w:rPr>
        <w:t>评价范围内</w:t>
      </w:r>
      <w:r>
        <w:rPr>
          <w:rFonts w:hint="default" w:ascii="Times New Roman" w:hAnsi="Times New Roman" w:cs="Times New Roman"/>
          <w:sz w:val="24"/>
          <w:szCs w:val="22"/>
          <w:highlight w:val="none"/>
          <w:lang w:eastAsia="zh-CN"/>
        </w:rPr>
        <w:t>生态系统类型及特征见</w:t>
      </w:r>
      <w:r>
        <w:rPr>
          <w:rFonts w:hint="default" w:ascii="Times New Roman" w:hAnsi="Times New Roman" w:cs="Times New Roman"/>
          <w:sz w:val="24"/>
          <w:szCs w:val="22"/>
          <w:highlight w:val="none"/>
          <w:lang w:val="en-US" w:eastAsia="zh-CN"/>
        </w:rPr>
        <w:t>下</w:t>
      </w:r>
      <w:r>
        <w:rPr>
          <w:rFonts w:hint="default" w:ascii="Times New Roman" w:hAnsi="Times New Roman" w:cs="Times New Roman"/>
          <w:sz w:val="24"/>
          <w:szCs w:val="22"/>
          <w:highlight w:val="none"/>
          <w:lang w:eastAsia="zh-CN"/>
        </w:rPr>
        <w:t>表</w:t>
      </w:r>
      <w:r>
        <w:rPr>
          <w:rFonts w:hint="eastAsia" w:ascii="Times New Roman" w:hAnsi="Times New Roman" w:cs="Times New Roman"/>
          <w:sz w:val="24"/>
          <w:szCs w:val="22"/>
          <w:highlight w:val="none"/>
          <w:lang w:val="en-US" w:eastAsia="zh-CN"/>
        </w:rPr>
        <w:t>。</w:t>
      </w:r>
    </w:p>
    <w:p w14:paraId="2CB38598">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sz w:val="21"/>
          <w:szCs w:val="21"/>
          <w:highlight w:val="none"/>
          <w:lang w:val="en-US" w:eastAsia="zh-CN"/>
        </w:rPr>
      </w:pPr>
      <w:r>
        <w:rPr>
          <w:rFonts w:hint="eastAsia" w:ascii="Times New Roman" w:hAnsi="Times New Roman" w:eastAsia="宋体" w:cs="Times New Roman"/>
          <w:b/>
          <w:sz w:val="21"/>
          <w:szCs w:val="21"/>
          <w:highlight w:val="none"/>
          <w:lang w:val="en-US" w:eastAsia="zh-CN"/>
        </w:rPr>
        <w:t>本项目生态环境评价范围内植被类型一览表</w:t>
      </w:r>
    </w:p>
    <w:tbl>
      <w:tblPr>
        <w:tblStyle w:val="58"/>
        <w:tblW w:w="517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60"/>
        <w:gridCol w:w="1437"/>
        <w:gridCol w:w="1673"/>
        <w:gridCol w:w="3100"/>
        <w:gridCol w:w="1742"/>
      </w:tblGrid>
      <w:tr w14:paraId="72F0EF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3" w:type="pct"/>
            <w:tcBorders>
              <w:tl2br w:val="nil"/>
              <w:tr2bl w:val="nil"/>
            </w:tcBorders>
            <w:noWrap w:val="0"/>
            <w:vAlign w:val="center"/>
          </w:tcPr>
          <w:p w14:paraId="5DE81DE0">
            <w:pPr>
              <w:keepNext w:val="0"/>
              <w:keepLines w:val="0"/>
              <w:pageBreakBefore w:val="0"/>
              <w:widowControl/>
              <w:kinsoku/>
              <w:wordWrap/>
              <w:overflowPunct/>
              <w:topLinePunct w:val="0"/>
              <w:autoSpaceDE/>
              <w:autoSpaceDN/>
              <w:bidi w:val="0"/>
              <w:adjustRightInd w:val="0"/>
              <w:snapToGrid w:val="0"/>
              <w:spacing w:line="240" w:lineRule="atLeas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序号</w:t>
            </w:r>
          </w:p>
        </w:tc>
        <w:tc>
          <w:tcPr>
            <w:tcW w:w="834" w:type="pct"/>
            <w:tcBorders>
              <w:tl2br w:val="nil"/>
              <w:tr2bl w:val="nil"/>
            </w:tcBorders>
            <w:noWrap w:val="0"/>
            <w:vAlign w:val="center"/>
          </w:tcPr>
          <w:p w14:paraId="1862309A">
            <w:pPr>
              <w:keepNext w:val="0"/>
              <w:keepLines w:val="0"/>
              <w:pageBreakBefore w:val="0"/>
              <w:widowControl/>
              <w:kinsoku/>
              <w:wordWrap/>
              <w:overflowPunct/>
              <w:topLinePunct w:val="0"/>
              <w:autoSpaceDE/>
              <w:autoSpaceDN/>
              <w:bidi w:val="0"/>
              <w:adjustRightInd w:val="0"/>
              <w:snapToGrid w:val="0"/>
              <w:spacing w:line="240" w:lineRule="atLeas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生态系统I分类类型</w:t>
            </w:r>
          </w:p>
        </w:tc>
        <w:tc>
          <w:tcPr>
            <w:tcW w:w="971" w:type="pct"/>
            <w:tcBorders>
              <w:tl2br w:val="nil"/>
              <w:tr2bl w:val="nil"/>
            </w:tcBorders>
            <w:shd w:val="clear" w:color="auto" w:fill="auto"/>
            <w:noWrap w:val="0"/>
            <w:vAlign w:val="center"/>
          </w:tcPr>
          <w:p w14:paraId="336FC6D5">
            <w:pPr>
              <w:keepNext w:val="0"/>
              <w:keepLines w:val="0"/>
              <w:pageBreakBefore w:val="0"/>
              <w:widowControl/>
              <w:kinsoku/>
              <w:wordWrap/>
              <w:overflowPunct/>
              <w:topLinePunct w:val="0"/>
              <w:autoSpaceDE/>
              <w:autoSpaceDN/>
              <w:bidi w:val="0"/>
              <w:adjustRightInd w:val="0"/>
              <w:snapToGrid w:val="0"/>
              <w:spacing w:line="240" w:lineRule="atLeast"/>
              <w:ind w:left="0" w:leftChars="0" w:right="0" w:rightChars="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生态系统II分类类型</w:t>
            </w:r>
          </w:p>
        </w:tc>
        <w:tc>
          <w:tcPr>
            <w:tcW w:w="1799" w:type="pct"/>
            <w:tcBorders>
              <w:tl2br w:val="nil"/>
              <w:tr2bl w:val="nil"/>
            </w:tcBorders>
            <w:noWrap w:val="0"/>
            <w:vAlign w:val="center"/>
          </w:tcPr>
          <w:p w14:paraId="4284FBF4">
            <w:pPr>
              <w:keepNext w:val="0"/>
              <w:keepLines w:val="0"/>
              <w:pageBreakBefore w:val="0"/>
              <w:widowControl/>
              <w:kinsoku/>
              <w:wordWrap/>
              <w:overflowPunct/>
              <w:topLinePunct w:val="0"/>
              <w:autoSpaceDE/>
              <w:autoSpaceDN/>
              <w:bidi w:val="0"/>
              <w:adjustRightInd w:val="0"/>
              <w:snapToGrid w:val="0"/>
              <w:spacing w:line="240" w:lineRule="atLeas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主要物种/内容</w:t>
            </w:r>
          </w:p>
        </w:tc>
        <w:tc>
          <w:tcPr>
            <w:tcW w:w="1011" w:type="pct"/>
            <w:tcBorders>
              <w:tl2br w:val="nil"/>
              <w:tr2bl w:val="nil"/>
            </w:tcBorders>
            <w:noWrap w:val="0"/>
            <w:vAlign w:val="center"/>
          </w:tcPr>
          <w:p w14:paraId="22DBB41A">
            <w:pPr>
              <w:keepNext w:val="0"/>
              <w:keepLines w:val="0"/>
              <w:pageBreakBefore w:val="0"/>
              <w:widowControl/>
              <w:kinsoku/>
              <w:wordWrap/>
              <w:overflowPunct/>
              <w:topLinePunct w:val="0"/>
              <w:autoSpaceDE/>
              <w:autoSpaceDN/>
              <w:bidi w:val="0"/>
              <w:adjustRightInd w:val="0"/>
              <w:snapToGrid w:val="0"/>
              <w:spacing w:line="240" w:lineRule="atLeas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分布</w:t>
            </w:r>
          </w:p>
        </w:tc>
      </w:tr>
      <w:tr w14:paraId="341891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3" w:type="pct"/>
            <w:tcBorders>
              <w:tl2br w:val="nil"/>
              <w:tr2bl w:val="nil"/>
            </w:tcBorders>
            <w:noWrap w:val="0"/>
            <w:vAlign w:val="center"/>
          </w:tcPr>
          <w:p w14:paraId="7F54674B">
            <w:pPr>
              <w:pStyle w:val="227"/>
              <w:keepNext w:val="0"/>
              <w:keepLines w:val="0"/>
              <w:pageBreakBefore w:val="0"/>
              <w:kinsoku/>
              <w:wordWrap/>
              <w:overflowPunct/>
              <w:topLinePunct w:val="0"/>
              <w:bidi w:val="0"/>
              <w:adjustRightInd w:val="0"/>
              <w:spacing w:line="240" w:lineRule="atLeast"/>
              <w:ind w:left="68"/>
              <w:jc w:val="center"/>
              <w:textAlignment w:val="auto"/>
              <w:rPr>
                <w:rFonts w:hint="default" w:ascii="Times New Roman" w:hAnsi="Times New Roman" w:eastAsia="宋体" w:cs="Times New Roman"/>
                <w:i w:val="0"/>
                <w:iCs w:val="0"/>
                <w:spacing w:val="0"/>
                <w:sz w:val="21"/>
                <w:szCs w:val="21"/>
                <w:highlight w:val="none"/>
                <w:lang w:val="en-US" w:eastAsia="zh-CN"/>
              </w:rPr>
            </w:pPr>
            <w:r>
              <w:rPr>
                <w:rFonts w:hint="eastAsia" w:eastAsia="宋体" w:cs="Times New Roman"/>
                <w:i w:val="0"/>
                <w:iCs w:val="0"/>
                <w:spacing w:val="0"/>
                <w:sz w:val="21"/>
                <w:szCs w:val="21"/>
                <w:highlight w:val="none"/>
                <w:lang w:val="en-US" w:eastAsia="zh-CN"/>
              </w:rPr>
              <w:t>1</w:t>
            </w:r>
          </w:p>
        </w:tc>
        <w:tc>
          <w:tcPr>
            <w:tcW w:w="834" w:type="pct"/>
            <w:tcBorders>
              <w:tl2br w:val="nil"/>
              <w:tr2bl w:val="nil"/>
            </w:tcBorders>
            <w:shd w:val="clear" w:color="auto" w:fill="auto"/>
            <w:noWrap w:val="0"/>
            <w:vAlign w:val="center"/>
          </w:tcPr>
          <w:p w14:paraId="0439FDFF">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default"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森林生态系统</w:t>
            </w:r>
          </w:p>
        </w:tc>
        <w:tc>
          <w:tcPr>
            <w:tcW w:w="971" w:type="pct"/>
            <w:tcBorders>
              <w:tl2br w:val="nil"/>
              <w:tr2bl w:val="nil"/>
            </w:tcBorders>
            <w:shd w:val="clear" w:color="auto" w:fill="auto"/>
            <w:noWrap w:val="0"/>
            <w:vAlign w:val="center"/>
          </w:tcPr>
          <w:p w14:paraId="4E3E50B4">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default"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针叶林</w:t>
            </w:r>
          </w:p>
        </w:tc>
        <w:tc>
          <w:tcPr>
            <w:tcW w:w="1799" w:type="pct"/>
            <w:tcBorders>
              <w:tl2br w:val="nil"/>
              <w:tr2bl w:val="nil"/>
            </w:tcBorders>
            <w:shd w:val="clear" w:color="auto" w:fill="auto"/>
            <w:noWrap w:val="0"/>
            <w:vAlign w:val="center"/>
          </w:tcPr>
          <w:p w14:paraId="45BFD940">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default"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乔木林以油松为主</w:t>
            </w:r>
          </w:p>
        </w:tc>
        <w:tc>
          <w:tcPr>
            <w:tcW w:w="1011" w:type="pct"/>
            <w:tcBorders>
              <w:tl2br w:val="nil"/>
              <w:tr2bl w:val="nil"/>
            </w:tcBorders>
            <w:shd w:val="clear" w:color="auto" w:fill="auto"/>
            <w:noWrap w:val="0"/>
            <w:vAlign w:val="center"/>
          </w:tcPr>
          <w:p w14:paraId="55936470">
            <w:pPr>
              <w:pStyle w:val="227"/>
              <w:keepNext w:val="0"/>
              <w:keepLines w:val="0"/>
              <w:pageBreakBefore w:val="0"/>
              <w:kinsoku/>
              <w:wordWrap/>
              <w:overflowPunct/>
              <w:topLinePunct w:val="0"/>
              <w:bidi w:val="0"/>
              <w:adjustRightInd w:val="0"/>
              <w:spacing w:line="240" w:lineRule="atLeast"/>
              <w:ind w:left="31" w:leftChars="0" w:right="-29" w:rightChars="0"/>
              <w:jc w:val="center"/>
              <w:textAlignment w:val="auto"/>
              <w:rPr>
                <w:rFonts w:hint="default"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呈片状、带状分布</w:t>
            </w:r>
          </w:p>
        </w:tc>
      </w:tr>
      <w:tr w14:paraId="40DCB4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3" w:type="pct"/>
            <w:tcBorders>
              <w:tl2br w:val="nil"/>
              <w:tr2bl w:val="nil"/>
            </w:tcBorders>
            <w:noWrap w:val="0"/>
            <w:vAlign w:val="center"/>
          </w:tcPr>
          <w:p w14:paraId="474B9D71">
            <w:pPr>
              <w:pStyle w:val="227"/>
              <w:keepNext w:val="0"/>
              <w:keepLines w:val="0"/>
              <w:pageBreakBefore w:val="0"/>
              <w:kinsoku/>
              <w:wordWrap/>
              <w:overflowPunct/>
              <w:topLinePunct w:val="0"/>
              <w:bidi w:val="0"/>
              <w:adjustRightInd w:val="0"/>
              <w:spacing w:line="240" w:lineRule="atLeast"/>
              <w:ind w:left="68"/>
              <w:jc w:val="center"/>
              <w:textAlignment w:val="auto"/>
              <w:rPr>
                <w:rFonts w:hint="default" w:eastAsia="宋体" w:cs="Times New Roman"/>
                <w:i w:val="0"/>
                <w:iCs w:val="0"/>
                <w:spacing w:val="0"/>
                <w:sz w:val="21"/>
                <w:szCs w:val="21"/>
                <w:highlight w:val="none"/>
                <w:lang w:val="en-US" w:eastAsia="zh-CN"/>
              </w:rPr>
            </w:pPr>
            <w:r>
              <w:rPr>
                <w:rFonts w:hint="eastAsia" w:eastAsia="宋体" w:cs="Times New Roman"/>
                <w:i w:val="0"/>
                <w:iCs w:val="0"/>
                <w:spacing w:val="0"/>
                <w:sz w:val="21"/>
                <w:szCs w:val="21"/>
                <w:highlight w:val="none"/>
                <w:lang w:val="en-US" w:eastAsia="zh-CN"/>
              </w:rPr>
              <w:t>2</w:t>
            </w:r>
          </w:p>
        </w:tc>
        <w:tc>
          <w:tcPr>
            <w:tcW w:w="834" w:type="pct"/>
            <w:tcBorders>
              <w:tl2br w:val="nil"/>
              <w:tr2bl w:val="nil"/>
            </w:tcBorders>
            <w:shd w:val="clear" w:color="auto" w:fill="auto"/>
            <w:noWrap w:val="0"/>
            <w:vAlign w:val="center"/>
          </w:tcPr>
          <w:p w14:paraId="792BFFDA">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default"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灌丛生态系统</w:t>
            </w:r>
          </w:p>
        </w:tc>
        <w:tc>
          <w:tcPr>
            <w:tcW w:w="971" w:type="pct"/>
            <w:tcBorders>
              <w:tl2br w:val="nil"/>
              <w:tr2bl w:val="nil"/>
            </w:tcBorders>
            <w:shd w:val="clear" w:color="auto" w:fill="auto"/>
            <w:noWrap w:val="0"/>
            <w:vAlign w:val="center"/>
          </w:tcPr>
          <w:p w14:paraId="672392ED">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eastAsia"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稀疏灌丛</w:t>
            </w:r>
          </w:p>
        </w:tc>
        <w:tc>
          <w:tcPr>
            <w:tcW w:w="1799" w:type="pct"/>
            <w:tcBorders>
              <w:tl2br w:val="nil"/>
              <w:tr2bl w:val="nil"/>
            </w:tcBorders>
            <w:shd w:val="clear" w:color="auto" w:fill="auto"/>
            <w:noWrap w:val="0"/>
            <w:vAlign w:val="center"/>
          </w:tcPr>
          <w:p w14:paraId="52F4EA9C">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eastAsia"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荆条、野山枣、荆条、绣线菊、平榛、沙棘等</w:t>
            </w:r>
          </w:p>
        </w:tc>
        <w:tc>
          <w:tcPr>
            <w:tcW w:w="1011" w:type="pct"/>
            <w:tcBorders>
              <w:tl2br w:val="nil"/>
              <w:tr2bl w:val="nil"/>
            </w:tcBorders>
            <w:shd w:val="clear" w:color="auto" w:fill="auto"/>
            <w:noWrap w:val="0"/>
            <w:vAlign w:val="center"/>
          </w:tcPr>
          <w:p w14:paraId="4F7F509C">
            <w:pPr>
              <w:pStyle w:val="227"/>
              <w:keepNext w:val="0"/>
              <w:keepLines w:val="0"/>
              <w:pageBreakBefore w:val="0"/>
              <w:kinsoku/>
              <w:wordWrap/>
              <w:overflowPunct/>
              <w:topLinePunct w:val="0"/>
              <w:bidi w:val="0"/>
              <w:adjustRightInd w:val="0"/>
              <w:spacing w:line="240" w:lineRule="atLeast"/>
              <w:ind w:left="31" w:leftChars="0" w:right="-29" w:rightChars="0"/>
              <w:jc w:val="center"/>
              <w:textAlignment w:val="auto"/>
              <w:rPr>
                <w:rFonts w:hint="eastAsia"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呈片状、带状分布</w:t>
            </w:r>
          </w:p>
        </w:tc>
      </w:tr>
      <w:tr w14:paraId="4721ED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3" w:type="pct"/>
            <w:tcBorders>
              <w:tl2br w:val="nil"/>
              <w:tr2bl w:val="nil"/>
            </w:tcBorders>
            <w:noWrap w:val="0"/>
            <w:vAlign w:val="center"/>
          </w:tcPr>
          <w:p w14:paraId="7B7BE7D3">
            <w:pPr>
              <w:pStyle w:val="227"/>
              <w:keepNext w:val="0"/>
              <w:keepLines w:val="0"/>
              <w:pageBreakBefore w:val="0"/>
              <w:kinsoku/>
              <w:wordWrap/>
              <w:overflowPunct/>
              <w:topLinePunct w:val="0"/>
              <w:bidi w:val="0"/>
              <w:adjustRightInd w:val="0"/>
              <w:spacing w:line="240" w:lineRule="atLeast"/>
              <w:ind w:left="68"/>
              <w:jc w:val="center"/>
              <w:textAlignment w:val="auto"/>
              <w:rPr>
                <w:rFonts w:hint="default" w:eastAsia="宋体" w:cs="Times New Roman"/>
                <w:i w:val="0"/>
                <w:iCs w:val="0"/>
                <w:spacing w:val="0"/>
                <w:sz w:val="21"/>
                <w:szCs w:val="21"/>
                <w:highlight w:val="none"/>
                <w:lang w:val="en-US" w:eastAsia="zh-CN"/>
              </w:rPr>
            </w:pPr>
            <w:r>
              <w:rPr>
                <w:rFonts w:hint="eastAsia" w:eastAsia="宋体" w:cs="Times New Roman"/>
                <w:i w:val="0"/>
                <w:iCs w:val="0"/>
                <w:spacing w:val="0"/>
                <w:sz w:val="21"/>
                <w:szCs w:val="21"/>
                <w:highlight w:val="none"/>
                <w:lang w:val="en-US" w:eastAsia="zh-CN"/>
              </w:rPr>
              <w:t>3</w:t>
            </w:r>
          </w:p>
        </w:tc>
        <w:tc>
          <w:tcPr>
            <w:tcW w:w="834" w:type="pct"/>
            <w:tcBorders>
              <w:tl2br w:val="nil"/>
              <w:tr2bl w:val="nil"/>
            </w:tcBorders>
            <w:shd w:val="clear" w:color="auto" w:fill="auto"/>
            <w:noWrap w:val="0"/>
            <w:vAlign w:val="center"/>
          </w:tcPr>
          <w:p w14:paraId="028C95C5">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default"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草地生态系统</w:t>
            </w:r>
          </w:p>
        </w:tc>
        <w:tc>
          <w:tcPr>
            <w:tcW w:w="971" w:type="pct"/>
            <w:tcBorders>
              <w:tl2br w:val="nil"/>
              <w:tr2bl w:val="nil"/>
            </w:tcBorders>
            <w:shd w:val="clear" w:color="auto" w:fill="auto"/>
            <w:noWrap w:val="0"/>
            <w:vAlign w:val="center"/>
          </w:tcPr>
          <w:p w14:paraId="28C17D79">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eastAsia"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稀疏草地</w:t>
            </w:r>
          </w:p>
        </w:tc>
        <w:tc>
          <w:tcPr>
            <w:tcW w:w="1799" w:type="pct"/>
            <w:tcBorders>
              <w:tl2br w:val="nil"/>
              <w:tr2bl w:val="nil"/>
            </w:tcBorders>
            <w:shd w:val="clear" w:color="auto" w:fill="auto"/>
            <w:noWrap w:val="0"/>
            <w:vAlign w:val="center"/>
          </w:tcPr>
          <w:p w14:paraId="41FCBD1A">
            <w:pPr>
              <w:pStyle w:val="227"/>
              <w:keepNext w:val="0"/>
              <w:keepLines w:val="0"/>
              <w:pageBreakBefore w:val="0"/>
              <w:kinsoku/>
              <w:wordWrap/>
              <w:overflowPunct/>
              <w:topLinePunct w:val="0"/>
              <w:bidi w:val="0"/>
              <w:adjustRightInd w:val="0"/>
              <w:spacing w:line="240" w:lineRule="atLeast"/>
              <w:ind w:left="20" w:leftChars="0"/>
              <w:jc w:val="center"/>
              <w:textAlignment w:val="auto"/>
              <w:rPr>
                <w:rFonts w:hint="eastAsia"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狗尾草、野艾蒿、鬼针草、针毛草、大籽蒿等</w:t>
            </w:r>
          </w:p>
        </w:tc>
        <w:tc>
          <w:tcPr>
            <w:tcW w:w="1011" w:type="pct"/>
            <w:tcBorders>
              <w:tl2br w:val="nil"/>
              <w:tr2bl w:val="nil"/>
            </w:tcBorders>
            <w:shd w:val="clear" w:color="auto" w:fill="auto"/>
            <w:noWrap w:val="0"/>
            <w:vAlign w:val="center"/>
          </w:tcPr>
          <w:p w14:paraId="3722D712">
            <w:pPr>
              <w:pStyle w:val="227"/>
              <w:keepNext w:val="0"/>
              <w:keepLines w:val="0"/>
              <w:pageBreakBefore w:val="0"/>
              <w:kinsoku/>
              <w:wordWrap/>
              <w:overflowPunct/>
              <w:topLinePunct w:val="0"/>
              <w:bidi w:val="0"/>
              <w:adjustRightInd w:val="0"/>
              <w:spacing w:line="240" w:lineRule="atLeast"/>
              <w:ind w:left="31" w:leftChars="0" w:right="-29" w:rightChars="0"/>
              <w:jc w:val="center"/>
              <w:textAlignment w:val="auto"/>
              <w:rPr>
                <w:rFonts w:hint="eastAsia" w:ascii="Times New Roman" w:hAnsi="Times New Roman" w:eastAsia="宋体" w:cs="Times New Roman"/>
                <w:i w:val="0"/>
                <w:iCs w:val="0"/>
                <w:kern w:val="0"/>
                <w:sz w:val="21"/>
                <w:szCs w:val="21"/>
                <w:highlight w:val="none"/>
                <w:lang w:val="en-US" w:eastAsia="zh-CN" w:bidi="ar-SA"/>
              </w:rPr>
            </w:pPr>
            <w:r>
              <w:rPr>
                <w:rFonts w:hint="eastAsia" w:eastAsia="宋体" w:cs="Times New Roman"/>
                <w:i w:val="0"/>
                <w:iCs w:val="0"/>
                <w:sz w:val="21"/>
                <w:szCs w:val="21"/>
                <w:highlight w:val="none"/>
                <w:lang w:val="en-US" w:eastAsia="zh-CN"/>
              </w:rPr>
              <w:t>呈片状、带状分布</w:t>
            </w:r>
          </w:p>
        </w:tc>
      </w:tr>
    </w:tbl>
    <w:p w14:paraId="4C126E34">
      <w:pPr>
        <w:pStyle w:val="185"/>
        <w:pageBreakBefore w:val="0"/>
        <w:kinsoku/>
        <w:wordWrap/>
        <w:overflowPunct/>
        <w:topLinePunct w:val="0"/>
        <w:autoSpaceDE/>
        <w:autoSpaceDN/>
        <w:bidi w:val="0"/>
        <w:spacing w:line="360" w:lineRule="auto"/>
        <w:ind w:firstLine="480" w:firstLineChars="200"/>
        <w:textAlignment w:val="auto"/>
        <w:rPr>
          <w:sz w:val="24"/>
          <w:szCs w:val="24"/>
          <w:highlight w:val="none"/>
        </w:rPr>
      </w:pPr>
      <w:r>
        <w:rPr>
          <w:rFonts w:hint="eastAsia"/>
          <w:sz w:val="24"/>
          <w:szCs w:val="24"/>
          <w:highlight w:val="none"/>
        </w:rPr>
        <w:t>根据现场踏勘，</w:t>
      </w:r>
      <w:r>
        <w:rPr>
          <w:rFonts w:hint="eastAsia"/>
          <w:sz w:val="24"/>
          <w:szCs w:val="24"/>
          <w:highlight w:val="none"/>
          <w:lang w:val="en-US" w:eastAsia="zh-CN"/>
        </w:rPr>
        <w:t>针叶林</w:t>
      </w:r>
      <w:r>
        <w:rPr>
          <w:rFonts w:hint="eastAsia"/>
          <w:sz w:val="24"/>
          <w:szCs w:val="24"/>
          <w:highlight w:val="none"/>
        </w:rPr>
        <w:t>植被类型</w:t>
      </w:r>
      <w:r>
        <w:rPr>
          <w:rFonts w:hint="eastAsia"/>
          <w:sz w:val="24"/>
          <w:szCs w:val="24"/>
          <w:highlight w:val="none"/>
          <w:lang w:val="en-US" w:eastAsia="zh-CN"/>
        </w:rPr>
        <w:t>以</w:t>
      </w:r>
      <w:r>
        <w:rPr>
          <w:rFonts w:hint="eastAsia"/>
          <w:sz w:val="24"/>
          <w:szCs w:val="24"/>
          <w:highlight w:val="none"/>
          <w:lang w:eastAsia="zh-CN"/>
        </w:rPr>
        <w:t>油松</w:t>
      </w:r>
      <w:r>
        <w:rPr>
          <w:rFonts w:hint="eastAsia"/>
          <w:sz w:val="24"/>
          <w:szCs w:val="24"/>
          <w:highlight w:val="none"/>
          <w:lang w:val="en-US" w:eastAsia="zh-CN"/>
        </w:rPr>
        <w:t>为主</w:t>
      </w:r>
      <w:r>
        <w:rPr>
          <w:rFonts w:hint="eastAsia"/>
          <w:sz w:val="24"/>
          <w:szCs w:val="24"/>
          <w:highlight w:val="none"/>
        </w:rPr>
        <w:t>，灌从植被类</w:t>
      </w:r>
      <w:r>
        <w:rPr>
          <w:rFonts w:hint="eastAsia"/>
          <w:sz w:val="24"/>
          <w:szCs w:val="24"/>
          <w:highlight w:val="none"/>
          <w:lang w:val="en-US" w:eastAsia="zh-CN"/>
        </w:rPr>
        <w:t>型</w:t>
      </w:r>
      <w:r>
        <w:rPr>
          <w:rFonts w:hint="eastAsia"/>
          <w:sz w:val="24"/>
          <w:szCs w:val="24"/>
          <w:highlight w:val="none"/>
        </w:rPr>
        <w:t>主要</w:t>
      </w:r>
      <w:r>
        <w:rPr>
          <w:rFonts w:hint="eastAsia"/>
          <w:sz w:val="24"/>
          <w:szCs w:val="24"/>
          <w:highlight w:val="none"/>
          <w:lang w:val="en-US" w:eastAsia="zh-CN"/>
        </w:rPr>
        <w:t>为</w:t>
      </w:r>
      <w:r>
        <w:rPr>
          <w:rFonts w:hint="eastAsia"/>
          <w:sz w:val="24"/>
          <w:szCs w:val="24"/>
          <w:highlight w:val="none"/>
        </w:rPr>
        <w:t>荆条、野山枣、荆条、绣线菊、平榛、沙棘</w:t>
      </w:r>
      <w:r>
        <w:rPr>
          <w:rFonts w:hint="eastAsia"/>
          <w:sz w:val="24"/>
          <w:szCs w:val="24"/>
          <w:highlight w:val="none"/>
          <w:lang w:val="en-US" w:eastAsia="zh-CN"/>
        </w:rPr>
        <w:t>等</w:t>
      </w:r>
      <w:r>
        <w:rPr>
          <w:rFonts w:hint="eastAsia"/>
          <w:sz w:val="24"/>
          <w:szCs w:val="24"/>
          <w:highlight w:val="none"/>
        </w:rPr>
        <w:t>，</w:t>
      </w:r>
      <w:r>
        <w:rPr>
          <w:rFonts w:hint="eastAsia"/>
          <w:sz w:val="24"/>
          <w:szCs w:val="24"/>
          <w:highlight w:val="none"/>
          <w:lang w:val="en-US" w:eastAsia="zh-CN"/>
        </w:rPr>
        <w:t>草地</w:t>
      </w:r>
      <w:r>
        <w:rPr>
          <w:rFonts w:hint="eastAsia"/>
          <w:sz w:val="24"/>
          <w:szCs w:val="24"/>
          <w:highlight w:val="none"/>
        </w:rPr>
        <w:t>主要狗尾草、野艾蒿、鬼针草、针毛草、大籽蒿等。</w:t>
      </w:r>
    </w:p>
    <w:p w14:paraId="2BA625AE">
      <w:pPr>
        <w:pStyle w:val="185"/>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000000"/>
          <w:sz w:val="24"/>
          <w:highlight w:val="none"/>
          <w:lang w:val="en-US"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2</w:t>
      </w: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景观结构</w:t>
      </w:r>
    </w:p>
    <w:p w14:paraId="05A8F3E1">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rPr>
        <w:t>在景观生态结构单元中，通常分为三种基本组分，即斑块(patch)、廊道（corridor）和基质(matrix)。斑块（或拼块）泛指与周围环境在外貌或性质上不同，并具有一定内部均质性的空间单元，斑块可以是植物群落、农田等等。廊道是指生态系统中与相邻两边环境不同的线性或条带结构，如河流、道路、峡谷等。基质（模地或基底）则是指生态系统中分布最广、连续性最大的背景结构，常见如森林基底、农田基底等。基质是生态系统的背景地域类型，是一种重要的生态系统结构单元类型，在很大程度上决定了生态系统的性质，对生态系统的动态起着主导作用。项目在已闭库尾矿库上建设，评价区内景观现状以</w:t>
      </w:r>
      <w:r>
        <w:rPr>
          <w:rFonts w:hint="eastAsia" w:ascii="Times New Roman" w:hAnsi="Times New Roman" w:cs="Times New Roman"/>
          <w:color w:val="000000"/>
          <w:sz w:val="24"/>
          <w:highlight w:val="none"/>
          <w:lang w:val="en-US" w:eastAsia="zh-CN"/>
        </w:rPr>
        <w:t>人工</w:t>
      </w:r>
      <w:r>
        <w:rPr>
          <w:rFonts w:hint="default" w:ascii="Times New Roman" w:hAnsi="Times New Roman" w:cs="Times New Roman"/>
          <w:color w:val="000000"/>
          <w:sz w:val="24"/>
          <w:highlight w:val="none"/>
        </w:rPr>
        <w:t>景观为主</w:t>
      </w:r>
      <w:r>
        <w:rPr>
          <w:rFonts w:hint="eastAsia" w:ascii="Times New Roman" w:hAnsi="Times New Roman" w:cs="Times New Roman"/>
          <w:color w:val="000000"/>
          <w:sz w:val="24"/>
          <w:highlight w:val="none"/>
          <w:lang w:eastAsia="zh-CN"/>
        </w:rPr>
        <w:t>。</w:t>
      </w:r>
    </w:p>
    <w:p w14:paraId="213577C0">
      <w:pPr>
        <w:pStyle w:val="185"/>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3、土地利用</w:t>
      </w:r>
    </w:p>
    <w:p w14:paraId="33E17039">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评价范围土地利用现状分类系统按照</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土地利用现状分类</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GB∕T21010-2017</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土地利用分类系统标准，采用卫星TM影像数据，通过GPS定位，建立地面解译标志和线路调查等方法，解译遥感影像，编绘土地利用现状图，在ArcGIS10.</w:t>
      </w:r>
      <w:r>
        <w:rPr>
          <w:rFonts w:hint="eastAsia" w:ascii="Times New Roman" w:hAnsi="Times New Roman" w:cs="Times New Roman"/>
          <w:color w:val="000000"/>
          <w:sz w:val="24"/>
          <w:highlight w:val="none"/>
          <w:lang w:val="en-US" w:eastAsia="zh-CN"/>
        </w:rPr>
        <w:t>8</w:t>
      </w:r>
      <w:r>
        <w:rPr>
          <w:rFonts w:hint="default" w:ascii="Times New Roman" w:hAnsi="Times New Roman" w:cs="Times New Roman"/>
          <w:color w:val="000000"/>
          <w:sz w:val="24"/>
          <w:highlight w:val="none"/>
        </w:rPr>
        <w:t>软件支持下，进行数据采集、编辑、分析、编绘成图。在此基础上，分析评价范围土地利用现状。</w:t>
      </w:r>
    </w:p>
    <w:p w14:paraId="1BC4D05B">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1</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现场调查</w:t>
      </w:r>
    </w:p>
    <w:p w14:paraId="23382E81">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经实地调查，</w:t>
      </w:r>
      <w:r>
        <w:rPr>
          <w:rFonts w:hint="eastAsia" w:ascii="Times New Roman" w:hAnsi="Times New Roman" w:cs="Times New Roman"/>
          <w:sz w:val="24"/>
          <w:szCs w:val="22"/>
          <w:highlight w:val="none"/>
          <w:lang w:val="en-US" w:eastAsia="zh-CN"/>
        </w:rPr>
        <w:t>项目在已闭库尾矿库上建设，评价范围东北沟</w:t>
      </w:r>
      <w:r>
        <w:rPr>
          <w:rFonts w:hint="eastAsia" w:ascii="Times New Roman" w:hAnsi="Times New Roman" w:cs="Times New Roman"/>
          <w:b w:val="0"/>
          <w:bCs w:val="0"/>
          <w:color w:val="000000"/>
          <w:sz w:val="24"/>
          <w:highlight w:val="none"/>
          <w:lang w:val="en-US" w:eastAsia="zh-CN"/>
        </w:rPr>
        <w:t>尾矿库占地区域</w:t>
      </w:r>
      <w:r>
        <w:rPr>
          <w:rFonts w:hint="eastAsia" w:ascii="Times New Roman" w:hAnsi="Times New Roman" w:cs="Times New Roman"/>
          <w:sz w:val="24"/>
          <w:szCs w:val="22"/>
          <w:highlight w:val="none"/>
          <w:lang w:val="en-US" w:eastAsia="zh-CN"/>
        </w:rPr>
        <w:t>内已进行生态恢复，恢复植被以沙棘为主，</w:t>
      </w:r>
      <w:r>
        <w:rPr>
          <w:rFonts w:hint="default" w:ascii="Times New Roman" w:hAnsi="Times New Roman" w:cs="Times New Roman"/>
          <w:color w:val="000000"/>
          <w:sz w:val="24"/>
          <w:highlight w:val="none"/>
        </w:rPr>
        <w:t>土地利用类型</w:t>
      </w:r>
      <w:r>
        <w:rPr>
          <w:rFonts w:hint="eastAsia" w:ascii="Times New Roman" w:hAnsi="Times New Roman" w:cs="Times New Roman"/>
          <w:color w:val="000000"/>
          <w:sz w:val="24"/>
          <w:highlight w:val="none"/>
          <w:lang w:val="en-US" w:eastAsia="zh-CN"/>
        </w:rPr>
        <w:t>为灌木林地</w:t>
      </w:r>
      <w:r>
        <w:rPr>
          <w:rFonts w:hint="eastAsia" w:ascii="Times New Roman" w:hAnsi="Times New Roman" w:cs="Times New Roman"/>
          <w:sz w:val="24"/>
          <w:szCs w:val="22"/>
          <w:highlight w:val="none"/>
          <w:lang w:val="en-US" w:eastAsia="zh-CN"/>
        </w:rPr>
        <w:t>；</w:t>
      </w:r>
      <w:r>
        <w:rPr>
          <w:rFonts w:hint="eastAsia" w:ascii="Times New Roman" w:hAnsi="Times New Roman" w:cs="Times New Roman"/>
          <w:b w:val="0"/>
          <w:bCs w:val="0"/>
          <w:color w:val="000000"/>
          <w:sz w:val="24"/>
          <w:highlight w:val="none"/>
          <w:lang w:val="en-US" w:eastAsia="zh-CN"/>
        </w:rPr>
        <w:t>未被东北沟尾矿库占用区域</w:t>
      </w:r>
      <w:r>
        <w:rPr>
          <w:rFonts w:hint="eastAsia" w:ascii="Times New Roman" w:hAnsi="Times New Roman" w:cs="Times New Roman"/>
          <w:color w:val="000000"/>
          <w:sz w:val="24"/>
          <w:highlight w:val="none"/>
          <w:lang w:val="en-US" w:eastAsia="zh-CN"/>
        </w:rPr>
        <w:t>还涉及乔木</w:t>
      </w:r>
      <w:r>
        <w:rPr>
          <w:rFonts w:hint="default" w:ascii="Times New Roman" w:hAnsi="Times New Roman" w:cs="Times New Roman"/>
          <w:color w:val="000000"/>
          <w:sz w:val="24"/>
          <w:highlight w:val="none"/>
        </w:rPr>
        <w:t>林地、</w:t>
      </w:r>
      <w:r>
        <w:rPr>
          <w:rFonts w:hint="eastAsia" w:ascii="Times New Roman" w:hAnsi="Times New Roman" w:cs="Times New Roman"/>
          <w:color w:val="000000"/>
          <w:sz w:val="24"/>
          <w:highlight w:val="none"/>
          <w:lang w:val="en-US" w:eastAsia="zh-CN"/>
        </w:rPr>
        <w:t>其他草地</w:t>
      </w:r>
      <w:r>
        <w:rPr>
          <w:rFonts w:hint="default" w:ascii="Times New Roman" w:hAnsi="Times New Roman" w:cs="Times New Roman"/>
          <w:color w:val="000000"/>
          <w:sz w:val="24"/>
          <w:highlight w:val="none"/>
        </w:rPr>
        <w:t>。</w:t>
      </w:r>
    </w:p>
    <w:p w14:paraId="49B2D416">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2</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遥感影像解译</w:t>
      </w:r>
    </w:p>
    <w:p w14:paraId="31E03D50">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rPr>
        <w:t>经过遥感影像解译得到的土地利用现状图详见</w:t>
      </w:r>
      <w:r>
        <w:rPr>
          <w:rFonts w:hint="eastAsia" w:ascii="Times New Roman" w:hAnsi="Times New Roman" w:cs="Times New Roman"/>
          <w:color w:val="000000"/>
          <w:sz w:val="24"/>
          <w:highlight w:val="none"/>
          <w:lang w:val="en-US" w:eastAsia="zh-CN"/>
        </w:rPr>
        <w:t>下表。</w:t>
      </w:r>
    </w:p>
    <w:p w14:paraId="05065B9D">
      <w:pPr>
        <w:pStyle w:val="185"/>
        <w:pageBreakBefore w:val="0"/>
        <w:kinsoku/>
        <w:wordWrap/>
        <w:overflowPunct/>
        <w:topLinePunct w:val="0"/>
        <w:autoSpaceDE/>
        <w:autoSpaceDN/>
        <w:bidi w:val="0"/>
        <w:spacing w:line="360" w:lineRule="auto"/>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drawing>
          <wp:inline distT="0" distB="0" distL="114300" distR="114300">
            <wp:extent cx="5273675" cy="3553460"/>
            <wp:effectExtent l="0" t="0" r="0" b="0"/>
            <wp:docPr id="39" name="图片 39" descr="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土地利用"/>
                    <pic:cNvPicPr>
                      <a:picLocks noChangeAspect="1"/>
                    </pic:cNvPicPr>
                  </pic:nvPicPr>
                  <pic:blipFill>
                    <a:blip r:embed="rId29"/>
                    <a:srcRect b="4684"/>
                    <a:stretch>
                      <a:fillRect/>
                    </a:stretch>
                  </pic:blipFill>
                  <pic:spPr>
                    <a:xfrm>
                      <a:off x="0" y="0"/>
                      <a:ext cx="5273675" cy="3553460"/>
                    </a:xfrm>
                    <a:prstGeom prst="rect">
                      <a:avLst/>
                    </a:prstGeom>
                  </pic:spPr>
                </pic:pic>
              </a:graphicData>
            </a:graphic>
          </wp:inline>
        </w:drawing>
      </w:r>
    </w:p>
    <w:p w14:paraId="7CFE4197">
      <w:pPr>
        <w:pStyle w:val="147"/>
        <w:keepNext w:val="0"/>
        <w:keepLines w:val="0"/>
        <w:pageBreakBefore w:val="0"/>
        <w:numPr>
          <w:ilvl w:val="0"/>
          <w:numId w:val="23"/>
        </w:numPr>
        <w:tabs>
          <w:tab w:val="left" w:pos="420"/>
          <w:tab w:val="clear" w:pos="0"/>
        </w:tabs>
        <w:kinsoku/>
        <w:wordWrap/>
        <w:overflowPunct/>
        <w:topLinePunct w:val="0"/>
        <w:autoSpaceDE/>
        <w:autoSpaceDN/>
        <w:bidi w:val="0"/>
        <w:spacing w:line="360" w:lineRule="auto"/>
        <w:ind w:left="0" w:leftChars="0" w:firstLine="0" w:firstLineChars="0"/>
        <w:jc w:val="center"/>
        <w:textAlignment w:val="auto"/>
        <w:rPr>
          <w:rFonts w:hint="default" w:ascii="Times New Roman" w:hAnsi="Times New Roman" w:cs="Times New Roman"/>
          <w:b/>
          <w:bCs/>
          <w:color w:val="000000"/>
          <w:sz w:val="21"/>
          <w:szCs w:val="18"/>
          <w:highlight w:val="none"/>
          <w:lang w:val="en-US" w:eastAsia="zh-CN"/>
        </w:rPr>
      </w:pPr>
      <w:r>
        <w:rPr>
          <w:rFonts w:hint="eastAsia" w:ascii="Times New Roman" w:hAnsi="Times New Roman" w:cs="Times New Roman"/>
          <w:b/>
          <w:bCs/>
          <w:color w:val="000000"/>
          <w:sz w:val="21"/>
          <w:szCs w:val="18"/>
          <w:highlight w:val="none"/>
          <w:lang w:val="en-US" w:eastAsia="zh-CN"/>
        </w:rPr>
        <w:t>项目生态环境评价范围内土地利用现状图</w:t>
      </w:r>
    </w:p>
    <w:p w14:paraId="0E8D9B6F">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本项目土地利用现状调查情况一览表</w:t>
      </w:r>
    </w:p>
    <w:tbl>
      <w:tblPr>
        <w:tblStyle w:val="326"/>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52"/>
        <w:gridCol w:w="1776"/>
        <w:gridCol w:w="2811"/>
        <w:gridCol w:w="2686"/>
      </w:tblGrid>
      <w:tr w14:paraId="04CCC5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34" w:type="pct"/>
            <w:tcBorders>
              <w:tl2br w:val="nil"/>
              <w:tr2bl w:val="nil"/>
            </w:tcBorders>
            <w:noWrap w:val="0"/>
            <w:vAlign w:val="center"/>
          </w:tcPr>
          <w:p w14:paraId="254AFBE8">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序号</w:t>
            </w:r>
          </w:p>
        </w:tc>
        <w:tc>
          <w:tcPr>
            <w:tcW w:w="1041" w:type="pct"/>
            <w:tcBorders>
              <w:tl2br w:val="nil"/>
              <w:tr2bl w:val="nil"/>
            </w:tcBorders>
            <w:noWrap w:val="0"/>
            <w:vAlign w:val="center"/>
          </w:tcPr>
          <w:p w14:paraId="44FF2EF6">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土地类型</w:t>
            </w:r>
          </w:p>
        </w:tc>
        <w:tc>
          <w:tcPr>
            <w:tcW w:w="1648" w:type="pct"/>
            <w:tcBorders>
              <w:tl2br w:val="nil"/>
              <w:tr2bl w:val="nil"/>
            </w:tcBorders>
            <w:noWrap w:val="0"/>
            <w:vAlign w:val="center"/>
          </w:tcPr>
          <w:p w14:paraId="229DB6F9">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占地面积（hm</w:t>
            </w:r>
            <w:r>
              <w:rPr>
                <w:rFonts w:hint="eastAsia" w:ascii="Times New Roman" w:hAnsi="Times New Roman" w:eastAsia="宋体" w:cs="Times New Roman"/>
                <w:b/>
                <w:bCs/>
                <w:color w:val="auto"/>
                <w:kern w:val="2"/>
                <w:sz w:val="21"/>
                <w:szCs w:val="21"/>
                <w:highlight w:val="none"/>
                <w:vertAlign w:val="superscript"/>
                <w:lang w:val="en-US" w:eastAsia="zh-CN" w:bidi="ar-SA"/>
              </w:rPr>
              <w:t>2</w:t>
            </w:r>
            <w:r>
              <w:rPr>
                <w:rFonts w:hint="eastAsia" w:ascii="Times New Roman" w:hAnsi="Times New Roman" w:eastAsia="宋体" w:cs="Times New Roman"/>
                <w:b/>
                <w:bCs/>
                <w:color w:val="auto"/>
                <w:kern w:val="2"/>
                <w:sz w:val="21"/>
                <w:szCs w:val="21"/>
                <w:highlight w:val="none"/>
                <w:lang w:val="en-US" w:eastAsia="zh-CN" w:bidi="ar-SA"/>
              </w:rPr>
              <w:t>）</w:t>
            </w:r>
          </w:p>
        </w:tc>
        <w:tc>
          <w:tcPr>
            <w:tcW w:w="1575" w:type="pct"/>
            <w:tcBorders>
              <w:tl2br w:val="nil"/>
              <w:tr2bl w:val="nil"/>
            </w:tcBorders>
            <w:noWrap w:val="0"/>
            <w:vAlign w:val="center"/>
          </w:tcPr>
          <w:p w14:paraId="67D9F5EE">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占比（%）</w:t>
            </w:r>
          </w:p>
        </w:tc>
      </w:tr>
      <w:tr w14:paraId="13DE40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34" w:type="pct"/>
            <w:tcBorders>
              <w:tl2br w:val="nil"/>
              <w:tr2bl w:val="nil"/>
            </w:tcBorders>
            <w:noWrap w:val="0"/>
            <w:vAlign w:val="center"/>
          </w:tcPr>
          <w:p w14:paraId="1D7A876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2"/>
                <w:szCs w:val="22"/>
                <w:highlight w:val="none"/>
                <w:u w:val="none"/>
                <w:lang w:val="en-US" w:eastAsia="zh-CN" w:bidi="ar"/>
              </w:rPr>
              <w:t>1</w:t>
            </w:r>
          </w:p>
        </w:tc>
        <w:tc>
          <w:tcPr>
            <w:tcW w:w="1041" w:type="pct"/>
            <w:tcBorders>
              <w:tl2br w:val="nil"/>
              <w:tr2bl w:val="nil"/>
            </w:tcBorders>
            <w:noWrap w:val="0"/>
            <w:vAlign w:val="center"/>
          </w:tcPr>
          <w:p w14:paraId="3B456B0D">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乔木林地</w:t>
            </w:r>
          </w:p>
        </w:tc>
        <w:tc>
          <w:tcPr>
            <w:tcW w:w="2811" w:type="dxa"/>
            <w:tcBorders>
              <w:tl2br w:val="nil"/>
              <w:tr2bl w:val="nil"/>
            </w:tcBorders>
            <w:shd w:val="clear" w:color="auto" w:fill="auto"/>
            <w:noWrap w:val="0"/>
            <w:vAlign w:val="center"/>
          </w:tcPr>
          <w:p w14:paraId="35E7824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1.91</w:t>
            </w:r>
          </w:p>
        </w:tc>
        <w:tc>
          <w:tcPr>
            <w:tcW w:w="2686" w:type="dxa"/>
            <w:tcBorders>
              <w:tl2br w:val="nil"/>
              <w:tr2bl w:val="nil"/>
            </w:tcBorders>
            <w:shd w:val="clear" w:color="auto" w:fill="auto"/>
            <w:noWrap w:val="0"/>
            <w:vAlign w:val="center"/>
          </w:tcPr>
          <w:p w14:paraId="3F06849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4.90</w:t>
            </w:r>
          </w:p>
        </w:tc>
      </w:tr>
      <w:tr w14:paraId="2BCE96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34" w:type="pct"/>
            <w:tcBorders>
              <w:tl2br w:val="nil"/>
              <w:tr2bl w:val="nil"/>
            </w:tcBorders>
            <w:noWrap w:val="0"/>
            <w:vAlign w:val="center"/>
          </w:tcPr>
          <w:p w14:paraId="471365B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2"/>
                <w:szCs w:val="22"/>
                <w:highlight w:val="none"/>
                <w:u w:val="none"/>
                <w:lang w:val="en-US" w:eastAsia="zh-CN" w:bidi="ar"/>
              </w:rPr>
              <w:t>2</w:t>
            </w:r>
          </w:p>
        </w:tc>
        <w:tc>
          <w:tcPr>
            <w:tcW w:w="1041" w:type="pct"/>
            <w:tcBorders>
              <w:tl2br w:val="nil"/>
              <w:tr2bl w:val="nil"/>
            </w:tcBorders>
            <w:noWrap w:val="0"/>
            <w:vAlign w:val="center"/>
          </w:tcPr>
          <w:p w14:paraId="7EC162F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灌木林地</w:t>
            </w:r>
          </w:p>
        </w:tc>
        <w:tc>
          <w:tcPr>
            <w:tcW w:w="2811" w:type="dxa"/>
            <w:tcBorders>
              <w:tl2br w:val="nil"/>
              <w:tr2bl w:val="nil"/>
            </w:tcBorders>
            <w:shd w:val="clear" w:color="auto" w:fill="auto"/>
            <w:noWrap w:val="0"/>
            <w:vAlign w:val="center"/>
          </w:tcPr>
          <w:p w14:paraId="7D9DEBD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27.09</w:t>
            </w:r>
          </w:p>
        </w:tc>
        <w:tc>
          <w:tcPr>
            <w:tcW w:w="2686" w:type="dxa"/>
            <w:tcBorders>
              <w:tl2br w:val="nil"/>
              <w:tr2bl w:val="nil"/>
            </w:tcBorders>
            <w:shd w:val="clear" w:color="auto" w:fill="auto"/>
            <w:noWrap w:val="0"/>
            <w:vAlign w:val="center"/>
          </w:tcPr>
          <w:p w14:paraId="14E8D7B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69.46</w:t>
            </w:r>
          </w:p>
        </w:tc>
      </w:tr>
      <w:tr w14:paraId="5DC762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34" w:type="pct"/>
            <w:tcBorders>
              <w:tl2br w:val="nil"/>
              <w:tr2bl w:val="nil"/>
            </w:tcBorders>
            <w:noWrap w:val="0"/>
            <w:vAlign w:val="center"/>
          </w:tcPr>
          <w:p w14:paraId="5A9FF10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2"/>
                <w:szCs w:val="22"/>
                <w:highlight w:val="none"/>
                <w:u w:val="none"/>
                <w:lang w:val="en-US" w:eastAsia="zh-CN" w:bidi="ar"/>
              </w:rPr>
              <w:t>3</w:t>
            </w:r>
          </w:p>
        </w:tc>
        <w:tc>
          <w:tcPr>
            <w:tcW w:w="1041" w:type="pct"/>
            <w:tcBorders>
              <w:tl2br w:val="nil"/>
              <w:tr2bl w:val="nil"/>
            </w:tcBorders>
            <w:noWrap w:val="0"/>
            <w:vAlign w:val="center"/>
          </w:tcPr>
          <w:p w14:paraId="149BDD15">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其他草地</w:t>
            </w:r>
          </w:p>
        </w:tc>
        <w:tc>
          <w:tcPr>
            <w:tcW w:w="2811" w:type="dxa"/>
            <w:tcBorders>
              <w:tl2br w:val="nil"/>
              <w:tr2bl w:val="nil"/>
            </w:tcBorders>
            <w:shd w:val="clear" w:color="auto" w:fill="auto"/>
            <w:noWrap w:val="0"/>
            <w:vAlign w:val="center"/>
          </w:tcPr>
          <w:p w14:paraId="3F1E700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5.67</w:t>
            </w:r>
          </w:p>
        </w:tc>
        <w:tc>
          <w:tcPr>
            <w:tcW w:w="2686" w:type="dxa"/>
            <w:tcBorders>
              <w:tl2br w:val="nil"/>
              <w:tr2bl w:val="nil"/>
            </w:tcBorders>
            <w:shd w:val="clear" w:color="auto" w:fill="auto"/>
            <w:noWrap w:val="0"/>
            <w:vAlign w:val="center"/>
          </w:tcPr>
          <w:p w14:paraId="5BD3B41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14.54</w:t>
            </w:r>
          </w:p>
        </w:tc>
      </w:tr>
      <w:tr w14:paraId="7742D9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34" w:type="pct"/>
            <w:tcBorders>
              <w:tl2br w:val="nil"/>
              <w:tr2bl w:val="nil"/>
            </w:tcBorders>
            <w:noWrap w:val="0"/>
            <w:vAlign w:val="center"/>
          </w:tcPr>
          <w:p w14:paraId="50592DF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2"/>
                <w:szCs w:val="22"/>
                <w:highlight w:val="none"/>
                <w:u w:val="none"/>
                <w:lang w:val="en-US" w:eastAsia="zh-CN" w:bidi="ar"/>
              </w:rPr>
            </w:pPr>
            <w:r>
              <w:rPr>
                <w:rFonts w:hint="eastAsia" w:cs="Times New Roman"/>
                <w:b w:val="0"/>
                <w:bCs w:val="0"/>
                <w:i w:val="0"/>
                <w:iCs w:val="0"/>
                <w:color w:val="auto"/>
                <w:kern w:val="0"/>
                <w:sz w:val="22"/>
                <w:szCs w:val="22"/>
                <w:highlight w:val="none"/>
                <w:u w:val="none"/>
                <w:lang w:val="en-US" w:eastAsia="zh-CN" w:bidi="ar"/>
              </w:rPr>
              <w:t>4</w:t>
            </w:r>
          </w:p>
        </w:tc>
        <w:tc>
          <w:tcPr>
            <w:tcW w:w="1041" w:type="pct"/>
            <w:tcBorders>
              <w:tl2br w:val="nil"/>
              <w:tr2bl w:val="nil"/>
            </w:tcBorders>
            <w:noWrap w:val="0"/>
            <w:vAlign w:val="center"/>
          </w:tcPr>
          <w:p w14:paraId="2F371CBE">
            <w:pPr>
              <w:keepNext w:val="0"/>
              <w:keepLines w:val="0"/>
              <w:widowControl/>
              <w:suppressLineNumbers w:val="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裸土地</w:t>
            </w:r>
          </w:p>
        </w:tc>
        <w:tc>
          <w:tcPr>
            <w:tcW w:w="2811" w:type="dxa"/>
            <w:tcBorders>
              <w:tl2br w:val="nil"/>
              <w:tr2bl w:val="nil"/>
            </w:tcBorders>
            <w:noWrap w:val="0"/>
            <w:vAlign w:val="center"/>
          </w:tcPr>
          <w:p w14:paraId="4EBF7BC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4.33</w:t>
            </w:r>
          </w:p>
        </w:tc>
        <w:tc>
          <w:tcPr>
            <w:tcW w:w="2686" w:type="dxa"/>
            <w:tcBorders>
              <w:tl2br w:val="nil"/>
              <w:tr2bl w:val="nil"/>
            </w:tcBorders>
            <w:noWrap w:val="0"/>
            <w:vAlign w:val="center"/>
          </w:tcPr>
          <w:p w14:paraId="574EB63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11.10</w:t>
            </w:r>
          </w:p>
        </w:tc>
      </w:tr>
      <w:tr w14:paraId="79EADD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75" w:type="pct"/>
            <w:gridSpan w:val="2"/>
            <w:tcBorders>
              <w:tl2br w:val="nil"/>
              <w:tr2bl w:val="nil"/>
            </w:tcBorders>
            <w:noWrap w:val="0"/>
            <w:vAlign w:val="center"/>
          </w:tcPr>
          <w:p w14:paraId="4B4BE8DB">
            <w:pPr>
              <w:keepNext w:val="0"/>
              <w:keepLines w:val="0"/>
              <w:pageBreakBefore w:val="0"/>
              <w:widowControl/>
              <w:kinsoku/>
              <w:wordWrap/>
              <w:overflowPunct/>
              <w:topLinePunct w:val="0"/>
              <w:autoSpaceDE/>
              <w:autoSpaceDN/>
              <w:bidi w:val="0"/>
              <w:adjustRightInd w:val="0"/>
              <w:snapToGrid w:val="0"/>
              <w:spacing w:line="240" w:lineRule="atLeast"/>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合计</w:t>
            </w:r>
          </w:p>
        </w:tc>
        <w:tc>
          <w:tcPr>
            <w:tcW w:w="1648" w:type="pct"/>
            <w:tcBorders>
              <w:tl2br w:val="nil"/>
              <w:tr2bl w:val="nil"/>
            </w:tcBorders>
            <w:noWrap w:val="0"/>
            <w:vAlign w:val="center"/>
          </w:tcPr>
          <w:p w14:paraId="73330E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39.00</w:t>
            </w:r>
          </w:p>
        </w:tc>
        <w:tc>
          <w:tcPr>
            <w:tcW w:w="1575" w:type="pct"/>
            <w:tcBorders>
              <w:tl2br w:val="nil"/>
              <w:tr2bl w:val="nil"/>
            </w:tcBorders>
            <w:noWrap w:val="0"/>
            <w:vAlign w:val="center"/>
          </w:tcPr>
          <w:p w14:paraId="3757CB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100</w:t>
            </w:r>
          </w:p>
        </w:tc>
      </w:tr>
    </w:tbl>
    <w:p w14:paraId="29294435">
      <w:pPr>
        <w:pStyle w:val="185"/>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评价范围内土地总面积为39hm</w:t>
      </w:r>
      <w:r>
        <w:rPr>
          <w:rFonts w:hint="eastAsia" w:ascii="Times New Roman" w:hAnsi="Times New Roman" w:cs="Times New Roman"/>
          <w:color w:val="auto"/>
          <w:sz w:val="24"/>
          <w:highlight w:val="none"/>
          <w:vertAlign w:val="superscript"/>
          <w:lang w:val="en-US" w:eastAsia="zh-CN"/>
        </w:rPr>
        <w:t>2</w:t>
      </w:r>
      <w:r>
        <w:rPr>
          <w:rFonts w:hint="eastAsia" w:ascii="Times New Roman" w:hAnsi="Times New Roman" w:cs="Times New Roman"/>
          <w:color w:val="auto"/>
          <w:sz w:val="24"/>
          <w:highlight w:val="none"/>
          <w:lang w:val="en-US" w:eastAsia="zh-CN"/>
        </w:rPr>
        <w:t>，在土地利用构成中，灌木林地占比最大，占比为69.46%；其次是其他草地，占比为14.54%；占比第三的为裸土地，占比为11.1%；乔木林地占比较小</w:t>
      </w:r>
      <w:r>
        <w:rPr>
          <w:rFonts w:hint="default" w:ascii="Times New Roman" w:hAnsi="Times New Roman" w:cs="Times New Roman"/>
          <w:color w:val="auto"/>
          <w:sz w:val="24"/>
          <w:highlight w:val="none"/>
        </w:rPr>
        <w:t>。</w:t>
      </w:r>
    </w:p>
    <w:p w14:paraId="2256CC71">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rPr>
      </w:pPr>
      <w:r>
        <w:rPr>
          <w:rFonts w:hint="eastAsia" w:ascii="Times New Roman" w:hAnsi="Times New Roman" w:eastAsia="宋体" w:cs="Times New Roman"/>
          <w:b/>
          <w:sz w:val="24"/>
          <w:szCs w:val="24"/>
          <w:highlight w:val="none"/>
          <w:lang w:eastAsia="zh-CN"/>
        </w:rPr>
        <w:t>4.2.6</w:t>
      </w:r>
      <w:r>
        <w:rPr>
          <w:rFonts w:hint="default" w:ascii="Times New Roman" w:hAnsi="Times New Roman" w:eastAsia="宋体" w:cs="Times New Roman"/>
          <w:b/>
          <w:sz w:val="24"/>
          <w:szCs w:val="24"/>
          <w:highlight w:val="none"/>
        </w:rPr>
        <w:t>.</w:t>
      </w:r>
      <w:r>
        <w:rPr>
          <w:rFonts w:hint="eastAsia" w:cs="Times New Roman"/>
          <w:b/>
          <w:sz w:val="24"/>
          <w:szCs w:val="24"/>
          <w:highlight w:val="none"/>
          <w:lang w:val="en-US" w:eastAsia="zh-CN"/>
        </w:rPr>
        <w:t>3</w:t>
      </w:r>
      <w:r>
        <w:rPr>
          <w:rFonts w:hint="default" w:ascii="Times New Roman" w:hAnsi="Times New Roman" w:cs="Times New Roman"/>
          <w:b/>
          <w:bCs/>
          <w:color w:val="000000"/>
          <w:sz w:val="24"/>
          <w:highlight w:val="none"/>
        </w:rPr>
        <w:t>植物资源</w:t>
      </w:r>
      <w:r>
        <w:rPr>
          <w:rFonts w:hint="eastAsia" w:cs="Times New Roman"/>
          <w:b/>
          <w:sz w:val="24"/>
          <w:szCs w:val="24"/>
          <w:highlight w:val="none"/>
          <w:lang w:val="en-US" w:eastAsia="zh-CN"/>
        </w:rPr>
        <w:t>现状调查与评价</w:t>
      </w:r>
    </w:p>
    <w:p w14:paraId="4FF9D63D">
      <w:pPr>
        <w:pStyle w:val="185"/>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color w:val="000000"/>
          <w:sz w:val="24"/>
          <w:highlight w:val="none"/>
          <w:lang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1</w:t>
      </w:r>
      <w:r>
        <w:rPr>
          <w:rFonts w:hint="eastAsia" w:ascii="Times New Roman" w:hAnsi="Times New Roman" w:cs="Times New Roman"/>
          <w:b/>
          <w:bCs/>
          <w:color w:val="000000"/>
          <w:sz w:val="24"/>
          <w:highlight w:val="none"/>
          <w:lang w:eastAsia="zh-CN"/>
        </w:rPr>
        <w:t>）植物区系概况</w:t>
      </w:r>
    </w:p>
    <w:p w14:paraId="338B84F1">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val="0"/>
          <w:color w:val="000000"/>
          <w:sz w:val="24"/>
          <w:highlight w:val="none"/>
          <w:lang w:eastAsia="zh-CN"/>
        </w:rPr>
      </w:pPr>
      <w:r>
        <w:rPr>
          <w:rFonts w:hint="eastAsia" w:ascii="Times New Roman" w:hAnsi="Times New Roman" w:cs="Times New Roman"/>
          <w:b w:val="0"/>
          <w:bCs w:val="0"/>
          <w:color w:val="000000"/>
          <w:sz w:val="24"/>
          <w:highlight w:val="none"/>
          <w:lang w:eastAsia="zh-CN"/>
        </w:rPr>
        <w:t>根据《河北植被》，河北省地处温带与暖温带地区，地貌单元位于内蒙古高原与华北平原的过渡带，且处于欧亚大陆中纬度的东侧，属于温带大陆性季风气候，有四季分明的气候特点，植被区系的分布也有交替明显的特征。在全国植被区划中，冀北高原属温带草原区域中的温带草原地带：高原以下山地平原属暖温带落叶阔叶林区域中的暖温带落叶阔叶林地带。本项目位于河北北部</w:t>
      </w:r>
      <w:r>
        <w:rPr>
          <w:rFonts w:hint="eastAsia" w:ascii="Times New Roman" w:hAnsi="Times New Roman" w:cs="Times New Roman"/>
          <w:b w:val="0"/>
          <w:bCs w:val="0"/>
          <w:color w:val="000000"/>
          <w:sz w:val="24"/>
          <w:highlight w:val="none"/>
          <w:lang w:val="en-US" w:eastAsia="zh-CN"/>
        </w:rPr>
        <w:t>承德市</w:t>
      </w:r>
      <w:r>
        <w:rPr>
          <w:rFonts w:hint="eastAsia" w:cs="Times New Roman"/>
          <w:color w:val="000000"/>
          <w:kern w:val="0"/>
          <w:sz w:val="24"/>
          <w:szCs w:val="21"/>
          <w:highlight w:val="none"/>
          <w:lang w:val="en-US" w:eastAsia="zh-CN"/>
        </w:rPr>
        <w:t>隆化县</w:t>
      </w:r>
      <w:r>
        <w:rPr>
          <w:rFonts w:hint="eastAsia" w:ascii="Times New Roman" w:hAnsi="Times New Roman" w:cs="Times New Roman"/>
          <w:b w:val="0"/>
          <w:bCs w:val="0"/>
          <w:color w:val="000000"/>
          <w:sz w:val="24"/>
          <w:highlight w:val="none"/>
          <w:lang w:eastAsia="zh-CN"/>
        </w:rPr>
        <w:t>，对照《河北植被》中的植物区系图，属于暖温带落叶阔叶林区。</w:t>
      </w:r>
    </w:p>
    <w:p w14:paraId="63A32AE7">
      <w:pPr>
        <w:pStyle w:val="185"/>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color w:val="000000"/>
          <w:sz w:val="24"/>
          <w:highlight w:val="none"/>
          <w:lang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2</w:t>
      </w:r>
      <w:r>
        <w:rPr>
          <w:rFonts w:hint="eastAsia" w:ascii="Times New Roman" w:hAnsi="Times New Roman" w:cs="Times New Roman"/>
          <w:b/>
          <w:bCs/>
          <w:color w:val="000000"/>
          <w:sz w:val="24"/>
          <w:highlight w:val="none"/>
          <w:lang w:eastAsia="zh-CN"/>
        </w:rPr>
        <w:t>）植被类型概况</w:t>
      </w:r>
    </w:p>
    <w:p w14:paraId="69E14E2A">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val="0"/>
          <w:color w:val="000000"/>
          <w:sz w:val="24"/>
          <w:highlight w:val="none"/>
          <w:lang w:eastAsia="zh-CN"/>
        </w:rPr>
      </w:pPr>
      <w:r>
        <w:rPr>
          <w:rFonts w:hint="eastAsia" w:ascii="Times New Roman" w:hAnsi="Times New Roman" w:cs="Times New Roman"/>
          <w:b w:val="0"/>
          <w:bCs w:val="0"/>
          <w:color w:val="000000"/>
          <w:sz w:val="24"/>
          <w:highlight w:val="none"/>
          <w:lang w:eastAsia="zh-CN"/>
        </w:rPr>
        <w:t>参考《中国植被》、《河北植被》等资料和文献，结合对评价区内现状植被中群落组成的建群种与优势种的外貌，以及群落的环境生态与地理分布特征等分析，项目区域主要植被群落详见下表。</w:t>
      </w:r>
    </w:p>
    <w:p w14:paraId="62D0B7FC">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sz w:val="21"/>
          <w:szCs w:val="21"/>
          <w:highlight w:val="none"/>
          <w:lang w:val="en-US" w:eastAsia="zh-CN"/>
        </w:rPr>
      </w:pPr>
      <w:r>
        <w:rPr>
          <w:rFonts w:hint="eastAsia" w:cs="Times New Roman"/>
          <w:b/>
          <w:sz w:val="21"/>
          <w:szCs w:val="21"/>
          <w:highlight w:val="none"/>
          <w:lang w:val="en-US" w:eastAsia="zh-CN"/>
        </w:rPr>
        <w:t>评价区植物群落调查结果统计</w:t>
      </w:r>
      <w:r>
        <w:rPr>
          <w:rFonts w:hint="eastAsia" w:ascii="Times New Roman" w:hAnsi="Times New Roman" w:eastAsia="宋体" w:cs="Times New Roman"/>
          <w:b/>
          <w:sz w:val="21"/>
          <w:szCs w:val="21"/>
          <w:highlight w:val="none"/>
          <w:lang w:val="en-US" w:eastAsia="zh-CN"/>
        </w:rPr>
        <w:t>表</w:t>
      </w:r>
    </w:p>
    <w:tbl>
      <w:tblPr>
        <w:tblStyle w:val="326"/>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65"/>
        <w:gridCol w:w="819"/>
        <w:gridCol w:w="1068"/>
        <w:gridCol w:w="2037"/>
        <w:gridCol w:w="1912"/>
        <w:gridCol w:w="1065"/>
        <w:gridCol w:w="856"/>
      </w:tblGrid>
      <w:tr w14:paraId="4DF005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97" w:hRule="atLeast"/>
          <w:jc w:val="center"/>
        </w:trPr>
        <w:tc>
          <w:tcPr>
            <w:tcW w:w="448" w:type="pct"/>
            <w:vMerge w:val="restart"/>
            <w:tcBorders>
              <w:tl2br w:val="nil"/>
              <w:tr2bl w:val="nil"/>
            </w:tcBorders>
            <w:noWrap w:val="0"/>
            <w:vAlign w:val="center"/>
          </w:tcPr>
          <w:p w14:paraId="4E319C7B">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植被型组</w:t>
            </w:r>
          </w:p>
        </w:tc>
        <w:tc>
          <w:tcPr>
            <w:tcW w:w="480" w:type="pct"/>
            <w:vMerge w:val="restart"/>
            <w:tcBorders>
              <w:tl2br w:val="nil"/>
              <w:tr2bl w:val="nil"/>
            </w:tcBorders>
            <w:noWrap w:val="0"/>
            <w:vAlign w:val="center"/>
          </w:tcPr>
          <w:p w14:paraId="5C16F62F">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植被型</w:t>
            </w:r>
          </w:p>
        </w:tc>
        <w:tc>
          <w:tcPr>
            <w:tcW w:w="626" w:type="pct"/>
            <w:vMerge w:val="restart"/>
            <w:tcBorders>
              <w:tl2br w:val="nil"/>
              <w:tr2bl w:val="nil"/>
            </w:tcBorders>
            <w:noWrap w:val="0"/>
            <w:vAlign w:val="center"/>
          </w:tcPr>
          <w:p w14:paraId="4835EB35">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植被亚型</w:t>
            </w:r>
          </w:p>
        </w:tc>
        <w:tc>
          <w:tcPr>
            <w:tcW w:w="1195" w:type="pct"/>
            <w:vMerge w:val="restart"/>
            <w:tcBorders>
              <w:tl2br w:val="nil"/>
              <w:tr2bl w:val="nil"/>
            </w:tcBorders>
            <w:noWrap w:val="0"/>
            <w:vAlign w:val="center"/>
          </w:tcPr>
          <w:p w14:paraId="67916494">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群系</w:t>
            </w:r>
          </w:p>
        </w:tc>
        <w:tc>
          <w:tcPr>
            <w:tcW w:w="1121" w:type="pct"/>
            <w:vMerge w:val="restart"/>
            <w:tcBorders>
              <w:tl2br w:val="nil"/>
              <w:tr2bl w:val="nil"/>
            </w:tcBorders>
            <w:noWrap w:val="0"/>
            <w:vAlign w:val="center"/>
          </w:tcPr>
          <w:p w14:paraId="252A0631">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分布区域</w:t>
            </w:r>
          </w:p>
        </w:tc>
        <w:tc>
          <w:tcPr>
            <w:tcW w:w="1127" w:type="pct"/>
            <w:gridSpan w:val="2"/>
            <w:tcBorders>
              <w:tl2br w:val="nil"/>
              <w:tr2bl w:val="nil"/>
            </w:tcBorders>
            <w:noWrap w:val="0"/>
            <w:vAlign w:val="center"/>
          </w:tcPr>
          <w:p w14:paraId="2B4627F2">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工程占用情况</w:t>
            </w:r>
          </w:p>
        </w:tc>
      </w:tr>
      <w:tr w14:paraId="2DA9CD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48" w:type="pct"/>
            <w:vMerge w:val="continue"/>
            <w:tcBorders>
              <w:tl2br w:val="nil"/>
              <w:tr2bl w:val="nil"/>
            </w:tcBorders>
            <w:noWrap w:val="0"/>
            <w:vAlign w:val="center"/>
          </w:tcPr>
          <w:p w14:paraId="55EC55F3">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eastAsia" w:cs="Times New Roman"/>
                <w:b/>
                <w:bCs/>
                <w:color w:val="auto"/>
                <w:kern w:val="2"/>
                <w:sz w:val="21"/>
                <w:szCs w:val="21"/>
                <w:highlight w:val="none"/>
                <w:lang w:val="en-US" w:eastAsia="zh-CN" w:bidi="ar-SA"/>
              </w:rPr>
            </w:pPr>
          </w:p>
        </w:tc>
        <w:tc>
          <w:tcPr>
            <w:tcW w:w="480" w:type="pct"/>
            <w:vMerge w:val="continue"/>
            <w:tcBorders>
              <w:tl2br w:val="nil"/>
              <w:tr2bl w:val="nil"/>
            </w:tcBorders>
            <w:noWrap w:val="0"/>
            <w:vAlign w:val="center"/>
          </w:tcPr>
          <w:p w14:paraId="7661CC60">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eastAsia" w:cs="Times New Roman"/>
                <w:b/>
                <w:bCs/>
                <w:color w:val="auto"/>
                <w:kern w:val="2"/>
                <w:sz w:val="21"/>
                <w:szCs w:val="21"/>
                <w:highlight w:val="none"/>
                <w:lang w:val="en-US" w:eastAsia="zh-CN" w:bidi="ar-SA"/>
              </w:rPr>
            </w:pPr>
          </w:p>
        </w:tc>
        <w:tc>
          <w:tcPr>
            <w:tcW w:w="626" w:type="pct"/>
            <w:vMerge w:val="continue"/>
            <w:tcBorders>
              <w:tl2br w:val="nil"/>
              <w:tr2bl w:val="nil"/>
            </w:tcBorders>
            <w:noWrap w:val="0"/>
            <w:vAlign w:val="center"/>
          </w:tcPr>
          <w:p w14:paraId="60AD1B1C">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eastAsia" w:cs="Times New Roman"/>
                <w:b/>
                <w:bCs/>
                <w:color w:val="auto"/>
                <w:kern w:val="2"/>
                <w:sz w:val="21"/>
                <w:szCs w:val="21"/>
                <w:highlight w:val="none"/>
                <w:lang w:val="en-US" w:eastAsia="zh-CN" w:bidi="ar-SA"/>
              </w:rPr>
            </w:pPr>
          </w:p>
        </w:tc>
        <w:tc>
          <w:tcPr>
            <w:tcW w:w="1195" w:type="pct"/>
            <w:vMerge w:val="continue"/>
            <w:tcBorders>
              <w:tl2br w:val="nil"/>
              <w:tr2bl w:val="nil"/>
            </w:tcBorders>
            <w:noWrap w:val="0"/>
            <w:vAlign w:val="center"/>
          </w:tcPr>
          <w:p w14:paraId="2411973C">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eastAsia" w:cs="Times New Roman"/>
                <w:b/>
                <w:bCs/>
                <w:color w:val="auto"/>
                <w:kern w:val="2"/>
                <w:sz w:val="21"/>
                <w:szCs w:val="21"/>
                <w:highlight w:val="none"/>
                <w:lang w:val="en-US" w:eastAsia="zh-CN" w:bidi="ar-SA"/>
              </w:rPr>
            </w:pPr>
          </w:p>
        </w:tc>
        <w:tc>
          <w:tcPr>
            <w:tcW w:w="1121" w:type="pct"/>
            <w:vMerge w:val="continue"/>
            <w:tcBorders>
              <w:tl2br w:val="nil"/>
              <w:tr2bl w:val="nil"/>
            </w:tcBorders>
            <w:noWrap w:val="0"/>
            <w:vAlign w:val="center"/>
          </w:tcPr>
          <w:p w14:paraId="7CDD8571">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eastAsia" w:cs="Times New Roman"/>
                <w:b/>
                <w:bCs/>
                <w:color w:val="auto"/>
                <w:kern w:val="2"/>
                <w:sz w:val="21"/>
                <w:szCs w:val="21"/>
                <w:highlight w:val="none"/>
                <w:lang w:val="en-US" w:eastAsia="zh-CN" w:bidi="ar-SA"/>
              </w:rPr>
            </w:pPr>
          </w:p>
        </w:tc>
        <w:tc>
          <w:tcPr>
            <w:tcW w:w="624" w:type="pct"/>
            <w:tcBorders>
              <w:tl2br w:val="nil"/>
              <w:tr2bl w:val="nil"/>
            </w:tcBorders>
            <w:noWrap w:val="0"/>
            <w:vAlign w:val="center"/>
          </w:tcPr>
          <w:p w14:paraId="5146A8B8">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占地面积（hm</w:t>
            </w:r>
            <w:r>
              <w:rPr>
                <w:rFonts w:hint="eastAsia" w:cs="Times New Roman"/>
                <w:b/>
                <w:bCs/>
                <w:color w:val="auto"/>
                <w:kern w:val="2"/>
                <w:sz w:val="21"/>
                <w:szCs w:val="21"/>
                <w:highlight w:val="none"/>
                <w:vertAlign w:val="superscript"/>
                <w:lang w:val="en-US" w:eastAsia="zh-CN" w:bidi="ar-SA"/>
              </w:rPr>
              <w:t>2</w:t>
            </w:r>
            <w:r>
              <w:rPr>
                <w:rFonts w:hint="eastAsia" w:cs="Times New Roman"/>
                <w:b/>
                <w:bCs/>
                <w:color w:val="auto"/>
                <w:kern w:val="2"/>
                <w:sz w:val="21"/>
                <w:szCs w:val="21"/>
                <w:highlight w:val="none"/>
                <w:lang w:val="en-US" w:eastAsia="zh-CN" w:bidi="ar-SA"/>
              </w:rPr>
              <w:t>）</w:t>
            </w:r>
          </w:p>
        </w:tc>
        <w:tc>
          <w:tcPr>
            <w:tcW w:w="502" w:type="pct"/>
            <w:tcBorders>
              <w:tl2br w:val="nil"/>
              <w:tr2bl w:val="nil"/>
            </w:tcBorders>
            <w:noWrap w:val="0"/>
            <w:vAlign w:val="center"/>
          </w:tcPr>
          <w:p w14:paraId="451BE7E6">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占用比例（%）</w:t>
            </w:r>
          </w:p>
        </w:tc>
      </w:tr>
      <w:tr w14:paraId="6C6FEA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48" w:type="pct"/>
            <w:tcBorders>
              <w:tl2br w:val="nil"/>
              <w:tr2bl w:val="nil"/>
            </w:tcBorders>
            <w:noWrap w:val="0"/>
            <w:vAlign w:val="center"/>
          </w:tcPr>
          <w:p w14:paraId="18BA776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针叶林</w:t>
            </w:r>
          </w:p>
        </w:tc>
        <w:tc>
          <w:tcPr>
            <w:tcW w:w="480" w:type="pct"/>
            <w:tcBorders>
              <w:tl2br w:val="nil"/>
              <w:tr2bl w:val="nil"/>
            </w:tcBorders>
            <w:noWrap w:val="0"/>
            <w:vAlign w:val="center"/>
          </w:tcPr>
          <w:p w14:paraId="5D5F408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寒温性针叶林</w:t>
            </w:r>
          </w:p>
        </w:tc>
        <w:tc>
          <w:tcPr>
            <w:tcW w:w="626" w:type="pct"/>
            <w:tcBorders>
              <w:tl2br w:val="nil"/>
              <w:tr2bl w:val="nil"/>
            </w:tcBorders>
            <w:noWrap w:val="0"/>
            <w:vAlign w:val="center"/>
          </w:tcPr>
          <w:p w14:paraId="615D283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寒温性常绿针叶林</w:t>
            </w:r>
          </w:p>
        </w:tc>
        <w:tc>
          <w:tcPr>
            <w:tcW w:w="1195" w:type="pct"/>
            <w:tcBorders>
              <w:tl2br w:val="nil"/>
              <w:tr2bl w:val="nil"/>
            </w:tcBorders>
            <w:noWrap w:val="0"/>
            <w:vAlign w:val="center"/>
          </w:tcPr>
          <w:p w14:paraId="1397572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油松林</w:t>
            </w:r>
          </w:p>
        </w:tc>
        <w:tc>
          <w:tcPr>
            <w:tcW w:w="1121" w:type="pct"/>
            <w:tcBorders>
              <w:tl2br w:val="nil"/>
              <w:tr2bl w:val="nil"/>
            </w:tcBorders>
            <w:noWrap w:val="0"/>
            <w:vAlign w:val="center"/>
          </w:tcPr>
          <w:p w14:paraId="5DEDAD2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未被东北沟尾矿库占用的阴坡区域</w:t>
            </w:r>
          </w:p>
        </w:tc>
        <w:tc>
          <w:tcPr>
            <w:tcW w:w="624" w:type="pct"/>
            <w:tcBorders>
              <w:tl2br w:val="nil"/>
              <w:tr2bl w:val="nil"/>
            </w:tcBorders>
            <w:noWrap w:val="0"/>
            <w:vAlign w:val="center"/>
          </w:tcPr>
          <w:p w14:paraId="247DB2C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1.91</w:t>
            </w:r>
          </w:p>
        </w:tc>
        <w:tc>
          <w:tcPr>
            <w:tcW w:w="502" w:type="pct"/>
            <w:tcBorders>
              <w:tl2br w:val="nil"/>
              <w:tr2bl w:val="nil"/>
            </w:tcBorders>
            <w:noWrap w:val="0"/>
            <w:vAlign w:val="center"/>
          </w:tcPr>
          <w:p w14:paraId="497C0E79">
            <w:pPr>
              <w:keepNext w:val="0"/>
              <w:keepLines w:val="0"/>
              <w:widowControl/>
              <w:suppressLineNumbers w:val="0"/>
              <w:jc w:val="center"/>
              <w:textAlignment w:val="center"/>
              <w:rPr>
                <w:rFonts w:hint="eastAsia"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5.51</w:t>
            </w:r>
          </w:p>
        </w:tc>
      </w:tr>
      <w:tr w14:paraId="0540D4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48" w:type="pct"/>
            <w:vMerge w:val="restart"/>
            <w:tcBorders>
              <w:tl2br w:val="nil"/>
              <w:tr2bl w:val="nil"/>
            </w:tcBorders>
            <w:noWrap w:val="0"/>
            <w:vAlign w:val="center"/>
          </w:tcPr>
          <w:p w14:paraId="656F59E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灌草和灌草丛</w:t>
            </w:r>
          </w:p>
        </w:tc>
        <w:tc>
          <w:tcPr>
            <w:tcW w:w="480" w:type="pct"/>
            <w:vMerge w:val="restart"/>
            <w:tcBorders>
              <w:tl2br w:val="nil"/>
              <w:tr2bl w:val="nil"/>
            </w:tcBorders>
            <w:noWrap w:val="0"/>
            <w:vAlign w:val="center"/>
          </w:tcPr>
          <w:p w14:paraId="112E828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落叶阔叶灌丛</w:t>
            </w:r>
          </w:p>
        </w:tc>
        <w:tc>
          <w:tcPr>
            <w:tcW w:w="626" w:type="pct"/>
            <w:vMerge w:val="restart"/>
            <w:tcBorders>
              <w:tl2br w:val="nil"/>
              <w:tr2bl w:val="nil"/>
            </w:tcBorders>
            <w:noWrap w:val="0"/>
            <w:vAlign w:val="center"/>
          </w:tcPr>
          <w:p w14:paraId="08B1D59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温性落叶阔叶灌丛</w:t>
            </w:r>
          </w:p>
        </w:tc>
        <w:tc>
          <w:tcPr>
            <w:tcW w:w="1195" w:type="pct"/>
            <w:tcBorders>
              <w:tl2br w:val="nil"/>
              <w:tr2bl w:val="nil"/>
            </w:tcBorders>
            <w:shd w:val="clear" w:color="auto" w:fill="auto"/>
            <w:noWrap w:val="0"/>
            <w:vAlign w:val="center"/>
          </w:tcPr>
          <w:p w14:paraId="28DE4275">
            <w:pPr>
              <w:widowControl/>
              <w:adjustRightInd/>
              <w:snapToGrid/>
              <w:spacing w:line="240" w:lineRule="atLeast"/>
              <w:ind w:firstLine="0" w:firstLineChars="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rPr>
              <w:t>沙棘</w:t>
            </w:r>
          </w:p>
        </w:tc>
        <w:tc>
          <w:tcPr>
            <w:tcW w:w="1121" w:type="pct"/>
            <w:tcBorders>
              <w:tl2br w:val="nil"/>
              <w:tr2bl w:val="nil"/>
            </w:tcBorders>
            <w:shd w:val="clear" w:color="auto" w:fill="auto"/>
            <w:noWrap w:val="0"/>
            <w:vAlign w:val="center"/>
          </w:tcPr>
          <w:p w14:paraId="237C560D">
            <w:pPr>
              <w:widowControl/>
              <w:adjustRightInd/>
              <w:snapToGrid/>
              <w:spacing w:line="240" w:lineRule="atLeas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eastAsia="zh-CN"/>
              </w:rPr>
              <w:t>尾矿库占地区域</w:t>
            </w:r>
          </w:p>
        </w:tc>
        <w:tc>
          <w:tcPr>
            <w:tcW w:w="624" w:type="pct"/>
            <w:vMerge w:val="restart"/>
            <w:tcBorders>
              <w:tl2br w:val="nil"/>
              <w:tr2bl w:val="nil"/>
            </w:tcBorders>
            <w:noWrap w:val="0"/>
            <w:vAlign w:val="center"/>
          </w:tcPr>
          <w:p w14:paraId="3335C56D">
            <w:pPr>
              <w:keepNext w:val="0"/>
              <w:keepLines w:val="0"/>
              <w:widowControl/>
              <w:suppressLineNumbers w:val="0"/>
              <w:jc w:val="center"/>
              <w:textAlignment w:val="center"/>
              <w:rPr>
                <w:rFonts w:hint="default"/>
                <w:color w:val="auto"/>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27.09</w:t>
            </w:r>
          </w:p>
        </w:tc>
        <w:tc>
          <w:tcPr>
            <w:tcW w:w="502" w:type="pct"/>
            <w:vMerge w:val="restart"/>
            <w:tcBorders>
              <w:tl2br w:val="nil"/>
              <w:tr2bl w:val="nil"/>
            </w:tcBorders>
            <w:noWrap w:val="0"/>
            <w:vAlign w:val="center"/>
          </w:tcPr>
          <w:p w14:paraId="3DD4AF10">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78.15</w:t>
            </w:r>
          </w:p>
        </w:tc>
      </w:tr>
      <w:tr w14:paraId="067ADD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48" w:type="pct"/>
            <w:vMerge w:val="continue"/>
            <w:tcBorders>
              <w:tl2br w:val="nil"/>
              <w:tr2bl w:val="nil"/>
            </w:tcBorders>
            <w:noWrap w:val="0"/>
            <w:vAlign w:val="center"/>
          </w:tcPr>
          <w:p w14:paraId="41F29F8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480" w:type="pct"/>
            <w:vMerge w:val="continue"/>
            <w:tcBorders>
              <w:tl2br w:val="nil"/>
              <w:tr2bl w:val="nil"/>
            </w:tcBorders>
            <w:noWrap w:val="0"/>
            <w:vAlign w:val="center"/>
          </w:tcPr>
          <w:p w14:paraId="2E7F2C78">
            <w:pPr>
              <w:keepNext w:val="0"/>
              <w:keepLines w:val="0"/>
              <w:widowControl/>
              <w:suppressLineNumbers w:val="0"/>
              <w:jc w:val="center"/>
              <w:textAlignment w:val="center"/>
              <w:rPr>
                <w:rFonts w:hint="eastAsia" w:cs="Times New Roman"/>
                <w:color w:val="auto"/>
                <w:kern w:val="2"/>
                <w:sz w:val="21"/>
                <w:szCs w:val="21"/>
                <w:highlight w:val="none"/>
                <w:lang w:val="en-US" w:eastAsia="zh-CN" w:bidi="ar-SA"/>
              </w:rPr>
            </w:pPr>
          </w:p>
        </w:tc>
        <w:tc>
          <w:tcPr>
            <w:tcW w:w="626" w:type="pct"/>
            <w:vMerge w:val="continue"/>
            <w:tcBorders>
              <w:tl2br w:val="nil"/>
              <w:tr2bl w:val="nil"/>
            </w:tcBorders>
            <w:noWrap w:val="0"/>
            <w:vAlign w:val="center"/>
          </w:tcPr>
          <w:p w14:paraId="10436067">
            <w:pPr>
              <w:keepNext w:val="0"/>
              <w:keepLines w:val="0"/>
              <w:widowControl/>
              <w:suppressLineNumbers w:val="0"/>
              <w:jc w:val="center"/>
              <w:textAlignment w:val="center"/>
              <w:rPr>
                <w:rFonts w:hint="eastAsia" w:cs="Times New Roman"/>
                <w:color w:val="auto"/>
                <w:kern w:val="2"/>
                <w:sz w:val="21"/>
                <w:szCs w:val="21"/>
                <w:highlight w:val="none"/>
                <w:lang w:val="en-US" w:eastAsia="zh-CN" w:bidi="ar-SA"/>
              </w:rPr>
            </w:pPr>
          </w:p>
        </w:tc>
        <w:tc>
          <w:tcPr>
            <w:tcW w:w="1195" w:type="pct"/>
            <w:tcBorders>
              <w:tl2br w:val="nil"/>
              <w:tr2bl w:val="nil"/>
            </w:tcBorders>
            <w:shd w:val="clear" w:color="auto" w:fill="auto"/>
            <w:noWrap w:val="0"/>
            <w:vAlign w:val="center"/>
          </w:tcPr>
          <w:p w14:paraId="7B36377C">
            <w:pPr>
              <w:widowControl/>
              <w:adjustRightInd/>
              <w:snapToGrid/>
              <w:spacing w:line="240" w:lineRule="atLeast"/>
              <w:ind w:firstLine="0" w:firstLineChars="0"/>
              <w:jc w:val="center"/>
              <w:textAlignment w:val="center"/>
              <w:rPr>
                <w:rFonts w:hint="eastAsia" w:ascii="Times New Roman" w:hAnsi="Times New Roman" w:eastAsia="宋体" w:cs="Times New Roman"/>
                <w:kern w:val="0"/>
                <w:sz w:val="21"/>
                <w:szCs w:val="21"/>
                <w:highlight w:val="none"/>
                <w:lang w:val="en-US" w:eastAsia="zh-CN" w:bidi="ar-SA"/>
              </w:rPr>
            </w:pPr>
            <w:r>
              <w:rPr>
                <w:rFonts w:hint="eastAsia" w:cs="Times New Roman"/>
                <w:kern w:val="0"/>
                <w:sz w:val="21"/>
                <w:szCs w:val="21"/>
                <w:highlight w:val="none"/>
                <w:lang w:eastAsia="zh-CN"/>
              </w:rPr>
              <w:t>野山枣、</w:t>
            </w:r>
            <w:r>
              <w:rPr>
                <w:rFonts w:hint="default" w:ascii="Times New Roman" w:hAnsi="Times New Roman" w:eastAsia="宋体" w:cs="Times New Roman"/>
                <w:kern w:val="0"/>
                <w:sz w:val="21"/>
                <w:szCs w:val="21"/>
                <w:highlight w:val="none"/>
              </w:rPr>
              <w:t>荆条</w:t>
            </w:r>
            <w:r>
              <w:rPr>
                <w:rFonts w:hint="eastAsia" w:cs="Times New Roman"/>
                <w:kern w:val="0"/>
                <w:sz w:val="21"/>
                <w:szCs w:val="21"/>
                <w:highlight w:val="none"/>
                <w:lang w:eastAsia="zh-CN"/>
              </w:rPr>
              <w:t>、</w:t>
            </w:r>
            <w:r>
              <w:rPr>
                <w:rFonts w:hint="default" w:ascii="Times New Roman" w:hAnsi="Times New Roman" w:eastAsia="宋体" w:cs="Times New Roman"/>
                <w:kern w:val="0"/>
                <w:sz w:val="21"/>
                <w:szCs w:val="21"/>
                <w:highlight w:val="none"/>
              </w:rPr>
              <w:t>胡枝子</w:t>
            </w:r>
            <w:r>
              <w:rPr>
                <w:rFonts w:hint="eastAsia" w:cs="Times New Roman"/>
                <w:kern w:val="0"/>
                <w:sz w:val="21"/>
                <w:szCs w:val="21"/>
                <w:highlight w:val="none"/>
                <w:lang w:eastAsia="zh-CN"/>
              </w:rPr>
              <w:t>、</w:t>
            </w:r>
            <w:r>
              <w:rPr>
                <w:rFonts w:hint="default" w:ascii="Times New Roman" w:hAnsi="Times New Roman" w:eastAsia="宋体" w:cs="Times New Roman"/>
                <w:kern w:val="0"/>
                <w:sz w:val="21"/>
                <w:szCs w:val="21"/>
                <w:highlight w:val="none"/>
              </w:rPr>
              <w:t>平榛</w:t>
            </w:r>
            <w:r>
              <w:rPr>
                <w:rFonts w:hint="eastAsia" w:cs="Times New Roman"/>
                <w:kern w:val="0"/>
                <w:sz w:val="21"/>
                <w:szCs w:val="21"/>
                <w:highlight w:val="none"/>
                <w:lang w:eastAsia="zh-CN"/>
              </w:rPr>
              <w:t>、</w:t>
            </w:r>
            <w:r>
              <w:rPr>
                <w:rFonts w:hint="default" w:ascii="Times New Roman" w:hAnsi="Times New Roman" w:eastAsia="宋体" w:cs="Times New Roman"/>
                <w:kern w:val="0"/>
                <w:sz w:val="21"/>
                <w:szCs w:val="21"/>
                <w:highlight w:val="none"/>
              </w:rPr>
              <w:t>绣线菊</w:t>
            </w:r>
          </w:p>
        </w:tc>
        <w:tc>
          <w:tcPr>
            <w:tcW w:w="1121" w:type="pct"/>
            <w:tcBorders>
              <w:tl2br w:val="nil"/>
              <w:tr2bl w:val="nil"/>
            </w:tcBorders>
            <w:shd w:val="clear" w:color="auto" w:fill="auto"/>
            <w:noWrap w:val="0"/>
            <w:vAlign w:val="center"/>
          </w:tcPr>
          <w:p w14:paraId="20E6EAFB">
            <w:pPr>
              <w:widowControl/>
              <w:adjustRightInd/>
              <w:snapToGrid/>
              <w:spacing w:line="240" w:lineRule="atLeas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eastAsia="zh-CN"/>
              </w:rPr>
              <w:t>未被东北沟尾矿库占用</w:t>
            </w:r>
            <w:r>
              <w:rPr>
                <w:rFonts w:hint="default" w:ascii="Times New Roman" w:hAnsi="Times New Roman" w:eastAsia="宋体" w:cs="Times New Roman"/>
                <w:color w:val="auto"/>
                <w:kern w:val="0"/>
                <w:sz w:val="21"/>
                <w:szCs w:val="21"/>
                <w:highlight w:val="none"/>
              </w:rPr>
              <w:t>部分山区区域</w:t>
            </w:r>
          </w:p>
        </w:tc>
        <w:tc>
          <w:tcPr>
            <w:tcW w:w="624" w:type="pct"/>
            <w:vMerge w:val="continue"/>
            <w:tcBorders>
              <w:tl2br w:val="nil"/>
              <w:tr2bl w:val="nil"/>
            </w:tcBorders>
            <w:noWrap w:val="0"/>
            <w:vAlign w:val="center"/>
          </w:tcPr>
          <w:p w14:paraId="1740E51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502" w:type="pct"/>
            <w:vMerge w:val="continue"/>
            <w:tcBorders>
              <w:tl2br w:val="nil"/>
              <w:tr2bl w:val="nil"/>
            </w:tcBorders>
            <w:noWrap w:val="0"/>
            <w:vAlign w:val="center"/>
          </w:tcPr>
          <w:p w14:paraId="1046885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p>
        </w:tc>
      </w:tr>
      <w:tr w14:paraId="7BF4AA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48" w:type="pct"/>
            <w:vMerge w:val="continue"/>
            <w:tcBorders>
              <w:tl2br w:val="nil"/>
              <w:tr2bl w:val="nil"/>
            </w:tcBorders>
            <w:noWrap w:val="0"/>
            <w:vAlign w:val="center"/>
          </w:tcPr>
          <w:p w14:paraId="383C195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480" w:type="pct"/>
            <w:tcBorders>
              <w:tl2br w:val="nil"/>
              <w:tr2bl w:val="nil"/>
            </w:tcBorders>
            <w:noWrap w:val="0"/>
            <w:vAlign w:val="center"/>
          </w:tcPr>
          <w:p w14:paraId="04EB8E63">
            <w:pPr>
              <w:keepNext w:val="0"/>
              <w:keepLines w:val="0"/>
              <w:widowControl/>
              <w:suppressLineNumbers w:val="0"/>
              <w:jc w:val="center"/>
              <w:textAlignment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灌草丛</w:t>
            </w:r>
          </w:p>
        </w:tc>
        <w:tc>
          <w:tcPr>
            <w:tcW w:w="626" w:type="pct"/>
            <w:tcBorders>
              <w:tl2br w:val="nil"/>
              <w:tr2bl w:val="nil"/>
            </w:tcBorders>
            <w:noWrap w:val="0"/>
            <w:vAlign w:val="center"/>
          </w:tcPr>
          <w:p w14:paraId="251A200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温性灌草丛</w:t>
            </w:r>
          </w:p>
        </w:tc>
        <w:tc>
          <w:tcPr>
            <w:tcW w:w="1195" w:type="pct"/>
            <w:tcBorders>
              <w:tl2br w:val="nil"/>
              <w:tr2bl w:val="nil"/>
            </w:tcBorders>
            <w:shd w:val="clear" w:color="auto" w:fill="auto"/>
            <w:noWrap w:val="0"/>
            <w:vAlign w:val="center"/>
          </w:tcPr>
          <w:p w14:paraId="534A574A">
            <w:pPr>
              <w:widowControl/>
              <w:adjustRightInd/>
              <w:snapToGrid/>
              <w:spacing w:line="240" w:lineRule="atLeast"/>
              <w:ind w:firstLine="0" w:firstLineChars="0"/>
              <w:jc w:val="center"/>
              <w:textAlignment w:val="center"/>
              <w:rPr>
                <w:rFonts w:hint="eastAsia"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rPr>
              <w:t>狗尾草草丛</w:t>
            </w:r>
            <w:r>
              <w:rPr>
                <w:rFonts w:hint="eastAsia" w:cs="Times New Roman"/>
                <w:kern w:val="0"/>
                <w:sz w:val="21"/>
                <w:szCs w:val="21"/>
                <w:highlight w:val="none"/>
                <w:lang w:eastAsia="zh-CN"/>
              </w:rPr>
              <w:t>、</w:t>
            </w:r>
            <w:r>
              <w:rPr>
                <w:rFonts w:hint="default" w:ascii="Times New Roman" w:hAnsi="Times New Roman" w:eastAsia="宋体" w:cs="Times New Roman"/>
                <w:kern w:val="0"/>
                <w:sz w:val="21"/>
                <w:szCs w:val="21"/>
                <w:highlight w:val="none"/>
              </w:rPr>
              <w:t>野艾蒿草丛</w:t>
            </w:r>
            <w:r>
              <w:rPr>
                <w:rFonts w:hint="eastAsia" w:cs="Times New Roman"/>
                <w:kern w:val="0"/>
                <w:sz w:val="21"/>
                <w:szCs w:val="21"/>
                <w:highlight w:val="none"/>
                <w:lang w:eastAsia="zh-CN"/>
              </w:rPr>
              <w:t>、</w:t>
            </w:r>
            <w:r>
              <w:rPr>
                <w:rFonts w:hint="default" w:ascii="Times New Roman" w:hAnsi="Times New Roman" w:eastAsia="宋体" w:cs="Times New Roman"/>
                <w:kern w:val="0"/>
                <w:sz w:val="21"/>
                <w:szCs w:val="21"/>
                <w:highlight w:val="none"/>
              </w:rPr>
              <w:t>鬼针草丛</w:t>
            </w:r>
            <w:r>
              <w:rPr>
                <w:rFonts w:hint="eastAsia" w:cs="Times New Roman"/>
                <w:kern w:val="0"/>
                <w:sz w:val="21"/>
                <w:szCs w:val="21"/>
                <w:highlight w:val="none"/>
                <w:lang w:eastAsia="zh-CN"/>
              </w:rPr>
              <w:t>、</w:t>
            </w:r>
            <w:r>
              <w:rPr>
                <w:rFonts w:hint="default" w:ascii="Times New Roman" w:hAnsi="Times New Roman" w:eastAsia="宋体" w:cs="Times New Roman"/>
                <w:kern w:val="0"/>
                <w:sz w:val="21"/>
                <w:szCs w:val="21"/>
                <w:highlight w:val="none"/>
              </w:rPr>
              <w:t>针毛草丛</w:t>
            </w:r>
          </w:p>
        </w:tc>
        <w:tc>
          <w:tcPr>
            <w:tcW w:w="1121" w:type="pct"/>
            <w:tcBorders>
              <w:tl2br w:val="nil"/>
              <w:tr2bl w:val="nil"/>
            </w:tcBorders>
            <w:shd w:val="clear" w:color="auto" w:fill="auto"/>
            <w:noWrap w:val="0"/>
            <w:vAlign w:val="center"/>
          </w:tcPr>
          <w:p w14:paraId="79C9DF5D">
            <w:pPr>
              <w:widowControl/>
              <w:adjustRightInd/>
              <w:snapToGrid/>
              <w:spacing w:line="240" w:lineRule="atLeas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eastAsia="zh-CN"/>
              </w:rPr>
              <w:t>调查</w:t>
            </w:r>
            <w:r>
              <w:rPr>
                <w:rFonts w:hint="default" w:ascii="Times New Roman" w:hAnsi="Times New Roman" w:eastAsia="宋体" w:cs="Times New Roman"/>
                <w:color w:val="auto"/>
                <w:kern w:val="0"/>
                <w:sz w:val="21"/>
                <w:szCs w:val="21"/>
                <w:highlight w:val="none"/>
              </w:rPr>
              <w:t>范围内大部分区域</w:t>
            </w:r>
          </w:p>
        </w:tc>
        <w:tc>
          <w:tcPr>
            <w:tcW w:w="624" w:type="pct"/>
            <w:tcBorders>
              <w:tl2br w:val="nil"/>
              <w:tr2bl w:val="nil"/>
            </w:tcBorders>
            <w:noWrap w:val="0"/>
            <w:vAlign w:val="center"/>
          </w:tcPr>
          <w:p w14:paraId="757824A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5.67</w:t>
            </w:r>
          </w:p>
        </w:tc>
        <w:tc>
          <w:tcPr>
            <w:tcW w:w="502" w:type="pct"/>
            <w:tcBorders>
              <w:tl2br w:val="nil"/>
              <w:tr2bl w:val="nil"/>
            </w:tcBorders>
            <w:noWrap w:val="0"/>
            <w:vAlign w:val="center"/>
          </w:tcPr>
          <w:p w14:paraId="150D5450">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16.35</w:t>
            </w:r>
          </w:p>
        </w:tc>
      </w:tr>
    </w:tbl>
    <w:p w14:paraId="45D41EEB">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bCs/>
          <w:color w:val="000000"/>
          <w:sz w:val="24"/>
          <w:highlight w:val="none"/>
          <w:lang w:eastAsia="zh-CN"/>
        </w:rPr>
      </w:pPr>
      <w:r>
        <w:rPr>
          <w:rFonts w:hint="eastAsia" w:ascii="Times New Roman" w:hAnsi="Times New Roman" w:cs="Times New Roman"/>
          <w:b w:val="0"/>
          <w:bCs w:val="0"/>
          <w:color w:val="000000"/>
          <w:sz w:val="24"/>
          <w:highlight w:val="none"/>
          <w:lang w:eastAsia="zh-CN"/>
        </w:rPr>
        <w:t>调查区域为丘陵地区，</w:t>
      </w:r>
      <w:r>
        <w:rPr>
          <w:rFonts w:hint="eastAsia" w:ascii="Times New Roman" w:hAnsi="Times New Roman" w:cs="Times New Roman"/>
          <w:b w:val="0"/>
          <w:bCs w:val="0"/>
          <w:color w:val="000000"/>
          <w:sz w:val="24"/>
          <w:highlight w:val="none"/>
          <w:lang w:val="en-US" w:eastAsia="zh-CN"/>
        </w:rPr>
        <w:t>以</w:t>
      </w:r>
      <w:r>
        <w:rPr>
          <w:rFonts w:hint="eastAsia" w:ascii="Times New Roman" w:hAnsi="Times New Roman" w:cs="Times New Roman"/>
          <w:sz w:val="24"/>
          <w:szCs w:val="22"/>
          <w:highlight w:val="none"/>
          <w:lang w:val="en-US" w:eastAsia="zh-CN"/>
        </w:rPr>
        <w:t>已闭库的东北沟尾矿库为主，</w:t>
      </w:r>
      <w:r>
        <w:rPr>
          <w:rFonts w:hint="eastAsia" w:ascii="Times New Roman" w:hAnsi="Times New Roman" w:cs="Times New Roman"/>
          <w:b w:val="0"/>
          <w:bCs w:val="0"/>
          <w:color w:val="000000"/>
          <w:sz w:val="24"/>
          <w:highlight w:val="none"/>
          <w:lang w:eastAsia="zh-CN"/>
        </w:rPr>
        <w:t>经现场调查，</w:t>
      </w:r>
      <w:r>
        <w:rPr>
          <w:rFonts w:hint="eastAsia" w:ascii="Times New Roman" w:hAnsi="Times New Roman" w:cs="Times New Roman"/>
          <w:b w:val="0"/>
          <w:bCs w:val="0"/>
          <w:color w:val="000000"/>
          <w:sz w:val="24"/>
          <w:highlight w:val="none"/>
          <w:lang w:val="en-US" w:eastAsia="zh-CN"/>
        </w:rPr>
        <w:t>区域内以灌丛植被为主，分布在尾矿库占地区域</w:t>
      </w:r>
      <w:r>
        <w:rPr>
          <w:rFonts w:hint="eastAsia" w:ascii="Times New Roman" w:hAnsi="Times New Roman" w:cs="Times New Roman"/>
          <w:b w:val="0"/>
          <w:bCs w:val="0"/>
          <w:color w:val="000000"/>
          <w:sz w:val="24"/>
          <w:highlight w:val="none"/>
          <w:lang w:eastAsia="zh-CN"/>
        </w:rPr>
        <w:t>优势树种为</w:t>
      </w:r>
      <w:r>
        <w:rPr>
          <w:rFonts w:hint="eastAsia" w:ascii="Times New Roman" w:hAnsi="Times New Roman" w:cs="Times New Roman"/>
          <w:b w:val="0"/>
          <w:bCs w:val="0"/>
          <w:color w:val="000000"/>
          <w:sz w:val="24"/>
          <w:highlight w:val="none"/>
          <w:lang w:val="en-US" w:eastAsia="zh-CN"/>
        </w:rPr>
        <w:t>沙棘，</w:t>
      </w:r>
      <w:r>
        <w:rPr>
          <w:rFonts w:hint="eastAsia" w:ascii="Times New Roman" w:hAnsi="Times New Roman" w:cs="Times New Roman"/>
          <w:b w:val="0"/>
          <w:bCs w:val="0"/>
          <w:color w:val="000000"/>
          <w:sz w:val="24"/>
          <w:highlight w:val="none"/>
          <w:lang w:eastAsia="zh-CN"/>
        </w:rPr>
        <w:t>是调查范围内山地森林的基本组成成分，构成了基本的山地森林景观，</w:t>
      </w:r>
      <w:r>
        <w:rPr>
          <w:rFonts w:hint="eastAsia" w:ascii="Times New Roman" w:hAnsi="Times New Roman" w:cs="Times New Roman"/>
          <w:b w:val="0"/>
          <w:bCs w:val="0"/>
          <w:color w:val="000000"/>
          <w:sz w:val="24"/>
          <w:highlight w:val="none"/>
          <w:lang w:val="en-US" w:eastAsia="zh-CN"/>
        </w:rPr>
        <w:t>分布在未被东北沟尾矿库占用的阴坡阳坡区域，灌丛植被种类为</w:t>
      </w:r>
      <w:r>
        <w:rPr>
          <w:rFonts w:hint="eastAsia" w:ascii="Times New Roman" w:hAnsi="Times New Roman" w:cs="Times New Roman"/>
          <w:b w:val="0"/>
          <w:bCs w:val="0"/>
          <w:color w:val="000000"/>
          <w:sz w:val="24"/>
          <w:highlight w:val="none"/>
          <w:lang w:eastAsia="zh-CN"/>
        </w:rPr>
        <w:t>野山枣、荆条、</w:t>
      </w:r>
      <w:r>
        <w:rPr>
          <w:rFonts w:hint="eastAsia" w:ascii="Times New Roman" w:hAnsi="Times New Roman" w:cs="Times New Roman"/>
          <w:b w:val="0"/>
          <w:bCs w:val="0"/>
          <w:color w:val="000000"/>
          <w:sz w:val="24"/>
          <w:highlight w:val="none"/>
          <w:lang w:val="en-US" w:eastAsia="zh-CN"/>
        </w:rPr>
        <w:t>胡枝子、</w:t>
      </w:r>
      <w:r>
        <w:rPr>
          <w:rFonts w:hint="eastAsia" w:ascii="Times New Roman" w:hAnsi="Times New Roman" w:cs="Times New Roman"/>
          <w:b w:val="0"/>
          <w:bCs w:val="0"/>
          <w:color w:val="000000"/>
          <w:sz w:val="24"/>
          <w:highlight w:val="none"/>
          <w:lang w:eastAsia="zh-CN"/>
        </w:rPr>
        <w:t>平榛</w:t>
      </w:r>
      <w:r>
        <w:rPr>
          <w:rFonts w:hint="eastAsia" w:ascii="Times New Roman" w:hAnsi="Times New Roman" w:cs="Times New Roman"/>
          <w:b w:val="0"/>
          <w:bCs w:val="0"/>
          <w:color w:val="000000"/>
          <w:sz w:val="24"/>
          <w:highlight w:val="none"/>
          <w:lang w:val="en-US" w:eastAsia="zh-CN"/>
        </w:rPr>
        <w:t>、绣线菊等</w:t>
      </w:r>
      <w:r>
        <w:rPr>
          <w:rFonts w:hint="eastAsia" w:ascii="Times New Roman" w:hAnsi="Times New Roman" w:cs="Times New Roman"/>
          <w:b w:val="0"/>
          <w:bCs w:val="0"/>
          <w:color w:val="000000"/>
          <w:sz w:val="24"/>
          <w:highlight w:val="none"/>
          <w:lang w:eastAsia="zh-CN"/>
        </w:rPr>
        <w:t>；</w:t>
      </w:r>
      <w:r>
        <w:rPr>
          <w:rFonts w:hint="eastAsia" w:ascii="Times New Roman" w:hAnsi="Times New Roman" w:cs="Times New Roman"/>
          <w:b w:val="0"/>
          <w:bCs w:val="0"/>
          <w:color w:val="000000"/>
          <w:sz w:val="24"/>
          <w:highlight w:val="none"/>
          <w:lang w:val="en-US" w:eastAsia="zh-CN"/>
        </w:rPr>
        <w:t>针叶林分布在未被东北沟尾矿库占用的阴坡区域，优势种为油松；</w:t>
      </w:r>
      <w:r>
        <w:rPr>
          <w:rFonts w:hint="eastAsia" w:ascii="Times New Roman" w:hAnsi="Times New Roman" w:cs="Times New Roman"/>
          <w:b w:val="0"/>
          <w:bCs w:val="0"/>
          <w:color w:val="000000"/>
          <w:sz w:val="24"/>
          <w:highlight w:val="none"/>
          <w:lang w:eastAsia="zh-CN"/>
        </w:rPr>
        <w:t>草地的组成种类包括狗尾草、野艾蒿、鬼针草、针毛草、大籽蒿等。</w:t>
      </w:r>
    </w:p>
    <w:p w14:paraId="559A18D5">
      <w:pPr>
        <w:pStyle w:val="185"/>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color w:val="000000"/>
          <w:sz w:val="24"/>
          <w:highlight w:val="none"/>
          <w:lang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3</w:t>
      </w:r>
      <w:r>
        <w:rPr>
          <w:rFonts w:hint="eastAsia" w:ascii="Times New Roman" w:hAnsi="Times New Roman" w:cs="Times New Roman"/>
          <w:b/>
          <w:bCs/>
          <w:color w:val="000000"/>
          <w:sz w:val="24"/>
          <w:highlight w:val="none"/>
          <w:lang w:eastAsia="zh-CN"/>
        </w:rPr>
        <w:t>）植物类型现状调查</w:t>
      </w:r>
    </w:p>
    <w:p w14:paraId="0E06EF03">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val="0"/>
          <w:color w:val="000000"/>
          <w:sz w:val="24"/>
          <w:highlight w:val="none"/>
          <w:lang w:eastAsia="zh-CN"/>
        </w:rPr>
      </w:pPr>
      <w:r>
        <w:rPr>
          <w:rFonts w:hint="eastAsia" w:ascii="Times New Roman" w:hAnsi="Times New Roman" w:cs="Times New Roman"/>
          <w:b w:val="0"/>
          <w:bCs w:val="0"/>
          <w:color w:val="000000"/>
          <w:sz w:val="24"/>
          <w:highlight w:val="none"/>
          <w:lang w:eastAsia="zh-CN"/>
        </w:rPr>
        <w:t>①植被类型面积统计</w:t>
      </w:r>
    </w:p>
    <w:p w14:paraId="7CD10C6B">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sz w:val="24"/>
          <w:szCs w:val="22"/>
          <w:highlight w:val="none"/>
          <w:lang w:val="en-US" w:eastAsia="zh-CN"/>
        </w:rPr>
        <w:t>项目在已闭库尾矿库上建设，评价范围</w:t>
      </w:r>
      <w:r>
        <w:rPr>
          <w:rFonts w:hint="eastAsia" w:ascii="Times New Roman" w:hAnsi="Times New Roman" w:cs="Times New Roman"/>
          <w:b w:val="0"/>
          <w:bCs w:val="0"/>
          <w:color w:val="000000"/>
          <w:sz w:val="24"/>
          <w:highlight w:val="none"/>
          <w:lang w:val="en-US" w:eastAsia="zh-CN"/>
        </w:rPr>
        <w:t>东北沟尾矿库占地区域</w:t>
      </w:r>
      <w:r>
        <w:rPr>
          <w:rFonts w:hint="eastAsia" w:ascii="Times New Roman" w:hAnsi="Times New Roman" w:cs="Times New Roman"/>
          <w:sz w:val="24"/>
          <w:szCs w:val="22"/>
          <w:highlight w:val="none"/>
          <w:lang w:val="en-US" w:eastAsia="zh-CN"/>
        </w:rPr>
        <w:t>内已进行生态恢复，植被以人工种植植被为主，种植植被为沙棘，属于灌丛植被；</w:t>
      </w:r>
      <w:r>
        <w:rPr>
          <w:rFonts w:hint="eastAsia" w:ascii="Times New Roman" w:hAnsi="Times New Roman" w:cs="Times New Roman"/>
          <w:b w:val="0"/>
          <w:bCs w:val="0"/>
          <w:color w:val="000000"/>
          <w:sz w:val="24"/>
          <w:highlight w:val="none"/>
          <w:lang w:val="en-US" w:eastAsia="zh-CN"/>
        </w:rPr>
        <w:t>未被东北沟尾矿库占用区域植被为自然植被，主要为油松、</w:t>
      </w:r>
      <w:r>
        <w:rPr>
          <w:rFonts w:hint="eastAsia" w:ascii="Times New Roman" w:hAnsi="Times New Roman" w:cs="Times New Roman"/>
          <w:b w:val="0"/>
          <w:bCs w:val="0"/>
          <w:color w:val="000000"/>
          <w:sz w:val="24"/>
          <w:highlight w:val="none"/>
          <w:lang w:eastAsia="zh-CN"/>
        </w:rPr>
        <w:t>野山枣、荆条、</w:t>
      </w:r>
      <w:r>
        <w:rPr>
          <w:rFonts w:hint="eastAsia" w:ascii="Times New Roman" w:hAnsi="Times New Roman" w:cs="Times New Roman"/>
          <w:b w:val="0"/>
          <w:bCs w:val="0"/>
          <w:color w:val="000000"/>
          <w:sz w:val="24"/>
          <w:highlight w:val="none"/>
          <w:lang w:val="en-US" w:eastAsia="zh-CN"/>
        </w:rPr>
        <w:t>胡枝子、</w:t>
      </w:r>
      <w:r>
        <w:rPr>
          <w:rFonts w:hint="eastAsia" w:ascii="Times New Roman" w:hAnsi="Times New Roman" w:cs="Times New Roman"/>
          <w:b w:val="0"/>
          <w:bCs w:val="0"/>
          <w:color w:val="000000"/>
          <w:sz w:val="24"/>
          <w:highlight w:val="none"/>
          <w:lang w:eastAsia="zh-CN"/>
        </w:rPr>
        <w:t>平榛</w:t>
      </w:r>
      <w:r>
        <w:rPr>
          <w:rFonts w:hint="eastAsia" w:ascii="Times New Roman" w:hAnsi="Times New Roman" w:cs="Times New Roman"/>
          <w:b w:val="0"/>
          <w:bCs w:val="0"/>
          <w:color w:val="000000"/>
          <w:sz w:val="24"/>
          <w:highlight w:val="none"/>
          <w:lang w:val="en-US" w:eastAsia="zh-CN"/>
        </w:rPr>
        <w:t>、绣线菊、</w:t>
      </w:r>
      <w:r>
        <w:rPr>
          <w:rFonts w:hint="eastAsia" w:ascii="Times New Roman" w:hAnsi="Times New Roman" w:cs="Times New Roman"/>
          <w:b w:val="0"/>
          <w:bCs w:val="0"/>
          <w:color w:val="000000"/>
          <w:sz w:val="24"/>
          <w:highlight w:val="none"/>
          <w:lang w:eastAsia="zh-CN"/>
        </w:rPr>
        <w:t>狗尾草、野艾蒿、鬼针草、针毛草、大籽蒿等</w:t>
      </w:r>
      <w:r>
        <w:rPr>
          <w:rFonts w:hint="eastAsia" w:ascii="Times New Roman" w:hAnsi="Times New Roman" w:cs="Times New Roman"/>
          <w:b w:val="0"/>
          <w:bCs w:val="0"/>
          <w:color w:val="000000"/>
          <w:sz w:val="24"/>
          <w:highlight w:val="none"/>
          <w:lang w:val="en-US" w:eastAsia="zh-CN"/>
        </w:rPr>
        <w:t>。</w:t>
      </w:r>
    </w:p>
    <w:p w14:paraId="1C4F4D7F">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eastAsia="zh-CN"/>
        </w:rPr>
        <w:t>项目价区植被类型见</w:t>
      </w:r>
      <w:r>
        <w:rPr>
          <w:rFonts w:hint="eastAsia" w:ascii="Times New Roman" w:hAnsi="Times New Roman" w:cs="Times New Roman"/>
          <w:b w:val="0"/>
          <w:bCs w:val="0"/>
          <w:color w:val="000000"/>
          <w:sz w:val="24"/>
          <w:highlight w:val="none"/>
          <w:lang w:val="en-US" w:eastAsia="zh-CN"/>
        </w:rPr>
        <w:t>下图表。</w:t>
      </w:r>
    </w:p>
    <w:p w14:paraId="556E7C0C">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b/>
          <w:sz w:val="21"/>
          <w:szCs w:val="21"/>
          <w:highlight w:val="none"/>
          <w:lang w:val="en-US" w:eastAsia="zh-CN"/>
        </w:rPr>
      </w:pPr>
      <w:r>
        <w:rPr>
          <w:rFonts w:hint="eastAsia" w:ascii="Times New Roman" w:hAnsi="Times New Roman" w:eastAsia="宋体" w:cs="Times New Roman"/>
          <w:b/>
          <w:sz w:val="21"/>
          <w:szCs w:val="21"/>
          <w:highlight w:val="none"/>
          <w:lang w:val="en-US" w:eastAsia="zh-CN"/>
        </w:rPr>
        <w:t>本项目</w:t>
      </w:r>
      <w:r>
        <w:rPr>
          <w:rFonts w:hint="eastAsia" w:cs="Times New Roman"/>
          <w:b/>
          <w:sz w:val="21"/>
          <w:szCs w:val="21"/>
          <w:highlight w:val="none"/>
          <w:lang w:val="en-US" w:eastAsia="zh-CN"/>
        </w:rPr>
        <w:t>植被类型</w:t>
      </w:r>
      <w:r>
        <w:rPr>
          <w:rFonts w:hint="eastAsia" w:ascii="Times New Roman" w:hAnsi="Times New Roman" w:eastAsia="宋体" w:cs="Times New Roman"/>
          <w:b/>
          <w:sz w:val="21"/>
          <w:szCs w:val="21"/>
          <w:highlight w:val="none"/>
          <w:lang w:val="en-US" w:eastAsia="zh-CN"/>
        </w:rPr>
        <w:t>调查情况一览表</w:t>
      </w:r>
    </w:p>
    <w:tbl>
      <w:tblPr>
        <w:tblStyle w:val="326"/>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52"/>
        <w:gridCol w:w="1776"/>
        <w:gridCol w:w="2811"/>
        <w:gridCol w:w="2686"/>
      </w:tblGrid>
      <w:tr w14:paraId="762482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734" w:type="pct"/>
            <w:tcBorders>
              <w:tl2br w:val="nil"/>
              <w:tr2bl w:val="nil"/>
            </w:tcBorders>
            <w:noWrap w:val="0"/>
            <w:vAlign w:val="center"/>
          </w:tcPr>
          <w:p w14:paraId="6CBCFB62">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序号</w:t>
            </w:r>
          </w:p>
        </w:tc>
        <w:tc>
          <w:tcPr>
            <w:tcW w:w="1041" w:type="pct"/>
            <w:tcBorders>
              <w:tl2br w:val="nil"/>
              <w:tr2bl w:val="nil"/>
            </w:tcBorders>
            <w:noWrap w:val="0"/>
            <w:vAlign w:val="center"/>
          </w:tcPr>
          <w:p w14:paraId="07135AE7">
            <w:pPr>
              <w:keepNext w:val="0"/>
              <w:keepLines w:val="0"/>
              <w:pageBreakBefore w:val="0"/>
              <w:widowControl/>
              <w:kinsoku/>
              <w:wordWrap/>
              <w:overflowPunct/>
              <w:topLinePunct w:val="0"/>
              <w:autoSpaceDE/>
              <w:autoSpaceDN/>
              <w:bidi w:val="0"/>
              <w:adjustRightInd w:val="0"/>
              <w:snapToGrid w:val="0"/>
              <w:spacing w:line="240" w:lineRule="exact"/>
              <w:ind w:left="0" w:right="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植被</w:t>
            </w:r>
            <w:r>
              <w:rPr>
                <w:rFonts w:hint="eastAsia" w:ascii="Times New Roman" w:hAnsi="Times New Roman" w:eastAsia="宋体" w:cs="Times New Roman"/>
                <w:b/>
                <w:bCs/>
                <w:color w:val="auto"/>
                <w:kern w:val="2"/>
                <w:sz w:val="21"/>
                <w:szCs w:val="21"/>
                <w:highlight w:val="none"/>
                <w:lang w:val="en-US" w:eastAsia="zh-CN" w:bidi="ar-SA"/>
              </w:rPr>
              <w:t>类型</w:t>
            </w:r>
          </w:p>
        </w:tc>
        <w:tc>
          <w:tcPr>
            <w:tcW w:w="1648" w:type="pct"/>
            <w:tcBorders>
              <w:tl2br w:val="nil"/>
              <w:tr2bl w:val="nil"/>
            </w:tcBorders>
            <w:noWrap w:val="0"/>
            <w:vAlign w:val="center"/>
          </w:tcPr>
          <w:p w14:paraId="471EE499">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占地面积（hm</w:t>
            </w:r>
            <w:r>
              <w:rPr>
                <w:rFonts w:hint="eastAsia" w:ascii="Times New Roman" w:hAnsi="Times New Roman" w:eastAsia="宋体" w:cs="Times New Roman"/>
                <w:b/>
                <w:bCs/>
                <w:color w:val="auto"/>
                <w:kern w:val="2"/>
                <w:sz w:val="21"/>
                <w:szCs w:val="21"/>
                <w:highlight w:val="none"/>
                <w:vertAlign w:val="superscript"/>
                <w:lang w:val="en-US" w:eastAsia="zh-CN" w:bidi="ar-SA"/>
              </w:rPr>
              <w:t>2</w:t>
            </w:r>
            <w:r>
              <w:rPr>
                <w:rFonts w:hint="eastAsia" w:ascii="Times New Roman" w:hAnsi="Times New Roman" w:eastAsia="宋体" w:cs="Times New Roman"/>
                <w:b/>
                <w:bCs/>
                <w:color w:val="auto"/>
                <w:kern w:val="2"/>
                <w:sz w:val="21"/>
                <w:szCs w:val="21"/>
                <w:highlight w:val="none"/>
                <w:lang w:val="en-US" w:eastAsia="zh-CN" w:bidi="ar-SA"/>
              </w:rPr>
              <w:t>）</w:t>
            </w:r>
          </w:p>
        </w:tc>
        <w:tc>
          <w:tcPr>
            <w:tcW w:w="1575" w:type="pct"/>
            <w:tcBorders>
              <w:tl2br w:val="nil"/>
              <w:tr2bl w:val="nil"/>
            </w:tcBorders>
            <w:noWrap w:val="0"/>
            <w:vAlign w:val="center"/>
          </w:tcPr>
          <w:p w14:paraId="435962A9">
            <w:pPr>
              <w:keepNext w:val="0"/>
              <w:keepLines w:val="0"/>
              <w:pageBreakBefore w:val="0"/>
              <w:widowControl/>
              <w:kinsoku/>
              <w:wordWrap/>
              <w:overflowPunct/>
              <w:topLinePunct w:val="0"/>
              <w:autoSpaceDE/>
              <w:autoSpaceDN/>
              <w:bidi w:val="0"/>
              <w:adjustRightInd w:val="0"/>
              <w:snapToGrid w:val="0"/>
              <w:spacing w:line="240" w:lineRule="exact"/>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占比（%）</w:t>
            </w:r>
          </w:p>
        </w:tc>
      </w:tr>
      <w:tr w14:paraId="130DE3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734" w:type="pct"/>
            <w:tcBorders>
              <w:tl2br w:val="nil"/>
              <w:tr2bl w:val="nil"/>
            </w:tcBorders>
            <w:noWrap w:val="0"/>
            <w:vAlign w:val="center"/>
          </w:tcPr>
          <w:p w14:paraId="119C5036">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2"/>
                <w:szCs w:val="22"/>
                <w:highlight w:val="none"/>
                <w:u w:val="none"/>
                <w:lang w:val="en-US" w:eastAsia="zh-CN" w:bidi="ar"/>
              </w:rPr>
              <w:t>1</w:t>
            </w:r>
          </w:p>
        </w:tc>
        <w:tc>
          <w:tcPr>
            <w:tcW w:w="1041" w:type="pct"/>
            <w:tcBorders>
              <w:tl2br w:val="nil"/>
              <w:tr2bl w:val="nil"/>
            </w:tcBorders>
            <w:noWrap w:val="0"/>
            <w:vAlign w:val="center"/>
          </w:tcPr>
          <w:p w14:paraId="5328DBB4">
            <w:pPr>
              <w:keepNext w:val="0"/>
              <w:keepLines w:val="0"/>
              <w:widowControl/>
              <w:suppressLineNumbers w:val="0"/>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寒温性针叶林</w:t>
            </w:r>
          </w:p>
        </w:tc>
        <w:tc>
          <w:tcPr>
            <w:tcW w:w="2811" w:type="dxa"/>
            <w:tcBorders>
              <w:tl2br w:val="nil"/>
              <w:tr2bl w:val="nil"/>
            </w:tcBorders>
            <w:noWrap w:val="0"/>
            <w:vAlign w:val="center"/>
          </w:tcPr>
          <w:p w14:paraId="78F6EAF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1.91</w:t>
            </w:r>
          </w:p>
        </w:tc>
        <w:tc>
          <w:tcPr>
            <w:tcW w:w="2686" w:type="dxa"/>
            <w:tcBorders>
              <w:tl2br w:val="nil"/>
              <w:tr2bl w:val="nil"/>
            </w:tcBorders>
            <w:noWrap w:val="0"/>
            <w:vAlign w:val="center"/>
          </w:tcPr>
          <w:p w14:paraId="127405B2">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5.5</w:t>
            </w:r>
            <w:r>
              <w:rPr>
                <w:rFonts w:hint="eastAsia" w:cs="Times New Roman"/>
                <w:i w:val="0"/>
                <w:iCs w:val="0"/>
                <w:color w:val="000000"/>
                <w:kern w:val="0"/>
                <w:sz w:val="21"/>
                <w:szCs w:val="21"/>
                <w:highlight w:val="none"/>
                <w:u w:val="none"/>
                <w:lang w:val="en-US" w:eastAsia="zh-CN" w:bidi="ar"/>
              </w:rPr>
              <w:t>0</w:t>
            </w:r>
          </w:p>
        </w:tc>
      </w:tr>
      <w:tr w14:paraId="5DECBC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734" w:type="pct"/>
            <w:tcBorders>
              <w:tl2br w:val="nil"/>
              <w:tr2bl w:val="nil"/>
            </w:tcBorders>
            <w:noWrap w:val="0"/>
            <w:vAlign w:val="center"/>
          </w:tcPr>
          <w:p w14:paraId="1DAE1A73">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2"/>
                <w:szCs w:val="22"/>
                <w:highlight w:val="none"/>
                <w:u w:val="none"/>
                <w:lang w:val="en-US" w:eastAsia="zh-CN" w:bidi="ar"/>
              </w:rPr>
              <w:t>2</w:t>
            </w:r>
          </w:p>
        </w:tc>
        <w:tc>
          <w:tcPr>
            <w:tcW w:w="1041" w:type="pct"/>
            <w:tcBorders>
              <w:tl2br w:val="nil"/>
              <w:tr2bl w:val="nil"/>
            </w:tcBorders>
            <w:shd w:val="clear" w:color="auto" w:fill="auto"/>
            <w:noWrap w:val="0"/>
            <w:vAlign w:val="center"/>
          </w:tcPr>
          <w:p w14:paraId="211FEEE2">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落叶阔叶灌丛</w:t>
            </w:r>
          </w:p>
        </w:tc>
        <w:tc>
          <w:tcPr>
            <w:tcW w:w="2811" w:type="dxa"/>
            <w:tcBorders>
              <w:tl2br w:val="nil"/>
              <w:tr2bl w:val="nil"/>
            </w:tcBorders>
            <w:shd w:val="clear" w:color="auto" w:fill="auto"/>
            <w:noWrap w:val="0"/>
            <w:vAlign w:val="center"/>
          </w:tcPr>
          <w:p w14:paraId="3D11336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27.09</w:t>
            </w:r>
          </w:p>
        </w:tc>
        <w:tc>
          <w:tcPr>
            <w:tcW w:w="2686" w:type="dxa"/>
            <w:tcBorders>
              <w:tl2br w:val="nil"/>
              <w:tr2bl w:val="nil"/>
            </w:tcBorders>
            <w:shd w:val="clear" w:color="auto" w:fill="auto"/>
            <w:noWrap w:val="0"/>
            <w:vAlign w:val="center"/>
          </w:tcPr>
          <w:p w14:paraId="57AC8C58">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78.15</w:t>
            </w:r>
          </w:p>
        </w:tc>
      </w:tr>
      <w:tr w14:paraId="459493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734" w:type="pct"/>
            <w:tcBorders>
              <w:tl2br w:val="nil"/>
              <w:tr2bl w:val="nil"/>
            </w:tcBorders>
            <w:noWrap w:val="0"/>
            <w:vAlign w:val="center"/>
          </w:tcPr>
          <w:p w14:paraId="4472181B">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2"/>
                <w:szCs w:val="22"/>
                <w:highlight w:val="none"/>
                <w:u w:val="none"/>
                <w:lang w:val="en-US" w:eastAsia="zh-CN" w:bidi="ar"/>
              </w:rPr>
              <w:t>3</w:t>
            </w:r>
          </w:p>
        </w:tc>
        <w:tc>
          <w:tcPr>
            <w:tcW w:w="1041" w:type="pct"/>
            <w:tcBorders>
              <w:tl2br w:val="nil"/>
              <w:tr2bl w:val="nil"/>
            </w:tcBorders>
            <w:shd w:val="clear" w:color="auto" w:fill="auto"/>
            <w:noWrap w:val="0"/>
            <w:vAlign w:val="center"/>
          </w:tcPr>
          <w:p w14:paraId="076C5350">
            <w:pPr>
              <w:keepNext w:val="0"/>
              <w:keepLines w:val="0"/>
              <w:widowControl/>
              <w:suppressLineNumbers w:val="0"/>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草甸</w:t>
            </w:r>
          </w:p>
        </w:tc>
        <w:tc>
          <w:tcPr>
            <w:tcW w:w="2811" w:type="dxa"/>
            <w:tcBorders>
              <w:tl2br w:val="nil"/>
              <w:tr2bl w:val="nil"/>
            </w:tcBorders>
            <w:shd w:val="clear" w:color="auto" w:fill="auto"/>
            <w:noWrap w:val="0"/>
            <w:vAlign w:val="center"/>
          </w:tcPr>
          <w:p w14:paraId="34084F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5.67</w:t>
            </w:r>
          </w:p>
        </w:tc>
        <w:tc>
          <w:tcPr>
            <w:tcW w:w="2686" w:type="dxa"/>
            <w:tcBorders>
              <w:tl2br w:val="nil"/>
              <w:tr2bl w:val="nil"/>
            </w:tcBorders>
            <w:shd w:val="clear" w:color="auto" w:fill="auto"/>
            <w:noWrap w:val="0"/>
            <w:vAlign w:val="center"/>
          </w:tcPr>
          <w:p w14:paraId="1125258E">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16.35</w:t>
            </w:r>
          </w:p>
        </w:tc>
      </w:tr>
      <w:tr w14:paraId="1C1541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775" w:type="pct"/>
            <w:gridSpan w:val="2"/>
            <w:tcBorders>
              <w:tl2br w:val="nil"/>
              <w:tr2bl w:val="nil"/>
            </w:tcBorders>
            <w:noWrap w:val="0"/>
            <w:vAlign w:val="center"/>
          </w:tcPr>
          <w:p w14:paraId="5A293A36">
            <w:pPr>
              <w:keepNext w:val="0"/>
              <w:keepLines w:val="0"/>
              <w:pageBreakBefore w:val="0"/>
              <w:widowControl/>
              <w:kinsoku/>
              <w:wordWrap/>
              <w:overflowPunct/>
              <w:topLinePunct w:val="0"/>
              <w:autoSpaceDE/>
              <w:autoSpaceDN/>
              <w:bidi w:val="0"/>
              <w:adjustRightInd w:val="0"/>
              <w:snapToGrid w:val="0"/>
              <w:spacing w:line="240" w:lineRule="atLeast"/>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合计</w:t>
            </w:r>
          </w:p>
        </w:tc>
        <w:tc>
          <w:tcPr>
            <w:tcW w:w="2811" w:type="dxa"/>
            <w:tcBorders>
              <w:tl2br w:val="nil"/>
              <w:tr2bl w:val="nil"/>
            </w:tcBorders>
            <w:noWrap w:val="0"/>
            <w:vAlign w:val="center"/>
          </w:tcPr>
          <w:p w14:paraId="342B90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34.66</w:t>
            </w:r>
          </w:p>
        </w:tc>
        <w:tc>
          <w:tcPr>
            <w:tcW w:w="2686" w:type="dxa"/>
            <w:tcBorders>
              <w:tl2br w:val="nil"/>
              <w:tr2bl w:val="nil"/>
            </w:tcBorders>
            <w:noWrap w:val="0"/>
            <w:vAlign w:val="center"/>
          </w:tcPr>
          <w:p w14:paraId="7A2435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100</w:t>
            </w:r>
          </w:p>
        </w:tc>
      </w:tr>
    </w:tbl>
    <w:p w14:paraId="34B48CD3">
      <w:pPr>
        <w:pStyle w:val="185"/>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drawing>
          <wp:inline distT="0" distB="0" distL="114300" distR="114300">
            <wp:extent cx="5273675" cy="3584575"/>
            <wp:effectExtent l="0" t="0" r="14605" b="12065"/>
            <wp:docPr id="44" name="图片 44" descr="植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植被"/>
                    <pic:cNvPicPr>
                      <a:picLocks noChangeAspect="1"/>
                    </pic:cNvPicPr>
                  </pic:nvPicPr>
                  <pic:blipFill>
                    <a:blip r:embed="rId30"/>
                    <a:srcRect b="3849"/>
                    <a:stretch>
                      <a:fillRect/>
                    </a:stretch>
                  </pic:blipFill>
                  <pic:spPr>
                    <a:xfrm>
                      <a:off x="0" y="0"/>
                      <a:ext cx="5273675" cy="3584575"/>
                    </a:xfrm>
                    <a:prstGeom prst="rect">
                      <a:avLst/>
                    </a:prstGeom>
                  </pic:spPr>
                </pic:pic>
              </a:graphicData>
            </a:graphic>
          </wp:inline>
        </w:drawing>
      </w:r>
    </w:p>
    <w:p w14:paraId="57423289">
      <w:pPr>
        <w:pStyle w:val="147"/>
        <w:keepNext w:val="0"/>
        <w:keepLines w:val="0"/>
        <w:pageBreakBefore w:val="0"/>
        <w:numPr>
          <w:ilvl w:val="0"/>
          <w:numId w:val="23"/>
        </w:numPr>
        <w:tabs>
          <w:tab w:val="left" w:pos="420"/>
          <w:tab w:val="clear" w:pos="0"/>
        </w:tabs>
        <w:kinsoku/>
        <w:wordWrap/>
        <w:overflowPunct/>
        <w:topLinePunct w:val="0"/>
        <w:autoSpaceDE/>
        <w:autoSpaceDN/>
        <w:bidi w:val="0"/>
        <w:spacing w:line="360" w:lineRule="auto"/>
        <w:ind w:left="0" w:leftChars="0" w:firstLine="0" w:firstLineChars="0"/>
        <w:jc w:val="center"/>
        <w:textAlignment w:val="auto"/>
        <w:rPr>
          <w:rFonts w:hint="default" w:ascii="Times New Roman" w:hAnsi="Times New Roman" w:cs="Times New Roman"/>
          <w:b/>
          <w:bCs/>
          <w:color w:val="000000"/>
          <w:sz w:val="21"/>
          <w:szCs w:val="18"/>
          <w:highlight w:val="none"/>
          <w:lang w:val="en-US" w:eastAsia="zh-CN"/>
        </w:rPr>
      </w:pPr>
      <w:r>
        <w:rPr>
          <w:rFonts w:hint="eastAsia" w:ascii="Times New Roman" w:hAnsi="Times New Roman" w:cs="Times New Roman"/>
          <w:b/>
          <w:bCs/>
          <w:color w:val="000000"/>
          <w:sz w:val="21"/>
          <w:szCs w:val="18"/>
          <w:highlight w:val="none"/>
          <w:lang w:val="en-US" w:eastAsia="zh-CN"/>
        </w:rPr>
        <w:t>项目生态环境评价范围内植被类型图</w:t>
      </w:r>
    </w:p>
    <w:p w14:paraId="6456B133">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val="0"/>
          <w:color w:val="000000"/>
          <w:sz w:val="24"/>
          <w:highlight w:val="none"/>
          <w:lang w:eastAsia="zh-CN"/>
        </w:rPr>
      </w:pPr>
      <w:r>
        <w:rPr>
          <w:rFonts w:hint="eastAsia" w:ascii="Times New Roman" w:hAnsi="Times New Roman" w:cs="Times New Roman"/>
          <w:b w:val="0"/>
          <w:bCs w:val="0"/>
          <w:color w:val="000000"/>
          <w:sz w:val="24"/>
          <w:highlight w:val="none"/>
          <w:lang w:eastAsia="zh-CN"/>
        </w:rPr>
        <w:t>②植物资源现状评价</w:t>
      </w:r>
    </w:p>
    <w:p w14:paraId="77F6B12D">
      <w:pPr>
        <w:pStyle w:val="185"/>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eastAsia="zh-CN"/>
        </w:rPr>
        <w:t>根据解译结果，并结合现场探勘可知，评价区域内植被类型以落叶阔叶灌丛（</w:t>
      </w:r>
      <w:r>
        <w:rPr>
          <w:rFonts w:hint="eastAsia" w:ascii="Times New Roman" w:hAnsi="Times New Roman" w:cs="Times New Roman"/>
          <w:b w:val="0"/>
          <w:bCs w:val="0"/>
          <w:color w:val="000000"/>
          <w:sz w:val="24"/>
          <w:highlight w:val="none"/>
          <w:lang w:val="en-US" w:eastAsia="zh-CN"/>
        </w:rPr>
        <w:t>沙棘</w:t>
      </w:r>
      <w:r>
        <w:rPr>
          <w:rFonts w:hint="eastAsia" w:ascii="Times New Roman" w:hAnsi="Times New Roman" w:cs="Times New Roman"/>
          <w:b w:val="0"/>
          <w:bCs w:val="0"/>
          <w:color w:val="000000"/>
          <w:sz w:val="24"/>
          <w:highlight w:val="none"/>
          <w:lang w:eastAsia="zh-CN"/>
        </w:rPr>
        <w:t>）为主，包括乔木、灌木和</w:t>
      </w:r>
      <w:r>
        <w:rPr>
          <w:rFonts w:hint="eastAsia" w:ascii="Times New Roman" w:hAnsi="Times New Roman" w:cs="Times New Roman"/>
          <w:b w:val="0"/>
          <w:bCs w:val="0"/>
          <w:color w:val="000000"/>
          <w:sz w:val="24"/>
          <w:highlight w:val="none"/>
          <w:lang w:val="en-US" w:eastAsia="zh-CN"/>
        </w:rPr>
        <w:t>草本</w:t>
      </w:r>
      <w:r>
        <w:rPr>
          <w:rFonts w:hint="eastAsia" w:ascii="Times New Roman" w:hAnsi="Times New Roman" w:cs="Times New Roman"/>
          <w:b w:val="0"/>
          <w:bCs w:val="0"/>
          <w:color w:val="000000"/>
          <w:sz w:val="24"/>
          <w:highlight w:val="none"/>
          <w:lang w:eastAsia="zh-CN"/>
        </w:rPr>
        <w:t>三类。</w:t>
      </w:r>
      <w:r>
        <w:rPr>
          <w:rFonts w:hint="default" w:ascii="Times New Roman" w:hAnsi="Times New Roman" w:cs="Times New Roman"/>
          <w:color w:val="000000"/>
          <w:sz w:val="24"/>
          <w:highlight w:val="none"/>
        </w:rPr>
        <w:t>乔木树种有</w:t>
      </w:r>
      <w:r>
        <w:rPr>
          <w:rFonts w:hint="eastAsia" w:ascii="Times New Roman" w:hAnsi="Times New Roman" w:cs="Times New Roman"/>
          <w:b w:val="0"/>
          <w:bCs w:val="0"/>
          <w:color w:val="000000"/>
          <w:sz w:val="24"/>
          <w:highlight w:val="none"/>
          <w:lang w:eastAsia="zh-CN"/>
        </w:rPr>
        <w:t>油松树</w:t>
      </w:r>
      <w:r>
        <w:rPr>
          <w:rFonts w:hint="default" w:ascii="Times New Roman" w:hAnsi="Times New Roman" w:cs="Times New Roman"/>
          <w:color w:val="000000"/>
          <w:sz w:val="24"/>
          <w:highlight w:val="none"/>
        </w:rPr>
        <w:t>等，灌木植物</w:t>
      </w:r>
      <w:r>
        <w:rPr>
          <w:rFonts w:hint="eastAsia" w:ascii="Times New Roman" w:hAnsi="Times New Roman" w:cs="Times New Roman"/>
          <w:color w:val="000000"/>
          <w:sz w:val="24"/>
          <w:highlight w:val="none"/>
          <w:lang w:val="en-US" w:eastAsia="zh-CN"/>
        </w:rPr>
        <w:t>有</w:t>
      </w:r>
      <w:r>
        <w:rPr>
          <w:rFonts w:hint="eastAsia" w:ascii="Times New Roman" w:hAnsi="Times New Roman" w:cs="Times New Roman"/>
          <w:b w:val="0"/>
          <w:bCs w:val="0"/>
          <w:color w:val="000000"/>
          <w:sz w:val="24"/>
          <w:highlight w:val="none"/>
          <w:lang w:eastAsia="zh-CN"/>
        </w:rPr>
        <w:t>沙棘、荆条、野山枣、</w:t>
      </w:r>
      <w:r>
        <w:rPr>
          <w:rFonts w:hint="eastAsia" w:ascii="Times New Roman" w:hAnsi="Times New Roman" w:cs="Times New Roman"/>
          <w:b w:val="0"/>
          <w:bCs w:val="0"/>
          <w:color w:val="000000"/>
          <w:sz w:val="24"/>
          <w:highlight w:val="none"/>
          <w:lang w:val="en-US" w:eastAsia="zh-CN"/>
        </w:rPr>
        <w:t>荆条、绣线菊、</w:t>
      </w:r>
      <w:r>
        <w:rPr>
          <w:rFonts w:hint="eastAsia" w:ascii="Times New Roman" w:hAnsi="Times New Roman" w:cs="Times New Roman"/>
          <w:b w:val="0"/>
          <w:bCs w:val="0"/>
          <w:color w:val="000000"/>
          <w:sz w:val="24"/>
          <w:highlight w:val="none"/>
          <w:lang w:eastAsia="zh-CN"/>
        </w:rPr>
        <w:t>平榛</w:t>
      </w:r>
      <w:r>
        <w:rPr>
          <w:rFonts w:hint="default" w:ascii="Times New Roman" w:hAnsi="Times New Roman" w:cs="Times New Roman"/>
          <w:color w:val="000000"/>
          <w:sz w:val="24"/>
          <w:highlight w:val="none"/>
        </w:rPr>
        <w:t>等，草本植物有</w:t>
      </w:r>
      <w:r>
        <w:rPr>
          <w:rFonts w:hint="eastAsia" w:ascii="Times New Roman" w:hAnsi="Times New Roman" w:cs="Times New Roman"/>
          <w:b w:val="0"/>
          <w:bCs w:val="0"/>
          <w:color w:val="000000"/>
          <w:sz w:val="24"/>
          <w:highlight w:val="none"/>
          <w:lang w:eastAsia="zh-CN"/>
        </w:rPr>
        <w:t>狗尾草、野艾蒿、鬼针草、针毛草、大籽蒿等</w:t>
      </w:r>
      <w:r>
        <w:rPr>
          <w:rFonts w:hint="eastAsia" w:ascii="Times New Roman" w:hAnsi="Times New Roman" w:cs="Times New Roman"/>
          <w:b w:val="0"/>
          <w:bCs w:val="0"/>
          <w:color w:val="000000"/>
          <w:sz w:val="24"/>
          <w:highlight w:val="none"/>
          <w:lang w:val="en-US" w:eastAsia="zh-CN"/>
        </w:rPr>
        <w:t>。</w:t>
      </w:r>
    </w:p>
    <w:p w14:paraId="738EFD10">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rPr>
      </w:pPr>
      <w:r>
        <w:rPr>
          <w:rFonts w:hint="eastAsia" w:ascii="Times New Roman" w:hAnsi="Times New Roman" w:eastAsia="宋体" w:cs="Times New Roman"/>
          <w:b/>
          <w:sz w:val="24"/>
          <w:szCs w:val="24"/>
          <w:highlight w:val="none"/>
          <w:lang w:val="en-US" w:eastAsia="zh-CN"/>
        </w:rPr>
        <w:t>4.2.6.4</w:t>
      </w:r>
      <w:r>
        <w:rPr>
          <w:rFonts w:hint="default" w:ascii="Times New Roman" w:hAnsi="Times New Roman" w:eastAsia="宋体" w:cs="Times New Roman"/>
          <w:b/>
          <w:sz w:val="24"/>
          <w:szCs w:val="24"/>
          <w:highlight w:val="none"/>
          <w:lang w:val="en-US" w:eastAsia="zh-CN"/>
        </w:rPr>
        <w:t>动物资源现状调查</w:t>
      </w:r>
      <w:r>
        <w:rPr>
          <w:rFonts w:hint="eastAsia" w:cs="Times New Roman"/>
          <w:b/>
          <w:sz w:val="24"/>
          <w:szCs w:val="24"/>
          <w:highlight w:val="none"/>
          <w:lang w:val="en-US" w:eastAsia="zh-CN"/>
        </w:rPr>
        <w:t>与评价</w:t>
      </w:r>
    </w:p>
    <w:p w14:paraId="112F5BA0">
      <w:pPr>
        <w:pStyle w:val="185"/>
        <w:spacing w:line="360" w:lineRule="auto"/>
        <w:ind w:firstLine="482" w:firstLineChars="200"/>
        <w:rPr>
          <w:rFonts w:hint="default" w:ascii="Times New Roman" w:hAnsi="Times New Roman" w:eastAsia="宋体" w:cs="Times New Roman"/>
          <w:b/>
          <w:bCs/>
          <w:color w:val="000000"/>
          <w:sz w:val="24"/>
          <w:highlight w:val="none"/>
          <w:lang w:val="en-US"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1</w:t>
      </w: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动物区系概况</w:t>
      </w:r>
    </w:p>
    <w:p w14:paraId="75529AC3">
      <w:pPr>
        <w:pStyle w:val="185"/>
        <w:spacing w:line="360" w:lineRule="auto"/>
        <w:ind w:firstLine="480" w:firstLineChars="200"/>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动物界组成丰富，所产陆栖脊椎动物约2000多种，占世界全部种数的10%左右。其中鸟类所占比例最大，兽类其次，两栖类及爬行类居后。特产种类多，如鸟类中的马鸡、丹顶鹤、长尾雉、鸳鸯;兽类中的金丝猴、羚牛、毛冠鹿和梅花鹿，还有大能猫、野马、野生双峰驼、白暨豚等较古老或珍稀的种类。中国现存陆栖脊椎动物区系的历史，按目前的化石材料至少追溯到第三纪后期的上新世。至全新世初期，中国动物区系的地理分布基本上已与现代接近。区系及生态的地理变化明显。</w:t>
      </w:r>
    </w:p>
    <w:p w14:paraId="45A36E88">
      <w:pPr>
        <w:pStyle w:val="185"/>
        <w:spacing w:line="360" w:lineRule="auto"/>
        <w:ind w:firstLine="480" w:firstLineChars="200"/>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中国大陆的动物区系分属于东洋界和古北界。在两大界之下，可再分为3亚界（东北亚界、中亚亚界、中印亚界），7区（东北区、华北区、蒙新区、青藏区、西南区、华中区和华南区）。项目位于</w:t>
      </w:r>
      <w:r>
        <w:rPr>
          <w:rFonts w:hint="eastAsia" w:ascii="Times New Roman" w:hAnsi="Times New Roman" w:cs="Times New Roman"/>
          <w:b w:val="0"/>
          <w:bCs w:val="0"/>
          <w:color w:val="000000"/>
          <w:sz w:val="24"/>
          <w:highlight w:val="none"/>
          <w:lang w:eastAsia="zh-CN"/>
        </w:rPr>
        <w:t>河北北部</w:t>
      </w:r>
      <w:r>
        <w:rPr>
          <w:rFonts w:hint="eastAsia" w:ascii="Times New Roman" w:hAnsi="Times New Roman" w:cs="Times New Roman"/>
          <w:b w:val="0"/>
          <w:bCs w:val="0"/>
          <w:color w:val="000000"/>
          <w:sz w:val="24"/>
          <w:highlight w:val="none"/>
          <w:lang w:val="en-US" w:eastAsia="zh-CN"/>
        </w:rPr>
        <w:t>承德市隆化县</w:t>
      </w:r>
      <w:r>
        <w:rPr>
          <w:rFonts w:hint="eastAsia" w:ascii="Times New Roman" w:hAnsi="Times New Roman" w:cs="Times New Roman"/>
          <w:color w:val="000000"/>
          <w:sz w:val="24"/>
          <w:highlight w:val="none"/>
          <w:lang w:eastAsia="zh-CN"/>
        </w:rPr>
        <w:t>，评价范围内的动物地理区划位于华北区，属于丘陵地形地貌，变化较小。本区动物区系一方面与东北森林有密切关系，特有的种类比较少。</w:t>
      </w:r>
    </w:p>
    <w:p w14:paraId="2D51F904">
      <w:pPr>
        <w:pStyle w:val="185"/>
        <w:spacing w:line="360" w:lineRule="auto"/>
        <w:ind w:firstLine="480" w:firstLineChars="200"/>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由于遭到人类活动的影响，全县许多珍贵野生动物已经绝迹，县内常见鸟类主要有麻雀、喜鹊、大山雀、啄木鸟、</w:t>
      </w:r>
      <w:r>
        <w:rPr>
          <w:rFonts w:hint="eastAsia" w:ascii="Times New Roman" w:hAnsi="Times New Roman" w:cs="Times New Roman"/>
          <w:color w:val="000000"/>
          <w:sz w:val="24"/>
          <w:highlight w:val="none"/>
          <w:lang w:val="en-US" w:eastAsia="zh-CN"/>
        </w:rPr>
        <w:t>布谷鸟</w:t>
      </w:r>
      <w:r>
        <w:rPr>
          <w:rFonts w:hint="eastAsia" w:ascii="Times New Roman" w:hAnsi="Times New Roman" w:cs="Times New Roman"/>
          <w:color w:val="000000"/>
          <w:sz w:val="24"/>
          <w:highlight w:val="none"/>
          <w:lang w:eastAsia="zh-CN"/>
        </w:rPr>
        <w:t>等；两栖动物主要有青蛙、雨蛙、蟾蜍等；爬行动物主要有蛇、蜥蜴、壁虎等；</w:t>
      </w:r>
      <w:r>
        <w:rPr>
          <w:rFonts w:hint="eastAsia" w:ascii="Times New Roman" w:hAnsi="Times New Roman" w:cs="Times New Roman"/>
          <w:color w:val="000000"/>
          <w:sz w:val="24"/>
          <w:highlight w:val="none"/>
          <w:lang w:val="en-US" w:eastAsia="zh-CN"/>
        </w:rPr>
        <w:t>哺乳类动物主要有野兔、刺猬等</w:t>
      </w:r>
      <w:r>
        <w:rPr>
          <w:rFonts w:hint="eastAsia" w:ascii="Times New Roman" w:hAnsi="Times New Roman" w:cs="Times New Roman"/>
          <w:color w:val="000000"/>
          <w:sz w:val="24"/>
          <w:highlight w:val="none"/>
          <w:lang w:eastAsia="zh-CN"/>
        </w:rPr>
        <w:t>。其中野生动物中野兔、刺猬、布谷鸟等属于“三有动物”（即有益的或者有重要经济、科学研究价值的野生动物）。</w:t>
      </w:r>
    </w:p>
    <w:p w14:paraId="17B0FC2F">
      <w:pPr>
        <w:pStyle w:val="185"/>
        <w:spacing w:line="360" w:lineRule="auto"/>
        <w:ind w:firstLine="482" w:firstLineChars="200"/>
        <w:rPr>
          <w:rFonts w:hint="default" w:ascii="Times New Roman" w:hAnsi="Times New Roman" w:cs="Times New Roman"/>
          <w:b/>
          <w:bCs/>
          <w:color w:val="000000"/>
          <w:sz w:val="24"/>
          <w:highlight w:val="none"/>
          <w:lang w:val="en-US"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2</w:t>
      </w: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野生动物调查</w:t>
      </w:r>
    </w:p>
    <w:p w14:paraId="15AEB637">
      <w:pPr>
        <w:pStyle w:val="185"/>
        <w:wordWrap w:val="0"/>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s="Times New Roman"/>
          <w:sz w:val="24"/>
          <w:szCs w:val="22"/>
          <w:highlight w:val="none"/>
          <w:lang w:val="en-US" w:eastAsia="zh-CN"/>
        </w:rPr>
        <w:t>项目在已闭库尾矿库上建设，占地现状以人工恢复植被为主，</w:t>
      </w:r>
      <w:r>
        <w:rPr>
          <w:rFonts w:hint="default" w:ascii="Times New Roman" w:hAnsi="Times New Roman" w:cs="Times New Roman"/>
          <w:color w:val="auto"/>
          <w:sz w:val="24"/>
          <w:highlight w:val="none"/>
          <w:lang w:val="en-US" w:eastAsia="zh-CN"/>
        </w:rPr>
        <w:t>经现场走访，当地村民反映评价区域内无国家及地方重点保护的重要物种，发现山中常见鸟类乌鸦、麻雀等在林间觅食、飞翔，以及大仓鼠等。春季、夏季、秋季动物活动频繁，冬季动物活动相对减少。</w:t>
      </w:r>
    </w:p>
    <w:p w14:paraId="2B2EA99E">
      <w:pPr>
        <w:pStyle w:val="185"/>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①鸟类</w:t>
      </w:r>
    </w:p>
    <w:p w14:paraId="0DBE9EF8">
      <w:pPr>
        <w:pStyle w:val="185"/>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根据资料查阅、现场访问，在本区活动的鸟类主要为北方农田常见鸟类如乌鸦、麻雀、山雀、布谷鸟等，均为常见种，无珍稀濒危野生动物。</w:t>
      </w:r>
    </w:p>
    <w:p w14:paraId="66947DAE">
      <w:pPr>
        <w:pStyle w:val="185"/>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②哺乳动物：由于人为活动频繁，工程沿线无大型哺乳类野生动物生存</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最普遍的是田野生活的小型喷齿动物，如大仓鼠等，分布广泛，各地的差异主要是数量的多少；还有野兔等。</w:t>
      </w:r>
    </w:p>
    <w:p w14:paraId="463C0CE4">
      <w:pPr>
        <w:pStyle w:val="185"/>
        <w:spacing w:line="360" w:lineRule="auto"/>
        <w:ind w:firstLine="480" w:firstLineChars="200"/>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根据查阅资料及现场调查，评价范围内常见野生动物物种名录见下表。</w:t>
      </w:r>
    </w:p>
    <w:p w14:paraId="7B36577F">
      <w:pPr>
        <w:pStyle w:val="185"/>
        <w:spacing w:line="360" w:lineRule="auto"/>
        <w:ind w:firstLine="480" w:firstLineChars="200"/>
        <w:rPr>
          <w:rFonts w:hint="eastAsia" w:ascii="Times New Roman" w:hAnsi="Times New Roman" w:cs="Times New Roman"/>
          <w:color w:val="000000"/>
          <w:sz w:val="24"/>
          <w:highlight w:val="none"/>
          <w:lang w:val="en-US" w:eastAsia="zh-CN"/>
        </w:rPr>
      </w:pPr>
    </w:p>
    <w:p w14:paraId="34204187">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宋体" w:hAnsi="宋体" w:eastAsia="宋体" w:cs="宋体"/>
          <w:b/>
          <w:bCs/>
          <w:spacing w:val="-3"/>
          <w:sz w:val="21"/>
          <w:szCs w:val="21"/>
          <w:highlight w:val="none"/>
          <w:lang w:val="en-US" w:eastAsia="zh-CN"/>
        </w:rPr>
      </w:pPr>
      <w:r>
        <w:rPr>
          <w:rFonts w:hint="eastAsia" w:ascii="宋体" w:hAnsi="宋体" w:eastAsia="宋体" w:cs="宋体"/>
          <w:b/>
          <w:bCs/>
          <w:spacing w:val="-3"/>
          <w:sz w:val="21"/>
          <w:szCs w:val="21"/>
          <w:highlight w:val="none"/>
        </w:rPr>
        <w:t>评价区主要</w:t>
      </w:r>
      <w:r>
        <w:rPr>
          <w:rFonts w:hint="eastAsia" w:ascii="宋体" w:hAnsi="宋体" w:cs="宋体"/>
          <w:b/>
          <w:bCs/>
          <w:spacing w:val="-3"/>
          <w:sz w:val="21"/>
          <w:szCs w:val="21"/>
          <w:highlight w:val="none"/>
          <w:lang w:val="en-US" w:eastAsia="zh-CN"/>
        </w:rPr>
        <w:t>常见</w:t>
      </w:r>
      <w:r>
        <w:rPr>
          <w:rFonts w:hint="eastAsia" w:ascii="宋体" w:hAnsi="宋体" w:eastAsia="宋体" w:cs="宋体"/>
          <w:b/>
          <w:bCs/>
          <w:spacing w:val="-3"/>
          <w:sz w:val="21"/>
          <w:szCs w:val="21"/>
          <w:highlight w:val="none"/>
        </w:rPr>
        <w:t>动物名录</w:t>
      </w:r>
      <w:r>
        <w:rPr>
          <w:rFonts w:hint="eastAsia" w:ascii="宋体" w:hAnsi="宋体" w:eastAsia="宋体" w:cs="宋体"/>
          <w:b/>
          <w:bCs/>
          <w:spacing w:val="-3"/>
          <w:sz w:val="21"/>
          <w:szCs w:val="21"/>
          <w:highlight w:val="none"/>
          <w:lang w:val="en-US" w:eastAsia="zh-CN"/>
        </w:rPr>
        <w:t>表</w:t>
      </w:r>
    </w:p>
    <w:tbl>
      <w:tblPr>
        <w:tblStyle w:val="317"/>
        <w:tblW w:w="840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5"/>
        <w:gridCol w:w="947"/>
        <w:gridCol w:w="1783"/>
        <w:gridCol w:w="1050"/>
        <w:gridCol w:w="1305"/>
        <w:gridCol w:w="1260"/>
        <w:gridCol w:w="707"/>
        <w:gridCol w:w="821"/>
      </w:tblGrid>
      <w:tr w14:paraId="2B0EAB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5" w:type="dxa"/>
            <w:tcBorders>
              <w:tl2br w:val="nil"/>
              <w:tr2bl w:val="nil"/>
            </w:tcBorders>
            <w:textDirection w:val="tbRlV"/>
            <w:vAlign w:val="center"/>
          </w:tcPr>
          <w:p w14:paraId="37DC4027">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hint="eastAsia" w:ascii="宋体" w:hAnsi="宋体" w:eastAsia="宋体" w:cs="宋体"/>
                <w:b/>
                <w:bCs/>
                <w:color w:val="auto"/>
                <w:spacing w:val="-3"/>
                <w:sz w:val="21"/>
                <w:szCs w:val="21"/>
                <w:highlight w:val="none"/>
                <w:lang w:val="en-US" w:eastAsia="zh-CN"/>
              </w:rPr>
            </w:pPr>
            <w:r>
              <w:rPr>
                <w:rFonts w:hint="eastAsia" w:ascii="宋体" w:hAnsi="宋体" w:eastAsia="宋体" w:cs="宋体"/>
                <w:b/>
                <w:bCs/>
                <w:color w:val="auto"/>
                <w:spacing w:val="-3"/>
                <w:sz w:val="21"/>
                <w:szCs w:val="21"/>
                <w:highlight w:val="none"/>
                <w:lang w:val="en-US" w:eastAsia="zh-CN"/>
              </w:rPr>
              <w:t>序号</w:t>
            </w:r>
          </w:p>
        </w:tc>
        <w:tc>
          <w:tcPr>
            <w:tcW w:w="947" w:type="dxa"/>
            <w:tcBorders>
              <w:tl2br w:val="nil"/>
              <w:tr2bl w:val="nil"/>
            </w:tcBorders>
            <w:vAlign w:val="center"/>
          </w:tcPr>
          <w:p w14:paraId="743AECB3">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hint="default" w:ascii="宋体" w:hAnsi="宋体" w:eastAsia="宋体" w:cs="宋体"/>
                <w:b/>
                <w:bCs/>
                <w:color w:val="auto"/>
                <w:spacing w:val="-3"/>
                <w:sz w:val="21"/>
                <w:szCs w:val="21"/>
                <w:highlight w:val="none"/>
                <w:lang w:val="en-US" w:eastAsia="zh-CN"/>
              </w:rPr>
            </w:pPr>
            <w:r>
              <w:rPr>
                <w:rFonts w:hint="eastAsia" w:ascii="宋体" w:hAnsi="宋体" w:eastAsia="宋体" w:cs="宋体"/>
                <w:b/>
                <w:bCs/>
                <w:color w:val="auto"/>
                <w:spacing w:val="-3"/>
                <w:sz w:val="21"/>
                <w:szCs w:val="21"/>
                <w:highlight w:val="none"/>
                <w:lang w:val="en-US" w:eastAsia="zh-CN"/>
              </w:rPr>
              <w:t>中文名</w:t>
            </w:r>
          </w:p>
        </w:tc>
        <w:tc>
          <w:tcPr>
            <w:tcW w:w="1783" w:type="dxa"/>
            <w:tcBorders>
              <w:tl2br w:val="nil"/>
              <w:tr2bl w:val="nil"/>
            </w:tcBorders>
            <w:vAlign w:val="center"/>
          </w:tcPr>
          <w:p w14:paraId="080EA35A">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hint="default" w:ascii="宋体" w:hAnsi="宋体" w:eastAsia="宋体" w:cs="宋体"/>
                <w:b/>
                <w:bCs/>
                <w:color w:val="auto"/>
                <w:spacing w:val="-3"/>
                <w:sz w:val="21"/>
                <w:szCs w:val="21"/>
                <w:highlight w:val="none"/>
                <w:lang w:val="en-US" w:eastAsia="zh-CN"/>
              </w:rPr>
            </w:pPr>
            <w:r>
              <w:rPr>
                <w:rFonts w:hint="eastAsia" w:ascii="宋体" w:hAnsi="宋体" w:eastAsia="宋体" w:cs="宋体"/>
                <w:b/>
                <w:bCs/>
                <w:color w:val="auto"/>
                <w:spacing w:val="-3"/>
                <w:sz w:val="21"/>
                <w:szCs w:val="21"/>
                <w:highlight w:val="none"/>
                <w:lang w:val="en-US" w:eastAsia="zh-CN"/>
              </w:rPr>
              <w:t>拉丁名</w:t>
            </w:r>
          </w:p>
        </w:tc>
        <w:tc>
          <w:tcPr>
            <w:tcW w:w="1050" w:type="dxa"/>
            <w:tcBorders>
              <w:tl2br w:val="nil"/>
              <w:tr2bl w:val="nil"/>
            </w:tcBorders>
            <w:vAlign w:val="center"/>
          </w:tcPr>
          <w:p w14:paraId="32382C70">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3"/>
                <w:sz w:val="21"/>
                <w:szCs w:val="21"/>
                <w:highlight w:val="none"/>
              </w:rPr>
              <w:t>纲</w:t>
            </w:r>
            <w:r>
              <w:rPr>
                <w:rFonts w:ascii="宋体" w:hAnsi="宋体" w:eastAsia="宋体" w:cs="宋体"/>
                <w:b/>
                <w:bCs/>
                <w:color w:val="auto"/>
                <w:spacing w:val="-2"/>
                <w:sz w:val="21"/>
                <w:szCs w:val="21"/>
                <w:highlight w:val="none"/>
              </w:rPr>
              <w:t>名</w:t>
            </w:r>
          </w:p>
        </w:tc>
        <w:tc>
          <w:tcPr>
            <w:tcW w:w="1305" w:type="dxa"/>
            <w:tcBorders>
              <w:tl2br w:val="nil"/>
              <w:tr2bl w:val="nil"/>
            </w:tcBorders>
            <w:vAlign w:val="center"/>
          </w:tcPr>
          <w:p w14:paraId="532B012F">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2"/>
                <w:sz w:val="21"/>
                <w:szCs w:val="21"/>
                <w:highlight w:val="none"/>
              </w:rPr>
              <w:t>科</w:t>
            </w:r>
            <w:r>
              <w:rPr>
                <w:rFonts w:ascii="宋体" w:hAnsi="宋体" w:eastAsia="宋体" w:cs="宋体"/>
                <w:b/>
                <w:bCs/>
                <w:color w:val="auto"/>
                <w:spacing w:val="-1"/>
                <w:sz w:val="21"/>
                <w:szCs w:val="21"/>
                <w:highlight w:val="none"/>
              </w:rPr>
              <w:t>名</w:t>
            </w:r>
          </w:p>
        </w:tc>
        <w:tc>
          <w:tcPr>
            <w:tcW w:w="1260" w:type="dxa"/>
            <w:tcBorders>
              <w:tl2br w:val="nil"/>
              <w:tr2bl w:val="nil"/>
            </w:tcBorders>
            <w:vAlign w:val="center"/>
          </w:tcPr>
          <w:p w14:paraId="5AFD906B">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2"/>
                <w:sz w:val="21"/>
                <w:szCs w:val="21"/>
                <w:highlight w:val="none"/>
              </w:rPr>
              <w:t>属名</w:t>
            </w:r>
          </w:p>
        </w:tc>
        <w:tc>
          <w:tcPr>
            <w:tcW w:w="707" w:type="dxa"/>
            <w:tcBorders>
              <w:tl2br w:val="nil"/>
              <w:tr2bl w:val="nil"/>
            </w:tcBorders>
            <w:vAlign w:val="center"/>
          </w:tcPr>
          <w:p w14:paraId="2FD9A1E5">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ascii="宋体" w:hAnsi="宋体" w:eastAsia="宋体" w:cs="宋体"/>
                <w:b/>
                <w:bCs/>
                <w:color w:val="auto"/>
                <w:sz w:val="21"/>
                <w:szCs w:val="21"/>
                <w:highlight w:val="none"/>
              </w:rPr>
            </w:pPr>
            <w:r>
              <w:rPr>
                <w:rFonts w:ascii="宋体" w:hAnsi="宋体" w:eastAsia="宋体" w:cs="宋体"/>
                <w:b/>
                <w:bCs/>
                <w:color w:val="auto"/>
                <w:spacing w:val="-4"/>
                <w:sz w:val="21"/>
                <w:szCs w:val="21"/>
                <w:highlight w:val="none"/>
              </w:rPr>
              <w:t>保</w:t>
            </w:r>
            <w:r>
              <w:rPr>
                <w:rFonts w:ascii="宋体" w:hAnsi="宋体" w:eastAsia="宋体" w:cs="宋体"/>
                <w:b/>
                <w:bCs/>
                <w:color w:val="auto"/>
                <w:spacing w:val="-3"/>
                <w:sz w:val="21"/>
                <w:szCs w:val="21"/>
                <w:highlight w:val="none"/>
              </w:rPr>
              <w:t>护</w:t>
            </w:r>
            <w:r>
              <w:rPr>
                <w:rFonts w:ascii="宋体" w:hAnsi="宋体" w:eastAsia="宋体" w:cs="宋体"/>
                <w:b/>
                <w:bCs/>
                <w:color w:val="auto"/>
                <w:spacing w:val="-6"/>
                <w:sz w:val="21"/>
                <w:szCs w:val="21"/>
                <w:highlight w:val="none"/>
              </w:rPr>
              <w:t>级</w:t>
            </w:r>
            <w:r>
              <w:rPr>
                <w:rFonts w:ascii="宋体" w:hAnsi="宋体" w:eastAsia="宋体" w:cs="宋体"/>
                <w:b/>
                <w:bCs/>
                <w:color w:val="auto"/>
                <w:spacing w:val="-4"/>
                <w:sz w:val="21"/>
                <w:szCs w:val="21"/>
                <w:highlight w:val="none"/>
              </w:rPr>
              <w:t>别</w:t>
            </w:r>
          </w:p>
        </w:tc>
        <w:tc>
          <w:tcPr>
            <w:tcW w:w="821" w:type="dxa"/>
            <w:tcBorders>
              <w:tl2br w:val="nil"/>
              <w:tr2bl w:val="nil"/>
            </w:tcBorders>
            <w:vAlign w:val="center"/>
          </w:tcPr>
          <w:p w14:paraId="5AC76AE1">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ascii="Times New Roman" w:hAnsi="Times New Roman" w:eastAsia="Times New Roman" w:cs="Times New Roman"/>
                <w:b/>
                <w:bCs/>
                <w:color w:val="auto"/>
                <w:sz w:val="21"/>
                <w:szCs w:val="21"/>
                <w:highlight w:val="none"/>
              </w:rPr>
            </w:pPr>
            <w:r>
              <w:rPr>
                <w:rFonts w:ascii="宋体" w:hAnsi="宋体" w:eastAsia="宋体" w:cs="宋体"/>
                <w:b/>
                <w:bCs/>
                <w:color w:val="auto"/>
                <w:spacing w:val="-2"/>
                <w:sz w:val="21"/>
                <w:szCs w:val="21"/>
                <w:highlight w:val="none"/>
              </w:rPr>
              <w:t>特</w:t>
            </w:r>
            <w:r>
              <w:rPr>
                <w:rFonts w:ascii="宋体" w:hAnsi="宋体" w:eastAsia="宋体" w:cs="宋体"/>
                <w:b/>
                <w:bCs/>
                <w:color w:val="auto"/>
                <w:spacing w:val="-1"/>
                <w:sz w:val="21"/>
                <w:szCs w:val="21"/>
                <w:highlight w:val="none"/>
              </w:rPr>
              <w:t>有</w:t>
            </w:r>
            <w:r>
              <w:rPr>
                <w:rFonts w:ascii="宋体" w:hAnsi="宋体" w:eastAsia="宋体" w:cs="宋体"/>
                <w:b/>
                <w:bCs/>
                <w:color w:val="auto"/>
                <w:spacing w:val="20"/>
                <w:sz w:val="21"/>
                <w:szCs w:val="21"/>
                <w:highlight w:val="none"/>
              </w:rPr>
              <w:t>种</w:t>
            </w:r>
            <w:r>
              <w:rPr>
                <w:rFonts w:ascii="宋体" w:hAnsi="宋体" w:eastAsia="宋体" w:cs="宋体"/>
                <w:b/>
                <w:bCs/>
                <w:color w:val="auto"/>
                <w:spacing w:val="19"/>
                <w:sz w:val="21"/>
                <w:szCs w:val="21"/>
                <w:highlight w:val="none"/>
              </w:rPr>
              <w:t>(是</w:t>
            </w:r>
            <w:r>
              <w:rPr>
                <w:rFonts w:ascii="Times New Roman" w:hAnsi="Times New Roman" w:eastAsia="Times New Roman" w:cs="Times New Roman"/>
                <w:b/>
                <w:bCs/>
                <w:color w:val="auto"/>
                <w:spacing w:val="1"/>
                <w:position w:val="2"/>
                <w:sz w:val="21"/>
                <w:szCs w:val="21"/>
                <w:highlight w:val="none"/>
              </w:rPr>
              <w:t>/</w:t>
            </w:r>
            <w:r>
              <w:rPr>
                <w:rFonts w:ascii="宋体" w:hAnsi="宋体" w:eastAsia="宋体" w:cs="宋体"/>
                <w:b/>
                <w:bCs/>
                <w:color w:val="auto"/>
                <w:position w:val="2"/>
                <w:sz w:val="21"/>
                <w:szCs w:val="21"/>
                <w:highlight w:val="none"/>
              </w:rPr>
              <w:t>否</w:t>
            </w:r>
            <w:r>
              <w:rPr>
                <w:rFonts w:ascii="Times New Roman" w:hAnsi="Times New Roman" w:eastAsia="Times New Roman" w:cs="Times New Roman"/>
                <w:b/>
                <w:bCs/>
                <w:color w:val="auto"/>
                <w:position w:val="2"/>
                <w:sz w:val="21"/>
                <w:szCs w:val="21"/>
                <w:highlight w:val="none"/>
              </w:rPr>
              <w:t>)</w:t>
            </w:r>
          </w:p>
        </w:tc>
      </w:tr>
      <w:tr w14:paraId="55F9A9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5" w:type="dxa"/>
            <w:tcBorders>
              <w:tl2br w:val="nil"/>
              <w:tr2bl w:val="nil"/>
            </w:tcBorders>
            <w:vAlign w:val="center"/>
          </w:tcPr>
          <w:p w14:paraId="6229A794">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1</w:t>
            </w:r>
          </w:p>
        </w:tc>
        <w:tc>
          <w:tcPr>
            <w:tcW w:w="947" w:type="dxa"/>
            <w:tcBorders>
              <w:tl2br w:val="nil"/>
              <w:tr2bl w:val="nil"/>
            </w:tcBorders>
            <w:vAlign w:val="center"/>
          </w:tcPr>
          <w:p w14:paraId="6C1D9161">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17"/>
                <w:sz w:val="21"/>
                <w:szCs w:val="21"/>
                <w:highlight w:val="none"/>
              </w:rPr>
              <w:t>山</w:t>
            </w:r>
            <w:r>
              <w:rPr>
                <w:rFonts w:ascii="宋体" w:hAnsi="宋体" w:eastAsia="宋体" w:cs="宋体"/>
                <w:color w:val="auto"/>
                <w:spacing w:val="15"/>
                <w:sz w:val="21"/>
                <w:szCs w:val="21"/>
                <w:highlight w:val="none"/>
              </w:rPr>
              <w:t>鸡</w:t>
            </w:r>
          </w:p>
        </w:tc>
        <w:tc>
          <w:tcPr>
            <w:tcW w:w="1783" w:type="dxa"/>
            <w:tcBorders>
              <w:tl2br w:val="nil"/>
              <w:tr2bl w:val="nil"/>
            </w:tcBorders>
            <w:vAlign w:val="center"/>
          </w:tcPr>
          <w:p w14:paraId="2BF531A9">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i/>
                <w:iCs/>
                <w:color w:val="auto"/>
                <w:spacing w:val="-1"/>
                <w:kern w:val="2"/>
                <w:position w:val="3"/>
                <w:sz w:val="21"/>
                <w:szCs w:val="21"/>
                <w:highlight w:val="none"/>
                <w:lang w:val="en-US" w:eastAsia="zh-CN" w:bidi="ar-SA"/>
              </w:rPr>
            </w:pPr>
            <w:r>
              <w:rPr>
                <w:rFonts w:ascii="Times New Roman" w:hAnsi="Times New Roman" w:eastAsia="Times New Roman" w:cs="Times New Roman"/>
                <w:i/>
                <w:iCs/>
                <w:color w:val="auto"/>
                <w:sz w:val="21"/>
                <w:szCs w:val="21"/>
                <w:highlight w:val="none"/>
              </w:rPr>
              <w:t xml:space="preserve">Lophura </w:t>
            </w:r>
            <w:r>
              <w:rPr>
                <w:rFonts w:ascii="Times New Roman" w:hAnsi="Times New Roman" w:eastAsia="Times New Roman" w:cs="Times New Roman"/>
                <w:i/>
                <w:iCs/>
                <w:color w:val="auto"/>
                <w:spacing w:val="-2"/>
                <w:sz w:val="21"/>
                <w:szCs w:val="21"/>
                <w:highlight w:val="none"/>
              </w:rPr>
              <w:t>s</w:t>
            </w:r>
            <w:r>
              <w:rPr>
                <w:rFonts w:ascii="Times New Roman" w:hAnsi="Times New Roman" w:eastAsia="Times New Roman" w:cs="Times New Roman"/>
                <w:i/>
                <w:iCs/>
                <w:color w:val="auto"/>
                <w:spacing w:val="-1"/>
                <w:sz w:val="21"/>
                <w:szCs w:val="21"/>
                <w:highlight w:val="none"/>
              </w:rPr>
              <w:t>winhoii</w:t>
            </w:r>
          </w:p>
        </w:tc>
        <w:tc>
          <w:tcPr>
            <w:tcW w:w="1050" w:type="dxa"/>
            <w:tcBorders>
              <w:tl2br w:val="nil"/>
              <w:tr2bl w:val="nil"/>
            </w:tcBorders>
            <w:vAlign w:val="center"/>
          </w:tcPr>
          <w:p w14:paraId="77C31708">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6"/>
                <w:position w:val="2"/>
                <w:sz w:val="21"/>
                <w:szCs w:val="21"/>
                <w:highlight w:val="none"/>
              </w:rPr>
              <w:t>鸟</w:t>
            </w:r>
            <w:r>
              <w:rPr>
                <w:rFonts w:ascii="宋体" w:hAnsi="宋体" w:eastAsia="宋体" w:cs="宋体"/>
                <w:color w:val="auto"/>
                <w:spacing w:val="-3"/>
                <w:position w:val="2"/>
                <w:sz w:val="21"/>
                <w:szCs w:val="21"/>
                <w:highlight w:val="none"/>
              </w:rPr>
              <w:t>纲</w:t>
            </w:r>
          </w:p>
        </w:tc>
        <w:tc>
          <w:tcPr>
            <w:tcW w:w="1305" w:type="dxa"/>
            <w:tcBorders>
              <w:tl2br w:val="nil"/>
              <w:tr2bl w:val="nil"/>
            </w:tcBorders>
            <w:vAlign w:val="center"/>
          </w:tcPr>
          <w:p w14:paraId="557D6D0C">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5"/>
                <w:sz w:val="21"/>
                <w:szCs w:val="21"/>
                <w:highlight w:val="none"/>
              </w:rPr>
              <w:t>雉</w:t>
            </w:r>
            <w:r>
              <w:rPr>
                <w:rFonts w:ascii="宋体" w:hAnsi="宋体" w:eastAsia="宋体" w:cs="宋体"/>
                <w:color w:val="auto"/>
                <w:spacing w:val="-3"/>
                <w:sz w:val="21"/>
                <w:szCs w:val="21"/>
                <w:highlight w:val="none"/>
              </w:rPr>
              <w:t>科</w:t>
            </w:r>
          </w:p>
        </w:tc>
        <w:tc>
          <w:tcPr>
            <w:tcW w:w="1260" w:type="dxa"/>
            <w:tcBorders>
              <w:tl2br w:val="nil"/>
              <w:tr2bl w:val="nil"/>
            </w:tcBorders>
            <w:vAlign w:val="center"/>
          </w:tcPr>
          <w:p w14:paraId="0E330768">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5"/>
                <w:sz w:val="21"/>
                <w:szCs w:val="21"/>
                <w:highlight w:val="none"/>
              </w:rPr>
              <w:t>雉</w:t>
            </w:r>
            <w:r>
              <w:rPr>
                <w:rFonts w:ascii="宋体" w:hAnsi="宋体" w:eastAsia="宋体" w:cs="宋体"/>
                <w:color w:val="auto"/>
                <w:spacing w:val="-3"/>
                <w:sz w:val="21"/>
                <w:szCs w:val="21"/>
                <w:highlight w:val="none"/>
              </w:rPr>
              <w:t>属</w:t>
            </w:r>
          </w:p>
        </w:tc>
        <w:tc>
          <w:tcPr>
            <w:tcW w:w="707" w:type="dxa"/>
            <w:tcBorders>
              <w:tl2br w:val="nil"/>
              <w:tr2bl w:val="nil"/>
            </w:tcBorders>
            <w:vAlign w:val="center"/>
          </w:tcPr>
          <w:p w14:paraId="2E3D028C">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Times New Roman"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w:t>
            </w:r>
          </w:p>
        </w:tc>
        <w:tc>
          <w:tcPr>
            <w:tcW w:w="821" w:type="dxa"/>
            <w:tcBorders>
              <w:tl2br w:val="nil"/>
              <w:tr2bl w:val="nil"/>
            </w:tcBorders>
            <w:vAlign w:val="center"/>
          </w:tcPr>
          <w:p w14:paraId="2EDC413A">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kern w:val="2"/>
                <w:sz w:val="21"/>
                <w:szCs w:val="21"/>
                <w:highlight w:val="none"/>
                <w:lang w:val="en-US" w:eastAsia="zh-CN" w:bidi="ar-SA"/>
              </w:rPr>
            </w:pPr>
            <w:r>
              <w:rPr>
                <w:rFonts w:ascii="宋体" w:hAnsi="宋体" w:eastAsia="宋体" w:cs="宋体"/>
                <w:color w:val="auto"/>
                <w:sz w:val="21"/>
                <w:szCs w:val="21"/>
                <w:highlight w:val="none"/>
              </w:rPr>
              <w:t>否</w:t>
            </w:r>
          </w:p>
        </w:tc>
      </w:tr>
      <w:tr w14:paraId="349D64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5" w:type="dxa"/>
            <w:tcBorders>
              <w:tl2br w:val="nil"/>
              <w:tr2bl w:val="nil"/>
            </w:tcBorders>
            <w:vAlign w:val="center"/>
          </w:tcPr>
          <w:p w14:paraId="6C895D03">
            <w:pPr>
              <w:keepNext w:val="0"/>
              <w:keepLines w:val="0"/>
              <w:pageBreakBefore w:val="0"/>
              <w:widowControl w:val="0"/>
              <w:kinsoku/>
              <w:wordWrap/>
              <w:overflowPunct/>
              <w:topLinePunct w:val="0"/>
              <w:autoSpaceDE/>
              <w:autoSpaceDN/>
              <w:bidi w:val="0"/>
              <w:adjustRightInd/>
              <w:snapToGrid/>
              <w:spacing w:line="240" w:lineRule="atLeast"/>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47" w:type="dxa"/>
            <w:tcBorders>
              <w:tl2br w:val="nil"/>
              <w:tr2bl w:val="nil"/>
            </w:tcBorders>
            <w:vAlign w:val="center"/>
          </w:tcPr>
          <w:p w14:paraId="3DFBC6C5">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1"/>
                <w:sz w:val="21"/>
                <w:szCs w:val="21"/>
                <w:highlight w:val="none"/>
              </w:rPr>
              <w:t>麻雀</w:t>
            </w:r>
          </w:p>
        </w:tc>
        <w:tc>
          <w:tcPr>
            <w:tcW w:w="1783" w:type="dxa"/>
            <w:tcBorders>
              <w:tl2br w:val="nil"/>
              <w:tr2bl w:val="nil"/>
            </w:tcBorders>
            <w:vAlign w:val="center"/>
          </w:tcPr>
          <w:p w14:paraId="6C621168">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i/>
                <w:iCs/>
                <w:color w:val="auto"/>
                <w:spacing w:val="-1"/>
                <w:kern w:val="2"/>
                <w:position w:val="3"/>
                <w:sz w:val="21"/>
                <w:szCs w:val="21"/>
                <w:highlight w:val="none"/>
                <w:lang w:val="en-US" w:eastAsia="zh-CN" w:bidi="ar-SA"/>
              </w:rPr>
            </w:pPr>
            <w:r>
              <w:rPr>
                <w:rFonts w:ascii="Times New Roman" w:hAnsi="Times New Roman" w:eastAsia="Times New Roman" w:cs="Times New Roman"/>
                <w:i/>
                <w:iCs/>
                <w:color w:val="auto"/>
                <w:spacing w:val="-1"/>
                <w:position w:val="3"/>
                <w:sz w:val="21"/>
                <w:szCs w:val="21"/>
                <w:highlight w:val="none"/>
              </w:rPr>
              <w:t>Passer montanus</w:t>
            </w:r>
          </w:p>
        </w:tc>
        <w:tc>
          <w:tcPr>
            <w:tcW w:w="1050" w:type="dxa"/>
            <w:tcBorders>
              <w:tl2br w:val="nil"/>
              <w:tr2bl w:val="nil"/>
            </w:tcBorders>
            <w:vAlign w:val="center"/>
          </w:tcPr>
          <w:p w14:paraId="528E1BDF">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1"/>
                <w:position w:val="2"/>
                <w:sz w:val="21"/>
                <w:szCs w:val="21"/>
                <w:highlight w:val="none"/>
              </w:rPr>
              <w:t>鸟纲</w:t>
            </w:r>
          </w:p>
        </w:tc>
        <w:tc>
          <w:tcPr>
            <w:tcW w:w="1305" w:type="dxa"/>
            <w:tcBorders>
              <w:tl2br w:val="nil"/>
              <w:tr2bl w:val="nil"/>
            </w:tcBorders>
            <w:vAlign w:val="center"/>
          </w:tcPr>
          <w:p w14:paraId="2A1F82FF">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1"/>
                <w:position w:val="2"/>
                <w:sz w:val="21"/>
                <w:szCs w:val="21"/>
                <w:highlight w:val="none"/>
              </w:rPr>
              <w:t>文鸟科</w:t>
            </w:r>
          </w:p>
        </w:tc>
        <w:tc>
          <w:tcPr>
            <w:tcW w:w="1260" w:type="dxa"/>
            <w:tcBorders>
              <w:tl2br w:val="nil"/>
              <w:tr2bl w:val="nil"/>
            </w:tcBorders>
            <w:vAlign w:val="center"/>
          </w:tcPr>
          <w:p w14:paraId="4E8C574B">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ascii="宋体" w:hAnsi="宋体" w:eastAsia="宋体" w:cs="宋体"/>
                <w:color w:val="auto"/>
                <w:spacing w:val="-1"/>
                <w:position w:val="2"/>
                <w:sz w:val="21"/>
                <w:szCs w:val="21"/>
                <w:highlight w:val="none"/>
              </w:rPr>
              <w:t>麻雀属</w:t>
            </w:r>
          </w:p>
        </w:tc>
        <w:tc>
          <w:tcPr>
            <w:tcW w:w="707" w:type="dxa"/>
            <w:tcBorders>
              <w:tl2br w:val="nil"/>
              <w:tr2bl w:val="nil"/>
            </w:tcBorders>
            <w:vAlign w:val="center"/>
          </w:tcPr>
          <w:p w14:paraId="4B8EF26B">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Times New Roman" w:hAnsi="Times New Roman" w:eastAsia="Times New Roman"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w:t>
            </w:r>
          </w:p>
        </w:tc>
        <w:tc>
          <w:tcPr>
            <w:tcW w:w="821" w:type="dxa"/>
            <w:tcBorders>
              <w:tl2br w:val="nil"/>
              <w:tr2bl w:val="nil"/>
            </w:tcBorders>
            <w:vAlign w:val="center"/>
          </w:tcPr>
          <w:p w14:paraId="694B46BE">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kern w:val="2"/>
                <w:sz w:val="21"/>
                <w:szCs w:val="21"/>
                <w:highlight w:val="none"/>
                <w:lang w:val="en-US" w:eastAsia="zh-CN" w:bidi="ar-SA"/>
              </w:rPr>
            </w:pPr>
            <w:r>
              <w:rPr>
                <w:rFonts w:ascii="宋体" w:hAnsi="宋体" w:eastAsia="宋体" w:cs="宋体"/>
                <w:color w:val="auto"/>
                <w:sz w:val="21"/>
                <w:szCs w:val="21"/>
                <w:highlight w:val="none"/>
              </w:rPr>
              <w:t>否</w:t>
            </w:r>
          </w:p>
        </w:tc>
      </w:tr>
      <w:tr w14:paraId="2DD2B8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5" w:type="dxa"/>
            <w:tcBorders>
              <w:tl2br w:val="nil"/>
              <w:tr2bl w:val="nil"/>
            </w:tcBorders>
            <w:shd w:val="clear" w:color="auto" w:fill="auto"/>
            <w:vAlign w:val="center"/>
          </w:tcPr>
          <w:p w14:paraId="534D02AD">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3</w:t>
            </w:r>
          </w:p>
        </w:tc>
        <w:tc>
          <w:tcPr>
            <w:tcW w:w="947" w:type="dxa"/>
            <w:tcBorders>
              <w:tl2br w:val="nil"/>
              <w:tr2bl w:val="nil"/>
            </w:tcBorders>
            <w:shd w:val="clear" w:color="auto" w:fill="auto"/>
            <w:vAlign w:val="center"/>
          </w:tcPr>
          <w:p w14:paraId="4F0B9676">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宋体" w:hAnsi="宋体" w:eastAsia="宋体" w:cs="宋体"/>
                <w:color w:val="auto"/>
                <w:spacing w:val="8"/>
                <w:kern w:val="2"/>
                <w:sz w:val="21"/>
                <w:szCs w:val="21"/>
                <w:highlight w:val="none"/>
                <w:lang w:val="en-US" w:eastAsia="zh-CN" w:bidi="ar-SA"/>
              </w:rPr>
            </w:pPr>
            <w:r>
              <w:rPr>
                <w:rFonts w:ascii="宋体" w:hAnsi="宋体" w:eastAsia="宋体" w:cs="宋体"/>
                <w:color w:val="auto"/>
                <w:spacing w:val="9"/>
                <w:position w:val="1"/>
                <w:sz w:val="21"/>
                <w:szCs w:val="21"/>
                <w:highlight w:val="none"/>
              </w:rPr>
              <w:t>蝉</w:t>
            </w:r>
          </w:p>
        </w:tc>
        <w:tc>
          <w:tcPr>
            <w:tcW w:w="1783" w:type="dxa"/>
            <w:tcBorders>
              <w:tl2br w:val="nil"/>
              <w:tr2bl w:val="nil"/>
            </w:tcBorders>
            <w:shd w:val="clear" w:color="auto" w:fill="auto"/>
            <w:vAlign w:val="center"/>
          </w:tcPr>
          <w:p w14:paraId="00516257">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Times New Roman" w:cs="Times New Roman"/>
                <w:i/>
                <w:iCs/>
                <w:color w:val="auto"/>
                <w:spacing w:val="-1"/>
                <w:kern w:val="2"/>
                <w:position w:val="3"/>
                <w:sz w:val="21"/>
                <w:szCs w:val="21"/>
                <w:highlight w:val="none"/>
                <w:lang w:val="en-US" w:eastAsia="zh-CN" w:bidi="ar-SA"/>
              </w:rPr>
            </w:pPr>
            <w:r>
              <w:rPr>
                <w:rFonts w:ascii="Times New Roman" w:hAnsi="Times New Roman" w:eastAsia="Times New Roman" w:cs="Times New Roman"/>
                <w:i/>
                <w:iCs/>
                <w:color w:val="auto"/>
                <w:spacing w:val="-1"/>
                <w:position w:val="3"/>
                <w:sz w:val="21"/>
                <w:szCs w:val="21"/>
                <w:highlight w:val="none"/>
              </w:rPr>
              <w:t>Cicadida</w:t>
            </w:r>
          </w:p>
        </w:tc>
        <w:tc>
          <w:tcPr>
            <w:tcW w:w="1050" w:type="dxa"/>
            <w:tcBorders>
              <w:tl2br w:val="nil"/>
              <w:tr2bl w:val="nil"/>
            </w:tcBorders>
            <w:shd w:val="clear" w:color="auto" w:fill="auto"/>
            <w:vAlign w:val="center"/>
          </w:tcPr>
          <w:p w14:paraId="0B5F996D">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pacing w:val="-1"/>
                <w:position w:val="2"/>
                <w:sz w:val="21"/>
                <w:szCs w:val="21"/>
                <w:highlight w:val="none"/>
              </w:rPr>
              <w:t>昆虫纲</w:t>
            </w:r>
          </w:p>
        </w:tc>
        <w:tc>
          <w:tcPr>
            <w:tcW w:w="1305" w:type="dxa"/>
            <w:tcBorders>
              <w:tl2br w:val="nil"/>
              <w:tr2bl w:val="nil"/>
            </w:tcBorders>
            <w:shd w:val="clear" w:color="auto" w:fill="auto"/>
            <w:vAlign w:val="center"/>
          </w:tcPr>
          <w:p w14:paraId="777A7D12">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pacing w:val="-1"/>
                <w:position w:val="2"/>
                <w:sz w:val="21"/>
                <w:szCs w:val="21"/>
                <w:highlight w:val="none"/>
              </w:rPr>
              <w:t>蝉科</w:t>
            </w:r>
          </w:p>
        </w:tc>
        <w:tc>
          <w:tcPr>
            <w:tcW w:w="1260" w:type="dxa"/>
            <w:tcBorders>
              <w:tl2br w:val="nil"/>
              <w:tr2bl w:val="nil"/>
            </w:tcBorders>
            <w:shd w:val="clear" w:color="auto" w:fill="auto"/>
            <w:vAlign w:val="center"/>
          </w:tcPr>
          <w:p w14:paraId="20468F2C">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default" w:ascii="宋体" w:hAnsi="宋体" w:eastAsia="宋体" w:cs="宋体"/>
                <w:color w:val="auto"/>
                <w:spacing w:val="-1"/>
                <w:kern w:val="2"/>
                <w:position w:val="2"/>
                <w:sz w:val="21"/>
                <w:szCs w:val="21"/>
                <w:highlight w:val="none"/>
                <w:lang w:val="en-US" w:eastAsia="zh-CN" w:bidi="ar-SA"/>
              </w:rPr>
            </w:pPr>
            <w:r>
              <w:rPr>
                <w:rFonts w:hint="eastAsia" w:ascii="宋体" w:hAnsi="宋体" w:eastAsia="宋体" w:cs="宋体"/>
                <w:color w:val="auto"/>
                <w:spacing w:val="-1"/>
                <w:position w:val="2"/>
                <w:sz w:val="21"/>
                <w:szCs w:val="21"/>
                <w:highlight w:val="none"/>
                <w:lang w:val="en-US" w:eastAsia="zh-CN"/>
              </w:rPr>
              <w:t>/</w:t>
            </w:r>
          </w:p>
        </w:tc>
        <w:tc>
          <w:tcPr>
            <w:tcW w:w="707" w:type="dxa"/>
            <w:tcBorders>
              <w:tl2br w:val="nil"/>
              <w:tr2bl w:val="nil"/>
            </w:tcBorders>
            <w:shd w:val="clear" w:color="auto" w:fill="auto"/>
            <w:vAlign w:val="center"/>
          </w:tcPr>
          <w:p w14:paraId="5913A755">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宋体" w:hAnsi="宋体" w:eastAsia="宋体" w:cs="宋体"/>
                <w:color w:val="auto"/>
                <w:spacing w:val="-1"/>
                <w:kern w:val="2"/>
                <w:position w:val="2"/>
                <w:sz w:val="21"/>
                <w:szCs w:val="21"/>
                <w:highlight w:val="none"/>
                <w:lang w:val="en-US" w:eastAsia="zh-CN" w:bidi="ar-SA"/>
              </w:rPr>
            </w:pPr>
            <w:r>
              <w:rPr>
                <w:rFonts w:hint="eastAsia" w:eastAsia="宋体" w:cs="Times New Roman"/>
                <w:color w:val="auto"/>
                <w:sz w:val="21"/>
                <w:szCs w:val="21"/>
                <w:highlight w:val="none"/>
                <w:lang w:val="en-US" w:eastAsia="zh-CN"/>
              </w:rPr>
              <w:t>/</w:t>
            </w:r>
          </w:p>
        </w:tc>
        <w:tc>
          <w:tcPr>
            <w:tcW w:w="821" w:type="dxa"/>
            <w:tcBorders>
              <w:tl2br w:val="nil"/>
              <w:tr2bl w:val="nil"/>
            </w:tcBorders>
            <w:shd w:val="clear" w:color="auto" w:fill="auto"/>
            <w:vAlign w:val="center"/>
          </w:tcPr>
          <w:p w14:paraId="55FB0219">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z w:val="21"/>
                <w:szCs w:val="21"/>
                <w:highlight w:val="none"/>
              </w:rPr>
              <w:t>否</w:t>
            </w:r>
          </w:p>
        </w:tc>
      </w:tr>
      <w:tr w14:paraId="18E2B4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5" w:type="dxa"/>
            <w:tcBorders>
              <w:tl2br w:val="nil"/>
              <w:tr2bl w:val="nil"/>
            </w:tcBorders>
            <w:shd w:val="clear" w:color="auto" w:fill="auto"/>
            <w:vAlign w:val="center"/>
          </w:tcPr>
          <w:p w14:paraId="28C3BA12">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4</w:t>
            </w:r>
          </w:p>
        </w:tc>
        <w:tc>
          <w:tcPr>
            <w:tcW w:w="947" w:type="dxa"/>
            <w:tcBorders>
              <w:tl2br w:val="nil"/>
              <w:tr2bl w:val="nil"/>
            </w:tcBorders>
            <w:shd w:val="clear" w:color="auto" w:fill="auto"/>
            <w:vAlign w:val="center"/>
          </w:tcPr>
          <w:p w14:paraId="75AACC30">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大仓鼠</w:t>
            </w:r>
          </w:p>
        </w:tc>
        <w:tc>
          <w:tcPr>
            <w:tcW w:w="1783" w:type="dxa"/>
            <w:tcBorders>
              <w:tl2br w:val="nil"/>
              <w:tr2bl w:val="nil"/>
            </w:tcBorders>
            <w:shd w:val="clear" w:color="auto" w:fill="auto"/>
            <w:vAlign w:val="center"/>
          </w:tcPr>
          <w:p w14:paraId="2AAEAE45">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Times New Roman" w:cs="Times New Roman"/>
                <w:i/>
                <w:iCs/>
                <w:color w:val="auto"/>
                <w:spacing w:val="-1"/>
                <w:kern w:val="2"/>
                <w:position w:val="3"/>
                <w:sz w:val="21"/>
                <w:szCs w:val="21"/>
                <w:highlight w:val="none"/>
                <w:lang w:val="en-US" w:eastAsia="zh-CN" w:bidi="ar-SA"/>
              </w:rPr>
            </w:pPr>
            <w:r>
              <w:rPr>
                <w:rFonts w:hint="eastAsia" w:ascii="Times New Roman" w:hAnsi="Times New Roman" w:eastAsia="Times New Roman" w:cs="Times New Roman"/>
                <w:i/>
                <w:iCs/>
                <w:color w:val="auto"/>
                <w:spacing w:val="-1"/>
                <w:position w:val="3"/>
                <w:sz w:val="21"/>
                <w:szCs w:val="21"/>
                <w:highlight w:val="none"/>
                <w:lang w:val="en-US" w:eastAsia="zh-CN"/>
              </w:rPr>
              <w:t>Cricetulus tyiton</w:t>
            </w:r>
          </w:p>
        </w:tc>
        <w:tc>
          <w:tcPr>
            <w:tcW w:w="1050" w:type="dxa"/>
            <w:tcBorders>
              <w:tl2br w:val="nil"/>
              <w:tr2bl w:val="nil"/>
            </w:tcBorders>
            <w:shd w:val="clear" w:color="auto" w:fill="auto"/>
            <w:vAlign w:val="center"/>
          </w:tcPr>
          <w:p w14:paraId="1F687900">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pacing w:val="-1"/>
                <w:position w:val="2"/>
                <w:sz w:val="21"/>
                <w:szCs w:val="21"/>
                <w:highlight w:val="none"/>
              </w:rPr>
              <w:t>哺乳纲</w:t>
            </w:r>
          </w:p>
        </w:tc>
        <w:tc>
          <w:tcPr>
            <w:tcW w:w="1305" w:type="dxa"/>
            <w:tcBorders>
              <w:tl2br w:val="nil"/>
              <w:tr2bl w:val="nil"/>
            </w:tcBorders>
            <w:shd w:val="clear" w:color="auto" w:fill="auto"/>
            <w:vAlign w:val="center"/>
          </w:tcPr>
          <w:p w14:paraId="21F8BB44">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pacing w:val="-1"/>
                <w:position w:val="2"/>
                <w:sz w:val="21"/>
                <w:szCs w:val="21"/>
                <w:highlight w:val="none"/>
              </w:rPr>
              <w:t>仓鼠科</w:t>
            </w:r>
          </w:p>
        </w:tc>
        <w:tc>
          <w:tcPr>
            <w:tcW w:w="1260" w:type="dxa"/>
            <w:tcBorders>
              <w:tl2br w:val="nil"/>
              <w:tr2bl w:val="nil"/>
            </w:tcBorders>
            <w:shd w:val="clear" w:color="auto" w:fill="auto"/>
            <w:vAlign w:val="center"/>
          </w:tcPr>
          <w:p w14:paraId="407D8CA4">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宋体" w:hAnsi="宋体" w:eastAsia="宋体" w:cs="宋体"/>
                <w:color w:val="auto"/>
                <w:spacing w:val="-1"/>
                <w:kern w:val="2"/>
                <w:position w:val="2"/>
                <w:sz w:val="21"/>
                <w:szCs w:val="21"/>
                <w:highlight w:val="none"/>
                <w:lang w:val="en-US" w:eastAsia="zh-CN" w:bidi="ar-SA"/>
              </w:rPr>
            </w:pPr>
            <w:r>
              <w:rPr>
                <w:rFonts w:hint="eastAsia" w:ascii="宋体" w:hAnsi="宋体" w:cs="宋体"/>
                <w:color w:val="auto"/>
                <w:spacing w:val="-1"/>
                <w:position w:val="2"/>
                <w:sz w:val="21"/>
                <w:szCs w:val="21"/>
                <w:highlight w:val="none"/>
                <w:lang w:val="en-US" w:eastAsia="zh-CN"/>
              </w:rPr>
              <w:t>仓</w:t>
            </w:r>
            <w:r>
              <w:rPr>
                <w:rFonts w:ascii="宋体" w:hAnsi="宋体" w:eastAsia="宋体" w:cs="宋体"/>
                <w:color w:val="auto"/>
                <w:spacing w:val="-1"/>
                <w:position w:val="2"/>
                <w:sz w:val="21"/>
                <w:szCs w:val="21"/>
                <w:highlight w:val="none"/>
              </w:rPr>
              <w:t>鼠属</w:t>
            </w:r>
          </w:p>
        </w:tc>
        <w:tc>
          <w:tcPr>
            <w:tcW w:w="707" w:type="dxa"/>
            <w:tcBorders>
              <w:tl2br w:val="nil"/>
              <w:tr2bl w:val="nil"/>
            </w:tcBorders>
            <w:shd w:val="clear" w:color="auto" w:fill="auto"/>
            <w:vAlign w:val="center"/>
          </w:tcPr>
          <w:p w14:paraId="35B7D42A">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宋体" w:hAnsi="宋体" w:eastAsia="宋体" w:cs="宋体"/>
                <w:color w:val="auto"/>
                <w:spacing w:val="-1"/>
                <w:kern w:val="2"/>
                <w:position w:val="2"/>
                <w:sz w:val="21"/>
                <w:szCs w:val="21"/>
                <w:highlight w:val="none"/>
                <w:lang w:val="en-US" w:eastAsia="zh-CN" w:bidi="ar-SA"/>
              </w:rPr>
            </w:pPr>
            <w:r>
              <w:rPr>
                <w:rFonts w:hint="eastAsia" w:eastAsia="宋体" w:cs="Times New Roman"/>
                <w:color w:val="auto"/>
                <w:sz w:val="21"/>
                <w:szCs w:val="21"/>
                <w:highlight w:val="none"/>
                <w:lang w:val="en-US" w:eastAsia="zh-CN"/>
              </w:rPr>
              <w:t>/</w:t>
            </w:r>
          </w:p>
        </w:tc>
        <w:tc>
          <w:tcPr>
            <w:tcW w:w="821" w:type="dxa"/>
            <w:tcBorders>
              <w:tl2br w:val="nil"/>
              <w:tr2bl w:val="nil"/>
            </w:tcBorders>
            <w:shd w:val="clear" w:color="auto" w:fill="auto"/>
            <w:vAlign w:val="center"/>
          </w:tcPr>
          <w:p w14:paraId="4173C6F8">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z w:val="21"/>
                <w:szCs w:val="21"/>
                <w:highlight w:val="none"/>
              </w:rPr>
              <w:t>否</w:t>
            </w:r>
          </w:p>
        </w:tc>
      </w:tr>
      <w:tr w14:paraId="1DED0F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5" w:type="dxa"/>
            <w:tcBorders>
              <w:tl2br w:val="nil"/>
              <w:tr2bl w:val="nil"/>
            </w:tcBorders>
            <w:shd w:val="clear" w:color="auto" w:fill="auto"/>
            <w:vAlign w:val="center"/>
          </w:tcPr>
          <w:p w14:paraId="332F671E">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5</w:t>
            </w:r>
          </w:p>
        </w:tc>
        <w:tc>
          <w:tcPr>
            <w:tcW w:w="947" w:type="dxa"/>
            <w:tcBorders>
              <w:tl2br w:val="nil"/>
              <w:tr2bl w:val="nil"/>
            </w:tcBorders>
            <w:shd w:val="clear" w:color="auto" w:fill="auto"/>
            <w:vAlign w:val="center"/>
          </w:tcPr>
          <w:p w14:paraId="5CB35C05">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ascii="宋体" w:hAnsi="宋体" w:eastAsia="宋体" w:cs="宋体"/>
                <w:color w:val="auto"/>
                <w:spacing w:val="-1"/>
                <w:sz w:val="21"/>
                <w:szCs w:val="21"/>
                <w:highlight w:val="none"/>
              </w:rPr>
              <w:t>野兔</w:t>
            </w:r>
          </w:p>
        </w:tc>
        <w:tc>
          <w:tcPr>
            <w:tcW w:w="1783" w:type="dxa"/>
            <w:tcBorders>
              <w:tl2br w:val="nil"/>
              <w:tr2bl w:val="nil"/>
            </w:tcBorders>
            <w:shd w:val="clear" w:color="auto" w:fill="auto"/>
            <w:vAlign w:val="center"/>
          </w:tcPr>
          <w:p w14:paraId="17E88082">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Times New Roman" w:hAnsi="Times New Roman" w:eastAsia="Times New Roman" w:cs="Times New Roman"/>
                <w:i/>
                <w:iCs/>
                <w:color w:val="auto"/>
                <w:spacing w:val="-1"/>
                <w:kern w:val="2"/>
                <w:position w:val="3"/>
                <w:sz w:val="21"/>
                <w:szCs w:val="21"/>
                <w:highlight w:val="none"/>
                <w:lang w:val="en-US" w:eastAsia="zh-CN" w:bidi="ar-SA"/>
              </w:rPr>
            </w:pPr>
            <w:r>
              <w:rPr>
                <w:rFonts w:ascii="Times New Roman" w:hAnsi="Times New Roman" w:eastAsia="Times New Roman" w:cs="Times New Roman"/>
                <w:i/>
                <w:iCs/>
                <w:color w:val="auto"/>
                <w:spacing w:val="-1"/>
                <w:position w:val="3"/>
                <w:sz w:val="21"/>
                <w:szCs w:val="21"/>
                <w:highlight w:val="none"/>
              </w:rPr>
              <w:t>Lepus sinensis</w:t>
            </w:r>
          </w:p>
        </w:tc>
        <w:tc>
          <w:tcPr>
            <w:tcW w:w="1050" w:type="dxa"/>
            <w:tcBorders>
              <w:tl2br w:val="nil"/>
              <w:tr2bl w:val="nil"/>
            </w:tcBorders>
            <w:shd w:val="clear" w:color="auto" w:fill="auto"/>
            <w:vAlign w:val="center"/>
          </w:tcPr>
          <w:p w14:paraId="4313063D">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pacing w:val="-3"/>
                <w:position w:val="4"/>
                <w:sz w:val="21"/>
                <w:szCs w:val="21"/>
                <w:highlight w:val="none"/>
              </w:rPr>
              <w:t>哺</w:t>
            </w:r>
            <w:r>
              <w:rPr>
                <w:rFonts w:ascii="宋体" w:hAnsi="宋体" w:eastAsia="宋体" w:cs="宋体"/>
                <w:color w:val="auto"/>
                <w:spacing w:val="-2"/>
                <w:position w:val="4"/>
                <w:sz w:val="21"/>
                <w:szCs w:val="21"/>
                <w:highlight w:val="none"/>
              </w:rPr>
              <w:t>乳纲</w:t>
            </w:r>
          </w:p>
        </w:tc>
        <w:tc>
          <w:tcPr>
            <w:tcW w:w="1305" w:type="dxa"/>
            <w:tcBorders>
              <w:tl2br w:val="nil"/>
              <w:tr2bl w:val="nil"/>
            </w:tcBorders>
            <w:shd w:val="clear" w:color="auto" w:fill="auto"/>
            <w:vAlign w:val="center"/>
          </w:tcPr>
          <w:p w14:paraId="4780BF90">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pacing w:val="-6"/>
                <w:sz w:val="21"/>
                <w:szCs w:val="21"/>
                <w:highlight w:val="none"/>
              </w:rPr>
              <w:t>兔</w:t>
            </w:r>
            <w:r>
              <w:rPr>
                <w:rFonts w:ascii="宋体" w:hAnsi="宋体" w:eastAsia="宋体" w:cs="宋体"/>
                <w:color w:val="auto"/>
                <w:spacing w:val="-5"/>
                <w:sz w:val="21"/>
                <w:szCs w:val="21"/>
                <w:highlight w:val="none"/>
              </w:rPr>
              <w:t>科</w:t>
            </w:r>
          </w:p>
        </w:tc>
        <w:tc>
          <w:tcPr>
            <w:tcW w:w="1260" w:type="dxa"/>
            <w:tcBorders>
              <w:tl2br w:val="nil"/>
              <w:tr2bl w:val="nil"/>
            </w:tcBorders>
            <w:shd w:val="clear" w:color="auto" w:fill="auto"/>
            <w:vAlign w:val="center"/>
          </w:tcPr>
          <w:p w14:paraId="39621958">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pacing w:val="-2"/>
                <w:position w:val="2"/>
                <w:sz w:val="21"/>
                <w:szCs w:val="21"/>
                <w:highlight w:val="none"/>
              </w:rPr>
              <w:t>兔属</w:t>
            </w:r>
          </w:p>
        </w:tc>
        <w:tc>
          <w:tcPr>
            <w:tcW w:w="707" w:type="dxa"/>
            <w:tcBorders>
              <w:tl2br w:val="nil"/>
              <w:tr2bl w:val="nil"/>
            </w:tcBorders>
            <w:shd w:val="clear" w:color="auto" w:fill="auto"/>
            <w:vAlign w:val="center"/>
          </w:tcPr>
          <w:p w14:paraId="3D44805D">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hint="eastAsia" w:ascii="宋体" w:hAnsi="宋体" w:eastAsia="宋体" w:cs="宋体"/>
                <w:color w:val="auto"/>
                <w:spacing w:val="-1"/>
                <w:kern w:val="2"/>
                <w:position w:val="2"/>
                <w:sz w:val="21"/>
                <w:szCs w:val="21"/>
                <w:highlight w:val="none"/>
                <w:lang w:val="en-US" w:eastAsia="zh-CN" w:bidi="ar-SA"/>
              </w:rPr>
            </w:pPr>
            <w:r>
              <w:rPr>
                <w:rFonts w:hint="eastAsia" w:eastAsia="宋体" w:cs="Times New Roman"/>
                <w:color w:val="auto"/>
                <w:sz w:val="21"/>
                <w:szCs w:val="21"/>
                <w:highlight w:val="none"/>
                <w:lang w:val="en-US" w:eastAsia="zh-CN"/>
              </w:rPr>
              <w:t>/</w:t>
            </w:r>
          </w:p>
        </w:tc>
        <w:tc>
          <w:tcPr>
            <w:tcW w:w="821" w:type="dxa"/>
            <w:tcBorders>
              <w:tl2br w:val="nil"/>
              <w:tr2bl w:val="nil"/>
            </w:tcBorders>
            <w:shd w:val="clear" w:color="auto" w:fill="auto"/>
            <w:vAlign w:val="center"/>
          </w:tcPr>
          <w:p w14:paraId="53AFCBAA">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rPr>
                <w:rFonts w:ascii="宋体" w:hAnsi="宋体" w:eastAsia="宋体" w:cs="宋体"/>
                <w:color w:val="auto"/>
                <w:spacing w:val="-1"/>
                <w:kern w:val="2"/>
                <w:position w:val="2"/>
                <w:sz w:val="21"/>
                <w:szCs w:val="21"/>
                <w:highlight w:val="none"/>
                <w:lang w:val="en-US" w:eastAsia="zh-CN" w:bidi="ar-SA"/>
              </w:rPr>
            </w:pPr>
            <w:r>
              <w:rPr>
                <w:rFonts w:ascii="宋体" w:hAnsi="宋体" w:eastAsia="宋体" w:cs="宋体"/>
                <w:color w:val="auto"/>
                <w:sz w:val="21"/>
                <w:szCs w:val="21"/>
                <w:highlight w:val="none"/>
              </w:rPr>
              <w:t>否</w:t>
            </w:r>
          </w:p>
        </w:tc>
      </w:tr>
    </w:tbl>
    <w:p w14:paraId="39FC4284">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bookmarkStart w:id="264" w:name="_Toc447115651"/>
      <w:bookmarkStart w:id="265" w:name="_Toc426554652"/>
      <w:r>
        <w:rPr>
          <w:rFonts w:hint="eastAsia" w:ascii="Times New Roman" w:hAnsi="Times New Roman" w:eastAsia="宋体" w:cs="Times New Roman"/>
          <w:b/>
          <w:sz w:val="24"/>
          <w:szCs w:val="24"/>
          <w:highlight w:val="none"/>
          <w:lang w:eastAsia="zh-CN"/>
        </w:rPr>
        <w:t>4.2.6.</w:t>
      </w:r>
      <w:r>
        <w:rPr>
          <w:rFonts w:hint="eastAsia" w:cs="Times New Roman"/>
          <w:b/>
          <w:sz w:val="24"/>
          <w:szCs w:val="24"/>
          <w:highlight w:val="none"/>
          <w:lang w:val="en-US" w:eastAsia="zh-CN"/>
        </w:rPr>
        <w:t>5</w:t>
      </w:r>
      <w:r>
        <w:rPr>
          <w:rFonts w:hint="eastAsia" w:ascii="Times New Roman" w:hAnsi="Times New Roman" w:eastAsia="宋体" w:cs="Times New Roman"/>
          <w:b/>
          <w:sz w:val="24"/>
          <w:szCs w:val="24"/>
          <w:highlight w:val="none"/>
          <w:lang w:eastAsia="zh-CN"/>
        </w:rPr>
        <w:t xml:space="preserve"> </w:t>
      </w:r>
      <w:r>
        <w:rPr>
          <w:rFonts w:hint="eastAsia" w:cs="Times New Roman"/>
          <w:b/>
          <w:sz w:val="24"/>
          <w:szCs w:val="24"/>
          <w:highlight w:val="none"/>
          <w:lang w:val="en-US" w:eastAsia="zh-CN"/>
        </w:rPr>
        <w:t>主要生态问题</w:t>
      </w:r>
    </w:p>
    <w:bookmarkEnd w:id="264"/>
    <w:bookmarkEnd w:id="265"/>
    <w:p w14:paraId="646703B7">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highlight w:val="none"/>
          <w:lang w:eastAsia="zh-CN"/>
        </w:rPr>
      </w:pPr>
      <w:bookmarkStart w:id="266" w:name="OLE_LINK153"/>
      <w:r>
        <w:rPr>
          <w:rFonts w:hint="eastAsia" w:ascii="Times New Roman" w:hAnsi="Times New Roman" w:cs="Times New Roman"/>
          <w:color w:val="000000"/>
          <w:kern w:val="0"/>
          <w:sz w:val="24"/>
          <w:highlight w:val="none"/>
          <w:lang w:eastAsia="zh-CN"/>
        </w:rPr>
        <w:t>通过解译图件可知，评价范围内的植被覆盖度</w:t>
      </w:r>
      <w:r>
        <w:rPr>
          <w:rFonts w:hint="eastAsia" w:ascii="Times New Roman" w:hAnsi="Times New Roman" w:cs="Times New Roman"/>
          <w:color w:val="000000"/>
          <w:kern w:val="0"/>
          <w:sz w:val="24"/>
          <w:highlight w:val="none"/>
          <w:lang w:val="en-US" w:eastAsia="zh-CN"/>
        </w:rPr>
        <w:t>一般</w:t>
      </w:r>
      <w:r>
        <w:rPr>
          <w:rFonts w:hint="eastAsia" w:ascii="Times New Roman" w:hAnsi="Times New Roman" w:cs="Times New Roman"/>
          <w:color w:val="000000"/>
          <w:kern w:val="0"/>
          <w:sz w:val="24"/>
          <w:highlight w:val="none"/>
          <w:lang w:eastAsia="zh-CN"/>
        </w:rPr>
        <w:t>。本项目评价范围内主要为</w:t>
      </w:r>
      <w:r>
        <w:rPr>
          <w:rFonts w:hint="eastAsia" w:ascii="Times New Roman" w:hAnsi="Times New Roman" w:cs="Times New Roman"/>
          <w:color w:val="000000"/>
          <w:kern w:val="0"/>
          <w:sz w:val="24"/>
          <w:highlight w:val="none"/>
          <w:lang w:val="en-US" w:eastAsia="zh-CN"/>
        </w:rPr>
        <w:t>灌丛</w:t>
      </w:r>
      <w:r>
        <w:rPr>
          <w:rFonts w:hint="eastAsia" w:ascii="Times New Roman" w:hAnsi="Times New Roman" w:cs="Times New Roman"/>
          <w:color w:val="000000"/>
          <w:kern w:val="0"/>
          <w:sz w:val="24"/>
          <w:highlight w:val="none"/>
          <w:lang w:eastAsia="zh-CN"/>
        </w:rPr>
        <w:t>，区域内无自然保护区、风景名胜区等特殊敏感区和重要生态敏感区，不存在珍稀濒危物种，无石漠化、沙漠化等环境问题，</w:t>
      </w:r>
      <w:r>
        <w:rPr>
          <w:rFonts w:hint="eastAsia" w:ascii="Times New Roman" w:hAnsi="Times New Roman" w:cs="Times New Roman"/>
          <w:color w:val="000000"/>
          <w:kern w:val="0"/>
          <w:sz w:val="24"/>
          <w:highlight w:val="none"/>
          <w:lang w:val="en-US" w:eastAsia="zh-CN"/>
        </w:rPr>
        <w:t>主要生态问题为</w:t>
      </w:r>
      <w:r>
        <w:rPr>
          <w:rFonts w:hint="eastAsia" w:ascii="Times New Roman" w:hAnsi="Times New Roman" w:cs="Times New Roman"/>
          <w:color w:val="000000"/>
          <w:kern w:val="0"/>
          <w:sz w:val="24"/>
          <w:highlight w:val="none"/>
          <w:lang w:eastAsia="zh-CN"/>
        </w:rPr>
        <w:t>水土流失，</w:t>
      </w:r>
      <w:r>
        <w:rPr>
          <w:rFonts w:hint="eastAsia" w:ascii="Times New Roman" w:hAnsi="Times New Roman"/>
          <w:color w:val="000000"/>
          <w:sz w:val="24"/>
          <w:highlight w:val="none"/>
        </w:rPr>
        <w:t>土壤侵蚀类型以</w:t>
      </w:r>
      <w:r>
        <w:rPr>
          <w:rFonts w:hint="eastAsia" w:ascii="Times New Roman" w:hAnsi="Times New Roman"/>
          <w:color w:val="000000"/>
          <w:sz w:val="24"/>
          <w:highlight w:val="none"/>
          <w:lang w:val="en-US" w:eastAsia="zh-CN"/>
        </w:rPr>
        <w:t>水</w:t>
      </w:r>
      <w:r>
        <w:rPr>
          <w:rFonts w:hint="eastAsia" w:ascii="Times New Roman" w:hAnsi="Times New Roman"/>
          <w:color w:val="000000"/>
          <w:sz w:val="24"/>
          <w:highlight w:val="none"/>
        </w:rPr>
        <w:t>力侵蚀为主，为</w:t>
      </w:r>
      <w:r>
        <w:rPr>
          <w:rFonts w:hint="eastAsia" w:ascii="Times New Roman" w:hAnsi="Times New Roman"/>
          <w:color w:val="000000"/>
          <w:sz w:val="24"/>
          <w:highlight w:val="none"/>
          <w:lang w:val="en-US" w:eastAsia="zh-CN"/>
        </w:rPr>
        <w:t>轻度</w:t>
      </w:r>
      <w:r>
        <w:rPr>
          <w:rFonts w:hint="eastAsia" w:ascii="Times New Roman" w:hAnsi="Times New Roman"/>
          <w:color w:val="000000"/>
          <w:sz w:val="24"/>
          <w:highlight w:val="none"/>
        </w:rPr>
        <w:t>侵蚀，土壤侵蚀表现为面蚀和沟蚀。</w:t>
      </w:r>
    </w:p>
    <w:p w14:paraId="4A6579C8">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kern w:val="0"/>
          <w:sz w:val="24"/>
          <w:highlight w:val="none"/>
          <w:lang w:eastAsia="zh-CN"/>
        </w:rPr>
      </w:pPr>
      <w:r>
        <w:rPr>
          <w:rFonts w:hint="eastAsia" w:ascii="Times New Roman" w:hAnsi="Times New Roman" w:cs="Times New Roman"/>
          <w:color w:val="000000"/>
          <w:kern w:val="0"/>
          <w:sz w:val="24"/>
          <w:highlight w:val="none"/>
          <w:lang w:eastAsia="zh-CN"/>
        </w:rPr>
        <w:t>针对现有生态问题，</w:t>
      </w:r>
      <w:r>
        <w:rPr>
          <w:rFonts w:hint="eastAsia" w:ascii="Times New Roman" w:hAnsi="Times New Roman" w:cs="Times New Roman"/>
          <w:color w:val="000000"/>
          <w:kern w:val="0"/>
          <w:sz w:val="24"/>
          <w:highlight w:val="none"/>
          <w:lang w:val="en-US" w:eastAsia="zh-CN"/>
        </w:rPr>
        <w:t>排土场废石堆存</w:t>
      </w:r>
      <w:r>
        <w:rPr>
          <w:rFonts w:hint="eastAsia" w:ascii="Times New Roman" w:hAnsi="Times New Roman" w:cs="Times New Roman"/>
          <w:color w:val="000000"/>
          <w:kern w:val="0"/>
          <w:sz w:val="24"/>
          <w:highlight w:val="none"/>
          <w:lang w:eastAsia="zh-CN"/>
        </w:rPr>
        <w:t>过程中应严格控制地表工程占地，加强保护矿区内现有天然植被，减少人为干扰，加强</w:t>
      </w:r>
      <w:r>
        <w:rPr>
          <w:rFonts w:hint="eastAsia" w:ascii="Times New Roman" w:hAnsi="Times New Roman" w:cs="Times New Roman"/>
          <w:color w:val="000000"/>
          <w:kern w:val="0"/>
          <w:sz w:val="24"/>
          <w:highlight w:val="none"/>
          <w:lang w:val="en-US" w:eastAsia="zh-CN"/>
        </w:rPr>
        <w:t>排土场各台阶</w:t>
      </w:r>
      <w:r>
        <w:rPr>
          <w:rFonts w:hint="eastAsia" w:ascii="Times New Roman" w:hAnsi="Times New Roman" w:cs="Times New Roman"/>
          <w:color w:val="000000"/>
          <w:kern w:val="0"/>
          <w:sz w:val="24"/>
          <w:highlight w:val="none"/>
          <w:lang w:eastAsia="zh-CN"/>
        </w:rPr>
        <w:t>绿化，控制新的土壤侵蚀，做好水土流失综合防治工作。</w:t>
      </w:r>
    </w:p>
    <w:bookmarkEnd w:id="266"/>
    <w:p w14:paraId="6414BB40">
      <w:pPr>
        <w:pStyle w:val="5"/>
        <w:pageBreakBefore w:val="0"/>
        <w:kinsoku/>
        <w:wordWrap/>
        <w:overflowPunct/>
        <w:topLinePunct w:val="0"/>
        <w:autoSpaceDE/>
        <w:autoSpaceDN/>
        <w:bidi w:val="0"/>
        <w:spacing w:before="0" w:after="0" w:line="360" w:lineRule="auto"/>
        <w:textAlignment w:val="auto"/>
        <w:rPr>
          <w:rFonts w:hint="default" w:ascii="Times New Roman" w:hAnsi="Times New Roman" w:cs="Times New Roman"/>
          <w:color w:val="000000"/>
          <w:sz w:val="28"/>
          <w:szCs w:val="28"/>
          <w:highlight w:val="none"/>
        </w:rPr>
      </w:pPr>
      <w:bookmarkStart w:id="267" w:name="_Toc11995"/>
      <w:bookmarkStart w:id="268" w:name="_Toc25871"/>
      <w:bookmarkStart w:id="269" w:name="_Toc19990"/>
      <w:bookmarkStart w:id="270" w:name="_Toc234"/>
      <w:bookmarkStart w:id="271" w:name="_Toc24048"/>
      <w:r>
        <w:rPr>
          <w:rFonts w:hint="default" w:ascii="Times New Roman" w:hAnsi="Times New Roman" w:cs="Times New Roman"/>
          <w:color w:val="000000"/>
          <w:sz w:val="28"/>
          <w:szCs w:val="28"/>
          <w:highlight w:val="none"/>
        </w:rPr>
        <w:t>区域污染源调查</w:t>
      </w:r>
      <w:bookmarkEnd w:id="267"/>
      <w:bookmarkEnd w:id="268"/>
      <w:bookmarkEnd w:id="269"/>
      <w:bookmarkEnd w:id="270"/>
      <w:bookmarkEnd w:id="271"/>
    </w:p>
    <w:p w14:paraId="726CAD90">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rPr>
        <w:t>根据现场调查可知，项目区域为工业、农业混杂的山区环境。评价范围内存在工业企业和多处村庄，村庄排放的主要污染物有生活废水、生活垃圾，生活区域噪声和烟尘、二氧化硫、氮氧化物等生活面源污染物</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工业企业主要为公司自有选厂及其配套尾矿库</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生产规模及污染物排放情况见下表</w:t>
      </w:r>
      <w:r>
        <w:rPr>
          <w:rFonts w:hint="eastAsia" w:ascii="Times New Roman" w:hAnsi="Times New Roman" w:cs="Times New Roman"/>
          <w:color w:val="000000"/>
          <w:sz w:val="24"/>
          <w:highlight w:val="none"/>
          <w:lang w:val="en-US" w:eastAsia="zh-CN"/>
        </w:rPr>
        <w:t>及下图。</w:t>
      </w:r>
    </w:p>
    <w:p w14:paraId="6CDE526E">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sz w:val="21"/>
          <w:szCs w:val="21"/>
          <w:highlight w:val="none"/>
          <w:lang w:val="en-US" w:eastAsia="zh-CN"/>
        </w:rPr>
      </w:pPr>
      <w:r>
        <w:rPr>
          <w:rFonts w:hint="default" w:ascii="Times New Roman" w:hAnsi="Times New Roman" w:eastAsia="宋体" w:cs="Times New Roman"/>
          <w:b/>
          <w:sz w:val="21"/>
          <w:szCs w:val="21"/>
          <w:highlight w:val="none"/>
          <w:lang w:val="en-US" w:eastAsia="zh-CN"/>
        </w:rPr>
        <w:t>项目区域工业企业污染源一览表</w:t>
      </w:r>
    </w:p>
    <w:tbl>
      <w:tblPr>
        <w:tblStyle w:val="58"/>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23"/>
        <w:gridCol w:w="2195"/>
        <w:gridCol w:w="651"/>
        <w:gridCol w:w="514"/>
        <w:gridCol w:w="909"/>
        <w:gridCol w:w="1663"/>
        <w:gridCol w:w="1380"/>
        <w:gridCol w:w="687"/>
      </w:tblGrid>
      <w:tr w14:paraId="568C8C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noWrap/>
            <w:vAlign w:val="center"/>
          </w:tcPr>
          <w:p w14:paraId="7272A0FB">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1287" w:type="pct"/>
            <w:tcBorders>
              <w:tl2br w:val="nil"/>
              <w:tr2bl w:val="nil"/>
            </w:tcBorders>
            <w:noWrap/>
            <w:vAlign w:val="center"/>
          </w:tcPr>
          <w:p w14:paraId="261365EB">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单位名称</w:t>
            </w:r>
          </w:p>
        </w:tc>
        <w:tc>
          <w:tcPr>
            <w:tcW w:w="381" w:type="pct"/>
            <w:tcBorders>
              <w:tl2br w:val="nil"/>
              <w:tr2bl w:val="nil"/>
            </w:tcBorders>
            <w:noWrap/>
            <w:vAlign w:val="center"/>
          </w:tcPr>
          <w:p w14:paraId="0B99AA00">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类型</w:t>
            </w:r>
          </w:p>
        </w:tc>
        <w:tc>
          <w:tcPr>
            <w:tcW w:w="301" w:type="pct"/>
            <w:tcBorders>
              <w:tl2br w:val="nil"/>
              <w:tr2bl w:val="nil"/>
            </w:tcBorders>
            <w:vAlign w:val="center"/>
          </w:tcPr>
          <w:p w14:paraId="1913E6F2">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方位</w:t>
            </w:r>
          </w:p>
        </w:tc>
        <w:tc>
          <w:tcPr>
            <w:tcW w:w="533" w:type="pct"/>
            <w:tcBorders>
              <w:tl2br w:val="nil"/>
              <w:tr2bl w:val="nil"/>
            </w:tcBorders>
            <w:vAlign w:val="center"/>
          </w:tcPr>
          <w:p w14:paraId="583B56E9">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相对</w:t>
            </w:r>
            <w:r>
              <w:rPr>
                <w:rFonts w:hint="default" w:ascii="Times New Roman" w:hAnsi="Times New Roman" w:cs="Times New Roman"/>
                <w:b/>
                <w:bCs/>
                <w:color w:val="auto"/>
                <w:highlight w:val="none"/>
              </w:rPr>
              <w:t>距离（</w:t>
            </w:r>
            <w:r>
              <w:rPr>
                <w:rFonts w:hint="default" w:ascii="Times New Roman" w:hAnsi="Times New Roman" w:cs="Times New Roman"/>
                <w:color w:val="auto"/>
                <w:highlight w:val="none"/>
              </w:rPr>
              <w:t>m</w:t>
            </w:r>
            <w:r>
              <w:rPr>
                <w:rFonts w:hint="default" w:ascii="Times New Roman" w:hAnsi="Times New Roman" w:cs="Times New Roman"/>
                <w:b/>
                <w:bCs/>
                <w:color w:val="auto"/>
                <w:highlight w:val="none"/>
              </w:rPr>
              <w:t>）</w:t>
            </w:r>
          </w:p>
        </w:tc>
        <w:tc>
          <w:tcPr>
            <w:tcW w:w="975" w:type="pct"/>
            <w:tcBorders>
              <w:tl2br w:val="nil"/>
              <w:tr2bl w:val="nil"/>
            </w:tcBorders>
            <w:vAlign w:val="center"/>
          </w:tcPr>
          <w:p w14:paraId="7827B1D4">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主要污染物</w:t>
            </w:r>
          </w:p>
        </w:tc>
        <w:tc>
          <w:tcPr>
            <w:tcW w:w="809" w:type="pct"/>
            <w:tcBorders>
              <w:tl2br w:val="nil"/>
              <w:tr2bl w:val="nil"/>
            </w:tcBorders>
            <w:vAlign w:val="center"/>
          </w:tcPr>
          <w:p w14:paraId="6371385A">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环保手续</w:t>
            </w:r>
          </w:p>
        </w:tc>
        <w:tc>
          <w:tcPr>
            <w:tcW w:w="403" w:type="pct"/>
            <w:tcBorders>
              <w:tl2br w:val="nil"/>
              <w:tr2bl w:val="nil"/>
            </w:tcBorders>
            <w:vAlign w:val="center"/>
          </w:tcPr>
          <w:p w14:paraId="6655FB9B">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eastAsia="zh-CN"/>
              </w:rPr>
              <w:t>运行状态</w:t>
            </w:r>
          </w:p>
        </w:tc>
      </w:tr>
      <w:tr w14:paraId="20C289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noWrap/>
            <w:vAlign w:val="center"/>
          </w:tcPr>
          <w:p w14:paraId="15E394CD">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287" w:type="pct"/>
            <w:tcBorders>
              <w:tl2br w:val="nil"/>
              <w:tr2bl w:val="nil"/>
            </w:tcBorders>
            <w:shd w:val="clear" w:color="auto" w:fill="auto"/>
            <w:noWrap/>
            <w:vAlign w:val="center"/>
          </w:tcPr>
          <w:p w14:paraId="793C6EB4">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承德天宝矿业集团</w:t>
            </w:r>
            <w:r>
              <w:rPr>
                <w:rFonts w:hint="default" w:ascii="Times New Roman" w:hAnsi="Times New Roman" w:cs="Times New Roman"/>
                <w:color w:val="auto"/>
                <w:kern w:val="2"/>
                <w:sz w:val="21"/>
                <w:szCs w:val="21"/>
                <w:highlight w:val="none"/>
                <w:lang w:val="en-US" w:eastAsia="zh-CN" w:bidi="ar-SA"/>
              </w:rPr>
              <w:t>大昌</w:t>
            </w:r>
            <w:r>
              <w:rPr>
                <w:rFonts w:hint="default" w:ascii="Times New Roman" w:hAnsi="Times New Roman" w:eastAsia="宋体" w:cs="Times New Roman"/>
                <w:color w:val="auto"/>
                <w:kern w:val="2"/>
                <w:sz w:val="21"/>
                <w:szCs w:val="21"/>
                <w:highlight w:val="none"/>
                <w:lang w:val="en-US" w:eastAsia="zh-CN" w:bidi="ar-SA"/>
              </w:rPr>
              <w:t>矿业有限公司</w:t>
            </w:r>
          </w:p>
        </w:tc>
        <w:tc>
          <w:tcPr>
            <w:tcW w:w="381" w:type="pct"/>
            <w:tcBorders>
              <w:tl2br w:val="nil"/>
              <w:tr2bl w:val="nil"/>
            </w:tcBorders>
            <w:shd w:val="clear" w:color="auto" w:fill="auto"/>
            <w:noWrap/>
            <w:vAlign w:val="center"/>
          </w:tcPr>
          <w:p w14:paraId="770833F5">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选厂</w:t>
            </w:r>
          </w:p>
        </w:tc>
        <w:tc>
          <w:tcPr>
            <w:tcW w:w="301" w:type="pct"/>
            <w:tcBorders>
              <w:tl2br w:val="nil"/>
              <w:tr2bl w:val="nil"/>
            </w:tcBorders>
            <w:shd w:val="clear" w:color="auto" w:fill="auto"/>
            <w:vAlign w:val="center"/>
          </w:tcPr>
          <w:p w14:paraId="4D0492F8">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E</w:t>
            </w:r>
          </w:p>
        </w:tc>
        <w:tc>
          <w:tcPr>
            <w:tcW w:w="533" w:type="pct"/>
            <w:tcBorders>
              <w:tl2br w:val="nil"/>
              <w:tr2bl w:val="nil"/>
            </w:tcBorders>
            <w:shd w:val="clear" w:color="auto" w:fill="auto"/>
            <w:vAlign w:val="center"/>
          </w:tcPr>
          <w:p w14:paraId="04B42818">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523</w:t>
            </w:r>
          </w:p>
        </w:tc>
        <w:tc>
          <w:tcPr>
            <w:tcW w:w="975" w:type="pct"/>
            <w:tcBorders>
              <w:tl2br w:val="nil"/>
              <w:tr2bl w:val="nil"/>
            </w:tcBorders>
            <w:shd w:val="clear" w:color="auto" w:fill="auto"/>
            <w:vAlign w:val="center"/>
          </w:tcPr>
          <w:p w14:paraId="627E3C26">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粉尘、选矿废水、尾砂</w:t>
            </w:r>
          </w:p>
        </w:tc>
        <w:tc>
          <w:tcPr>
            <w:tcW w:w="809" w:type="pct"/>
            <w:tcBorders>
              <w:tl2br w:val="nil"/>
              <w:tr2bl w:val="nil"/>
            </w:tcBorders>
            <w:shd w:val="clear" w:color="auto" w:fill="auto"/>
            <w:vAlign w:val="center"/>
          </w:tcPr>
          <w:p w14:paraId="2F8EF69A">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已通过审批、验收</w:t>
            </w:r>
          </w:p>
        </w:tc>
        <w:tc>
          <w:tcPr>
            <w:tcW w:w="403" w:type="pct"/>
            <w:tcBorders>
              <w:tl2br w:val="nil"/>
              <w:tr2bl w:val="nil"/>
            </w:tcBorders>
            <w:shd w:val="clear" w:color="auto" w:fill="auto"/>
            <w:vAlign w:val="center"/>
          </w:tcPr>
          <w:p w14:paraId="4C603144">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运行</w:t>
            </w:r>
          </w:p>
        </w:tc>
      </w:tr>
      <w:tr w14:paraId="06B31B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shd w:val="clear" w:color="auto" w:fill="auto"/>
            <w:noWrap/>
            <w:vAlign w:val="center"/>
          </w:tcPr>
          <w:p w14:paraId="4773F7FC">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p>
        </w:tc>
        <w:tc>
          <w:tcPr>
            <w:tcW w:w="1287" w:type="pct"/>
            <w:tcBorders>
              <w:tl2br w:val="nil"/>
              <w:tr2bl w:val="nil"/>
            </w:tcBorders>
            <w:noWrap/>
            <w:vAlign w:val="center"/>
          </w:tcPr>
          <w:p w14:paraId="08E98CBB">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隆化县鸿源矿业有限责任公司佰布沟与兰家沟尾矿库</w:t>
            </w:r>
          </w:p>
        </w:tc>
        <w:tc>
          <w:tcPr>
            <w:tcW w:w="381" w:type="pct"/>
            <w:tcBorders>
              <w:tl2br w:val="nil"/>
              <w:tr2bl w:val="nil"/>
            </w:tcBorders>
            <w:noWrap/>
            <w:vAlign w:val="center"/>
          </w:tcPr>
          <w:p w14:paraId="02C9B15D">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尾矿库</w:t>
            </w:r>
          </w:p>
        </w:tc>
        <w:tc>
          <w:tcPr>
            <w:tcW w:w="301" w:type="pct"/>
            <w:tcBorders>
              <w:tl2br w:val="nil"/>
              <w:tr2bl w:val="nil"/>
            </w:tcBorders>
            <w:vAlign w:val="center"/>
          </w:tcPr>
          <w:p w14:paraId="320EE799">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NE</w:t>
            </w:r>
          </w:p>
        </w:tc>
        <w:tc>
          <w:tcPr>
            <w:tcW w:w="533" w:type="pct"/>
            <w:tcBorders>
              <w:tl2br w:val="nil"/>
              <w:tr2bl w:val="nil"/>
            </w:tcBorders>
            <w:vAlign w:val="center"/>
          </w:tcPr>
          <w:p w14:paraId="6BB43ABB">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100</w:t>
            </w:r>
          </w:p>
        </w:tc>
        <w:tc>
          <w:tcPr>
            <w:tcW w:w="975" w:type="pct"/>
            <w:tcBorders>
              <w:tl2br w:val="nil"/>
              <w:tr2bl w:val="nil"/>
            </w:tcBorders>
            <w:shd w:val="clear" w:color="auto" w:fill="auto"/>
            <w:vAlign w:val="center"/>
          </w:tcPr>
          <w:p w14:paraId="399AC008">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粉尘、选矿废水、尾砂</w:t>
            </w:r>
          </w:p>
        </w:tc>
        <w:tc>
          <w:tcPr>
            <w:tcW w:w="809" w:type="pct"/>
            <w:tcBorders>
              <w:tl2br w:val="nil"/>
              <w:tr2bl w:val="nil"/>
            </w:tcBorders>
            <w:shd w:val="clear" w:color="auto" w:fill="auto"/>
            <w:vAlign w:val="center"/>
          </w:tcPr>
          <w:p w14:paraId="4595C39B">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已通过审批</w:t>
            </w:r>
          </w:p>
        </w:tc>
        <w:tc>
          <w:tcPr>
            <w:tcW w:w="403" w:type="pct"/>
            <w:tcBorders>
              <w:tl2br w:val="nil"/>
              <w:tr2bl w:val="nil"/>
            </w:tcBorders>
            <w:shd w:val="clear" w:color="auto" w:fill="auto"/>
            <w:vAlign w:val="center"/>
          </w:tcPr>
          <w:p w14:paraId="293F0767">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拟建设</w:t>
            </w:r>
          </w:p>
        </w:tc>
      </w:tr>
      <w:tr w14:paraId="758D62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shd w:val="clear" w:color="auto" w:fill="auto"/>
            <w:noWrap/>
            <w:vAlign w:val="center"/>
          </w:tcPr>
          <w:p w14:paraId="21AF664F">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w:t>
            </w:r>
          </w:p>
        </w:tc>
        <w:tc>
          <w:tcPr>
            <w:tcW w:w="1287" w:type="pct"/>
            <w:tcBorders>
              <w:tl2br w:val="nil"/>
              <w:tr2bl w:val="nil"/>
            </w:tcBorders>
            <w:shd w:val="clear" w:color="auto" w:fill="auto"/>
            <w:noWrap/>
            <w:vAlign w:val="center"/>
          </w:tcPr>
          <w:p w14:paraId="55CC5A7F">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隆化县双盈矿业有限公司大东沟尾矿库</w:t>
            </w:r>
          </w:p>
        </w:tc>
        <w:tc>
          <w:tcPr>
            <w:tcW w:w="381" w:type="pct"/>
            <w:tcBorders>
              <w:tl2br w:val="nil"/>
              <w:tr2bl w:val="nil"/>
            </w:tcBorders>
            <w:shd w:val="clear" w:color="auto" w:fill="auto"/>
            <w:noWrap/>
            <w:vAlign w:val="center"/>
          </w:tcPr>
          <w:p w14:paraId="0AC0C285">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尾矿库</w:t>
            </w:r>
          </w:p>
        </w:tc>
        <w:tc>
          <w:tcPr>
            <w:tcW w:w="301" w:type="pct"/>
            <w:tcBorders>
              <w:tl2br w:val="nil"/>
              <w:tr2bl w:val="nil"/>
            </w:tcBorders>
            <w:shd w:val="clear" w:color="auto" w:fill="auto"/>
            <w:vAlign w:val="center"/>
          </w:tcPr>
          <w:p w14:paraId="4987823C">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w:t>
            </w:r>
          </w:p>
        </w:tc>
        <w:tc>
          <w:tcPr>
            <w:tcW w:w="533" w:type="pct"/>
            <w:tcBorders>
              <w:tl2br w:val="nil"/>
              <w:tr2bl w:val="nil"/>
            </w:tcBorders>
            <w:shd w:val="clear" w:color="auto" w:fill="auto"/>
            <w:vAlign w:val="center"/>
          </w:tcPr>
          <w:p w14:paraId="3728CA2A">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136</w:t>
            </w:r>
          </w:p>
        </w:tc>
        <w:tc>
          <w:tcPr>
            <w:tcW w:w="975" w:type="pct"/>
            <w:tcBorders>
              <w:tl2br w:val="nil"/>
              <w:tr2bl w:val="nil"/>
            </w:tcBorders>
            <w:shd w:val="clear" w:color="auto" w:fill="auto"/>
            <w:vAlign w:val="center"/>
          </w:tcPr>
          <w:p w14:paraId="279658D0">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粉尘、选矿废水、尾砂</w:t>
            </w:r>
          </w:p>
        </w:tc>
        <w:tc>
          <w:tcPr>
            <w:tcW w:w="809" w:type="pct"/>
            <w:tcBorders>
              <w:tl2br w:val="nil"/>
              <w:tr2bl w:val="nil"/>
            </w:tcBorders>
            <w:shd w:val="clear" w:color="auto" w:fill="auto"/>
            <w:vAlign w:val="center"/>
          </w:tcPr>
          <w:p w14:paraId="77A39F8A">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已通过审批、验收</w:t>
            </w:r>
          </w:p>
        </w:tc>
        <w:tc>
          <w:tcPr>
            <w:tcW w:w="403" w:type="pct"/>
            <w:tcBorders>
              <w:tl2br w:val="nil"/>
              <w:tr2bl w:val="nil"/>
            </w:tcBorders>
            <w:shd w:val="clear" w:color="auto" w:fill="auto"/>
            <w:vAlign w:val="center"/>
          </w:tcPr>
          <w:p w14:paraId="7079B87E">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运行</w:t>
            </w:r>
          </w:p>
        </w:tc>
      </w:tr>
      <w:tr w14:paraId="7A429E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shd w:val="clear" w:color="auto" w:fill="auto"/>
            <w:noWrap/>
            <w:vAlign w:val="center"/>
          </w:tcPr>
          <w:p w14:paraId="6D41A215">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w:t>
            </w:r>
          </w:p>
        </w:tc>
        <w:tc>
          <w:tcPr>
            <w:tcW w:w="1287" w:type="pct"/>
            <w:tcBorders>
              <w:tl2br w:val="nil"/>
              <w:tr2bl w:val="nil"/>
            </w:tcBorders>
            <w:shd w:val="clear" w:color="auto" w:fill="auto"/>
            <w:noWrap/>
            <w:vAlign w:val="center"/>
          </w:tcPr>
          <w:p w14:paraId="5507DCD1">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highlight w:val="none"/>
                <w:lang w:val="en-US" w:eastAsia="zh-CN"/>
              </w:rPr>
              <w:t>隆化县新村矿业有限公司</w:t>
            </w:r>
          </w:p>
        </w:tc>
        <w:tc>
          <w:tcPr>
            <w:tcW w:w="381" w:type="pct"/>
            <w:tcBorders>
              <w:tl2br w:val="nil"/>
              <w:tr2bl w:val="nil"/>
            </w:tcBorders>
            <w:shd w:val="clear" w:color="auto" w:fill="auto"/>
            <w:noWrap/>
            <w:vAlign w:val="center"/>
          </w:tcPr>
          <w:p w14:paraId="0EE08CEF">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选厂</w:t>
            </w:r>
          </w:p>
        </w:tc>
        <w:tc>
          <w:tcPr>
            <w:tcW w:w="301" w:type="pct"/>
            <w:tcBorders>
              <w:tl2br w:val="nil"/>
              <w:tr2bl w:val="nil"/>
            </w:tcBorders>
            <w:shd w:val="clear" w:color="auto" w:fill="auto"/>
            <w:vAlign w:val="center"/>
          </w:tcPr>
          <w:p w14:paraId="4337BE26">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SE</w:t>
            </w:r>
          </w:p>
        </w:tc>
        <w:tc>
          <w:tcPr>
            <w:tcW w:w="533" w:type="pct"/>
            <w:tcBorders>
              <w:tl2br w:val="nil"/>
              <w:tr2bl w:val="nil"/>
            </w:tcBorders>
            <w:shd w:val="clear" w:color="auto" w:fill="auto"/>
            <w:vAlign w:val="center"/>
          </w:tcPr>
          <w:p w14:paraId="7A298762">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2168</w:t>
            </w:r>
          </w:p>
        </w:tc>
        <w:tc>
          <w:tcPr>
            <w:tcW w:w="975" w:type="pct"/>
            <w:tcBorders>
              <w:tl2br w:val="nil"/>
              <w:tr2bl w:val="nil"/>
            </w:tcBorders>
            <w:shd w:val="clear" w:color="auto" w:fill="auto"/>
            <w:vAlign w:val="center"/>
          </w:tcPr>
          <w:p w14:paraId="4851023B">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粉尘、选矿废水、尾砂</w:t>
            </w:r>
          </w:p>
        </w:tc>
        <w:tc>
          <w:tcPr>
            <w:tcW w:w="809" w:type="pct"/>
            <w:tcBorders>
              <w:tl2br w:val="nil"/>
              <w:tr2bl w:val="nil"/>
            </w:tcBorders>
            <w:shd w:val="clear" w:color="auto" w:fill="auto"/>
            <w:vAlign w:val="center"/>
          </w:tcPr>
          <w:p w14:paraId="4676F600">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已通过审批、验收</w:t>
            </w:r>
          </w:p>
        </w:tc>
        <w:tc>
          <w:tcPr>
            <w:tcW w:w="403" w:type="pct"/>
            <w:tcBorders>
              <w:tl2br w:val="nil"/>
              <w:tr2bl w:val="nil"/>
            </w:tcBorders>
            <w:shd w:val="clear" w:color="auto" w:fill="auto"/>
            <w:vAlign w:val="center"/>
          </w:tcPr>
          <w:p w14:paraId="3270003B">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运行</w:t>
            </w:r>
          </w:p>
        </w:tc>
      </w:tr>
      <w:tr w14:paraId="7D0E8B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shd w:val="clear" w:color="auto" w:fill="auto"/>
            <w:noWrap/>
            <w:vAlign w:val="center"/>
          </w:tcPr>
          <w:p w14:paraId="265E0CD7">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w:t>
            </w:r>
          </w:p>
        </w:tc>
        <w:tc>
          <w:tcPr>
            <w:tcW w:w="1287" w:type="pct"/>
            <w:tcBorders>
              <w:tl2br w:val="nil"/>
              <w:tr2bl w:val="nil"/>
            </w:tcBorders>
            <w:shd w:val="clear" w:color="auto" w:fill="auto"/>
            <w:noWrap/>
            <w:vAlign w:val="center"/>
          </w:tcPr>
          <w:p w14:paraId="1E73AA03">
            <w:pPr>
              <w:pStyle w:val="161"/>
              <w:keepNext w:val="0"/>
              <w:keepLines w:val="0"/>
              <w:pageBreakBefore w:val="0"/>
              <w:widowControl w:val="0"/>
              <w:kinsoku/>
              <w:wordWrap/>
              <w:overflowPunct/>
              <w:topLinePunct w:val="0"/>
              <w:autoSpaceDE/>
              <w:autoSpaceDN/>
              <w:bidi w:val="0"/>
              <w:adjustRightInd/>
              <w:snapToGrid/>
              <w:spacing w:line="240" w:lineRule="atLeast"/>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隆化县新村矿业有限公司大乌苏沟铁</w:t>
            </w:r>
          </w:p>
        </w:tc>
        <w:tc>
          <w:tcPr>
            <w:tcW w:w="381" w:type="pct"/>
            <w:tcBorders>
              <w:tl2br w:val="nil"/>
              <w:tr2bl w:val="nil"/>
            </w:tcBorders>
            <w:shd w:val="clear" w:color="auto" w:fill="auto"/>
            <w:noWrap/>
            <w:vAlign w:val="center"/>
          </w:tcPr>
          <w:p w14:paraId="6D20BF7F">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采区</w:t>
            </w:r>
          </w:p>
        </w:tc>
        <w:tc>
          <w:tcPr>
            <w:tcW w:w="301" w:type="pct"/>
            <w:tcBorders>
              <w:tl2br w:val="nil"/>
              <w:tr2bl w:val="nil"/>
            </w:tcBorders>
            <w:shd w:val="clear" w:color="auto" w:fill="auto"/>
            <w:vAlign w:val="center"/>
          </w:tcPr>
          <w:p w14:paraId="70E785AB">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w:t>
            </w:r>
          </w:p>
        </w:tc>
        <w:tc>
          <w:tcPr>
            <w:tcW w:w="533" w:type="pct"/>
            <w:tcBorders>
              <w:tl2br w:val="nil"/>
              <w:tr2bl w:val="nil"/>
            </w:tcBorders>
            <w:shd w:val="clear" w:color="auto" w:fill="auto"/>
            <w:vAlign w:val="center"/>
          </w:tcPr>
          <w:p w14:paraId="20F20F1A">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1362</w:t>
            </w:r>
          </w:p>
        </w:tc>
        <w:tc>
          <w:tcPr>
            <w:tcW w:w="975" w:type="pct"/>
            <w:tcBorders>
              <w:tl2br w:val="nil"/>
              <w:tr2bl w:val="nil"/>
            </w:tcBorders>
            <w:shd w:val="clear" w:color="auto" w:fill="auto"/>
            <w:vAlign w:val="center"/>
          </w:tcPr>
          <w:p w14:paraId="24F0855E">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粉尘</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废石</w:t>
            </w:r>
          </w:p>
        </w:tc>
        <w:tc>
          <w:tcPr>
            <w:tcW w:w="809" w:type="pct"/>
            <w:tcBorders>
              <w:tl2br w:val="nil"/>
              <w:tr2bl w:val="nil"/>
            </w:tcBorders>
            <w:shd w:val="clear" w:color="auto" w:fill="auto"/>
            <w:vAlign w:val="center"/>
          </w:tcPr>
          <w:p w14:paraId="0807A5A0">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已通过审批、验收</w:t>
            </w:r>
          </w:p>
        </w:tc>
        <w:tc>
          <w:tcPr>
            <w:tcW w:w="403" w:type="pct"/>
            <w:tcBorders>
              <w:tl2br w:val="nil"/>
              <w:tr2bl w:val="nil"/>
            </w:tcBorders>
            <w:shd w:val="clear" w:color="auto" w:fill="auto"/>
            <w:vAlign w:val="center"/>
          </w:tcPr>
          <w:p w14:paraId="75877326">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运行</w:t>
            </w:r>
          </w:p>
        </w:tc>
      </w:tr>
      <w:tr w14:paraId="18D6DB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shd w:val="clear" w:color="auto" w:fill="auto"/>
            <w:noWrap/>
            <w:vAlign w:val="center"/>
          </w:tcPr>
          <w:p w14:paraId="78B9E8C2">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w:t>
            </w:r>
          </w:p>
        </w:tc>
        <w:tc>
          <w:tcPr>
            <w:tcW w:w="1287" w:type="pct"/>
            <w:tcBorders>
              <w:tl2br w:val="nil"/>
              <w:tr2bl w:val="nil"/>
            </w:tcBorders>
            <w:noWrap/>
            <w:vAlign w:val="center"/>
          </w:tcPr>
          <w:p w14:paraId="4D9B1946">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承德天宝矿业集团</w:t>
            </w:r>
            <w:r>
              <w:rPr>
                <w:rFonts w:hint="default" w:ascii="Times New Roman" w:hAnsi="Times New Roman" w:cs="Times New Roman"/>
                <w:color w:val="auto"/>
                <w:kern w:val="2"/>
                <w:sz w:val="21"/>
                <w:szCs w:val="21"/>
                <w:highlight w:val="none"/>
                <w:lang w:val="en-US" w:eastAsia="zh-CN" w:bidi="ar-SA"/>
              </w:rPr>
              <w:t>大昌</w:t>
            </w:r>
            <w:r>
              <w:rPr>
                <w:rFonts w:hint="default" w:ascii="Times New Roman" w:hAnsi="Times New Roman" w:eastAsia="宋体" w:cs="Times New Roman"/>
                <w:color w:val="auto"/>
                <w:kern w:val="2"/>
                <w:sz w:val="21"/>
                <w:szCs w:val="21"/>
                <w:highlight w:val="none"/>
                <w:lang w:val="en-US" w:eastAsia="zh-CN" w:bidi="ar-SA"/>
              </w:rPr>
              <w:t>矿业有限公司龙王庙超贫磁铁矿</w:t>
            </w:r>
          </w:p>
        </w:tc>
        <w:tc>
          <w:tcPr>
            <w:tcW w:w="381" w:type="pct"/>
            <w:tcBorders>
              <w:tl2br w:val="nil"/>
              <w:tr2bl w:val="nil"/>
            </w:tcBorders>
            <w:noWrap/>
            <w:vAlign w:val="center"/>
          </w:tcPr>
          <w:p w14:paraId="3B483FE9">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采区</w:t>
            </w:r>
          </w:p>
        </w:tc>
        <w:tc>
          <w:tcPr>
            <w:tcW w:w="301" w:type="pct"/>
            <w:tcBorders>
              <w:tl2br w:val="nil"/>
              <w:tr2bl w:val="nil"/>
            </w:tcBorders>
            <w:vAlign w:val="center"/>
          </w:tcPr>
          <w:p w14:paraId="17A56C3B">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S</w:t>
            </w:r>
          </w:p>
        </w:tc>
        <w:tc>
          <w:tcPr>
            <w:tcW w:w="533" w:type="pct"/>
            <w:tcBorders>
              <w:tl2br w:val="nil"/>
              <w:tr2bl w:val="nil"/>
            </w:tcBorders>
            <w:vAlign w:val="center"/>
          </w:tcPr>
          <w:p w14:paraId="1AE97B9D">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755</w:t>
            </w:r>
          </w:p>
        </w:tc>
        <w:tc>
          <w:tcPr>
            <w:tcW w:w="975" w:type="pct"/>
            <w:tcBorders>
              <w:tl2br w:val="nil"/>
              <w:tr2bl w:val="nil"/>
            </w:tcBorders>
            <w:shd w:val="clear" w:color="auto" w:fill="auto"/>
            <w:vAlign w:val="center"/>
          </w:tcPr>
          <w:p w14:paraId="500E1975">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粉尘</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废石</w:t>
            </w:r>
          </w:p>
        </w:tc>
        <w:tc>
          <w:tcPr>
            <w:tcW w:w="809" w:type="pct"/>
            <w:tcBorders>
              <w:tl2br w:val="nil"/>
              <w:tr2bl w:val="nil"/>
            </w:tcBorders>
            <w:shd w:val="clear" w:color="auto" w:fill="auto"/>
            <w:vAlign w:val="center"/>
          </w:tcPr>
          <w:p w14:paraId="644D6451">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已通过审批、验收</w:t>
            </w:r>
          </w:p>
        </w:tc>
        <w:tc>
          <w:tcPr>
            <w:tcW w:w="403" w:type="pct"/>
            <w:tcBorders>
              <w:tl2br w:val="nil"/>
              <w:tr2bl w:val="nil"/>
            </w:tcBorders>
            <w:shd w:val="clear" w:color="auto" w:fill="auto"/>
            <w:vAlign w:val="center"/>
          </w:tcPr>
          <w:p w14:paraId="00E562DE">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运行</w:t>
            </w:r>
          </w:p>
        </w:tc>
      </w:tr>
      <w:tr w14:paraId="270E5D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6" w:type="pct"/>
            <w:tcBorders>
              <w:tl2br w:val="nil"/>
              <w:tr2bl w:val="nil"/>
            </w:tcBorders>
            <w:shd w:val="clear" w:color="auto" w:fill="auto"/>
            <w:noWrap/>
            <w:vAlign w:val="center"/>
          </w:tcPr>
          <w:p w14:paraId="3F1B7887">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w:t>
            </w:r>
          </w:p>
        </w:tc>
        <w:tc>
          <w:tcPr>
            <w:tcW w:w="1287" w:type="pct"/>
            <w:tcBorders>
              <w:tl2br w:val="nil"/>
              <w:tr2bl w:val="nil"/>
            </w:tcBorders>
            <w:shd w:val="clear" w:color="auto" w:fill="auto"/>
            <w:noWrap/>
            <w:vAlign w:val="center"/>
          </w:tcPr>
          <w:p w14:paraId="796C7808">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隆化县双盈矿业有限公司</w:t>
            </w:r>
          </w:p>
        </w:tc>
        <w:tc>
          <w:tcPr>
            <w:tcW w:w="381" w:type="pct"/>
            <w:tcBorders>
              <w:tl2br w:val="nil"/>
              <w:tr2bl w:val="nil"/>
            </w:tcBorders>
            <w:noWrap/>
            <w:vAlign w:val="center"/>
          </w:tcPr>
          <w:p w14:paraId="5222269E">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选厂</w:t>
            </w:r>
          </w:p>
        </w:tc>
        <w:tc>
          <w:tcPr>
            <w:tcW w:w="301" w:type="pct"/>
            <w:tcBorders>
              <w:tl2br w:val="nil"/>
              <w:tr2bl w:val="nil"/>
            </w:tcBorders>
            <w:vAlign w:val="center"/>
          </w:tcPr>
          <w:p w14:paraId="7EB4E21C">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w:t>
            </w:r>
          </w:p>
        </w:tc>
        <w:tc>
          <w:tcPr>
            <w:tcW w:w="533" w:type="pct"/>
            <w:tcBorders>
              <w:tl2br w:val="nil"/>
              <w:tr2bl w:val="nil"/>
            </w:tcBorders>
            <w:vAlign w:val="center"/>
          </w:tcPr>
          <w:p w14:paraId="4EAF48A5">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1030</w:t>
            </w:r>
          </w:p>
        </w:tc>
        <w:tc>
          <w:tcPr>
            <w:tcW w:w="975" w:type="pct"/>
            <w:tcBorders>
              <w:tl2br w:val="nil"/>
              <w:tr2bl w:val="nil"/>
            </w:tcBorders>
            <w:vAlign w:val="center"/>
          </w:tcPr>
          <w:p w14:paraId="3452CA7A">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粉尘、选矿废水、尾砂</w:t>
            </w:r>
          </w:p>
        </w:tc>
        <w:tc>
          <w:tcPr>
            <w:tcW w:w="809" w:type="pct"/>
            <w:tcBorders>
              <w:tl2br w:val="nil"/>
              <w:tr2bl w:val="nil"/>
            </w:tcBorders>
            <w:vAlign w:val="center"/>
          </w:tcPr>
          <w:p w14:paraId="1BD9F89E">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已通过审批、验收</w:t>
            </w:r>
          </w:p>
        </w:tc>
        <w:tc>
          <w:tcPr>
            <w:tcW w:w="403" w:type="pct"/>
            <w:tcBorders>
              <w:tl2br w:val="nil"/>
              <w:tr2bl w:val="nil"/>
            </w:tcBorders>
            <w:vAlign w:val="center"/>
          </w:tcPr>
          <w:p w14:paraId="0B52FB4E">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运行</w:t>
            </w:r>
          </w:p>
        </w:tc>
      </w:tr>
    </w:tbl>
    <w:p w14:paraId="5943663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highlight w:val="none"/>
          <w:lang w:eastAsia="zh-CN"/>
        </w:rPr>
      </w:pPr>
      <w:r>
        <w:rPr>
          <w:rFonts w:hint="eastAsia" w:eastAsia="宋体"/>
          <w:highlight w:val="none"/>
          <w:lang w:eastAsia="zh-CN"/>
        </w:rPr>
        <w:drawing>
          <wp:inline distT="0" distB="0" distL="114300" distR="114300">
            <wp:extent cx="5273675" cy="3550920"/>
            <wp:effectExtent l="0" t="0" r="0" b="0"/>
            <wp:docPr id="68" name="图片 68" descr="区域污染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区域污染源"/>
                    <pic:cNvPicPr>
                      <a:picLocks noChangeAspect="1"/>
                    </pic:cNvPicPr>
                  </pic:nvPicPr>
                  <pic:blipFill>
                    <a:blip r:embed="rId31"/>
                    <a:srcRect b="4752"/>
                    <a:stretch>
                      <a:fillRect/>
                    </a:stretch>
                  </pic:blipFill>
                  <pic:spPr>
                    <a:xfrm>
                      <a:off x="0" y="0"/>
                      <a:ext cx="5273675" cy="3550920"/>
                    </a:xfrm>
                    <a:prstGeom prst="rect">
                      <a:avLst/>
                    </a:prstGeom>
                  </pic:spPr>
                </pic:pic>
              </a:graphicData>
            </a:graphic>
          </wp:inline>
        </w:drawing>
      </w:r>
    </w:p>
    <w:p w14:paraId="6BC2CF7B">
      <w:pPr>
        <w:pStyle w:val="147"/>
        <w:keepNext w:val="0"/>
        <w:keepLines w:val="0"/>
        <w:pageBreakBefore w:val="0"/>
        <w:numPr>
          <w:ilvl w:val="0"/>
          <w:numId w:val="23"/>
        </w:numPr>
        <w:tabs>
          <w:tab w:val="left" w:pos="420"/>
          <w:tab w:val="clear" w:pos="0"/>
        </w:tabs>
        <w:kinsoku/>
        <w:wordWrap/>
        <w:overflowPunct/>
        <w:topLinePunct w:val="0"/>
        <w:autoSpaceDE/>
        <w:autoSpaceDN/>
        <w:bidi w:val="0"/>
        <w:spacing w:line="360" w:lineRule="auto"/>
        <w:ind w:left="0" w:leftChars="0" w:firstLine="0" w:firstLineChars="0"/>
        <w:jc w:val="center"/>
        <w:textAlignment w:val="auto"/>
        <w:rPr>
          <w:rFonts w:hint="default" w:ascii="Times New Roman" w:hAnsi="Times New Roman" w:cs="Times New Roman"/>
          <w:color w:val="000000"/>
          <w:highlight w:val="none"/>
        </w:rPr>
      </w:pPr>
      <w:r>
        <w:rPr>
          <w:rStyle w:val="66"/>
          <w:rFonts w:hint="eastAsia" w:ascii="Times New Roman" w:hAnsi="Times New Roman" w:eastAsia="宋体" w:cs="Times New Roman"/>
          <w:b/>
          <w:color w:val="auto"/>
          <w:kern w:val="0"/>
          <w:sz w:val="21"/>
          <w:szCs w:val="21"/>
          <w:highlight w:val="none"/>
          <w:lang w:val="en-US" w:eastAsia="zh-CN" w:bidi="ar-SA"/>
        </w:rPr>
        <w:t>项目</w:t>
      </w:r>
      <w:r>
        <w:rPr>
          <w:rStyle w:val="66"/>
          <w:rFonts w:hint="default" w:ascii="Times New Roman" w:hAnsi="Times New Roman" w:eastAsia="宋体" w:cs="Times New Roman"/>
          <w:b/>
          <w:color w:val="auto"/>
          <w:kern w:val="0"/>
          <w:sz w:val="21"/>
          <w:szCs w:val="21"/>
          <w:highlight w:val="none"/>
          <w:lang w:val="en-US" w:eastAsia="zh-CN" w:bidi="ar-SA"/>
        </w:rPr>
        <w:t>区域污染源位置图</w:t>
      </w:r>
    </w:p>
    <w:p w14:paraId="0FA40FE6">
      <w:pPr>
        <w:pStyle w:val="147"/>
        <w:keepNext w:val="0"/>
        <w:keepLines w:val="0"/>
        <w:pageBreakBefore w:val="0"/>
        <w:numPr>
          <w:ilvl w:val="0"/>
          <w:numId w:val="23"/>
        </w:numPr>
        <w:tabs>
          <w:tab w:val="left" w:pos="420"/>
          <w:tab w:val="clear" w:pos="0"/>
        </w:tabs>
        <w:kinsoku/>
        <w:wordWrap/>
        <w:overflowPunct/>
        <w:topLinePunct w:val="0"/>
        <w:autoSpaceDE/>
        <w:autoSpaceDN/>
        <w:bidi w:val="0"/>
        <w:spacing w:line="360" w:lineRule="auto"/>
        <w:ind w:left="0" w:leftChars="0" w:firstLine="0" w:firstLineChars="0"/>
        <w:jc w:val="center"/>
        <w:textAlignment w:val="auto"/>
        <w:rPr>
          <w:rFonts w:hint="default" w:ascii="Times New Roman" w:hAnsi="Times New Roman" w:eastAsia="宋体" w:cs="Times New Roman"/>
          <w:highlight w:val="none"/>
          <w:lang w:eastAsia="zh-CN"/>
        </w:rPr>
        <w:sectPr>
          <w:headerReference r:id="rId10" w:type="default"/>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10B548F3">
      <w:pPr>
        <w:pStyle w:val="187"/>
        <w:rPr>
          <w:rFonts w:hint="default" w:ascii="Times New Roman" w:hAnsi="Times New Roman" w:cs="Times New Roman"/>
          <w:color w:val="000000"/>
          <w:highlight w:val="none"/>
        </w:rPr>
      </w:pPr>
      <w:bookmarkStart w:id="272" w:name="_Toc499451100"/>
      <w:bookmarkStart w:id="273" w:name="_Toc272325220"/>
      <w:bookmarkStart w:id="274" w:name="_Toc272324821"/>
      <w:bookmarkStart w:id="275" w:name="_Toc5439"/>
      <w:bookmarkStart w:id="276" w:name="_Toc25362"/>
      <w:bookmarkStart w:id="277" w:name="_Toc20228"/>
      <w:bookmarkStart w:id="278" w:name="_Toc29151"/>
      <w:bookmarkStart w:id="279" w:name="_Toc17505"/>
      <w:r>
        <w:rPr>
          <w:rFonts w:hint="default" w:ascii="Times New Roman" w:hAnsi="Times New Roman" w:cs="Times New Roman"/>
          <w:color w:val="000000"/>
          <w:highlight w:val="none"/>
        </w:rPr>
        <w:t>环境</w:t>
      </w:r>
      <w:bookmarkEnd w:id="272"/>
      <w:r>
        <w:rPr>
          <w:rFonts w:hint="default" w:ascii="Times New Roman" w:hAnsi="Times New Roman" w:cs="Times New Roman"/>
          <w:color w:val="000000"/>
          <w:highlight w:val="none"/>
        </w:rPr>
        <w:t>影响</w:t>
      </w:r>
      <w:bookmarkEnd w:id="273"/>
      <w:bookmarkEnd w:id="274"/>
      <w:r>
        <w:rPr>
          <w:rFonts w:hint="default" w:ascii="Times New Roman" w:hAnsi="Times New Roman" w:cs="Times New Roman"/>
          <w:color w:val="000000"/>
          <w:highlight w:val="none"/>
        </w:rPr>
        <w:t>预测与评价</w:t>
      </w:r>
      <w:bookmarkEnd w:id="275"/>
      <w:bookmarkEnd w:id="276"/>
      <w:bookmarkEnd w:id="277"/>
      <w:bookmarkEnd w:id="278"/>
      <w:bookmarkEnd w:id="279"/>
    </w:p>
    <w:p w14:paraId="078266A2">
      <w:pPr>
        <w:pStyle w:val="5"/>
        <w:pageBreakBefore w:val="0"/>
        <w:kinsoku/>
        <w:wordWrap/>
        <w:overflowPunct/>
        <w:topLinePunct w:val="0"/>
        <w:autoSpaceDE/>
        <w:autoSpaceDN/>
        <w:bidi w:val="0"/>
        <w:spacing w:before="0" w:after="0" w:line="360" w:lineRule="auto"/>
        <w:textAlignment w:val="auto"/>
        <w:rPr>
          <w:rFonts w:hint="default" w:ascii="Times New Roman" w:hAnsi="Times New Roman" w:cs="Times New Roman"/>
          <w:color w:val="000000"/>
          <w:sz w:val="28"/>
          <w:szCs w:val="28"/>
          <w:highlight w:val="none"/>
        </w:rPr>
      </w:pPr>
      <w:bookmarkStart w:id="280" w:name="_Toc3200"/>
      <w:bookmarkStart w:id="281" w:name="_Toc15900"/>
      <w:bookmarkStart w:id="282" w:name="_Toc9715"/>
      <w:bookmarkStart w:id="283" w:name="_Toc11641"/>
      <w:bookmarkStart w:id="284" w:name="_Toc933"/>
      <w:bookmarkStart w:id="285" w:name="_Toc272324824"/>
      <w:bookmarkStart w:id="286" w:name="_Toc272325223"/>
      <w:r>
        <w:rPr>
          <w:rFonts w:hint="default" w:ascii="Times New Roman" w:hAnsi="Times New Roman" w:cs="Times New Roman"/>
          <w:color w:val="000000"/>
          <w:sz w:val="28"/>
          <w:szCs w:val="28"/>
          <w:highlight w:val="none"/>
        </w:rPr>
        <w:t>建设阶段环境影响分析</w:t>
      </w:r>
      <w:bookmarkEnd w:id="280"/>
      <w:bookmarkEnd w:id="281"/>
      <w:bookmarkEnd w:id="282"/>
      <w:bookmarkEnd w:id="283"/>
      <w:bookmarkEnd w:id="284"/>
    </w:p>
    <w:p w14:paraId="4B85861A">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87" w:name="_Toc3708"/>
      <w:r>
        <w:rPr>
          <w:rFonts w:hint="default" w:ascii="Times New Roman" w:hAnsi="Times New Roman" w:cs="Times New Roman"/>
          <w:color w:val="000000"/>
          <w:sz w:val="24"/>
          <w:szCs w:val="24"/>
          <w:highlight w:val="none"/>
        </w:rPr>
        <w:t>建设阶段大气环境影响分析</w:t>
      </w:r>
      <w:bookmarkEnd w:id="287"/>
    </w:p>
    <w:p w14:paraId="6024F9FB">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1、施工扬尘</w:t>
      </w:r>
    </w:p>
    <w:p w14:paraId="4FF29B10">
      <w:pPr>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highlight w:val="none"/>
        </w:rPr>
      </w:pPr>
      <w:r>
        <w:rPr>
          <w:rFonts w:ascii="Times New Roman" w:hAnsi="Times New Roman"/>
          <w:color w:val="auto"/>
          <w:sz w:val="24"/>
          <w:szCs w:val="24"/>
          <w:highlight w:val="none"/>
        </w:rPr>
        <w:t>项目建设阶段大气污染物主要为</w:t>
      </w:r>
      <w:r>
        <w:rPr>
          <w:rFonts w:hint="eastAsia" w:ascii="Times New Roman" w:hAnsi="Times New Roman"/>
          <w:color w:val="auto"/>
          <w:sz w:val="24"/>
          <w:szCs w:val="24"/>
          <w:highlight w:val="none"/>
          <w:lang w:val="en-US" w:eastAsia="zh-CN"/>
        </w:rPr>
        <w:t>施工</w:t>
      </w:r>
      <w:r>
        <w:rPr>
          <w:rFonts w:ascii="Times New Roman" w:hAnsi="Times New Roman"/>
          <w:color w:val="auto"/>
          <w:sz w:val="24"/>
          <w:szCs w:val="24"/>
          <w:highlight w:val="none"/>
        </w:rPr>
        <w:t>扬尘</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道路扬尘</w:t>
      </w:r>
      <w:r>
        <w:rPr>
          <w:rFonts w:ascii="Times New Roman" w:hAnsi="Times New Roman"/>
          <w:color w:val="auto"/>
          <w:sz w:val="24"/>
          <w:szCs w:val="24"/>
          <w:highlight w:val="none"/>
        </w:rPr>
        <w:t>，主要产生于</w:t>
      </w:r>
      <w:r>
        <w:rPr>
          <w:rFonts w:hint="eastAsia" w:ascii="Times New Roman" w:hAnsi="Times New Roman"/>
          <w:color w:val="auto"/>
          <w:sz w:val="24"/>
          <w:szCs w:val="24"/>
          <w:highlight w:val="none"/>
          <w:lang w:val="en-US" w:eastAsia="zh-CN"/>
        </w:rPr>
        <w:t>工业场地</w:t>
      </w:r>
      <w:r>
        <w:rPr>
          <w:rFonts w:ascii="Times New Roman" w:hAnsi="Times New Roman"/>
          <w:color w:val="auto"/>
          <w:sz w:val="24"/>
          <w:szCs w:val="24"/>
          <w:highlight w:val="none"/>
        </w:rPr>
        <w:t>土地平整、场地清理等过程；物料的装卸、搬运、堆存和使用，以及运输车辆的出入等。</w:t>
      </w:r>
      <w:r>
        <w:rPr>
          <w:rFonts w:hint="default" w:ascii="Times New Roman" w:hAnsi="Times New Roman" w:eastAsia="宋体" w:cs="Times New Roman"/>
          <w:color w:val="auto"/>
          <w:sz w:val="24"/>
          <w:szCs w:val="24"/>
          <w:highlight w:val="none"/>
        </w:rPr>
        <w:t>施工</w:t>
      </w:r>
      <w:r>
        <w:rPr>
          <w:rFonts w:hint="eastAsia" w:ascii="Times New Roman" w:hAnsi="Times New Roman" w:eastAsia="宋体" w:cs="Times New Roman"/>
          <w:color w:val="auto"/>
          <w:sz w:val="24"/>
          <w:szCs w:val="24"/>
          <w:highlight w:val="none"/>
          <w:lang w:val="en-US" w:eastAsia="zh-CN"/>
        </w:rPr>
        <w:t>扬尘</w:t>
      </w:r>
      <w:r>
        <w:rPr>
          <w:rFonts w:hint="default" w:ascii="Times New Roman" w:hAnsi="Times New Roman" w:eastAsia="宋体" w:cs="Times New Roman"/>
          <w:color w:val="auto"/>
          <w:sz w:val="24"/>
          <w:szCs w:val="24"/>
          <w:highlight w:val="none"/>
        </w:rPr>
        <w:t>无组织</w:t>
      </w:r>
      <w:r>
        <w:rPr>
          <w:rFonts w:hint="eastAsia" w:ascii="Times New Roman" w:hAnsi="Times New Roman" w:eastAsia="宋体" w:cs="Times New Roman"/>
          <w:color w:val="auto"/>
          <w:sz w:val="24"/>
          <w:szCs w:val="24"/>
          <w:highlight w:val="none"/>
          <w:lang w:val="en-US" w:eastAsia="zh-CN"/>
        </w:rPr>
        <w:t>颗粒物</w:t>
      </w:r>
      <w:r>
        <w:rPr>
          <w:rFonts w:hint="default" w:ascii="Times New Roman" w:hAnsi="Times New Roman" w:eastAsia="宋体" w:cs="Times New Roman"/>
          <w:color w:val="auto"/>
          <w:sz w:val="24"/>
          <w:szCs w:val="24"/>
          <w:highlight w:val="none"/>
        </w:rPr>
        <w:t>浓度一般可以达到4-6mg/m</w:t>
      </w:r>
      <w:r>
        <w:rPr>
          <w:rFonts w:hint="default" w:ascii="Times New Roman" w:hAnsi="Times New Roman" w:eastAsia="宋体" w:cs="Times New Roman"/>
          <w:color w:val="auto"/>
          <w:sz w:val="24"/>
          <w:szCs w:val="24"/>
          <w:highlight w:val="none"/>
          <w:vertAlign w:val="superscript"/>
        </w:rPr>
        <w:t>3</w:t>
      </w:r>
      <w:r>
        <w:rPr>
          <w:rFonts w:ascii="Times New Roman" w:hAnsi="Times New Roman"/>
          <w:color w:val="auto"/>
          <w:sz w:val="24"/>
          <w:szCs w:val="24"/>
          <w:highlight w:val="none"/>
        </w:rPr>
        <w:t>，</w:t>
      </w:r>
      <w:r>
        <w:rPr>
          <w:rFonts w:hint="default" w:ascii="Times New Roman" w:hAnsi="Times New Roman" w:eastAsia="宋体" w:cs="Times New Roman"/>
          <w:color w:val="auto"/>
          <w:sz w:val="24"/>
          <w:szCs w:val="24"/>
          <w:highlight w:val="none"/>
        </w:rPr>
        <w:t>运输</w:t>
      </w:r>
      <w:r>
        <w:rPr>
          <w:rFonts w:hint="eastAsia" w:ascii="Times New Roman" w:hAnsi="Times New Roman" w:eastAsia="宋体" w:cs="Times New Roman"/>
          <w:color w:val="auto"/>
          <w:sz w:val="24"/>
          <w:szCs w:val="24"/>
          <w:highlight w:val="none"/>
          <w:lang w:val="en-US" w:eastAsia="zh-CN"/>
        </w:rPr>
        <w:t>扬尘无组织颗粒物浓度</w:t>
      </w:r>
      <w:r>
        <w:rPr>
          <w:rFonts w:hint="default" w:ascii="Times New Roman" w:hAnsi="Times New Roman" w:eastAsia="宋体" w:cs="Times New Roman"/>
          <w:color w:val="auto"/>
          <w:sz w:val="24"/>
          <w:szCs w:val="24"/>
          <w:highlight w:val="none"/>
        </w:rPr>
        <w:t>一般可以达到2-4mg/m</w:t>
      </w:r>
      <w:r>
        <w:rPr>
          <w:rFonts w:hint="default" w:ascii="Times New Roman" w:hAnsi="Times New Roman" w:eastAsia="宋体" w:cs="Times New Roman"/>
          <w:color w:val="auto"/>
          <w:sz w:val="24"/>
          <w:szCs w:val="24"/>
          <w:highlight w:val="none"/>
          <w:vertAlign w:val="superscript"/>
        </w:rPr>
        <w:t>3</w:t>
      </w:r>
      <w:r>
        <w:rPr>
          <w:rFonts w:hint="eastAsia" w:ascii="Times New Roman" w:hAnsi="Times New Roman"/>
          <w:color w:val="auto"/>
          <w:sz w:val="24"/>
          <w:szCs w:val="24"/>
          <w:highlight w:val="none"/>
          <w:lang w:eastAsia="zh-CN"/>
        </w:rPr>
        <w:t>，</w:t>
      </w:r>
      <w:r>
        <w:rPr>
          <w:rFonts w:ascii="Times New Roman" w:hAnsi="Times New Roman"/>
          <w:color w:val="auto"/>
          <w:sz w:val="24"/>
          <w:szCs w:val="24"/>
          <w:highlight w:val="none"/>
        </w:rPr>
        <w:t>为</w:t>
      </w:r>
      <w:r>
        <w:rPr>
          <w:rFonts w:hint="eastAsia" w:ascii="Times New Roman" w:hAnsi="Times New Roman"/>
          <w:color w:val="auto"/>
          <w:sz w:val="24"/>
          <w:szCs w:val="24"/>
          <w:highlight w:val="none"/>
          <w:lang w:val="en-US" w:eastAsia="zh-CN"/>
        </w:rPr>
        <w:t>最大限度控制施工扬尘对周围环境的不利影响，</w:t>
      </w:r>
      <w:r>
        <w:rPr>
          <w:rFonts w:ascii="Times New Roman" w:hAnsi="Times New Roman"/>
          <w:color w:val="auto"/>
          <w:sz w:val="24"/>
          <w:szCs w:val="24"/>
          <w:highlight w:val="none"/>
        </w:rPr>
        <w:t>建设单位</w:t>
      </w:r>
      <w:r>
        <w:rPr>
          <w:rFonts w:hint="eastAsia" w:ascii="Times New Roman" w:hAnsi="Times New Roman"/>
          <w:color w:val="auto"/>
          <w:sz w:val="24"/>
          <w:szCs w:val="24"/>
          <w:highlight w:val="none"/>
          <w:lang w:val="en-US" w:eastAsia="zh-CN"/>
        </w:rPr>
        <w:t>严格执行</w:t>
      </w:r>
      <w:r>
        <w:rPr>
          <w:rFonts w:hint="default" w:ascii="Times New Roman" w:hAnsi="Times New Roman" w:cs="Times New Roman"/>
          <w:color w:val="auto"/>
          <w:sz w:val="24"/>
          <w:szCs w:val="24"/>
          <w:highlight w:val="none"/>
        </w:rPr>
        <w:t>《河北省扬尘污染防治办法》、</w:t>
      </w:r>
      <w:r>
        <w:rPr>
          <w:rFonts w:hint="eastAsia"/>
          <w:color w:val="auto"/>
          <w:sz w:val="24"/>
          <w:szCs w:val="24"/>
          <w:highlight w:val="none"/>
          <w:lang w:eastAsia="zh-CN"/>
        </w:rPr>
        <w:t>《河北省2024年建筑施工扬尘污染防治工作方案》</w:t>
      </w:r>
      <w:r>
        <w:rPr>
          <w:rFonts w:hint="default" w:ascii="Times New Roman" w:hAnsi="Times New Roman" w:cs="Times New Roman"/>
          <w:color w:val="auto"/>
          <w:sz w:val="24"/>
          <w:szCs w:val="24"/>
          <w:highlight w:val="none"/>
        </w:rPr>
        <w:t>及《承德市人民政府办公室关于印发承德市建筑施工现场管理暂行办法的通知》（承市政办字[2010]</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150号）</w:t>
      </w:r>
      <w:r>
        <w:rPr>
          <w:rFonts w:hint="eastAsia"/>
          <w:color w:val="auto"/>
          <w:sz w:val="24"/>
          <w:szCs w:val="24"/>
          <w:highlight w:val="none"/>
          <w:lang w:eastAsia="zh-CN"/>
        </w:rPr>
        <w:t>相关要求</w:t>
      </w:r>
      <w:r>
        <w:rPr>
          <w:rFonts w:hint="eastAsia" w:ascii="Times New Roman" w:hAnsi="Times New Roman"/>
          <w:color w:val="auto"/>
          <w:sz w:val="24"/>
          <w:szCs w:val="24"/>
          <w:highlight w:val="none"/>
          <w:lang w:val="en-US" w:eastAsia="zh-CN"/>
        </w:rPr>
        <w:t>，本项目拟采取的防治</w:t>
      </w:r>
      <w:r>
        <w:rPr>
          <w:rFonts w:ascii="Times New Roman" w:hAnsi="Times New Roman"/>
          <w:color w:val="auto"/>
          <w:sz w:val="24"/>
          <w:szCs w:val="24"/>
          <w:highlight w:val="none"/>
        </w:rPr>
        <w:t>措施</w:t>
      </w:r>
      <w:r>
        <w:rPr>
          <w:rFonts w:hint="eastAsia" w:ascii="Times New Roman" w:hAnsi="Times New Roman"/>
          <w:color w:val="auto"/>
          <w:sz w:val="24"/>
          <w:szCs w:val="24"/>
          <w:highlight w:val="none"/>
          <w:lang w:val="en-US" w:eastAsia="zh-CN"/>
        </w:rPr>
        <w:t>如下</w:t>
      </w:r>
      <w:r>
        <w:rPr>
          <w:rFonts w:ascii="Times New Roman" w:hAnsi="Times New Roman"/>
          <w:color w:val="auto"/>
          <w:sz w:val="24"/>
          <w:szCs w:val="24"/>
          <w:highlight w:val="none"/>
        </w:rPr>
        <w:t>：</w:t>
      </w:r>
    </w:p>
    <w:p w14:paraId="5988B0E6">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①在施工现场出入口明显位置设置公示牌，公示施工现场负责人、环保监督员、防尘措施、扬尘监督管理部门、举报投诉电话等信息；</w:t>
      </w:r>
      <w:r>
        <w:rPr>
          <w:rFonts w:hint="eastAsia" w:ascii="Times New Roman" w:hAnsi="Times New Roman" w:eastAsia="宋体" w:cs="Times New Roman"/>
          <w:color w:val="auto"/>
          <w:sz w:val="24"/>
          <w:szCs w:val="24"/>
          <w:highlight w:val="none"/>
          <w:lang w:val="en-US" w:eastAsia="zh-CN"/>
        </w:rPr>
        <w:t>施工现场四周设置围挡，定期洒水；</w:t>
      </w:r>
      <w:r>
        <w:rPr>
          <w:rFonts w:hint="default" w:ascii="Times New Roman" w:hAnsi="Times New Roman" w:eastAsia="宋体" w:cs="Times New Roman"/>
          <w:color w:val="auto"/>
          <w:sz w:val="24"/>
          <w:szCs w:val="24"/>
          <w:highlight w:val="none"/>
        </w:rPr>
        <w:t>在施工现场出口处设置车辆清洗设施并配套设置排水、泥浆沉淀设施，车辆冲洗干净后方可驶出；</w:t>
      </w:r>
    </w:p>
    <w:p w14:paraId="1767C5D4">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对施工现场出入口、场内施工道路、材料加工堆放区进行硬化处理，并保持地面整洁；使用预拌混凝土、预拌砂浆等建筑材料；在施工工地内堆放砂石、建筑土方等易产生扬尘建筑材料的，应当采取密闭或者遮盖等防尘措施，装卸、搬运时应当采取防尘措施；</w:t>
      </w:r>
    </w:p>
    <w:p w14:paraId="3F7C83FF">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③建筑垃圾应当及时清运，运输建筑垃圾及土方时应采用蓬布遮盖，以避免沿途洒落，减少运输扬尘；建筑垃圾在场地内堆存的，应当集中堆放并采取密闭或者遮盖等防尘措施；</w:t>
      </w:r>
    </w:p>
    <w:p w14:paraId="1D4D3A7A">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w:t>
      </w:r>
      <w:r>
        <w:rPr>
          <w:rFonts w:hint="default" w:ascii="Times New Roman" w:hAnsi="Times New Roman" w:eastAsia="宋体" w:cs="Times New Roman"/>
          <w:i w:val="0"/>
          <w:caps w:val="0"/>
          <w:color w:val="auto"/>
          <w:spacing w:val="0"/>
          <w:sz w:val="24"/>
          <w:szCs w:val="24"/>
          <w:highlight w:val="none"/>
          <w:shd w:val="clear" w:color="auto" w:fill="auto"/>
        </w:rPr>
        <w:t>遇有4级以上大风或重污染天气预警时，必须采取扬尘防治应急措施，严禁土方开挖、土方回填、房屋拆除、材料切割、金属焊接、喷涂或其他有可能产生扬尘的作业</w:t>
      </w:r>
      <w:r>
        <w:rPr>
          <w:rFonts w:hint="eastAsia" w:ascii="Times New Roman" w:hAnsi="Times New Roman" w:cs="Times New Roman"/>
          <w:i w:val="0"/>
          <w:caps w:val="0"/>
          <w:color w:val="auto"/>
          <w:spacing w:val="0"/>
          <w:sz w:val="24"/>
          <w:szCs w:val="24"/>
          <w:highlight w:val="none"/>
          <w:shd w:val="clear" w:color="auto" w:fill="auto"/>
          <w:lang w:eastAsia="zh-CN"/>
        </w:rPr>
        <w:t>；</w:t>
      </w:r>
    </w:p>
    <w:p w14:paraId="1C9C5DD1">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⑤</w:t>
      </w:r>
      <w:r>
        <w:rPr>
          <w:rFonts w:hint="default" w:ascii="Times New Roman" w:hAnsi="Times New Roman" w:cs="Times New Roman"/>
          <w:color w:val="auto"/>
          <w:sz w:val="24"/>
          <w:szCs w:val="24"/>
          <w:highlight w:val="none"/>
        </w:rPr>
        <w:t>施工单位要建立环境保护、环境卫生管理和检查制度，对现场作业人员进行环境保护、环境卫生等方面的培训教育</w:t>
      </w:r>
      <w:r>
        <w:rPr>
          <w:rFonts w:hint="eastAsia" w:ascii="Times New Roman" w:hAnsi="Times New Roman" w:cs="Times New Roman"/>
          <w:color w:val="auto"/>
          <w:sz w:val="24"/>
          <w:szCs w:val="24"/>
          <w:highlight w:val="none"/>
          <w:lang w:eastAsia="zh-CN"/>
        </w:rPr>
        <w:t>；</w:t>
      </w:r>
    </w:p>
    <w:p w14:paraId="55361D7F">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w:t>
      </w:r>
      <w:r>
        <w:rPr>
          <w:rFonts w:hint="default" w:ascii="Times New Roman" w:hAnsi="Times New Roman" w:eastAsia="宋体" w:cs="Times New Roman"/>
          <w:color w:val="auto"/>
          <w:position w:val="2"/>
          <w:sz w:val="24"/>
          <w:szCs w:val="24"/>
          <w:highlight w:val="none"/>
        </w:rPr>
        <w:t>在施工工地同步安装视频监控设备和扬尘污染物在线监测设备，分别与建设主管部门、生态环境主管部门的监控设备联网，并保证系统正常运行</w:t>
      </w:r>
      <w:r>
        <w:rPr>
          <w:rFonts w:hint="default" w:ascii="Times New Roman" w:hAnsi="Times New Roman" w:eastAsia="宋体" w:cs="Times New Roman"/>
          <w:color w:val="auto"/>
          <w:position w:val="2"/>
          <w:sz w:val="24"/>
          <w:szCs w:val="24"/>
          <w:highlight w:val="none"/>
          <w:lang w:eastAsia="zh-CN"/>
        </w:rPr>
        <w:t>，</w:t>
      </w:r>
      <w:r>
        <w:rPr>
          <w:rFonts w:hint="default" w:ascii="Times New Roman" w:hAnsi="Times New Roman" w:eastAsia="宋体" w:cs="Times New Roman"/>
          <w:color w:val="auto"/>
          <w:position w:val="2"/>
          <w:sz w:val="24"/>
          <w:szCs w:val="24"/>
          <w:highlight w:val="none"/>
        </w:rPr>
        <w:t>发生故障应当在二十四小时内修复</w:t>
      </w:r>
      <w:r>
        <w:rPr>
          <w:rFonts w:hint="eastAsia" w:ascii="Times New Roman" w:hAnsi="Times New Roman" w:eastAsia="宋体" w:cs="Times New Roman"/>
          <w:color w:val="auto"/>
          <w:position w:val="2"/>
          <w:sz w:val="24"/>
          <w:szCs w:val="24"/>
          <w:highlight w:val="none"/>
          <w:lang w:eastAsia="zh-CN"/>
        </w:rPr>
        <w:t>。</w:t>
      </w:r>
    </w:p>
    <w:p w14:paraId="05A541A7">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sz w:val="24"/>
          <w:szCs w:val="24"/>
          <w:highlight w:val="none"/>
        </w:rPr>
      </w:pPr>
      <w:r>
        <w:rPr>
          <w:rFonts w:hint="default" w:ascii="Times New Roman" w:hAnsi="Times New Roman" w:eastAsia="宋体" w:cs="Times New Roman"/>
          <w:color w:val="auto"/>
          <w:sz w:val="24"/>
          <w:szCs w:val="24"/>
          <w:highlight w:val="none"/>
        </w:rPr>
        <w:t>通过采取以上措施后，对施工扬尘的总体控制效率&gt;85%，可实现工程施工场地及运输道路外的PM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小时平均浓度与</w:t>
      </w:r>
      <w:r>
        <w:rPr>
          <w:rFonts w:hint="eastAsia" w:cs="Times New Roman"/>
          <w:color w:val="auto"/>
          <w:sz w:val="24"/>
          <w:szCs w:val="24"/>
          <w:highlight w:val="none"/>
          <w:lang w:val="en-US" w:eastAsia="zh-CN"/>
        </w:rPr>
        <w:t>隆化县</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小时平均浓度的差值小于80μg/m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，满足《施工场地扬尘排放标准》（DB13/2934</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2019）表1中扬尘排放浓度限值。</w:t>
      </w:r>
      <w:r>
        <w:rPr>
          <w:rFonts w:hint="eastAsia" w:cs="Times New Roman"/>
          <w:color w:val="auto"/>
          <w:kern w:val="0"/>
          <w:sz w:val="24"/>
          <w:szCs w:val="24"/>
          <w:highlight w:val="none"/>
          <w:lang w:eastAsia="zh-CN"/>
        </w:rPr>
        <w:t>施工</w:t>
      </w:r>
      <w:r>
        <w:rPr>
          <w:rFonts w:hint="default" w:ascii="Times New Roman" w:hAnsi="Times New Roman" w:eastAsia="宋体" w:cs="Times New Roman"/>
          <w:color w:val="auto"/>
          <w:sz w:val="24"/>
          <w:szCs w:val="24"/>
          <w:highlight w:val="none"/>
        </w:rPr>
        <w:t>扬尘</w:t>
      </w:r>
      <w:r>
        <w:rPr>
          <w:rFonts w:hint="default" w:ascii="Times New Roman" w:hAnsi="Times New Roman" w:cs="Times New Roman"/>
          <w:color w:val="auto"/>
          <w:kern w:val="0"/>
          <w:sz w:val="24"/>
          <w:szCs w:val="24"/>
          <w:highlight w:val="none"/>
        </w:rPr>
        <w:t>对区域大气环境</w:t>
      </w:r>
      <w:r>
        <w:rPr>
          <w:rFonts w:hint="default" w:ascii="Times New Roman" w:hAnsi="Times New Roman" w:eastAsia="宋体" w:cs="Times New Roman"/>
          <w:color w:val="auto"/>
          <w:sz w:val="24"/>
          <w:szCs w:val="24"/>
          <w:highlight w:val="none"/>
          <w:lang w:val="en-US" w:eastAsia="zh-CN"/>
        </w:rPr>
        <w:t>产生</w:t>
      </w:r>
      <w:r>
        <w:rPr>
          <w:rFonts w:hint="default" w:ascii="Times New Roman" w:hAnsi="Times New Roman" w:eastAsia="宋体" w:cs="Times New Roman"/>
          <w:color w:val="auto"/>
          <w:sz w:val="24"/>
          <w:szCs w:val="24"/>
          <w:highlight w:val="none"/>
        </w:rPr>
        <w:t>的影响可接受</w:t>
      </w:r>
      <w:r>
        <w:rPr>
          <w:rFonts w:hint="eastAsia" w:ascii="Times New Roman" w:hAnsi="Times New Roman" w:cs="Times New Roman"/>
          <w:color w:val="auto"/>
          <w:sz w:val="24"/>
          <w:szCs w:val="24"/>
          <w:highlight w:val="none"/>
          <w:lang w:eastAsia="zh-CN"/>
        </w:rPr>
        <w:t>。</w:t>
      </w:r>
    </w:p>
    <w:p w14:paraId="313F2F6E">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88" w:name="_Toc23598"/>
      <w:r>
        <w:rPr>
          <w:rFonts w:hint="default" w:ascii="Times New Roman" w:hAnsi="Times New Roman" w:cs="Times New Roman"/>
          <w:color w:val="000000"/>
          <w:sz w:val="24"/>
          <w:szCs w:val="24"/>
          <w:highlight w:val="none"/>
        </w:rPr>
        <w:t>建设阶段水环境影响分析</w:t>
      </w:r>
      <w:bookmarkEnd w:id="288"/>
    </w:p>
    <w:p w14:paraId="497F68F4">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highlight w:val="none"/>
        </w:rPr>
        <w:t>本项目建设阶段产生废水主要包括施工废水、生活污水。</w:t>
      </w:r>
    </w:p>
    <w:p w14:paraId="77E14D6D">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sz w:val="24"/>
          <w:szCs w:val="24"/>
          <w:highlight w:val="none"/>
        </w:rPr>
        <w:t>施工</w:t>
      </w:r>
      <w:r>
        <w:rPr>
          <w:rFonts w:hint="default" w:ascii="Times New Roman" w:hAnsi="Times New Roman" w:cs="Times New Roman"/>
          <w:sz w:val="24"/>
          <w:szCs w:val="24"/>
          <w:highlight w:val="none"/>
          <w:lang w:val="en-US" w:eastAsia="zh-CN"/>
        </w:rPr>
        <w:t>废水</w:t>
      </w:r>
      <w:r>
        <w:rPr>
          <w:rFonts w:hint="default" w:ascii="Times New Roman" w:hAnsi="Times New Roman" w:cs="Times New Roman"/>
          <w:sz w:val="24"/>
          <w:szCs w:val="24"/>
          <w:highlight w:val="none"/>
        </w:rPr>
        <w:t>产生量</w:t>
      </w:r>
      <w:r>
        <w:rPr>
          <w:rFonts w:hint="default" w:ascii="Times New Roman" w:hAnsi="Times New Roman" w:cs="Times New Roman"/>
          <w:sz w:val="24"/>
          <w:szCs w:val="24"/>
          <w:highlight w:val="none"/>
          <w:lang w:val="en-US" w:eastAsia="zh-CN"/>
        </w:rPr>
        <w:t>较</w:t>
      </w:r>
      <w:r>
        <w:rPr>
          <w:rFonts w:hint="default" w:ascii="Times New Roman" w:hAnsi="Times New Roman" w:cs="Times New Roman"/>
          <w:sz w:val="24"/>
          <w:szCs w:val="24"/>
          <w:highlight w:val="none"/>
        </w:rPr>
        <w:t>少，主要污染因子为SS</w:t>
      </w:r>
      <w:r>
        <w:rPr>
          <w:rFonts w:hint="eastAsia" w:cs="Times New Roman"/>
          <w:sz w:val="24"/>
          <w:szCs w:val="24"/>
          <w:highlight w:val="none"/>
          <w:lang w:eastAsia="zh-CN"/>
        </w:rPr>
        <w:t>，</w:t>
      </w:r>
      <w:r>
        <w:rPr>
          <w:rFonts w:hint="default" w:ascii="Times New Roman" w:hAnsi="Times New Roman" w:cs="Times New Roman"/>
          <w:sz w:val="24"/>
          <w:szCs w:val="24"/>
          <w:highlight w:val="none"/>
        </w:rPr>
        <w:t>施工废水</w:t>
      </w:r>
      <w:r>
        <w:rPr>
          <w:rFonts w:hint="default" w:ascii="Times New Roman" w:hAnsi="Times New Roman" w:cs="Times New Roman"/>
          <w:color w:val="auto"/>
          <w:sz w:val="24"/>
          <w:szCs w:val="24"/>
          <w:highlight w:val="none"/>
        </w:rPr>
        <w:t>通过临时沉淀池沉淀后用于场地抑尘</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sz w:val="24"/>
          <w:szCs w:val="24"/>
          <w:highlight w:val="none"/>
          <w:lang w:val="en-US" w:eastAsia="zh-CN"/>
        </w:rPr>
        <w:t>生活污水主要为施工人员的盥洗废水，产生量较小，</w:t>
      </w:r>
      <w:r>
        <w:rPr>
          <w:rFonts w:hint="default" w:ascii="Times New Roman" w:hAnsi="Times New Roman" w:cs="Times New Roman"/>
          <w:sz w:val="24"/>
          <w:szCs w:val="24"/>
          <w:highlight w:val="none"/>
        </w:rPr>
        <w:t>主要污染因子为pH、SS、COD、BOD</w:t>
      </w:r>
      <w:r>
        <w:rPr>
          <w:rFonts w:hint="default" w:ascii="Times New Roman" w:hAnsi="Times New Roman" w:cs="Times New Roman"/>
          <w:sz w:val="24"/>
          <w:szCs w:val="24"/>
          <w:highlight w:val="none"/>
          <w:vertAlign w:val="subscript"/>
        </w:rPr>
        <w:t>5</w:t>
      </w:r>
      <w:r>
        <w:rPr>
          <w:rFonts w:hint="default" w:ascii="Times New Roman" w:hAnsi="Times New Roman" w:cs="Times New Roman"/>
          <w:sz w:val="24"/>
          <w:szCs w:val="24"/>
          <w:highlight w:val="none"/>
        </w:rPr>
        <w:t>、NH</w:t>
      </w:r>
      <w:r>
        <w:rPr>
          <w:rFonts w:hint="default" w:ascii="Times New Roman" w:hAnsi="Times New Roman" w:cs="Times New Roman"/>
          <w:sz w:val="24"/>
          <w:szCs w:val="24"/>
          <w:highlight w:val="none"/>
          <w:vertAlign w:val="subscript"/>
        </w:rPr>
        <w:t>3</w:t>
      </w:r>
      <w:r>
        <w:rPr>
          <w:rFonts w:hint="default" w:ascii="Times New Roman" w:hAnsi="Times New Roman" w:cs="Times New Roman"/>
          <w:sz w:val="24"/>
          <w:szCs w:val="24"/>
          <w:highlight w:val="none"/>
        </w:rPr>
        <w:t>-N等</w:t>
      </w:r>
      <w:r>
        <w:rPr>
          <w:rFonts w:hint="default" w:ascii="Times New Roman" w:hAnsi="Times New Roman" w:cs="Times New Roman"/>
          <w:sz w:val="24"/>
          <w:szCs w:val="24"/>
          <w:highlight w:val="none"/>
          <w:lang w:val="en-US" w:eastAsia="zh-CN"/>
        </w:rPr>
        <w:t>，水质简单，用于</w:t>
      </w:r>
      <w:r>
        <w:rPr>
          <w:rFonts w:hint="default" w:ascii="Times New Roman" w:hAnsi="Times New Roman" w:cs="Times New Roman"/>
          <w:color w:val="auto"/>
          <w:sz w:val="24"/>
          <w:szCs w:val="24"/>
          <w:highlight w:val="none"/>
        </w:rPr>
        <w:t>施工场地抑尘</w:t>
      </w:r>
      <w:r>
        <w:rPr>
          <w:rFonts w:hint="eastAsia" w:cs="Times New Roman"/>
          <w:sz w:val="24"/>
          <w:szCs w:val="24"/>
          <w:highlight w:val="none"/>
          <w:lang w:val="en-US" w:eastAsia="zh-CN"/>
        </w:rPr>
        <w:t>。</w:t>
      </w:r>
      <w:r>
        <w:rPr>
          <w:rFonts w:hint="default" w:ascii="Times New Roman" w:hAnsi="Times New Roman" w:cs="Times New Roman"/>
          <w:color w:val="000000"/>
          <w:sz w:val="24"/>
          <w:szCs w:val="24"/>
          <w:highlight w:val="none"/>
        </w:rPr>
        <w:t>在采用上述工程措施，强化施工作业管理的前提下，</w:t>
      </w:r>
      <w:r>
        <w:rPr>
          <w:rFonts w:hint="default" w:ascii="Times New Roman" w:hAnsi="Times New Roman" w:cs="Times New Roman"/>
          <w:color w:val="000000"/>
          <w:sz w:val="24"/>
          <w:highlight w:val="none"/>
        </w:rPr>
        <w:t>项目建设阶段产生废水</w:t>
      </w:r>
      <w:r>
        <w:rPr>
          <w:rFonts w:hint="eastAsia" w:ascii="Times New Roman" w:hAnsi="Times New Roman" w:cs="Times New Roman"/>
          <w:color w:val="000000"/>
          <w:sz w:val="24"/>
          <w:highlight w:val="none"/>
          <w:lang w:val="en-US" w:eastAsia="zh-CN"/>
        </w:rPr>
        <w:t>不外排，不</w:t>
      </w:r>
      <w:r>
        <w:rPr>
          <w:rFonts w:hint="default" w:ascii="Times New Roman" w:hAnsi="Times New Roman" w:cs="Times New Roman"/>
          <w:color w:val="000000"/>
          <w:sz w:val="24"/>
          <w:szCs w:val="24"/>
          <w:highlight w:val="none"/>
        </w:rPr>
        <w:t>会对地表水环境产生明显影响。</w:t>
      </w:r>
    </w:p>
    <w:p w14:paraId="39CD68D5">
      <w:pPr>
        <w:pStyle w:val="6"/>
        <w:pageBreakBefore w:val="0"/>
        <w:kinsoku/>
        <w:wordWrap/>
        <w:overflowPunct/>
        <w:topLinePunct w:val="0"/>
        <w:autoSpaceDE/>
        <w:autoSpaceDN/>
        <w:bidi w:val="0"/>
        <w:spacing w:before="0" w:beforeLines="0" w:line="360" w:lineRule="auto"/>
        <w:textAlignment w:val="auto"/>
        <w:rPr>
          <w:rFonts w:hint="default" w:ascii="Times New Roman" w:hAnsi="Times New Roman" w:cs="Times New Roman"/>
          <w:color w:val="000000"/>
          <w:sz w:val="24"/>
          <w:szCs w:val="24"/>
          <w:highlight w:val="none"/>
        </w:rPr>
      </w:pPr>
      <w:bookmarkStart w:id="289" w:name="_Toc4121"/>
      <w:r>
        <w:rPr>
          <w:rFonts w:hint="default" w:ascii="Times New Roman" w:hAnsi="Times New Roman" w:cs="Times New Roman"/>
          <w:color w:val="000000"/>
          <w:sz w:val="24"/>
          <w:szCs w:val="24"/>
          <w:highlight w:val="none"/>
        </w:rPr>
        <w:t>建设阶段声环境影响分析</w:t>
      </w:r>
      <w:bookmarkEnd w:id="289"/>
    </w:p>
    <w:p w14:paraId="0B214E04">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1</w:t>
      </w: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噪声源强</w:t>
      </w:r>
    </w:p>
    <w:p w14:paraId="02625906">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eastAsia="宋体" w:cs="Times New Roman"/>
          <w:sz w:val="24"/>
          <w:szCs w:val="24"/>
          <w:highlight w:val="none"/>
        </w:rPr>
        <w:t>项目</w:t>
      </w:r>
      <w:r>
        <w:rPr>
          <w:rFonts w:hint="eastAsia" w:ascii="Times New Roman" w:hAnsi="Times New Roman" w:eastAsia="宋体" w:cs="Times New Roman"/>
          <w:sz w:val="24"/>
          <w:szCs w:val="24"/>
          <w:highlight w:val="none"/>
          <w:lang w:eastAsia="zh-CN"/>
        </w:rPr>
        <w:t>建设阶段</w:t>
      </w:r>
      <w:r>
        <w:rPr>
          <w:rFonts w:hint="default" w:ascii="Times New Roman" w:hAnsi="Times New Roman" w:eastAsia="宋体" w:cs="Times New Roman"/>
          <w:sz w:val="24"/>
          <w:szCs w:val="24"/>
          <w:highlight w:val="none"/>
        </w:rPr>
        <w:t>产生的噪声包括设备噪声和运输噪声，其中设备噪声主要来源于施工机械运转，源强一般在7</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w:t>
      </w:r>
      <w:r>
        <w:rPr>
          <w:rFonts w:hint="eastAsia" w:cs="Times New Roman"/>
          <w:sz w:val="24"/>
          <w:szCs w:val="24"/>
          <w:highlight w:val="none"/>
          <w:lang w:val="en-US" w:eastAsia="zh-CN"/>
        </w:rPr>
        <w:t>90</w:t>
      </w:r>
      <w:r>
        <w:rPr>
          <w:rFonts w:hint="default" w:ascii="Times New Roman" w:hAnsi="Times New Roman" w:eastAsia="宋体" w:cs="Times New Roman"/>
          <w:sz w:val="24"/>
          <w:szCs w:val="24"/>
          <w:highlight w:val="none"/>
        </w:rPr>
        <w:t>dB（A）；运输噪声源于运输车辆，源强</w:t>
      </w:r>
      <w:r>
        <w:rPr>
          <w:rFonts w:hint="eastAsia" w:cs="Times New Roman"/>
          <w:sz w:val="24"/>
          <w:szCs w:val="24"/>
          <w:highlight w:val="none"/>
          <w:lang w:val="en-US" w:eastAsia="zh-CN"/>
        </w:rPr>
        <w:t>为</w:t>
      </w:r>
      <w:r>
        <w:rPr>
          <w:rFonts w:hint="default" w:ascii="Times New Roman" w:hAnsi="Times New Roman" w:eastAsia="宋体" w:cs="Times New Roman"/>
          <w:sz w:val="24"/>
          <w:szCs w:val="24"/>
          <w:highlight w:val="none"/>
        </w:rPr>
        <w:t>85dB（A）</w:t>
      </w:r>
      <w:r>
        <w:rPr>
          <w:rFonts w:hint="default" w:ascii="Times New Roman" w:hAnsi="Times New Roman" w:cs="Times New Roman"/>
          <w:color w:val="000000"/>
          <w:sz w:val="24"/>
          <w:szCs w:val="24"/>
          <w:highlight w:val="none"/>
        </w:rPr>
        <w:t>。</w:t>
      </w:r>
    </w:p>
    <w:p w14:paraId="02D34BF6">
      <w:pPr>
        <w:pageBreakBefore w:val="0"/>
        <w:widowControl w:val="0"/>
        <w:kinsoku/>
        <w:wordWrap/>
        <w:overflowPunct/>
        <w:autoSpaceDE/>
        <w:autoSpaceDN/>
        <w:bidi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2</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噪声影响预测</w:t>
      </w:r>
    </w:p>
    <w:p w14:paraId="4E7185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本评价采用点源衰减模式，预测计算施工机械噪声源至受声点的几何发散衰减，计算中不考虑声屏障、空气吸收等衰减，预测公式如下：</w:t>
      </w:r>
    </w:p>
    <w:p w14:paraId="27255C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Lr=Lro-20lg(r/ro)</w:t>
      </w:r>
    </w:p>
    <w:p w14:paraId="01430E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式中：Lr——距声源r处的A声压级，dB(A)；</w:t>
      </w:r>
    </w:p>
    <w:p w14:paraId="078BD2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Lro——距声源ro处的A声压级，dB(A)；</w:t>
      </w:r>
    </w:p>
    <w:p w14:paraId="40544C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r——预测点与声源的距离，m；</w:t>
      </w:r>
    </w:p>
    <w:p w14:paraId="1731DB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ro——监测设备噪声时的距离，m。</w:t>
      </w:r>
    </w:p>
    <w:p w14:paraId="5887C5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利用上述公式，预测计算本项目主要施工机械在不同距离处的贡献值，</w:t>
      </w:r>
      <w:r>
        <w:rPr>
          <w:rFonts w:hint="eastAsia" w:ascii="Times New Roman" w:hAnsi="Times New Roman" w:cs="Times New Roman"/>
          <w:color w:val="000000"/>
          <w:sz w:val="24"/>
          <w:highlight w:val="none"/>
          <w:lang w:val="en-US" w:eastAsia="zh-CN"/>
        </w:rPr>
        <w:t>以噪声源强最高的</w:t>
      </w:r>
      <w:r>
        <w:rPr>
          <w:rFonts w:hint="eastAsia" w:cs="Times New Roman"/>
          <w:color w:val="000000"/>
          <w:sz w:val="24"/>
          <w:highlight w:val="none"/>
          <w:lang w:val="en-US" w:eastAsia="zh-CN"/>
        </w:rPr>
        <w:t>搅拌机</w:t>
      </w:r>
      <w:r>
        <w:rPr>
          <w:rFonts w:hint="eastAsia" w:ascii="Times New Roman" w:hAnsi="Times New Roman" w:cs="Times New Roman"/>
          <w:color w:val="000000"/>
          <w:sz w:val="24"/>
          <w:highlight w:val="none"/>
          <w:lang w:val="en-US" w:eastAsia="zh-CN"/>
        </w:rPr>
        <w:t>为例，在不采用任何噪声防治措施的情况下，机械噪声在40m处贡献值可控制在65dB(A)以下，在100m处可控制在55dB(A)以下，对周围声环境产生的影响较小</w:t>
      </w:r>
      <w:r>
        <w:rPr>
          <w:rFonts w:hint="default" w:ascii="Times New Roman" w:hAnsi="Times New Roman" w:cs="Times New Roman"/>
          <w:color w:val="000000"/>
          <w:sz w:val="24"/>
          <w:highlight w:val="none"/>
        </w:rPr>
        <w:t>。</w:t>
      </w:r>
    </w:p>
    <w:p w14:paraId="05F4E1CF">
      <w:pPr>
        <w:pageBreakBefore w:val="0"/>
        <w:widowControl w:val="0"/>
        <w:kinsoku/>
        <w:wordWrap/>
        <w:overflowPunct/>
        <w:autoSpaceDE/>
        <w:autoSpaceDN/>
        <w:bidi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建设单位拟采取选用低噪声设备、规范设备操作、设备定期维护、合理安排时间（夜间禁止施工）、加强施工管理、车辆经过村庄减速慢行、车辆禁鸣等降噪措施，施工噪声能够满足《建筑施工场界环境噪声排放标准》（GB12523-2011）的要求。施工噪声的环境影响随着建设阶段的结束而消除，对区域声环境质量影响较小。</w:t>
      </w:r>
    </w:p>
    <w:p w14:paraId="5D2E8081">
      <w:pPr>
        <w:pStyle w:val="6"/>
        <w:pageBreakBefore w:val="0"/>
        <w:widowControl w:val="0"/>
        <w:kinsoku/>
        <w:wordWrap/>
        <w:overflowPunct/>
        <w:autoSpaceDE/>
        <w:autoSpaceDN/>
        <w:bidi w:val="0"/>
        <w:spacing w:before="0" w:beforeLines="0"/>
        <w:rPr>
          <w:rFonts w:hint="default" w:ascii="Times New Roman" w:hAnsi="Times New Roman" w:cs="Times New Roman"/>
          <w:color w:val="auto"/>
          <w:highlight w:val="none"/>
        </w:rPr>
      </w:pPr>
      <w:bookmarkStart w:id="290" w:name="_Toc5511"/>
      <w:r>
        <w:rPr>
          <w:rFonts w:hint="default" w:ascii="Times New Roman" w:hAnsi="Times New Roman" w:cs="Times New Roman"/>
          <w:color w:val="auto"/>
          <w:highlight w:val="none"/>
        </w:rPr>
        <w:t>建设阶段固体废物影响分析</w:t>
      </w:r>
      <w:bookmarkEnd w:id="290"/>
    </w:p>
    <w:p w14:paraId="642C77D1">
      <w:pPr>
        <w:pageBreakBefore w:val="0"/>
        <w:widowControl w:val="0"/>
        <w:kinsoku/>
        <w:wordWrap/>
        <w:overflowPunct/>
        <w:topLinePunct/>
        <w:autoSpaceDE/>
        <w:autoSpaceDN/>
        <w:bidi w:val="0"/>
        <w:spacing w:line="360" w:lineRule="auto"/>
        <w:ind w:firstLine="480" w:firstLineChars="200"/>
        <w:textAlignment w:val="center"/>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项目建设阶段固体废物主要为剥离表土、废石和生活垃圾</w:t>
      </w:r>
      <w:r>
        <w:rPr>
          <w:rFonts w:hint="eastAsia" w:ascii="Times New Roman" w:hAnsi="Times New Roman" w:eastAsia="宋体" w:cs="Times New Roman"/>
          <w:color w:val="auto"/>
          <w:sz w:val="24"/>
          <w:szCs w:val="24"/>
          <w:highlight w:val="none"/>
          <w:lang w:val="en-US" w:eastAsia="zh-CN"/>
        </w:rPr>
        <w:t>。</w:t>
      </w:r>
    </w:p>
    <w:p w14:paraId="7CFE65C3">
      <w:pPr>
        <w:pageBreakBefore w:val="0"/>
        <w:widowControl w:val="0"/>
        <w:kinsoku/>
        <w:wordWrap/>
        <w:overflowPunct/>
        <w:topLinePunct/>
        <w:autoSpaceDE/>
        <w:autoSpaceDN/>
        <w:bidi w:val="0"/>
        <w:spacing w:line="360" w:lineRule="auto"/>
        <w:ind w:firstLine="480" w:firstLineChars="200"/>
        <w:textAlignment w:val="center"/>
        <w:rPr>
          <w:rFonts w:hint="eastAsia" w:cs="Times New Roman"/>
          <w:color w:val="auto"/>
          <w:sz w:val="24"/>
          <w:highlight w:val="none"/>
          <w:lang w:eastAsia="zh-CN"/>
        </w:rPr>
      </w:pPr>
      <w:r>
        <w:rPr>
          <w:rFonts w:hint="eastAsia" w:cs="Times New Roman"/>
          <w:color w:val="auto"/>
          <w:sz w:val="24"/>
          <w:szCs w:val="24"/>
          <w:highlight w:val="none"/>
          <w:lang w:val="en-US" w:eastAsia="zh-CN"/>
        </w:rPr>
        <w:t>剥离的表土贮存于本项目排土场内，表土堆场四周建设围堰，表层进行遮盖，防止流失，备用于排土场阶段性绿化和生态恢复工程；废石用于场地整理、挡石坝建设等；</w:t>
      </w:r>
      <w:r>
        <w:rPr>
          <w:rFonts w:hint="default" w:ascii="Times New Roman" w:hAnsi="Times New Roman" w:cs="Times New Roman"/>
          <w:color w:val="auto"/>
          <w:kern w:val="0"/>
          <w:sz w:val="24"/>
          <w:szCs w:val="21"/>
          <w:highlight w:val="none"/>
        </w:rPr>
        <w:t>生活垃圾集中收集，定期由当地环卫部门清运</w:t>
      </w:r>
      <w:r>
        <w:rPr>
          <w:rFonts w:hint="eastAsia" w:ascii="Times New Roman" w:hAnsi="Times New Roman" w:cs="Times New Roman"/>
          <w:color w:val="auto"/>
          <w:kern w:val="0"/>
          <w:sz w:val="24"/>
          <w:szCs w:val="21"/>
          <w:highlight w:val="none"/>
          <w:lang w:eastAsia="zh-CN"/>
        </w:rPr>
        <w:t>。</w:t>
      </w:r>
      <w:r>
        <w:rPr>
          <w:rFonts w:hint="default" w:ascii="Times New Roman" w:hAnsi="Times New Roman" w:cs="Times New Roman"/>
          <w:color w:val="auto"/>
          <w:sz w:val="24"/>
          <w:highlight w:val="none"/>
        </w:rPr>
        <w:t>综上所述，建设阶段产生的固体废物全部得到妥善处置，不会对周围环境产生明显影响</w:t>
      </w:r>
      <w:r>
        <w:rPr>
          <w:rFonts w:hint="eastAsia" w:cs="Times New Roman"/>
          <w:color w:val="auto"/>
          <w:sz w:val="24"/>
          <w:highlight w:val="none"/>
          <w:lang w:eastAsia="zh-CN"/>
        </w:rPr>
        <w:t>。</w:t>
      </w:r>
    </w:p>
    <w:p w14:paraId="7B4BA1B5">
      <w:pPr>
        <w:pStyle w:val="5"/>
        <w:keepNext/>
        <w:keepLines/>
        <w:pageBreakBefore w:val="0"/>
        <w:widowControl w:val="0"/>
        <w:kinsoku/>
        <w:wordWrap/>
        <w:overflowPunct/>
        <w:topLinePunct w:val="0"/>
        <w:autoSpaceDE/>
        <w:autoSpaceDN/>
        <w:bidi w:val="0"/>
        <w:adjustRightInd/>
        <w:snapToGrid/>
        <w:spacing w:before="0" w:after="0" w:line="360" w:lineRule="auto"/>
        <w:ind w:left="0" w:firstLine="0" w:firstLineChars="0"/>
        <w:textAlignment w:val="auto"/>
        <w:rPr>
          <w:rFonts w:hint="default" w:ascii="Times New Roman" w:hAnsi="Times New Roman" w:cs="Times New Roman"/>
          <w:color w:val="000000"/>
          <w:sz w:val="28"/>
          <w:szCs w:val="28"/>
          <w:highlight w:val="none"/>
        </w:rPr>
      </w:pPr>
      <w:bookmarkStart w:id="291" w:name="_Toc4443"/>
      <w:bookmarkStart w:id="292" w:name="_Toc31567"/>
      <w:bookmarkStart w:id="293" w:name="_Toc6755"/>
      <w:bookmarkStart w:id="294" w:name="_Toc31007"/>
      <w:bookmarkStart w:id="295" w:name="_Toc17718"/>
      <w:r>
        <w:rPr>
          <w:rFonts w:hint="default" w:ascii="Times New Roman" w:hAnsi="Times New Roman" w:cs="Times New Roman"/>
          <w:color w:val="000000"/>
          <w:sz w:val="28"/>
          <w:szCs w:val="28"/>
          <w:highlight w:val="none"/>
        </w:rPr>
        <w:t>生产运行阶段环境影响预测与评价</w:t>
      </w:r>
      <w:bookmarkEnd w:id="291"/>
      <w:bookmarkEnd w:id="292"/>
      <w:bookmarkEnd w:id="293"/>
      <w:bookmarkEnd w:id="294"/>
      <w:bookmarkEnd w:id="295"/>
    </w:p>
    <w:p w14:paraId="71E386D5">
      <w:pPr>
        <w:pStyle w:val="6"/>
        <w:pageBreakBefore w:val="0"/>
        <w:widowControl w:val="0"/>
        <w:kinsoku/>
        <w:wordWrap/>
        <w:overflowPunct/>
        <w:topLinePunct w:val="0"/>
        <w:autoSpaceDE/>
        <w:autoSpaceDN/>
        <w:bidi w:val="0"/>
        <w:spacing w:before="0" w:beforeLines="0" w:line="360" w:lineRule="auto"/>
        <w:ind w:firstLine="0" w:firstLineChars="0"/>
        <w:textAlignment w:val="auto"/>
        <w:rPr>
          <w:rFonts w:hint="default" w:ascii="Times New Roman" w:hAnsi="Times New Roman" w:cs="Times New Roman"/>
          <w:color w:val="000000"/>
          <w:highlight w:val="none"/>
        </w:rPr>
      </w:pPr>
      <w:bookmarkStart w:id="296" w:name="_Toc11360"/>
      <w:r>
        <w:rPr>
          <w:rFonts w:hint="default" w:ascii="Times New Roman" w:hAnsi="Times New Roman" w:cs="Times New Roman"/>
          <w:color w:val="000000"/>
          <w:highlight w:val="none"/>
        </w:rPr>
        <w:t>生产运行阶段大气环境影响预测与评价</w:t>
      </w:r>
      <w:bookmarkEnd w:id="296"/>
    </w:p>
    <w:p w14:paraId="05A38C2D">
      <w:pPr>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rPr>
        <w:t>5.2.1.</w:t>
      </w:r>
      <w:r>
        <w:rPr>
          <w:rFonts w:hint="eastAsia" w:cs="Times New Roman"/>
          <w:b/>
          <w:sz w:val="24"/>
          <w:szCs w:val="24"/>
          <w:highlight w:val="none"/>
          <w:lang w:val="en-US" w:eastAsia="zh-CN"/>
        </w:rPr>
        <w:t>1</w:t>
      </w:r>
      <w:r>
        <w:rPr>
          <w:rFonts w:hint="eastAsia" w:ascii="Times New Roman" w:hAnsi="Times New Roman" w:eastAsia="宋体" w:cs="Times New Roman"/>
          <w:b/>
          <w:sz w:val="24"/>
          <w:szCs w:val="24"/>
          <w:highlight w:val="none"/>
          <w:lang w:val="en-US" w:eastAsia="zh-CN"/>
        </w:rPr>
        <w:t>废气达标分析</w:t>
      </w:r>
    </w:p>
    <w:p w14:paraId="549F2A02">
      <w:pPr>
        <w:spacing w:line="500" w:lineRule="exact"/>
        <w:ind w:firstLine="480" w:firstLineChars="200"/>
        <w:rPr>
          <w:rFonts w:hint="eastAsia" w:ascii="Times New Roman" w:hAnsi="Times New Roman" w:cs="Times New Roman"/>
          <w:color w:val="000000"/>
          <w:kern w:val="0"/>
          <w:sz w:val="24"/>
          <w:szCs w:val="24"/>
          <w:highlight w:val="none"/>
          <w:lang w:val="en-US" w:eastAsia="zh-CN"/>
        </w:rPr>
      </w:pPr>
      <w:r>
        <w:rPr>
          <w:rFonts w:hint="eastAsia" w:ascii="Times New Roman" w:hAnsi="Times New Roman" w:cs="Times New Roman"/>
          <w:color w:val="000000"/>
          <w:kern w:val="0"/>
          <w:sz w:val="24"/>
          <w:szCs w:val="24"/>
          <w:highlight w:val="none"/>
          <w:lang w:val="en-US" w:eastAsia="zh-CN"/>
        </w:rPr>
        <w:t>本项目大气污染源</w:t>
      </w:r>
      <w:r>
        <w:rPr>
          <w:rFonts w:hint="eastAsia" w:cs="Times New Roman"/>
          <w:color w:val="000000"/>
          <w:kern w:val="0"/>
          <w:sz w:val="24"/>
          <w:szCs w:val="24"/>
          <w:highlight w:val="none"/>
          <w:lang w:val="en-US" w:eastAsia="zh-CN"/>
        </w:rPr>
        <w:t>为</w:t>
      </w:r>
      <w:r>
        <w:rPr>
          <w:rFonts w:hint="eastAsia" w:cs="Times New Roman"/>
          <w:color w:val="auto"/>
          <w:kern w:val="0"/>
          <w:sz w:val="24"/>
          <w:szCs w:val="21"/>
          <w:highlight w:val="none"/>
          <w:lang w:val="en-US" w:eastAsia="zh-CN"/>
        </w:rPr>
        <w:t>运输扬尘、堆存扬尘、封场覆土扬尘</w:t>
      </w:r>
      <w:r>
        <w:rPr>
          <w:rFonts w:hint="eastAsia" w:ascii="Times New Roman" w:hAnsi="Times New Roman" w:cs="Times New Roman"/>
          <w:color w:val="000000"/>
          <w:kern w:val="0"/>
          <w:sz w:val="24"/>
          <w:szCs w:val="24"/>
          <w:highlight w:val="none"/>
          <w:lang w:val="en-US" w:eastAsia="zh-CN"/>
        </w:rPr>
        <w:t>，均为无组织排放，污染因子为颗粒物（TSP、PM</w:t>
      </w:r>
      <w:r>
        <w:rPr>
          <w:rFonts w:hint="eastAsia" w:ascii="Times New Roman" w:hAnsi="Times New Roman" w:cs="Times New Roman"/>
          <w:color w:val="000000"/>
          <w:kern w:val="0"/>
          <w:sz w:val="24"/>
          <w:szCs w:val="24"/>
          <w:highlight w:val="none"/>
          <w:vertAlign w:val="subscript"/>
          <w:lang w:val="en-US" w:eastAsia="zh-CN"/>
        </w:rPr>
        <w:t>10</w:t>
      </w:r>
      <w:r>
        <w:rPr>
          <w:rFonts w:hint="eastAsia" w:ascii="Times New Roman" w:hAnsi="Times New Roman" w:cs="Times New Roman"/>
          <w:color w:val="000000"/>
          <w:kern w:val="0"/>
          <w:sz w:val="24"/>
          <w:szCs w:val="24"/>
          <w:highlight w:val="none"/>
          <w:lang w:val="en-US" w:eastAsia="zh-CN"/>
        </w:rPr>
        <w:t>）。</w:t>
      </w:r>
      <w:r>
        <w:rPr>
          <w:rFonts w:hint="eastAsia" w:cs="Times New Roman"/>
          <w:color w:val="000000"/>
          <w:kern w:val="0"/>
          <w:sz w:val="24"/>
          <w:szCs w:val="24"/>
          <w:highlight w:val="none"/>
          <w:lang w:val="en-US" w:eastAsia="zh-CN"/>
        </w:rPr>
        <w:t>本次评价主要预测排土场堆存扬尘，</w:t>
      </w:r>
      <w:r>
        <w:rPr>
          <w:rFonts w:hint="eastAsia" w:ascii="Times New Roman" w:hAnsi="Times New Roman" w:cs="Times New Roman"/>
          <w:color w:val="000000"/>
          <w:kern w:val="0"/>
          <w:sz w:val="24"/>
          <w:szCs w:val="24"/>
          <w:highlight w:val="none"/>
          <w:lang w:val="en-US" w:eastAsia="zh-CN"/>
        </w:rPr>
        <w:t>无组织排放废气源强具体见</w:t>
      </w:r>
      <w:r>
        <w:rPr>
          <w:rFonts w:hint="eastAsia" w:cs="Times New Roman"/>
          <w:color w:val="000000"/>
          <w:kern w:val="0"/>
          <w:sz w:val="24"/>
          <w:szCs w:val="24"/>
          <w:highlight w:val="none"/>
          <w:lang w:val="en-US" w:eastAsia="zh-CN"/>
        </w:rPr>
        <w:t>下表</w:t>
      </w:r>
      <w:r>
        <w:rPr>
          <w:rFonts w:hint="eastAsia" w:ascii="Times New Roman" w:hAnsi="Times New Roman" w:cs="Times New Roman"/>
          <w:color w:val="000000"/>
          <w:kern w:val="0"/>
          <w:sz w:val="24"/>
          <w:szCs w:val="24"/>
          <w:highlight w:val="none"/>
          <w:lang w:val="en-US" w:eastAsia="zh-CN"/>
        </w:rPr>
        <w:t>。</w:t>
      </w:r>
    </w:p>
    <w:p w14:paraId="1D5462F4">
      <w:pPr>
        <w:numPr>
          <w:ilvl w:val="0"/>
          <w:numId w:val="24"/>
        </w:numPr>
        <w:ind w:left="0" w:leftChars="0" w:firstLine="0" w:firstLineChars="0"/>
        <w:jc w:val="center"/>
        <w:rPr>
          <w:rStyle w:val="66"/>
          <w:rFonts w:hint="eastAsia" w:ascii="Times New Roman" w:hAnsi="Times New Roman" w:eastAsia="宋体" w:cs="Times New Roman"/>
          <w:b/>
          <w:color w:val="000000"/>
          <w:highlight w:val="none"/>
          <w:lang w:val="en-US" w:eastAsia="zh-CN"/>
        </w:rPr>
      </w:pPr>
      <w:r>
        <w:rPr>
          <w:rStyle w:val="66"/>
          <w:rFonts w:hint="eastAsia" w:ascii="Times New Roman" w:hAnsi="Times New Roman" w:eastAsia="宋体" w:cs="Times New Roman"/>
          <w:b/>
          <w:color w:val="000000"/>
          <w:highlight w:val="none"/>
          <w:lang w:val="en-US" w:eastAsia="zh-CN"/>
        </w:rPr>
        <w:t>无组织面源排放颗粒物源强一览表</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3"/>
        <w:gridCol w:w="1216"/>
        <w:gridCol w:w="1288"/>
        <w:gridCol w:w="1370"/>
        <w:gridCol w:w="1816"/>
        <w:gridCol w:w="1482"/>
      </w:tblGrid>
      <w:tr w14:paraId="322D9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3" w:type="pct"/>
            <w:vMerge w:val="restart"/>
            <w:tcBorders>
              <w:top w:val="single" w:color="auto" w:sz="2" w:space="0"/>
              <w:left w:val="single" w:color="auto" w:sz="2" w:space="0"/>
              <w:bottom w:val="single" w:color="auto" w:sz="2" w:space="0"/>
              <w:right w:val="single" w:color="auto" w:sz="2" w:space="0"/>
            </w:tcBorders>
            <w:noWrap w:val="0"/>
            <w:vAlign w:val="center"/>
          </w:tcPr>
          <w:p w14:paraId="6A7B8D70">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主要排放源</w:t>
            </w:r>
          </w:p>
        </w:tc>
        <w:tc>
          <w:tcPr>
            <w:tcW w:w="713" w:type="pct"/>
            <w:vMerge w:val="restart"/>
            <w:tcBorders>
              <w:top w:val="single" w:color="auto" w:sz="2" w:space="0"/>
              <w:left w:val="single" w:color="auto" w:sz="2" w:space="0"/>
              <w:bottom w:val="single" w:color="auto" w:sz="2" w:space="0"/>
              <w:right w:val="single" w:color="auto" w:sz="2" w:space="0"/>
            </w:tcBorders>
            <w:noWrap w:val="0"/>
            <w:vAlign w:val="center"/>
          </w:tcPr>
          <w:p w14:paraId="76A4C178">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预测因子</w:t>
            </w:r>
          </w:p>
        </w:tc>
        <w:tc>
          <w:tcPr>
            <w:tcW w:w="1558" w:type="pct"/>
            <w:gridSpan w:val="2"/>
            <w:tcBorders>
              <w:top w:val="single" w:color="auto" w:sz="2" w:space="0"/>
              <w:left w:val="single" w:color="auto" w:sz="2" w:space="0"/>
              <w:bottom w:val="single" w:color="auto" w:sz="2" w:space="0"/>
              <w:right w:val="single" w:color="auto" w:sz="2" w:space="0"/>
            </w:tcBorders>
            <w:noWrap w:val="0"/>
            <w:vAlign w:val="center"/>
          </w:tcPr>
          <w:p w14:paraId="2D41A664">
            <w:pPr>
              <w:adjustRightInd/>
              <w:snapToGrid/>
              <w:spacing w:line="240" w:lineRule="auto"/>
              <w:ind w:firstLine="0" w:firstLineChars="0"/>
              <w:jc w:val="center"/>
              <w:rPr>
                <w:rFonts w:hint="eastAsia" w:ascii="Times New Roman" w:hAnsi="Times New Roman" w:eastAsia="宋体" w:cs="Times New Roman"/>
                <w:b/>
                <w:color w:val="auto"/>
                <w:kern w:val="0"/>
                <w:sz w:val="21"/>
                <w:szCs w:val="21"/>
                <w:highlight w:val="none"/>
                <w:lang w:eastAsia="zh-CN"/>
              </w:rPr>
            </w:pPr>
            <w:r>
              <w:rPr>
                <w:rFonts w:hint="default" w:ascii="Times New Roman" w:hAnsi="Times New Roman" w:eastAsia="宋体" w:cs="Times New Roman"/>
                <w:b/>
                <w:color w:val="auto"/>
                <w:kern w:val="0"/>
                <w:sz w:val="21"/>
                <w:szCs w:val="21"/>
                <w:highlight w:val="none"/>
              </w:rPr>
              <w:t>排放速率</w:t>
            </w:r>
            <w:r>
              <w:rPr>
                <w:rFonts w:hint="eastAsia" w:ascii="Times New Roman" w:hAnsi="Times New Roman" w:eastAsia="宋体" w:cs="Times New Roman"/>
                <w:b/>
                <w:color w:val="auto"/>
                <w:kern w:val="0"/>
                <w:sz w:val="21"/>
                <w:szCs w:val="21"/>
                <w:highlight w:val="none"/>
                <w:lang w:eastAsia="zh-CN"/>
              </w:rPr>
              <w:t>（</w:t>
            </w:r>
            <w:r>
              <w:rPr>
                <w:rFonts w:hint="default" w:ascii="Times New Roman" w:hAnsi="Times New Roman" w:eastAsia="宋体" w:cs="Times New Roman"/>
                <w:b/>
                <w:color w:val="auto"/>
                <w:kern w:val="0"/>
                <w:sz w:val="21"/>
                <w:szCs w:val="21"/>
                <w:highlight w:val="none"/>
              </w:rPr>
              <w:t>kg/h</w:t>
            </w:r>
            <w:r>
              <w:rPr>
                <w:rFonts w:hint="eastAsia" w:ascii="Times New Roman" w:hAnsi="Times New Roman" w:eastAsia="宋体" w:cs="Times New Roman"/>
                <w:b/>
                <w:color w:val="auto"/>
                <w:kern w:val="0"/>
                <w:sz w:val="21"/>
                <w:szCs w:val="21"/>
                <w:highlight w:val="none"/>
                <w:lang w:eastAsia="zh-CN"/>
              </w:rPr>
              <w:t>）</w:t>
            </w:r>
          </w:p>
        </w:tc>
        <w:tc>
          <w:tcPr>
            <w:tcW w:w="1065" w:type="pct"/>
            <w:tcBorders>
              <w:top w:val="single" w:color="auto" w:sz="2" w:space="0"/>
              <w:left w:val="single" w:color="auto" w:sz="2" w:space="0"/>
              <w:bottom w:val="single" w:color="auto" w:sz="2" w:space="0"/>
              <w:right w:val="single" w:color="auto" w:sz="2" w:space="0"/>
            </w:tcBorders>
            <w:noWrap w:val="0"/>
            <w:vAlign w:val="center"/>
          </w:tcPr>
          <w:p w14:paraId="2AE365BF">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有效面积</w:t>
            </w:r>
          </w:p>
        </w:tc>
        <w:tc>
          <w:tcPr>
            <w:tcW w:w="869" w:type="pct"/>
            <w:tcBorders>
              <w:top w:val="single" w:color="auto" w:sz="2" w:space="0"/>
              <w:left w:val="single" w:color="auto" w:sz="2" w:space="0"/>
              <w:bottom w:val="single" w:color="auto" w:sz="2" w:space="0"/>
              <w:right w:val="single" w:color="auto" w:sz="2" w:space="0"/>
            </w:tcBorders>
            <w:noWrap w:val="0"/>
            <w:vAlign w:val="center"/>
          </w:tcPr>
          <w:p w14:paraId="4D60637B">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有效高度</w:t>
            </w:r>
          </w:p>
        </w:tc>
      </w:tr>
      <w:tr w14:paraId="696A7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3" w:type="pct"/>
            <w:vMerge w:val="continue"/>
            <w:tcBorders>
              <w:top w:val="single" w:color="auto" w:sz="2" w:space="0"/>
              <w:left w:val="single" w:color="auto" w:sz="2" w:space="0"/>
              <w:bottom w:val="single" w:color="auto" w:sz="2" w:space="0"/>
              <w:right w:val="single" w:color="auto" w:sz="2" w:space="0"/>
            </w:tcBorders>
            <w:noWrap w:val="0"/>
            <w:vAlign w:val="center"/>
          </w:tcPr>
          <w:p w14:paraId="032DAD48">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p>
        </w:tc>
        <w:tc>
          <w:tcPr>
            <w:tcW w:w="713" w:type="pct"/>
            <w:vMerge w:val="continue"/>
            <w:tcBorders>
              <w:top w:val="single" w:color="auto" w:sz="2" w:space="0"/>
              <w:left w:val="single" w:color="auto" w:sz="2" w:space="0"/>
              <w:bottom w:val="single" w:color="auto" w:sz="2" w:space="0"/>
              <w:right w:val="single" w:color="auto" w:sz="2" w:space="0"/>
            </w:tcBorders>
            <w:noWrap w:val="0"/>
            <w:vAlign w:val="center"/>
          </w:tcPr>
          <w:p w14:paraId="1F6097B1">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p>
        </w:tc>
        <w:tc>
          <w:tcPr>
            <w:tcW w:w="755" w:type="pct"/>
            <w:tcBorders>
              <w:top w:val="single" w:color="auto" w:sz="2" w:space="0"/>
              <w:left w:val="single" w:color="auto" w:sz="2" w:space="0"/>
              <w:bottom w:val="single" w:color="auto" w:sz="2" w:space="0"/>
              <w:right w:val="single" w:color="auto" w:sz="4" w:space="0"/>
            </w:tcBorders>
            <w:shd w:val="clear" w:color="auto" w:fill="auto"/>
            <w:noWrap w:val="0"/>
            <w:vAlign w:val="center"/>
          </w:tcPr>
          <w:p w14:paraId="2FF6C639">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pacing w:val="-17"/>
                <w:kern w:val="0"/>
                <w:sz w:val="21"/>
                <w:szCs w:val="21"/>
                <w:highlight w:val="none"/>
                <w:lang w:val="en-US" w:eastAsia="zh-CN" w:bidi="ar-SA"/>
              </w:rPr>
            </w:pPr>
            <w:r>
              <w:rPr>
                <w:rFonts w:hint="default" w:ascii="Times New Roman" w:hAnsi="Times New Roman" w:cs="Times New Roman"/>
                <w:b/>
                <w:bCs/>
                <w:color w:val="auto"/>
                <w:spacing w:val="-17"/>
                <w:kern w:val="0"/>
                <w:sz w:val="21"/>
                <w:szCs w:val="21"/>
                <w:highlight w:val="none"/>
              </w:rPr>
              <w:t>TSP</w:t>
            </w:r>
          </w:p>
        </w:tc>
        <w:tc>
          <w:tcPr>
            <w:tcW w:w="803" w:type="pct"/>
            <w:tcBorders>
              <w:top w:val="single" w:color="auto" w:sz="2" w:space="0"/>
              <w:left w:val="single" w:color="auto" w:sz="4" w:space="0"/>
              <w:bottom w:val="single" w:color="auto" w:sz="2" w:space="0"/>
              <w:right w:val="single" w:color="auto" w:sz="2" w:space="0"/>
            </w:tcBorders>
            <w:shd w:val="clear" w:color="auto" w:fill="auto"/>
            <w:noWrap w:val="0"/>
            <w:vAlign w:val="center"/>
          </w:tcPr>
          <w:p w14:paraId="1B2ECFC7">
            <w:pPr>
              <w:keepNext w:val="0"/>
              <w:keepLines w:val="0"/>
              <w:pageBreakBefore w:val="0"/>
              <w:widowControl/>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pacing w:val="-17"/>
                <w:kern w:val="0"/>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PM</w:t>
            </w:r>
            <w:r>
              <w:rPr>
                <w:rFonts w:hint="default" w:ascii="Times New Roman" w:hAnsi="Times New Roman" w:cs="Times New Roman"/>
                <w:b/>
                <w:bCs/>
                <w:color w:val="auto"/>
                <w:sz w:val="21"/>
                <w:szCs w:val="21"/>
                <w:highlight w:val="none"/>
                <w:vertAlign w:val="subscript"/>
                <w:lang w:val="en-US" w:eastAsia="zh-CN"/>
              </w:rPr>
              <w:t>10</w:t>
            </w:r>
          </w:p>
        </w:tc>
        <w:tc>
          <w:tcPr>
            <w:tcW w:w="1065" w:type="pct"/>
            <w:tcBorders>
              <w:top w:val="single" w:color="auto" w:sz="2" w:space="0"/>
              <w:left w:val="single" w:color="auto" w:sz="2" w:space="0"/>
              <w:bottom w:val="single" w:color="auto" w:sz="2" w:space="0"/>
              <w:right w:val="single" w:color="auto" w:sz="2" w:space="0"/>
            </w:tcBorders>
            <w:noWrap w:val="0"/>
            <w:vAlign w:val="center"/>
          </w:tcPr>
          <w:p w14:paraId="5DABF29F">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m×m</w:t>
            </w:r>
          </w:p>
        </w:tc>
        <w:tc>
          <w:tcPr>
            <w:tcW w:w="869" w:type="pct"/>
            <w:tcBorders>
              <w:top w:val="single" w:color="auto" w:sz="2" w:space="0"/>
              <w:left w:val="single" w:color="auto" w:sz="2" w:space="0"/>
              <w:bottom w:val="single" w:color="auto" w:sz="2" w:space="0"/>
              <w:right w:val="single" w:color="auto" w:sz="2" w:space="0"/>
            </w:tcBorders>
            <w:noWrap w:val="0"/>
            <w:vAlign w:val="center"/>
          </w:tcPr>
          <w:p w14:paraId="0BDCFA29">
            <w:pPr>
              <w:adjustRightInd/>
              <w:snapToGrid/>
              <w:spacing w:line="240" w:lineRule="auto"/>
              <w:ind w:firstLine="0" w:firstLine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m</w:t>
            </w:r>
          </w:p>
        </w:tc>
      </w:tr>
      <w:tr w14:paraId="6A144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3" w:type="pct"/>
            <w:tcBorders>
              <w:top w:val="single" w:color="auto" w:sz="2" w:space="0"/>
              <w:left w:val="single" w:color="auto" w:sz="2" w:space="0"/>
              <w:bottom w:val="single" w:color="auto" w:sz="2" w:space="0"/>
              <w:right w:val="single" w:color="auto" w:sz="2" w:space="0"/>
            </w:tcBorders>
            <w:noWrap w:val="0"/>
            <w:vAlign w:val="center"/>
          </w:tcPr>
          <w:p w14:paraId="6E2FE2F4">
            <w:pPr>
              <w:adjustRightInd/>
              <w:snapToGrid/>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排土场</w:t>
            </w:r>
          </w:p>
        </w:tc>
        <w:tc>
          <w:tcPr>
            <w:tcW w:w="713" w:type="pct"/>
            <w:tcBorders>
              <w:top w:val="single" w:color="auto" w:sz="2" w:space="0"/>
              <w:left w:val="single" w:color="auto" w:sz="2" w:space="0"/>
              <w:bottom w:val="single" w:color="auto" w:sz="2" w:space="0"/>
              <w:right w:val="single" w:color="auto" w:sz="2" w:space="0"/>
            </w:tcBorders>
            <w:noWrap w:val="0"/>
            <w:vAlign w:val="center"/>
          </w:tcPr>
          <w:p w14:paraId="1CDCA9B3">
            <w:pPr>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TSP</w:t>
            </w:r>
          </w:p>
        </w:tc>
        <w:tc>
          <w:tcPr>
            <w:tcW w:w="1288" w:type="dxa"/>
            <w:tcBorders>
              <w:top w:val="single" w:color="auto" w:sz="2" w:space="0"/>
              <w:left w:val="single" w:color="auto" w:sz="2" w:space="0"/>
              <w:bottom w:val="single" w:color="auto" w:sz="2" w:space="0"/>
              <w:right w:val="single" w:color="auto" w:sz="4" w:space="0"/>
            </w:tcBorders>
            <w:noWrap w:val="0"/>
            <w:vAlign w:val="center"/>
          </w:tcPr>
          <w:p w14:paraId="2ACE8F2E">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cs="Times New Roman"/>
                <w:color w:val="auto"/>
                <w:kern w:val="0"/>
                <w:sz w:val="21"/>
                <w:szCs w:val="16"/>
                <w:highlight w:val="none"/>
                <w:lang w:val="en-US" w:eastAsia="zh-CN"/>
              </w:rPr>
              <w:t>11.586</w:t>
            </w:r>
          </w:p>
        </w:tc>
        <w:tc>
          <w:tcPr>
            <w:tcW w:w="1370" w:type="dxa"/>
            <w:tcBorders>
              <w:top w:val="single" w:color="auto" w:sz="2" w:space="0"/>
              <w:left w:val="single" w:color="auto" w:sz="4" w:space="0"/>
              <w:bottom w:val="single" w:color="auto" w:sz="2" w:space="0"/>
              <w:right w:val="single" w:color="auto" w:sz="2" w:space="0"/>
            </w:tcBorders>
            <w:noWrap w:val="0"/>
            <w:vAlign w:val="center"/>
          </w:tcPr>
          <w:p w14:paraId="3EBEC0B2">
            <w:pPr>
              <w:spacing w:line="240" w:lineRule="auto"/>
              <w:jc w:val="center"/>
              <w:rPr>
                <w:rFonts w:hint="default" w:ascii="Times New Roman" w:hAnsi="Times New Roman" w:cs="Times New Roman"/>
                <w:highlight w:val="none"/>
                <w:lang w:val="en-US" w:eastAsia="zh-CN"/>
              </w:rPr>
            </w:pPr>
            <w:r>
              <w:rPr>
                <w:rFonts w:hint="eastAsia" w:cs="Times New Roman"/>
                <w:color w:val="auto"/>
                <w:kern w:val="0"/>
                <w:sz w:val="21"/>
                <w:szCs w:val="16"/>
                <w:highlight w:val="none"/>
                <w:lang w:val="en-US" w:eastAsia="zh-CN"/>
              </w:rPr>
              <w:t>5.677</w:t>
            </w:r>
          </w:p>
        </w:tc>
        <w:tc>
          <w:tcPr>
            <w:tcW w:w="1065" w:type="pct"/>
            <w:tcBorders>
              <w:top w:val="single" w:color="auto" w:sz="2" w:space="0"/>
              <w:left w:val="single" w:color="auto" w:sz="2" w:space="0"/>
              <w:bottom w:val="single" w:color="auto" w:sz="2" w:space="0"/>
              <w:right w:val="single" w:color="auto" w:sz="2" w:space="0"/>
            </w:tcBorders>
            <w:noWrap w:val="0"/>
            <w:vAlign w:val="center"/>
          </w:tcPr>
          <w:p w14:paraId="65757FE9">
            <w:pPr>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16"/>
                <w:highlight w:val="none"/>
                <w:lang w:val="en-US" w:eastAsia="zh-CN"/>
              </w:rPr>
              <w:t>580</w:t>
            </w:r>
            <w:r>
              <w:rPr>
                <w:rFonts w:hint="default" w:ascii="Times New Roman" w:hAnsi="Times New Roman" w:eastAsia="宋体" w:cs="Times New Roman"/>
                <w:color w:val="auto"/>
                <w:kern w:val="0"/>
                <w:sz w:val="21"/>
                <w:szCs w:val="16"/>
                <w:highlight w:val="none"/>
              </w:rPr>
              <w:t>×</w:t>
            </w:r>
            <w:r>
              <w:rPr>
                <w:rFonts w:hint="eastAsia" w:cs="Times New Roman"/>
                <w:color w:val="auto"/>
                <w:kern w:val="0"/>
                <w:sz w:val="21"/>
                <w:szCs w:val="16"/>
                <w:highlight w:val="none"/>
                <w:lang w:val="en-US" w:eastAsia="zh-CN"/>
              </w:rPr>
              <w:t>270</w:t>
            </w:r>
          </w:p>
        </w:tc>
        <w:tc>
          <w:tcPr>
            <w:tcW w:w="869" w:type="pct"/>
            <w:tcBorders>
              <w:top w:val="single" w:color="auto" w:sz="2" w:space="0"/>
              <w:left w:val="single" w:color="auto" w:sz="2" w:space="0"/>
              <w:bottom w:val="single" w:color="auto" w:sz="2" w:space="0"/>
              <w:right w:val="single" w:color="auto" w:sz="2" w:space="0"/>
            </w:tcBorders>
            <w:noWrap w:val="0"/>
            <w:vAlign w:val="center"/>
          </w:tcPr>
          <w:p w14:paraId="5DEBC981">
            <w:pPr>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118</w:t>
            </w:r>
          </w:p>
        </w:tc>
      </w:tr>
    </w:tbl>
    <w:p w14:paraId="2AF9AF16">
      <w:pPr>
        <w:spacing w:line="500" w:lineRule="exact"/>
        <w:ind w:firstLine="480" w:firstLineChars="200"/>
        <w:rPr>
          <w:rFonts w:hint="eastAsia" w:cs="Times New Roman"/>
          <w:color w:val="000000"/>
          <w:kern w:val="0"/>
          <w:sz w:val="24"/>
          <w:szCs w:val="24"/>
          <w:highlight w:val="none"/>
          <w:lang w:val="en-US" w:eastAsia="zh-CN"/>
        </w:rPr>
      </w:pPr>
      <w:r>
        <w:rPr>
          <w:rFonts w:hint="eastAsia" w:ascii="Times New Roman" w:hAnsi="Times New Roman" w:cs="Times New Roman"/>
          <w:color w:val="000000"/>
          <w:kern w:val="0"/>
          <w:sz w:val="24"/>
          <w:szCs w:val="24"/>
          <w:highlight w:val="none"/>
          <w:lang w:val="en-US" w:eastAsia="zh-CN"/>
        </w:rPr>
        <w:t>无组织面源距场界的最近距离见</w:t>
      </w:r>
      <w:r>
        <w:rPr>
          <w:rFonts w:hint="eastAsia" w:cs="Times New Roman"/>
          <w:color w:val="000000"/>
          <w:kern w:val="0"/>
          <w:sz w:val="24"/>
          <w:szCs w:val="24"/>
          <w:highlight w:val="none"/>
          <w:lang w:val="en-US" w:eastAsia="zh-CN"/>
        </w:rPr>
        <w:t>下表。</w:t>
      </w:r>
    </w:p>
    <w:p w14:paraId="2C1BAD0B">
      <w:pPr>
        <w:numPr>
          <w:ilvl w:val="0"/>
          <w:numId w:val="24"/>
        </w:numPr>
        <w:ind w:left="0" w:leftChars="0" w:firstLine="0" w:firstLineChars="0"/>
        <w:jc w:val="center"/>
        <w:rPr>
          <w:b/>
          <w:kern w:val="0"/>
          <w:sz w:val="21"/>
          <w:szCs w:val="21"/>
          <w:highlight w:val="none"/>
        </w:rPr>
      </w:pPr>
      <w:r>
        <w:rPr>
          <w:b/>
          <w:kern w:val="0"/>
          <w:sz w:val="21"/>
          <w:szCs w:val="21"/>
          <w:highlight w:val="none"/>
        </w:rPr>
        <w:t>无组织面源距</w:t>
      </w:r>
      <w:r>
        <w:rPr>
          <w:rFonts w:hint="eastAsia"/>
          <w:b/>
          <w:kern w:val="0"/>
          <w:sz w:val="21"/>
          <w:szCs w:val="21"/>
          <w:highlight w:val="none"/>
        </w:rPr>
        <w:t>场界</w:t>
      </w:r>
      <w:r>
        <w:rPr>
          <w:b/>
          <w:kern w:val="0"/>
          <w:sz w:val="21"/>
          <w:szCs w:val="21"/>
          <w:highlight w:val="none"/>
        </w:rPr>
        <w:t>的最近距离一览表</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808"/>
        <w:gridCol w:w="1808"/>
        <w:gridCol w:w="1808"/>
        <w:gridCol w:w="1811"/>
      </w:tblGrid>
      <w:tr w14:paraId="5715C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8" w:type="pct"/>
            <w:vMerge w:val="restart"/>
            <w:tcBorders>
              <w:top w:val="single" w:color="auto" w:sz="2" w:space="0"/>
              <w:left w:val="single" w:color="auto" w:sz="2" w:space="0"/>
              <w:bottom w:val="single" w:color="auto" w:sz="2" w:space="0"/>
              <w:right w:val="single" w:color="auto" w:sz="2" w:space="0"/>
            </w:tcBorders>
            <w:vAlign w:val="center"/>
          </w:tcPr>
          <w:p w14:paraId="73D0B700">
            <w:pPr>
              <w:keepNext w:val="0"/>
              <w:keepLines w:val="0"/>
              <w:suppressLineNumbers w:val="0"/>
              <w:spacing w:before="0" w:beforeAutospacing="0" w:after="0" w:afterAutospacing="0" w:line="240" w:lineRule="auto"/>
              <w:ind w:left="0" w:right="0" w:firstLine="0" w:firstLineChars="0"/>
              <w:jc w:val="center"/>
              <w:rPr>
                <w:rFonts w:hint="default"/>
                <w:b/>
                <w:bCs/>
                <w:kern w:val="0"/>
                <w:sz w:val="21"/>
                <w:szCs w:val="20"/>
                <w:highlight w:val="none"/>
              </w:rPr>
            </w:pPr>
            <w:r>
              <w:rPr>
                <w:rFonts w:hint="default"/>
                <w:b/>
                <w:bCs/>
                <w:kern w:val="0"/>
                <w:sz w:val="21"/>
                <w:szCs w:val="20"/>
                <w:highlight w:val="none"/>
              </w:rPr>
              <w:t>污染源</w:t>
            </w:r>
          </w:p>
        </w:tc>
        <w:tc>
          <w:tcPr>
            <w:tcW w:w="4241" w:type="pct"/>
            <w:gridSpan w:val="4"/>
            <w:tcBorders>
              <w:top w:val="single" w:color="auto" w:sz="2" w:space="0"/>
              <w:left w:val="single" w:color="auto" w:sz="2" w:space="0"/>
              <w:bottom w:val="single" w:color="auto" w:sz="2" w:space="0"/>
              <w:right w:val="single" w:color="auto" w:sz="2" w:space="0"/>
            </w:tcBorders>
            <w:vAlign w:val="center"/>
          </w:tcPr>
          <w:p w14:paraId="3A543344">
            <w:pPr>
              <w:keepNext w:val="0"/>
              <w:keepLines w:val="0"/>
              <w:suppressLineNumbers w:val="0"/>
              <w:spacing w:before="0" w:beforeAutospacing="0" w:after="0" w:afterAutospacing="0" w:line="240" w:lineRule="auto"/>
              <w:ind w:left="0" w:right="0" w:firstLine="0" w:firstLineChars="0"/>
              <w:jc w:val="center"/>
              <w:rPr>
                <w:rFonts w:hint="default"/>
                <w:b/>
                <w:bCs/>
                <w:kern w:val="0"/>
                <w:sz w:val="21"/>
                <w:szCs w:val="20"/>
                <w:highlight w:val="none"/>
              </w:rPr>
            </w:pPr>
            <w:r>
              <w:rPr>
                <w:rFonts w:hint="default"/>
                <w:b/>
                <w:kern w:val="0"/>
                <w:sz w:val="21"/>
                <w:szCs w:val="20"/>
                <w:highlight w:val="none"/>
              </w:rPr>
              <w:t>距</w:t>
            </w:r>
            <w:r>
              <w:rPr>
                <w:rFonts w:hint="eastAsia"/>
                <w:b/>
                <w:kern w:val="0"/>
                <w:sz w:val="21"/>
                <w:szCs w:val="20"/>
                <w:highlight w:val="none"/>
              </w:rPr>
              <w:t>场界</w:t>
            </w:r>
            <w:r>
              <w:rPr>
                <w:rFonts w:hint="default"/>
                <w:b/>
                <w:kern w:val="0"/>
                <w:sz w:val="21"/>
                <w:szCs w:val="20"/>
                <w:highlight w:val="none"/>
              </w:rPr>
              <w:t>最近距离（m）</w:t>
            </w:r>
          </w:p>
        </w:tc>
      </w:tr>
      <w:tr w14:paraId="345F4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8" w:type="pct"/>
            <w:vMerge w:val="continue"/>
            <w:tcBorders>
              <w:top w:val="single" w:color="auto" w:sz="2" w:space="0"/>
              <w:left w:val="single" w:color="auto" w:sz="2" w:space="0"/>
              <w:bottom w:val="single" w:color="auto" w:sz="2" w:space="0"/>
              <w:right w:val="single" w:color="auto" w:sz="2" w:space="0"/>
            </w:tcBorders>
            <w:vAlign w:val="center"/>
          </w:tcPr>
          <w:p w14:paraId="586BC858">
            <w:pPr>
              <w:keepNext w:val="0"/>
              <w:keepLines w:val="0"/>
              <w:suppressLineNumbers w:val="0"/>
              <w:spacing w:before="0" w:beforeAutospacing="0" w:after="0" w:afterAutospacing="0" w:line="240" w:lineRule="auto"/>
              <w:ind w:left="0" w:right="0" w:firstLine="0" w:firstLineChars="0"/>
              <w:jc w:val="center"/>
              <w:rPr>
                <w:rFonts w:hint="default"/>
                <w:b/>
                <w:kern w:val="0"/>
                <w:sz w:val="21"/>
                <w:szCs w:val="20"/>
                <w:highlight w:val="none"/>
              </w:rPr>
            </w:pPr>
          </w:p>
        </w:tc>
        <w:tc>
          <w:tcPr>
            <w:tcW w:w="1060" w:type="pct"/>
            <w:tcBorders>
              <w:top w:val="single" w:color="auto" w:sz="2" w:space="0"/>
              <w:left w:val="single" w:color="auto" w:sz="2" w:space="0"/>
              <w:bottom w:val="single" w:color="auto" w:sz="2" w:space="0"/>
              <w:right w:val="single" w:color="auto" w:sz="2" w:space="0"/>
            </w:tcBorders>
            <w:vAlign w:val="center"/>
          </w:tcPr>
          <w:p w14:paraId="564DF540">
            <w:pPr>
              <w:keepNext w:val="0"/>
              <w:keepLines w:val="0"/>
              <w:suppressLineNumbers w:val="0"/>
              <w:spacing w:before="0" w:beforeAutospacing="0" w:after="0" w:afterAutospacing="0" w:line="240" w:lineRule="auto"/>
              <w:ind w:left="0" w:right="0" w:firstLine="0" w:firstLineChars="0"/>
              <w:jc w:val="center"/>
              <w:rPr>
                <w:rFonts w:hint="default"/>
                <w:b/>
                <w:bCs/>
                <w:kern w:val="0"/>
                <w:sz w:val="21"/>
                <w:szCs w:val="20"/>
                <w:highlight w:val="none"/>
              </w:rPr>
            </w:pPr>
            <w:r>
              <w:rPr>
                <w:rFonts w:hint="default"/>
                <w:b/>
                <w:bCs/>
                <w:kern w:val="0"/>
                <w:sz w:val="21"/>
                <w:szCs w:val="20"/>
                <w:highlight w:val="none"/>
              </w:rPr>
              <w:t>东</w:t>
            </w:r>
            <w:r>
              <w:rPr>
                <w:rFonts w:hint="eastAsia"/>
                <w:b/>
                <w:bCs/>
                <w:kern w:val="0"/>
                <w:sz w:val="21"/>
                <w:szCs w:val="20"/>
                <w:highlight w:val="none"/>
              </w:rPr>
              <w:t>场界</w:t>
            </w:r>
          </w:p>
        </w:tc>
        <w:tc>
          <w:tcPr>
            <w:tcW w:w="1060" w:type="pct"/>
            <w:tcBorders>
              <w:top w:val="single" w:color="auto" w:sz="2" w:space="0"/>
              <w:left w:val="single" w:color="auto" w:sz="2" w:space="0"/>
              <w:bottom w:val="single" w:color="auto" w:sz="2" w:space="0"/>
              <w:right w:val="single" w:color="auto" w:sz="2" w:space="0"/>
            </w:tcBorders>
            <w:vAlign w:val="center"/>
          </w:tcPr>
          <w:p w14:paraId="7CD0DDC6">
            <w:pPr>
              <w:keepNext w:val="0"/>
              <w:keepLines w:val="0"/>
              <w:suppressLineNumbers w:val="0"/>
              <w:spacing w:before="0" w:beforeAutospacing="0" w:after="0" w:afterAutospacing="0" w:line="240" w:lineRule="auto"/>
              <w:ind w:left="0" w:right="0" w:firstLine="0" w:firstLineChars="0"/>
              <w:jc w:val="center"/>
              <w:rPr>
                <w:rFonts w:hint="default"/>
                <w:b/>
                <w:bCs/>
                <w:kern w:val="0"/>
                <w:sz w:val="21"/>
                <w:szCs w:val="20"/>
                <w:highlight w:val="none"/>
              </w:rPr>
            </w:pPr>
            <w:r>
              <w:rPr>
                <w:rFonts w:hint="default"/>
                <w:b/>
                <w:bCs/>
                <w:kern w:val="0"/>
                <w:sz w:val="21"/>
                <w:szCs w:val="20"/>
                <w:highlight w:val="none"/>
              </w:rPr>
              <w:t>南</w:t>
            </w:r>
            <w:r>
              <w:rPr>
                <w:rFonts w:hint="eastAsia"/>
                <w:b/>
                <w:bCs/>
                <w:kern w:val="0"/>
                <w:sz w:val="21"/>
                <w:szCs w:val="20"/>
                <w:highlight w:val="none"/>
              </w:rPr>
              <w:t>场界</w:t>
            </w:r>
          </w:p>
        </w:tc>
        <w:tc>
          <w:tcPr>
            <w:tcW w:w="1060" w:type="pct"/>
            <w:tcBorders>
              <w:top w:val="single" w:color="auto" w:sz="2" w:space="0"/>
              <w:left w:val="single" w:color="auto" w:sz="2" w:space="0"/>
              <w:bottom w:val="single" w:color="auto" w:sz="2" w:space="0"/>
              <w:right w:val="single" w:color="auto" w:sz="2" w:space="0"/>
            </w:tcBorders>
            <w:vAlign w:val="center"/>
          </w:tcPr>
          <w:p w14:paraId="0F53E236">
            <w:pPr>
              <w:keepNext w:val="0"/>
              <w:keepLines w:val="0"/>
              <w:suppressLineNumbers w:val="0"/>
              <w:spacing w:before="0" w:beforeAutospacing="0" w:after="0" w:afterAutospacing="0" w:line="240" w:lineRule="auto"/>
              <w:ind w:left="0" w:right="0" w:firstLine="0" w:firstLineChars="0"/>
              <w:jc w:val="center"/>
              <w:rPr>
                <w:rFonts w:hint="default"/>
                <w:b/>
                <w:bCs/>
                <w:kern w:val="0"/>
                <w:sz w:val="21"/>
                <w:szCs w:val="20"/>
                <w:highlight w:val="none"/>
              </w:rPr>
            </w:pPr>
            <w:r>
              <w:rPr>
                <w:rFonts w:hint="default"/>
                <w:b/>
                <w:bCs/>
                <w:kern w:val="0"/>
                <w:sz w:val="21"/>
                <w:szCs w:val="20"/>
                <w:highlight w:val="none"/>
              </w:rPr>
              <w:t>西</w:t>
            </w:r>
            <w:r>
              <w:rPr>
                <w:rFonts w:hint="eastAsia"/>
                <w:b/>
                <w:bCs/>
                <w:kern w:val="0"/>
                <w:sz w:val="21"/>
                <w:szCs w:val="20"/>
                <w:highlight w:val="none"/>
              </w:rPr>
              <w:t>场界</w:t>
            </w:r>
          </w:p>
        </w:tc>
        <w:tc>
          <w:tcPr>
            <w:tcW w:w="1061" w:type="pct"/>
            <w:tcBorders>
              <w:top w:val="single" w:color="auto" w:sz="2" w:space="0"/>
              <w:left w:val="single" w:color="auto" w:sz="2" w:space="0"/>
              <w:bottom w:val="single" w:color="auto" w:sz="2" w:space="0"/>
              <w:right w:val="single" w:color="auto" w:sz="2" w:space="0"/>
            </w:tcBorders>
            <w:vAlign w:val="center"/>
          </w:tcPr>
          <w:p w14:paraId="4D9D3451">
            <w:pPr>
              <w:keepNext w:val="0"/>
              <w:keepLines w:val="0"/>
              <w:suppressLineNumbers w:val="0"/>
              <w:spacing w:before="0" w:beforeAutospacing="0" w:after="0" w:afterAutospacing="0" w:line="240" w:lineRule="auto"/>
              <w:ind w:left="0" w:right="0" w:firstLine="0" w:firstLineChars="0"/>
              <w:jc w:val="center"/>
              <w:rPr>
                <w:rFonts w:hint="default"/>
                <w:b/>
                <w:bCs/>
                <w:kern w:val="0"/>
                <w:sz w:val="21"/>
                <w:szCs w:val="20"/>
                <w:highlight w:val="none"/>
              </w:rPr>
            </w:pPr>
            <w:r>
              <w:rPr>
                <w:rFonts w:hint="default"/>
                <w:b/>
                <w:bCs/>
                <w:kern w:val="0"/>
                <w:sz w:val="21"/>
                <w:szCs w:val="20"/>
                <w:highlight w:val="none"/>
              </w:rPr>
              <w:t>北</w:t>
            </w:r>
            <w:r>
              <w:rPr>
                <w:rFonts w:hint="eastAsia"/>
                <w:b/>
                <w:bCs/>
                <w:kern w:val="0"/>
                <w:sz w:val="21"/>
                <w:szCs w:val="20"/>
                <w:highlight w:val="none"/>
              </w:rPr>
              <w:t>场界</w:t>
            </w:r>
          </w:p>
        </w:tc>
      </w:tr>
      <w:tr w14:paraId="07DB6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8" w:type="pct"/>
            <w:tcBorders>
              <w:top w:val="single" w:color="auto" w:sz="2" w:space="0"/>
              <w:left w:val="single" w:color="auto" w:sz="2" w:space="0"/>
              <w:bottom w:val="single" w:color="auto" w:sz="2" w:space="0"/>
              <w:right w:val="single" w:color="auto" w:sz="2" w:space="0"/>
            </w:tcBorders>
            <w:vAlign w:val="center"/>
          </w:tcPr>
          <w:p w14:paraId="467DA29C">
            <w:pPr>
              <w:keepNext w:val="0"/>
              <w:keepLines w:val="0"/>
              <w:suppressLineNumbers w:val="0"/>
              <w:spacing w:before="0" w:beforeAutospacing="0" w:after="0" w:afterAutospacing="0" w:line="240" w:lineRule="auto"/>
              <w:ind w:left="0" w:right="0" w:firstLine="0" w:firstLineChars="0"/>
              <w:jc w:val="center"/>
              <w:rPr>
                <w:rFonts w:hint="default"/>
                <w:b/>
                <w:kern w:val="0"/>
                <w:sz w:val="21"/>
                <w:szCs w:val="20"/>
                <w:highlight w:val="none"/>
              </w:rPr>
            </w:pPr>
            <w:r>
              <w:rPr>
                <w:rFonts w:hint="eastAsia"/>
                <w:b/>
                <w:kern w:val="0"/>
                <w:sz w:val="21"/>
                <w:szCs w:val="20"/>
                <w:highlight w:val="none"/>
              </w:rPr>
              <w:t>堆存作业区</w:t>
            </w:r>
          </w:p>
        </w:tc>
        <w:tc>
          <w:tcPr>
            <w:tcW w:w="1060" w:type="pct"/>
            <w:tcBorders>
              <w:top w:val="single" w:color="auto" w:sz="2" w:space="0"/>
              <w:left w:val="single" w:color="auto" w:sz="2" w:space="0"/>
              <w:bottom w:val="single" w:color="auto" w:sz="2" w:space="0"/>
              <w:right w:val="single" w:color="auto" w:sz="2" w:space="0"/>
            </w:tcBorders>
            <w:vAlign w:val="center"/>
          </w:tcPr>
          <w:p w14:paraId="1991207E">
            <w:pPr>
              <w:keepNext w:val="0"/>
              <w:keepLines w:val="0"/>
              <w:suppressLineNumbers w:val="0"/>
              <w:spacing w:before="0" w:beforeAutospacing="0" w:after="0" w:afterAutospacing="0" w:line="240" w:lineRule="auto"/>
              <w:ind w:left="0" w:right="0" w:firstLine="0" w:firstLineChars="0"/>
              <w:jc w:val="center"/>
              <w:rPr>
                <w:rFonts w:hint="eastAsia" w:eastAsia="宋体"/>
                <w:b w:val="0"/>
                <w:bCs/>
                <w:kern w:val="0"/>
                <w:sz w:val="21"/>
                <w:szCs w:val="20"/>
                <w:highlight w:val="none"/>
                <w:lang w:val="en-US" w:eastAsia="zh-CN"/>
              </w:rPr>
            </w:pPr>
            <w:r>
              <w:rPr>
                <w:rFonts w:hint="default"/>
                <w:b w:val="0"/>
                <w:bCs/>
                <w:kern w:val="0"/>
                <w:sz w:val="21"/>
                <w:szCs w:val="20"/>
                <w:highlight w:val="none"/>
              </w:rPr>
              <w:t>1</w:t>
            </w:r>
            <w:r>
              <w:rPr>
                <w:rFonts w:hint="eastAsia"/>
                <w:b w:val="0"/>
                <w:bCs/>
                <w:kern w:val="0"/>
                <w:sz w:val="21"/>
                <w:szCs w:val="20"/>
                <w:highlight w:val="none"/>
                <w:lang w:val="en-US" w:eastAsia="zh-CN"/>
              </w:rPr>
              <w:t>0</w:t>
            </w:r>
          </w:p>
        </w:tc>
        <w:tc>
          <w:tcPr>
            <w:tcW w:w="1808" w:type="dxa"/>
            <w:tcBorders>
              <w:top w:val="single" w:color="auto" w:sz="2" w:space="0"/>
              <w:left w:val="single" w:color="auto" w:sz="2" w:space="0"/>
              <w:bottom w:val="single" w:color="auto" w:sz="2" w:space="0"/>
              <w:right w:val="single" w:color="auto" w:sz="2" w:space="0"/>
            </w:tcBorders>
            <w:vAlign w:val="center"/>
          </w:tcPr>
          <w:p w14:paraId="33C3C84C">
            <w:pPr>
              <w:keepNext w:val="0"/>
              <w:keepLines w:val="0"/>
              <w:suppressLineNumbers w:val="0"/>
              <w:spacing w:before="0" w:beforeAutospacing="0" w:after="0" w:afterAutospacing="0" w:line="240" w:lineRule="auto"/>
              <w:ind w:left="0" w:leftChars="0" w:right="0" w:rightChars="0" w:firstLine="0" w:firstLineChars="0"/>
              <w:jc w:val="center"/>
              <w:rPr>
                <w:rFonts w:hint="default"/>
                <w:b w:val="0"/>
                <w:bCs/>
                <w:kern w:val="0"/>
                <w:sz w:val="21"/>
                <w:szCs w:val="20"/>
                <w:highlight w:val="none"/>
              </w:rPr>
            </w:pPr>
            <w:r>
              <w:rPr>
                <w:rFonts w:hint="default"/>
                <w:b w:val="0"/>
                <w:bCs/>
                <w:kern w:val="0"/>
                <w:sz w:val="21"/>
                <w:szCs w:val="20"/>
                <w:highlight w:val="none"/>
              </w:rPr>
              <w:t>1</w:t>
            </w:r>
            <w:r>
              <w:rPr>
                <w:rFonts w:hint="eastAsia"/>
                <w:b w:val="0"/>
                <w:bCs/>
                <w:kern w:val="0"/>
                <w:sz w:val="21"/>
                <w:szCs w:val="20"/>
                <w:highlight w:val="none"/>
                <w:lang w:val="en-US" w:eastAsia="zh-CN"/>
              </w:rPr>
              <w:t>0</w:t>
            </w:r>
          </w:p>
        </w:tc>
        <w:tc>
          <w:tcPr>
            <w:tcW w:w="1808" w:type="dxa"/>
            <w:tcBorders>
              <w:top w:val="single" w:color="auto" w:sz="2" w:space="0"/>
              <w:left w:val="single" w:color="auto" w:sz="2" w:space="0"/>
              <w:bottom w:val="single" w:color="auto" w:sz="2" w:space="0"/>
              <w:right w:val="single" w:color="auto" w:sz="2" w:space="0"/>
            </w:tcBorders>
            <w:vAlign w:val="center"/>
          </w:tcPr>
          <w:p w14:paraId="47379C27">
            <w:pPr>
              <w:keepNext w:val="0"/>
              <w:keepLines w:val="0"/>
              <w:suppressLineNumbers w:val="0"/>
              <w:spacing w:before="0" w:beforeAutospacing="0" w:after="0" w:afterAutospacing="0" w:line="240" w:lineRule="auto"/>
              <w:ind w:left="0" w:leftChars="0" w:right="0" w:rightChars="0" w:firstLine="0" w:firstLineChars="0"/>
              <w:jc w:val="center"/>
              <w:rPr>
                <w:rFonts w:hint="default"/>
                <w:b w:val="0"/>
                <w:bCs/>
                <w:kern w:val="0"/>
                <w:sz w:val="21"/>
                <w:szCs w:val="20"/>
                <w:highlight w:val="none"/>
              </w:rPr>
            </w:pPr>
            <w:r>
              <w:rPr>
                <w:rFonts w:hint="default"/>
                <w:b w:val="0"/>
                <w:bCs/>
                <w:kern w:val="0"/>
                <w:sz w:val="21"/>
                <w:szCs w:val="20"/>
                <w:highlight w:val="none"/>
              </w:rPr>
              <w:t>1</w:t>
            </w:r>
            <w:r>
              <w:rPr>
                <w:rFonts w:hint="eastAsia"/>
                <w:b w:val="0"/>
                <w:bCs/>
                <w:kern w:val="0"/>
                <w:sz w:val="21"/>
                <w:szCs w:val="20"/>
                <w:highlight w:val="none"/>
                <w:lang w:val="en-US" w:eastAsia="zh-CN"/>
              </w:rPr>
              <w:t>0</w:t>
            </w:r>
          </w:p>
        </w:tc>
        <w:tc>
          <w:tcPr>
            <w:tcW w:w="1811" w:type="dxa"/>
            <w:tcBorders>
              <w:top w:val="single" w:color="auto" w:sz="2" w:space="0"/>
              <w:left w:val="single" w:color="auto" w:sz="2" w:space="0"/>
              <w:bottom w:val="single" w:color="auto" w:sz="2" w:space="0"/>
              <w:right w:val="single" w:color="auto" w:sz="2" w:space="0"/>
            </w:tcBorders>
            <w:vAlign w:val="center"/>
          </w:tcPr>
          <w:p w14:paraId="147F7D7C">
            <w:pPr>
              <w:keepNext w:val="0"/>
              <w:keepLines w:val="0"/>
              <w:suppressLineNumbers w:val="0"/>
              <w:spacing w:before="0" w:beforeAutospacing="0" w:after="0" w:afterAutospacing="0" w:line="240" w:lineRule="auto"/>
              <w:ind w:left="0" w:leftChars="0" w:right="0" w:rightChars="0" w:firstLine="0" w:firstLineChars="0"/>
              <w:jc w:val="center"/>
              <w:rPr>
                <w:rFonts w:hint="default"/>
                <w:b w:val="0"/>
                <w:bCs/>
                <w:kern w:val="0"/>
                <w:sz w:val="21"/>
                <w:szCs w:val="20"/>
                <w:highlight w:val="none"/>
              </w:rPr>
            </w:pPr>
            <w:r>
              <w:rPr>
                <w:rFonts w:hint="default"/>
                <w:b w:val="0"/>
                <w:bCs/>
                <w:kern w:val="0"/>
                <w:sz w:val="21"/>
                <w:szCs w:val="20"/>
                <w:highlight w:val="none"/>
              </w:rPr>
              <w:t>1</w:t>
            </w:r>
            <w:r>
              <w:rPr>
                <w:rFonts w:hint="eastAsia"/>
                <w:b w:val="0"/>
                <w:bCs/>
                <w:kern w:val="0"/>
                <w:sz w:val="21"/>
                <w:szCs w:val="20"/>
                <w:highlight w:val="none"/>
                <w:lang w:val="en-US" w:eastAsia="zh-CN"/>
              </w:rPr>
              <w:t>0</w:t>
            </w:r>
          </w:p>
        </w:tc>
      </w:tr>
    </w:tbl>
    <w:p w14:paraId="69EE1AB0">
      <w:pPr>
        <w:spacing w:line="500" w:lineRule="exact"/>
        <w:ind w:firstLine="480" w:firstLineChars="200"/>
        <w:rPr>
          <w:rFonts w:hint="eastAsia" w:cs="Times New Roman"/>
          <w:color w:val="000000"/>
          <w:kern w:val="0"/>
          <w:sz w:val="24"/>
          <w:szCs w:val="24"/>
          <w:highlight w:val="none"/>
          <w:lang w:val="en-US" w:eastAsia="zh-CN"/>
        </w:rPr>
      </w:pPr>
      <w:r>
        <w:rPr>
          <w:rFonts w:hint="eastAsia" w:ascii="Times New Roman" w:hAnsi="Times New Roman" w:cs="Times New Roman"/>
          <w:color w:val="000000"/>
          <w:kern w:val="0"/>
          <w:sz w:val="24"/>
          <w:szCs w:val="24"/>
          <w:highlight w:val="none"/>
          <w:lang w:val="en-US" w:eastAsia="zh-CN"/>
        </w:rPr>
        <w:t>面源场界落地浓度估算结果见</w:t>
      </w:r>
      <w:r>
        <w:rPr>
          <w:rFonts w:hint="eastAsia" w:cs="Times New Roman"/>
          <w:color w:val="000000"/>
          <w:kern w:val="0"/>
          <w:sz w:val="24"/>
          <w:szCs w:val="24"/>
          <w:highlight w:val="none"/>
          <w:lang w:val="en-US" w:eastAsia="zh-CN"/>
        </w:rPr>
        <w:t>下表。</w:t>
      </w:r>
    </w:p>
    <w:p w14:paraId="02BE1072">
      <w:pPr>
        <w:spacing w:line="500" w:lineRule="exact"/>
        <w:ind w:firstLine="480" w:firstLineChars="200"/>
        <w:rPr>
          <w:rFonts w:hint="eastAsia" w:ascii="Times New Roman" w:hAnsi="Times New Roman" w:cs="Times New Roman"/>
          <w:color w:val="000000"/>
          <w:kern w:val="0"/>
          <w:sz w:val="24"/>
          <w:szCs w:val="24"/>
          <w:highlight w:val="none"/>
          <w:lang w:val="en-US" w:eastAsia="zh-CN"/>
        </w:rPr>
      </w:pPr>
    </w:p>
    <w:p w14:paraId="72526A8D">
      <w:pPr>
        <w:numPr>
          <w:ilvl w:val="0"/>
          <w:numId w:val="24"/>
        </w:numPr>
        <w:ind w:left="0" w:leftChars="0" w:firstLine="0" w:firstLineChars="0"/>
        <w:jc w:val="center"/>
        <w:rPr>
          <w:rStyle w:val="66"/>
          <w:rFonts w:hint="default" w:ascii="Times New Roman" w:hAnsi="Times New Roman" w:eastAsia="宋体" w:cs="Times New Roman"/>
          <w:b/>
          <w:color w:val="000000"/>
          <w:highlight w:val="none"/>
        </w:rPr>
      </w:pPr>
      <w:r>
        <w:rPr>
          <w:rStyle w:val="66"/>
          <w:rFonts w:hint="eastAsia" w:ascii="Times New Roman" w:hAnsi="Times New Roman" w:eastAsia="宋体" w:cs="Times New Roman"/>
          <w:b/>
          <w:color w:val="000000"/>
          <w:highlight w:val="none"/>
          <w:lang w:val="en-US" w:eastAsia="zh-CN"/>
        </w:rPr>
        <w:t>大气污染物厂界贡献浓度一览表</w:t>
      </w:r>
    </w:p>
    <w:tbl>
      <w:tblPr>
        <w:tblStyle w:val="58"/>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69"/>
        <w:gridCol w:w="960"/>
        <w:gridCol w:w="1186"/>
        <w:gridCol w:w="1230"/>
        <w:gridCol w:w="1471"/>
        <w:gridCol w:w="1692"/>
        <w:gridCol w:w="1017"/>
      </w:tblGrid>
      <w:tr w14:paraId="3DFAA2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1" w:type="pct"/>
            <w:gridSpan w:val="2"/>
            <w:tcBorders>
              <w:top w:val="single" w:color="auto" w:sz="2" w:space="0"/>
              <w:left w:val="single" w:color="auto" w:sz="2" w:space="0"/>
              <w:bottom w:val="single" w:color="auto" w:sz="2" w:space="0"/>
              <w:right w:val="single" w:color="auto" w:sz="2" w:space="0"/>
            </w:tcBorders>
            <w:noWrap w:val="0"/>
            <w:vAlign w:val="center"/>
          </w:tcPr>
          <w:p w14:paraId="2F4F8A4F">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b/>
                <w:bCs/>
                <w:color w:val="auto"/>
                <w:spacing w:val="0"/>
                <w:w w:val="100"/>
                <w:kern w:val="2"/>
                <w:sz w:val="21"/>
                <w:szCs w:val="21"/>
                <w:highlight w:val="none"/>
                <w:lang w:val="en-US" w:eastAsia="zh-CN" w:bidi="ar-SA"/>
              </w:rPr>
            </w:pPr>
            <w:r>
              <w:rPr>
                <w:rFonts w:hint="eastAsia" w:cs="Times New Roman"/>
                <w:b/>
                <w:bCs/>
                <w:color w:val="auto"/>
                <w:spacing w:val="0"/>
                <w:w w:val="100"/>
                <w:kern w:val="2"/>
                <w:sz w:val="21"/>
                <w:szCs w:val="21"/>
                <w:highlight w:val="none"/>
                <w:lang w:val="en-US" w:eastAsia="zh-CN" w:bidi="ar-SA"/>
              </w:rPr>
              <w:t>厂界</w:t>
            </w:r>
          </w:p>
        </w:tc>
        <w:tc>
          <w:tcPr>
            <w:tcW w:w="695" w:type="pct"/>
            <w:tcBorders>
              <w:top w:val="single" w:color="auto" w:sz="2" w:space="0"/>
              <w:left w:val="single" w:color="auto" w:sz="2" w:space="0"/>
              <w:bottom w:val="single" w:color="auto" w:sz="2" w:space="0"/>
              <w:right w:val="single" w:color="auto" w:sz="2" w:space="0"/>
            </w:tcBorders>
            <w:noWrap w:val="0"/>
            <w:vAlign w:val="center"/>
          </w:tcPr>
          <w:p w14:paraId="3800FD6D">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eastAsia" w:cs="Times New Roman"/>
                <w:b/>
                <w:color w:val="auto"/>
                <w:spacing w:val="0"/>
                <w:w w:val="100"/>
                <w:kern w:val="2"/>
                <w:sz w:val="21"/>
                <w:szCs w:val="21"/>
                <w:highlight w:val="none"/>
                <w:lang w:val="en-US" w:eastAsia="zh-CN" w:bidi="ar-SA"/>
              </w:rPr>
            </w:pPr>
            <w:r>
              <w:rPr>
                <w:rFonts w:hint="eastAsia" w:ascii="Times New Roman" w:hAnsi="Times New Roman" w:eastAsia="宋体" w:cs="Times New Roman"/>
                <w:b/>
                <w:bCs/>
                <w:i w:val="0"/>
                <w:iCs w:val="0"/>
                <w:color w:val="000000"/>
                <w:kern w:val="0"/>
                <w:sz w:val="21"/>
                <w:szCs w:val="21"/>
                <w:highlight w:val="none"/>
                <w:u w:val="none"/>
                <w:lang w:val="en-US" w:eastAsia="zh-CN" w:bidi="ar"/>
              </w:rPr>
              <w:t>预测值</w:t>
            </w:r>
            <w:r>
              <w:rPr>
                <w:rFonts w:hint="eastAsia" w:ascii="Times New Roman" w:hAnsi="Times New Roman" w:eastAsia="宋体" w:cs="Times New Roman"/>
                <w:b/>
                <w:bCs w:val="0"/>
                <w:color w:val="auto"/>
                <w:spacing w:val="0"/>
                <w:w w:val="100"/>
                <w:sz w:val="21"/>
                <w:szCs w:val="21"/>
                <w:highlight w:val="none"/>
                <w:lang w:val="en-US" w:eastAsia="zh-CN" w:bidi="ar-SA"/>
              </w:rPr>
              <w:t>（</w:t>
            </w:r>
            <w:r>
              <w:rPr>
                <w:rFonts w:hint="default" w:ascii="Times New Roman" w:hAnsi="Times New Roman" w:cs="Times New Roman"/>
                <w:b/>
                <w:bCs/>
                <w:color w:val="auto"/>
                <w:spacing w:val="-20"/>
                <w:sz w:val="21"/>
                <w:szCs w:val="21"/>
                <w:highlight w:val="none"/>
              </w:rPr>
              <w:t>mg/m</w:t>
            </w:r>
            <w:r>
              <w:rPr>
                <w:rFonts w:hint="default" w:ascii="Times New Roman" w:hAnsi="Times New Roman" w:cs="Times New Roman"/>
                <w:b/>
                <w:bCs/>
                <w:color w:val="auto"/>
                <w:spacing w:val="-20"/>
                <w:sz w:val="21"/>
                <w:szCs w:val="21"/>
                <w:highlight w:val="none"/>
                <w:vertAlign w:val="superscript"/>
              </w:rPr>
              <w:t>3</w:t>
            </w:r>
            <w:r>
              <w:rPr>
                <w:rFonts w:hint="eastAsia" w:ascii="Times New Roman" w:hAnsi="Times New Roman" w:eastAsia="宋体" w:cs="Times New Roman"/>
                <w:b/>
                <w:bCs w:val="0"/>
                <w:color w:val="auto"/>
                <w:spacing w:val="0"/>
                <w:w w:val="100"/>
                <w:sz w:val="21"/>
                <w:szCs w:val="21"/>
                <w:highlight w:val="none"/>
                <w:lang w:val="en-US" w:eastAsia="zh-CN" w:bidi="ar-SA"/>
              </w:rPr>
              <w:t>）</w:t>
            </w:r>
          </w:p>
        </w:tc>
        <w:tc>
          <w:tcPr>
            <w:tcW w:w="721" w:type="pct"/>
            <w:tcBorders>
              <w:top w:val="single" w:color="auto" w:sz="2" w:space="0"/>
              <w:left w:val="single" w:color="auto" w:sz="2" w:space="0"/>
              <w:bottom w:val="single" w:color="auto" w:sz="2" w:space="0"/>
              <w:right w:val="single" w:color="auto" w:sz="2" w:space="0"/>
            </w:tcBorders>
            <w:noWrap w:val="0"/>
            <w:vAlign w:val="center"/>
          </w:tcPr>
          <w:p w14:paraId="710933A8">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eastAsia" w:ascii="Times New Roman" w:hAnsi="Times New Roman" w:eastAsia="宋体" w:cs="Times New Roman"/>
                <w:b/>
                <w:bCs/>
                <w:i w:val="0"/>
                <w:iCs w:val="0"/>
                <w:color w:val="000000"/>
                <w:kern w:val="0"/>
                <w:sz w:val="21"/>
                <w:szCs w:val="21"/>
                <w:highlight w:val="none"/>
                <w:u w:val="none"/>
                <w:lang w:val="en-US" w:eastAsia="zh-CN" w:bidi="ar"/>
              </w:rPr>
            </w:pPr>
            <w:r>
              <w:rPr>
                <w:rFonts w:hint="eastAsia"/>
                <w:b/>
                <w:bCs/>
                <w:color w:val="auto"/>
                <w:kern w:val="0"/>
                <w:sz w:val="21"/>
                <w:szCs w:val="20"/>
                <w:highlight w:val="none"/>
                <w:lang w:eastAsia="zh-CN"/>
              </w:rPr>
              <w:t>背景值</w:t>
            </w:r>
            <w:r>
              <w:rPr>
                <w:rFonts w:hint="default"/>
                <w:b/>
                <w:bCs/>
                <w:color w:val="auto"/>
                <w:kern w:val="0"/>
                <w:sz w:val="21"/>
                <w:szCs w:val="20"/>
                <w:highlight w:val="none"/>
              </w:rPr>
              <w:t>（mg/m</w:t>
            </w:r>
            <w:r>
              <w:rPr>
                <w:rFonts w:hint="default"/>
                <w:b/>
                <w:bCs/>
                <w:color w:val="auto"/>
                <w:kern w:val="0"/>
                <w:sz w:val="21"/>
                <w:szCs w:val="20"/>
                <w:highlight w:val="none"/>
                <w:vertAlign w:val="superscript"/>
              </w:rPr>
              <w:t>3</w:t>
            </w:r>
            <w:r>
              <w:rPr>
                <w:rFonts w:hint="default"/>
                <w:b/>
                <w:bCs/>
                <w:color w:val="auto"/>
                <w:kern w:val="0"/>
                <w:sz w:val="21"/>
                <w:szCs w:val="20"/>
                <w:highlight w:val="none"/>
              </w:rPr>
              <w:t>）</w:t>
            </w:r>
          </w:p>
        </w:tc>
        <w:tc>
          <w:tcPr>
            <w:tcW w:w="862" w:type="pct"/>
            <w:tcBorders>
              <w:top w:val="single" w:color="auto" w:sz="2" w:space="0"/>
              <w:left w:val="single" w:color="auto" w:sz="2" w:space="0"/>
              <w:bottom w:val="single" w:color="auto" w:sz="2" w:space="0"/>
              <w:right w:val="single" w:color="auto" w:sz="2" w:space="0"/>
            </w:tcBorders>
            <w:noWrap w:val="0"/>
            <w:vAlign w:val="center"/>
          </w:tcPr>
          <w:p w14:paraId="68D12D9C">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outlineLvl w:val="9"/>
              <w:rPr>
                <w:rFonts w:hint="default" w:ascii="Times New Roman" w:hAnsi="Times New Roman" w:eastAsia="宋体" w:cs="Times New Roman"/>
                <w:b/>
                <w:bCs/>
                <w:color w:val="auto"/>
                <w:spacing w:val="0"/>
                <w:w w:val="100"/>
                <w:kern w:val="2"/>
                <w:sz w:val="21"/>
                <w:szCs w:val="21"/>
                <w:highlight w:val="none"/>
                <w:lang w:val="en-US" w:eastAsia="zh-CN" w:bidi="ar-SA"/>
              </w:rPr>
            </w:pPr>
            <w:r>
              <w:rPr>
                <w:rFonts w:hint="eastAsia" w:cs="Times New Roman"/>
                <w:b/>
                <w:bCs/>
                <w:color w:val="auto"/>
                <w:spacing w:val="0"/>
                <w:w w:val="100"/>
                <w:sz w:val="21"/>
                <w:szCs w:val="21"/>
                <w:highlight w:val="none"/>
                <w:lang w:val="en-US" w:eastAsia="zh-CN" w:bidi="ar-SA"/>
              </w:rPr>
              <w:t>厂界叠加值</w:t>
            </w:r>
            <w:r>
              <w:rPr>
                <w:rFonts w:hint="eastAsia" w:ascii="Times New Roman" w:hAnsi="Times New Roman" w:eastAsia="宋体" w:cs="Times New Roman"/>
                <w:b/>
                <w:bCs/>
                <w:color w:val="auto"/>
                <w:spacing w:val="0"/>
                <w:w w:val="100"/>
                <w:sz w:val="21"/>
                <w:szCs w:val="21"/>
                <w:highlight w:val="none"/>
                <w:lang w:val="en-US" w:eastAsia="zh-CN" w:bidi="ar-SA"/>
              </w:rPr>
              <w:t>（</w:t>
            </w:r>
            <w:r>
              <w:rPr>
                <w:rFonts w:hint="default" w:ascii="Times New Roman" w:hAnsi="Times New Roman" w:cs="Times New Roman"/>
                <w:b/>
                <w:bCs/>
                <w:color w:val="auto"/>
                <w:spacing w:val="-20"/>
                <w:sz w:val="21"/>
                <w:szCs w:val="21"/>
                <w:highlight w:val="none"/>
              </w:rPr>
              <w:t>mg/m</w:t>
            </w:r>
            <w:r>
              <w:rPr>
                <w:rFonts w:hint="default" w:ascii="Times New Roman" w:hAnsi="Times New Roman" w:cs="Times New Roman"/>
                <w:b/>
                <w:bCs/>
                <w:color w:val="auto"/>
                <w:spacing w:val="-20"/>
                <w:sz w:val="21"/>
                <w:szCs w:val="21"/>
                <w:highlight w:val="none"/>
                <w:vertAlign w:val="superscript"/>
              </w:rPr>
              <w:t>3</w:t>
            </w:r>
            <w:r>
              <w:rPr>
                <w:rFonts w:hint="eastAsia" w:ascii="Times New Roman" w:hAnsi="Times New Roman" w:eastAsia="宋体" w:cs="Times New Roman"/>
                <w:b/>
                <w:bCs/>
                <w:color w:val="auto"/>
                <w:spacing w:val="0"/>
                <w:w w:val="100"/>
                <w:sz w:val="21"/>
                <w:szCs w:val="21"/>
                <w:highlight w:val="none"/>
                <w:lang w:val="en-US" w:eastAsia="zh-CN" w:bidi="ar-SA"/>
              </w:rPr>
              <w:t>）</w:t>
            </w:r>
          </w:p>
        </w:tc>
        <w:tc>
          <w:tcPr>
            <w:tcW w:w="992" w:type="pct"/>
            <w:tcBorders>
              <w:top w:val="single" w:color="auto" w:sz="2" w:space="0"/>
              <w:left w:val="single" w:color="auto" w:sz="2" w:space="0"/>
              <w:bottom w:val="single" w:color="auto" w:sz="2" w:space="0"/>
              <w:right w:val="single" w:color="auto" w:sz="2" w:space="0"/>
            </w:tcBorders>
            <w:noWrap w:val="0"/>
            <w:vAlign w:val="center"/>
          </w:tcPr>
          <w:p w14:paraId="62EED7E0">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eastAsia" w:cs="Times New Roman"/>
                <w:color w:val="auto"/>
                <w:spacing w:val="0"/>
                <w:w w:val="100"/>
                <w:sz w:val="21"/>
                <w:szCs w:val="21"/>
                <w:highlight w:val="none"/>
                <w:lang w:val="en-US" w:eastAsia="zh-CN" w:bidi="ar-SA"/>
              </w:rPr>
            </w:pPr>
            <w:r>
              <w:rPr>
                <w:rFonts w:hint="default" w:ascii="Times New Roman" w:hAnsi="Times New Roman" w:eastAsia="宋体" w:cs="Times New Roman"/>
                <w:b/>
                <w:bCs w:val="0"/>
                <w:color w:val="auto"/>
                <w:spacing w:val="0"/>
                <w:w w:val="100"/>
                <w:sz w:val="21"/>
                <w:szCs w:val="21"/>
                <w:highlight w:val="none"/>
                <w:lang w:val="en-US" w:eastAsia="zh-CN" w:bidi="ar-SA"/>
              </w:rPr>
              <w:t>标准</w:t>
            </w:r>
            <w:r>
              <w:rPr>
                <w:rFonts w:hint="eastAsia" w:ascii="Times New Roman" w:hAnsi="Times New Roman" w:eastAsia="宋体" w:cs="Times New Roman"/>
                <w:b/>
                <w:bCs w:val="0"/>
                <w:color w:val="auto"/>
                <w:spacing w:val="0"/>
                <w:w w:val="100"/>
                <w:sz w:val="21"/>
                <w:szCs w:val="21"/>
                <w:highlight w:val="none"/>
                <w:lang w:val="en-US" w:eastAsia="zh-CN" w:bidi="ar-SA"/>
              </w:rPr>
              <w:t>值（</w:t>
            </w:r>
            <w:r>
              <w:rPr>
                <w:rFonts w:hint="default" w:ascii="Times New Roman" w:hAnsi="Times New Roman" w:cs="Times New Roman"/>
                <w:b/>
                <w:bCs/>
                <w:color w:val="auto"/>
                <w:spacing w:val="-20"/>
                <w:sz w:val="21"/>
                <w:szCs w:val="21"/>
                <w:highlight w:val="none"/>
              </w:rPr>
              <w:t>mg/m</w:t>
            </w:r>
            <w:r>
              <w:rPr>
                <w:rFonts w:hint="default" w:ascii="Times New Roman" w:hAnsi="Times New Roman" w:cs="Times New Roman"/>
                <w:b/>
                <w:bCs/>
                <w:color w:val="auto"/>
                <w:spacing w:val="-20"/>
                <w:sz w:val="21"/>
                <w:szCs w:val="21"/>
                <w:highlight w:val="none"/>
                <w:vertAlign w:val="superscript"/>
              </w:rPr>
              <w:t>3</w:t>
            </w:r>
            <w:r>
              <w:rPr>
                <w:rFonts w:hint="eastAsia" w:ascii="Times New Roman" w:hAnsi="Times New Roman" w:eastAsia="宋体" w:cs="Times New Roman"/>
                <w:b/>
                <w:bCs w:val="0"/>
                <w:color w:val="auto"/>
                <w:spacing w:val="0"/>
                <w:w w:val="100"/>
                <w:sz w:val="21"/>
                <w:szCs w:val="21"/>
                <w:highlight w:val="none"/>
                <w:lang w:val="en-US" w:eastAsia="zh-CN" w:bidi="ar-SA"/>
              </w:rPr>
              <w:t>）</w:t>
            </w:r>
          </w:p>
        </w:tc>
        <w:tc>
          <w:tcPr>
            <w:tcW w:w="596" w:type="pct"/>
            <w:tcBorders>
              <w:top w:val="single" w:color="auto" w:sz="2" w:space="0"/>
              <w:left w:val="single" w:color="auto" w:sz="2" w:space="0"/>
              <w:bottom w:val="single" w:color="auto" w:sz="2" w:space="0"/>
              <w:right w:val="single" w:color="auto" w:sz="2" w:space="0"/>
            </w:tcBorders>
            <w:noWrap w:val="0"/>
            <w:vAlign w:val="center"/>
          </w:tcPr>
          <w:p w14:paraId="1732607F">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default" w:ascii="Times New Roman" w:hAnsi="Times New Roman" w:eastAsia="宋体" w:cs="Times New Roman"/>
                <w:b/>
                <w:bCs w:val="0"/>
                <w:color w:val="auto"/>
                <w:spacing w:val="0"/>
                <w:w w:val="100"/>
                <w:sz w:val="21"/>
                <w:szCs w:val="21"/>
                <w:highlight w:val="none"/>
                <w:lang w:val="en-US" w:eastAsia="zh-CN" w:bidi="ar-SA"/>
              </w:rPr>
            </w:pPr>
            <w:r>
              <w:rPr>
                <w:rFonts w:hint="eastAsia" w:ascii="Times New Roman" w:hAnsi="Times New Roman" w:eastAsia="宋体" w:cs="Times New Roman"/>
                <w:b/>
                <w:bCs w:val="0"/>
                <w:color w:val="auto"/>
                <w:spacing w:val="0"/>
                <w:w w:val="100"/>
                <w:sz w:val="21"/>
                <w:szCs w:val="21"/>
                <w:highlight w:val="none"/>
                <w:lang w:val="en-US" w:eastAsia="zh-CN" w:bidi="ar-SA"/>
              </w:rPr>
              <w:t>达标情况</w:t>
            </w:r>
          </w:p>
        </w:tc>
      </w:tr>
      <w:tr w14:paraId="58CDA3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8" w:type="pct"/>
            <w:vMerge w:val="restart"/>
            <w:tcBorders>
              <w:top w:val="single" w:color="auto" w:sz="2" w:space="0"/>
              <w:left w:val="single" w:color="auto" w:sz="2" w:space="0"/>
              <w:bottom w:val="single" w:color="auto" w:sz="2" w:space="0"/>
              <w:right w:val="single" w:color="auto" w:sz="2" w:space="0"/>
            </w:tcBorders>
            <w:noWrap w:val="0"/>
            <w:vAlign w:val="center"/>
          </w:tcPr>
          <w:p w14:paraId="6A5AF402">
            <w:pPr>
              <w:keepNext w:val="0"/>
              <w:keepLines w:val="0"/>
              <w:pageBreakBefore w:val="0"/>
              <w:kinsoku/>
              <w:wordWrap/>
              <w:overflowPunct/>
              <w:topLinePunct w:val="0"/>
              <w:bidi w:val="0"/>
              <w:snapToGrid/>
              <w:spacing w:line="240" w:lineRule="atLeast"/>
              <w:ind w:firstLine="0" w:firstLineChars="0"/>
              <w:jc w:val="center"/>
              <w:rPr>
                <w:rFonts w:hint="eastAsia" w:ascii="Times New Roman" w:hAnsi="宋体" w:eastAsia="宋体" w:cs="Times New Roman"/>
                <w:b w:val="0"/>
                <w:bCs w:val="0"/>
                <w:color w:val="auto"/>
                <w:spacing w:val="0"/>
                <w:w w:val="100"/>
                <w:kern w:val="2"/>
                <w:sz w:val="21"/>
                <w:szCs w:val="21"/>
                <w:highlight w:val="none"/>
                <w:lang w:val="en-US" w:eastAsia="zh-CN"/>
              </w:rPr>
            </w:pPr>
            <w:r>
              <w:rPr>
                <w:rFonts w:hint="eastAsia" w:hAnsi="宋体" w:cs="Times New Roman"/>
                <w:b w:val="0"/>
                <w:bCs w:val="0"/>
                <w:color w:val="auto"/>
                <w:spacing w:val="0"/>
                <w:w w:val="100"/>
                <w:kern w:val="2"/>
                <w:sz w:val="21"/>
                <w:szCs w:val="21"/>
                <w:highlight w:val="none"/>
                <w:lang w:val="en-US" w:eastAsia="zh-CN"/>
              </w:rPr>
              <w:t>排土场</w:t>
            </w:r>
          </w:p>
        </w:tc>
        <w:tc>
          <w:tcPr>
            <w:tcW w:w="563"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26D05563">
            <w:pPr>
              <w:keepNext w:val="0"/>
              <w:keepLines w:val="0"/>
              <w:pageBreakBefore w:val="0"/>
              <w:kinsoku/>
              <w:wordWrap/>
              <w:overflowPunct/>
              <w:topLinePunct w:val="0"/>
              <w:bidi w:val="0"/>
              <w:snapToGrid/>
              <w:spacing w:line="240" w:lineRule="atLeast"/>
              <w:ind w:firstLine="0" w:firstLineChars="0"/>
              <w:jc w:val="center"/>
              <w:rPr>
                <w:rFonts w:hint="default" w:ascii="Times New Roman" w:hAnsi="宋体" w:eastAsia="宋体"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b w:val="0"/>
                <w:bCs w:val="0"/>
                <w:color w:val="auto"/>
                <w:spacing w:val="0"/>
                <w:w w:val="100"/>
                <w:kern w:val="2"/>
                <w:sz w:val="21"/>
                <w:szCs w:val="21"/>
                <w:highlight w:val="none"/>
                <w:lang w:val="en-US" w:eastAsia="zh-CN" w:bidi="ar-SA"/>
              </w:rPr>
              <w:t>北</w:t>
            </w:r>
            <w:r>
              <w:rPr>
                <w:rFonts w:hint="eastAsia" w:cs="Times New Roman"/>
                <w:b w:val="0"/>
                <w:bCs w:val="0"/>
                <w:color w:val="auto"/>
                <w:spacing w:val="0"/>
                <w:w w:val="100"/>
                <w:kern w:val="2"/>
                <w:sz w:val="21"/>
                <w:szCs w:val="21"/>
                <w:highlight w:val="none"/>
                <w:lang w:val="en-US" w:eastAsia="zh-CN" w:bidi="ar-SA"/>
              </w:rPr>
              <w:t>场</w:t>
            </w:r>
            <w:r>
              <w:rPr>
                <w:rFonts w:hint="default" w:ascii="Times New Roman" w:hAnsi="Times New Roman" w:eastAsia="宋体" w:cs="Times New Roman"/>
                <w:b w:val="0"/>
                <w:bCs w:val="0"/>
                <w:color w:val="auto"/>
                <w:spacing w:val="0"/>
                <w:w w:val="100"/>
                <w:kern w:val="2"/>
                <w:sz w:val="21"/>
                <w:szCs w:val="21"/>
                <w:highlight w:val="none"/>
                <w:lang w:val="en-US" w:eastAsia="zh-CN" w:bidi="ar-SA"/>
              </w:rPr>
              <w:t>界</w:t>
            </w:r>
          </w:p>
        </w:tc>
        <w:tc>
          <w:tcPr>
            <w:tcW w:w="695" w:type="pct"/>
            <w:tcBorders>
              <w:top w:val="single" w:color="auto" w:sz="2" w:space="0"/>
              <w:left w:val="single" w:color="auto" w:sz="2" w:space="0"/>
              <w:bottom w:val="single" w:color="auto" w:sz="2" w:space="0"/>
              <w:right w:val="single" w:color="auto" w:sz="2" w:space="0"/>
            </w:tcBorders>
            <w:noWrap w:val="0"/>
            <w:vAlign w:val="center"/>
          </w:tcPr>
          <w:p w14:paraId="763223C5">
            <w:pPr>
              <w:keepNext w:val="0"/>
              <w:keepLines w:val="0"/>
              <w:widowControl/>
              <w:suppressLineNumbers w:val="0"/>
              <w:jc w:val="center"/>
              <w:textAlignment w:val="center"/>
              <w:rPr>
                <w:rFonts w:hint="default"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0.0438</w:t>
            </w:r>
          </w:p>
        </w:tc>
        <w:tc>
          <w:tcPr>
            <w:tcW w:w="1230" w:type="dxa"/>
            <w:tcBorders>
              <w:top w:val="single" w:color="auto" w:sz="2" w:space="0"/>
              <w:left w:val="single" w:color="auto" w:sz="2" w:space="0"/>
              <w:bottom w:val="single" w:color="auto" w:sz="2" w:space="0"/>
              <w:right w:val="single" w:color="auto" w:sz="2" w:space="0"/>
            </w:tcBorders>
            <w:noWrap w:val="0"/>
            <w:vAlign w:val="center"/>
          </w:tcPr>
          <w:p w14:paraId="24EA91BB">
            <w:pPr>
              <w:keepNext w:val="0"/>
              <w:keepLines w:val="0"/>
              <w:widowControl/>
              <w:suppressLineNumbers w:val="0"/>
              <w:jc w:val="center"/>
              <w:textAlignment w:val="center"/>
              <w:rPr>
                <w:rFonts w:hint="default" w:cs="Times New Roman"/>
                <w:b w:val="0"/>
                <w:bCs w:val="0"/>
                <w:color w:val="auto"/>
                <w:spacing w:val="0"/>
                <w:w w:val="100"/>
                <w:kern w:val="2"/>
                <w:sz w:val="21"/>
                <w:szCs w:val="21"/>
                <w:highlight w:val="none"/>
                <w:lang w:val="en-US" w:eastAsia="zh-CN" w:bidi="ar-SA"/>
              </w:rPr>
            </w:pPr>
            <w:r>
              <w:rPr>
                <w:rFonts w:hint="default" w:ascii="Times New Roman" w:hAnsi="Times New Roman" w:cs="Times New Roman"/>
                <w:color w:val="auto"/>
                <w:highlight w:val="none"/>
                <w:lang w:val="en-US" w:eastAsia="zh-CN"/>
              </w:rPr>
              <w:t>0.133</w:t>
            </w:r>
          </w:p>
        </w:tc>
        <w:tc>
          <w:tcPr>
            <w:tcW w:w="862" w:type="pct"/>
            <w:tcBorders>
              <w:top w:val="single" w:color="auto" w:sz="2" w:space="0"/>
              <w:left w:val="single" w:color="auto" w:sz="2" w:space="0"/>
              <w:bottom w:val="single" w:color="auto" w:sz="2" w:space="0"/>
              <w:right w:val="single" w:color="auto" w:sz="2" w:space="0"/>
            </w:tcBorders>
            <w:noWrap w:val="0"/>
            <w:vAlign w:val="center"/>
          </w:tcPr>
          <w:p w14:paraId="350E2D96">
            <w:pPr>
              <w:keepNext w:val="0"/>
              <w:keepLines w:val="0"/>
              <w:widowControl/>
              <w:suppressLineNumbers w:val="0"/>
              <w:jc w:val="center"/>
              <w:textAlignment w:val="center"/>
              <w:rPr>
                <w:rFonts w:hint="default"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0.1768</w:t>
            </w:r>
          </w:p>
        </w:tc>
        <w:tc>
          <w:tcPr>
            <w:tcW w:w="992" w:type="pct"/>
            <w:tcBorders>
              <w:top w:val="single" w:color="auto" w:sz="2" w:space="0"/>
              <w:left w:val="single" w:color="auto" w:sz="2" w:space="0"/>
              <w:bottom w:val="single" w:color="auto" w:sz="2" w:space="0"/>
              <w:right w:val="single" w:color="auto" w:sz="2" w:space="0"/>
            </w:tcBorders>
            <w:noWrap w:val="0"/>
            <w:vAlign w:val="center"/>
          </w:tcPr>
          <w:p w14:paraId="7B0B2C91">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ascii="Times New Roman" w:hAnsi="Times New Roman" w:eastAsia="宋体" w:cs="Times New Roman"/>
                <w:b w:val="0"/>
                <w:bCs w:val="0"/>
                <w:color w:val="auto"/>
                <w:spacing w:val="0"/>
                <w:w w:val="100"/>
                <w:kern w:val="2"/>
                <w:sz w:val="21"/>
                <w:szCs w:val="21"/>
                <w:highlight w:val="none"/>
                <w:lang w:val="en-US" w:eastAsia="zh-CN" w:bidi="ar-SA"/>
              </w:rPr>
              <w:t>1.0</w:t>
            </w:r>
          </w:p>
        </w:tc>
        <w:tc>
          <w:tcPr>
            <w:tcW w:w="596" w:type="pct"/>
            <w:tcBorders>
              <w:top w:val="single" w:color="auto" w:sz="2" w:space="0"/>
              <w:left w:val="single" w:color="auto" w:sz="2" w:space="0"/>
              <w:bottom w:val="single" w:color="auto" w:sz="2" w:space="0"/>
              <w:right w:val="single" w:color="auto" w:sz="2" w:space="0"/>
            </w:tcBorders>
            <w:noWrap w:val="0"/>
            <w:vAlign w:val="center"/>
          </w:tcPr>
          <w:p w14:paraId="6A8D3E28">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达标</w:t>
            </w:r>
          </w:p>
        </w:tc>
      </w:tr>
      <w:tr w14:paraId="430811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8" w:type="pct"/>
            <w:vMerge w:val="continue"/>
            <w:tcBorders>
              <w:top w:val="single" w:color="auto" w:sz="2" w:space="0"/>
              <w:left w:val="single" w:color="auto" w:sz="2" w:space="0"/>
              <w:bottom w:val="single" w:color="auto" w:sz="2" w:space="0"/>
              <w:right w:val="single" w:color="auto" w:sz="2" w:space="0"/>
            </w:tcBorders>
            <w:noWrap w:val="0"/>
            <w:vAlign w:val="center"/>
          </w:tcPr>
          <w:p w14:paraId="5AA186E1">
            <w:pPr>
              <w:keepNext w:val="0"/>
              <w:keepLines w:val="0"/>
              <w:pageBreakBefore w:val="0"/>
              <w:kinsoku/>
              <w:wordWrap/>
              <w:overflowPunct/>
              <w:topLinePunct w:val="0"/>
              <w:bidi w:val="0"/>
              <w:snapToGrid/>
              <w:spacing w:line="240" w:lineRule="atLeast"/>
              <w:ind w:firstLine="0" w:firstLineChars="0"/>
              <w:jc w:val="center"/>
              <w:rPr>
                <w:rFonts w:ascii="Times New Roman" w:hAnsi="宋体" w:eastAsia="宋体" w:cs="Times New Roman"/>
                <w:b w:val="0"/>
                <w:bCs w:val="0"/>
                <w:color w:val="auto"/>
                <w:spacing w:val="0"/>
                <w:w w:val="100"/>
                <w:kern w:val="2"/>
                <w:sz w:val="21"/>
                <w:szCs w:val="21"/>
                <w:highlight w:val="none"/>
              </w:rPr>
            </w:pPr>
          </w:p>
        </w:tc>
        <w:tc>
          <w:tcPr>
            <w:tcW w:w="563"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47494F2C">
            <w:pPr>
              <w:keepNext w:val="0"/>
              <w:keepLines w:val="0"/>
              <w:pageBreakBefore w:val="0"/>
              <w:kinsoku/>
              <w:wordWrap/>
              <w:overflowPunct/>
              <w:topLinePunct w:val="0"/>
              <w:bidi w:val="0"/>
              <w:snapToGrid/>
              <w:spacing w:line="240" w:lineRule="atLeast"/>
              <w:ind w:firstLine="0" w:firstLineChars="0"/>
              <w:jc w:val="center"/>
              <w:rPr>
                <w:rFonts w:hint="default" w:ascii="Times New Roman" w:hAnsi="宋体" w:eastAsia="宋体"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b w:val="0"/>
                <w:bCs w:val="0"/>
                <w:color w:val="auto"/>
                <w:spacing w:val="0"/>
                <w:w w:val="100"/>
                <w:kern w:val="2"/>
                <w:sz w:val="21"/>
                <w:szCs w:val="21"/>
                <w:highlight w:val="none"/>
                <w:lang w:val="en-US" w:eastAsia="zh-CN" w:bidi="ar-SA"/>
              </w:rPr>
              <w:t>东</w:t>
            </w:r>
            <w:r>
              <w:rPr>
                <w:rFonts w:hint="eastAsia" w:cs="Times New Roman"/>
                <w:b w:val="0"/>
                <w:bCs w:val="0"/>
                <w:color w:val="auto"/>
                <w:spacing w:val="0"/>
                <w:w w:val="100"/>
                <w:kern w:val="2"/>
                <w:sz w:val="21"/>
                <w:szCs w:val="21"/>
                <w:highlight w:val="none"/>
                <w:lang w:val="en-US" w:eastAsia="zh-CN" w:bidi="ar-SA"/>
              </w:rPr>
              <w:t>场</w:t>
            </w:r>
            <w:r>
              <w:rPr>
                <w:rFonts w:hint="default" w:ascii="Times New Roman" w:hAnsi="Times New Roman" w:eastAsia="宋体" w:cs="Times New Roman"/>
                <w:b w:val="0"/>
                <w:bCs w:val="0"/>
                <w:color w:val="auto"/>
                <w:spacing w:val="0"/>
                <w:w w:val="100"/>
                <w:kern w:val="2"/>
                <w:sz w:val="21"/>
                <w:szCs w:val="21"/>
                <w:highlight w:val="none"/>
                <w:lang w:val="en-US" w:eastAsia="zh-CN" w:bidi="ar-SA"/>
              </w:rPr>
              <w:t>界</w:t>
            </w:r>
          </w:p>
        </w:tc>
        <w:tc>
          <w:tcPr>
            <w:tcW w:w="1186" w:type="dxa"/>
            <w:tcBorders>
              <w:top w:val="single" w:color="auto" w:sz="2" w:space="0"/>
              <w:left w:val="single" w:color="auto" w:sz="2" w:space="0"/>
              <w:bottom w:val="single" w:color="auto" w:sz="2" w:space="0"/>
              <w:right w:val="single" w:color="auto" w:sz="2" w:space="0"/>
            </w:tcBorders>
            <w:noWrap w:val="0"/>
            <w:vAlign w:val="center"/>
          </w:tcPr>
          <w:p w14:paraId="1D914504">
            <w:pPr>
              <w:keepNext w:val="0"/>
              <w:keepLines w:val="0"/>
              <w:widowControl/>
              <w:suppressLineNumbers w:val="0"/>
              <w:jc w:val="center"/>
              <w:textAlignment w:val="center"/>
              <w:rPr>
                <w:rFonts w:hint="eastAsia"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0.0438</w:t>
            </w:r>
          </w:p>
        </w:tc>
        <w:tc>
          <w:tcPr>
            <w:tcW w:w="1230" w:type="dxa"/>
            <w:tcBorders>
              <w:top w:val="single" w:color="auto" w:sz="2" w:space="0"/>
              <w:left w:val="single" w:color="auto" w:sz="2" w:space="0"/>
              <w:bottom w:val="single" w:color="auto" w:sz="2" w:space="0"/>
              <w:right w:val="single" w:color="auto" w:sz="2" w:space="0"/>
            </w:tcBorders>
            <w:noWrap w:val="0"/>
            <w:vAlign w:val="center"/>
          </w:tcPr>
          <w:p w14:paraId="11CB700A">
            <w:pPr>
              <w:keepNext w:val="0"/>
              <w:keepLines w:val="0"/>
              <w:widowControl/>
              <w:suppressLineNumbers w:val="0"/>
              <w:jc w:val="center"/>
              <w:textAlignment w:val="center"/>
              <w:rPr>
                <w:rFonts w:hint="eastAsia" w:cs="Times New Roman"/>
                <w:b w:val="0"/>
                <w:bCs w:val="0"/>
                <w:color w:val="auto"/>
                <w:spacing w:val="0"/>
                <w:w w:val="100"/>
                <w:kern w:val="2"/>
                <w:sz w:val="21"/>
                <w:szCs w:val="21"/>
                <w:highlight w:val="none"/>
                <w:lang w:val="en-US" w:eastAsia="zh-CN" w:bidi="ar-SA"/>
              </w:rPr>
            </w:pPr>
            <w:r>
              <w:rPr>
                <w:rFonts w:hint="default" w:ascii="Times New Roman" w:hAnsi="Times New Roman" w:cs="Times New Roman"/>
                <w:color w:val="auto"/>
                <w:highlight w:val="none"/>
                <w:lang w:val="en-US" w:eastAsia="zh-CN"/>
              </w:rPr>
              <w:t>0.133</w:t>
            </w:r>
          </w:p>
        </w:tc>
        <w:tc>
          <w:tcPr>
            <w:tcW w:w="1471" w:type="dxa"/>
            <w:tcBorders>
              <w:top w:val="single" w:color="auto" w:sz="2" w:space="0"/>
              <w:left w:val="single" w:color="auto" w:sz="2" w:space="0"/>
              <w:bottom w:val="single" w:color="auto" w:sz="2" w:space="0"/>
              <w:right w:val="single" w:color="auto" w:sz="2" w:space="0"/>
            </w:tcBorders>
            <w:noWrap w:val="0"/>
            <w:vAlign w:val="center"/>
          </w:tcPr>
          <w:p w14:paraId="3C2638EE">
            <w:pPr>
              <w:keepNext w:val="0"/>
              <w:keepLines w:val="0"/>
              <w:widowControl/>
              <w:suppressLineNumbers w:val="0"/>
              <w:jc w:val="center"/>
              <w:textAlignment w:val="center"/>
              <w:rPr>
                <w:rFonts w:hint="default"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0.1768</w:t>
            </w:r>
          </w:p>
        </w:tc>
        <w:tc>
          <w:tcPr>
            <w:tcW w:w="992" w:type="pct"/>
            <w:tcBorders>
              <w:top w:val="single" w:color="auto" w:sz="2" w:space="0"/>
              <w:left w:val="single" w:color="auto" w:sz="2" w:space="0"/>
              <w:bottom w:val="single" w:color="auto" w:sz="2" w:space="0"/>
              <w:right w:val="single" w:color="auto" w:sz="2" w:space="0"/>
            </w:tcBorders>
            <w:noWrap w:val="0"/>
            <w:vAlign w:val="center"/>
          </w:tcPr>
          <w:p w14:paraId="6840F420">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ascii="Times New Roman" w:hAnsi="Times New Roman" w:eastAsia="宋体" w:cs="Times New Roman"/>
                <w:b w:val="0"/>
                <w:bCs w:val="0"/>
                <w:color w:val="auto"/>
                <w:spacing w:val="0"/>
                <w:w w:val="100"/>
                <w:kern w:val="2"/>
                <w:sz w:val="21"/>
                <w:szCs w:val="21"/>
                <w:highlight w:val="none"/>
                <w:lang w:val="en-US" w:eastAsia="zh-CN" w:bidi="ar-SA"/>
              </w:rPr>
              <w:t>1.0</w:t>
            </w:r>
          </w:p>
        </w:tc>
        <w:tc>
          <w:tcPr>
            <w:tcW w:w="596" w:type="pct"/>
            <w:tcBorders>
              <w:top w:val="single" w:color="auto" w:sz="2" w:space="0"/>
              <w:left w:val="single" w:color="auto" w:sz="2" w:space="0"/>
              <w:bottom w:val="single" w:color="auto" w:sz="2" w:space="0"/>
              <w:right w:val="single" w:color="auto" w:sz="2" w:space="0"/>
            </w:tcBorders>
            <w:noWrap w:val="0"/>
            <w:vAlign w:val="center"/>
          </w:tcPr>
          <w:p w14:paraId="35703EEA">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达标</w:t>
            </w:r>
          </w:p>
        </w:tc>
      </w:tr>
      <w:tr w14:paraId="21D873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8" w:type="pct"/>
            <w:vMerge w:val="continue"/>
            <w:tcBorders>
              <w:top w:val="single" w:color="auto" w:sz="2" w:space="0"/>
              <w:left w:val="single" w:color="auto" w:sz="2" w:space="0"/>
              <w:bottom w:val="single" w:color="auto" w:sz="2" w:space="0"/>
              <w:right w:val="single" w:color="auto" w:sz="2" w:space="0"/>
            </w:tcBorders>
            <w:noWrap w:val="0"/>
            <w:vAlign w:val="center"/>
          </w:tcPr>
          <w:p w14:paraId="2F82D601">
            <w:pPr>
              <w:keepNext w:val="0"/>
              <w:keepLines w:val="0"/>
              <w:pageBreakBefore w:val="0"/>
              <w:kinsoku/>
              <w:wordWrap/>
              <w:overflowPunct/>
              <w:topLinePunct w:val="0"/>
              <w:bidi w:val="0"/>
              <w:snapToGrid/>
              <w:spacing w:line="240" w:lineRule="atLeast"/>
              <w:ind w:firstLine="0" w:firstLineChars="0"/>
              <w:jc w:val="center"/>
              <w:rPr>
                <w:rFonts w:ascii="Times New Roman" w:hAnsi="宋体" w:eastAsia="宋体" w:cs="Times New Roman"/>
                <w:b w:val="0"/>
                <w:bCs w:val="0"/>
                <w:color w:val="auto"/>
                <w:spacing w:val="0"/>
                <w:w w:val="100"/>
                <w:kern w:val="2"/>
                <w:sz w:val="21"/>
                <w:szCs w:val="21"/>
                <w:highlight w:val="none"/>
              </w:rPr>
            </w:pPr>
          </w:p>
        </w:tc>
        <w:tc>
          <w:tcPr>
            <w:tcW w:w="563"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15788C1E">
            <w:pPr>
              <w:keepNext w:val="0"/>
              <w:keepLines w:val="0"/>
              <w:pageBreakBefore w:val="0"/>
              <w:kinsoku/>
              <w:wordWrap/>
              <w:overflowPunct/>
              <w:topLinePunct w:val="0"/>
              <w:bidi w:val="0"/>
              <w:snapToGrid/>
              <w:spacing w:line="240" w:lineRule="atLeast"/>
              <w:ind w:firstLine="0" w:firstLineChars="0"/>
              <w:jc w:val="center"/>
              <w:rPr>
                <w:rFonts w:hint="default" w:ascii="Times New Roman" w:hAnsi="宋体" w:eastAsia="宋体"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b w:val="0"/>
                <w:bCs w:val="0"/>
                <w:color w:val="auto"/>
                <w:spacing w:val="0"/>
                <w:w w:val="100"/>
                <w:kern w:val="2"/>
                <w:sz w:val="21"/>
                <w:szCs w:val="21"/>
                <w:highlight w:val="none"/>
                <w:lang w:val="en-US" w:eastAsia="zh-CN" w:bidi="ar-SA"/>
              </w:rPr>
              <w:t>南</w:t>
            </w:r>
            <w:r>
              <w:rPr>
                <w:rFonts w:hint="eastAsia" w:cs="Times New Roman"/>
                <w:b w:val="0"/>
                <w:bCs w:val="0"/>
                <w:color w:val="auto"/>
                <w:spacing w:val="0"/>
                <w:w w:val="100"/>
                <w:kern w:val="2"/>
                <w:sz w:val="21"/>
                <w:szCs w:val="21"/>
                <w:highlight w:val="none"/>
                <w:lang w:val="en-US" w:eastAsia="zh-CN" w:bidi="ar-SA"/>
              </w:rPr>
              <w:t>场</w:t>
            </w:r>
            <w:r>
              <w:rPr>
                <w:rFonts w:hint="default" w:ascii="Times New Roman" w:hAnsi="Times New Roman" w:eastAsia="宋体" w:cs="Times New Roman"/>
                <w:b w:val="0"/>
                <w:bCs w:val="0"/>
                <w:color w:val="auto"/>
                <w:spacing w:val="0"/>
                <w:w w:val="100"/>
                <w:kern w:val="2"/>
                <w:sz w:val="21"/>
                <w:szCs w:val="21"/>
                <w:highlight w:val="none"/>
                <w:lang w:val="en-US" w:eastAsia="zh-CN" w:bidi="ar-SA"/>
              </w:rPr>
              <w:t>界</w:t>
            </w:r>
          </w:p>
        </w:tc>
        <w:tc>
          <w:tcPr>
            <w:tcW w:w="1186" w:type="dxa"/>
            <w:tcBorders>
              <w:top w:val="single" w:color="auto" w:sz="2" w:space="0"/>
              <w:left w:val="single" w:color="auto" w:sz="2" w:space="0"/>
              <w:bottom w:val="single" w:color="auto" w:sz="2" w:space="0"/>
              <w:right w:val="single" w:color="auto" w:sz="2" w:space="0"/>
            </w:tcBorders>
            <w:noWrap w:val="0"/>
            <w:vAlign w:val="center"/>
          </w:tcPr>
          <w:p w14:paraId="018269A4">
            <w:pPr>
              <w:keepNext w:val="0"/>
              <w:keepLines w:val="0"/>
              <w:widowControl/>
              <w:suppressLineNumbers w:val="0"/>
              <w:jc w:val="center"/>
              <w:textAlignment w:val="center"/>
              <w:rPr>
                <w:rFonts w:hint="eastAsia"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0.0438</w:t>
            </w:r>
          </w:p>
        </w:tc>
        <w:tc>
          <w:tcPr>
            <w:tcW w:w="1230" w:type="dxa"/>
            <w:tcBorders>
              <w:top w:val="single" w:color="auto" w:sz="2" w:space="0"/>
              <w:left w:val="single" w:color="auto" w:sz="2" w:space="0"/>
              <w:bottom w:val="single" w:color="auto" w:sz="2" w:space="0"/>
              <w:right w:val="single" w:color="auto" w:sz="2" w:space="0"/>
            </w:tcBorders>
            <w:noWrap w:val="0"/>
            <w:vAlign w:val="center"/>
          </w:tcPr>
          <w:p w14:paraId="2DC8D8D3">
            <w:pPr>
              <w:keepNext w:val="0"/>
              <w:keepLines w:val="0"/>
              <w:widowControl/>
              <w:suppressLineNumbers w:val="0"/>
              <w:jc w:val="center"/>
              <w:textAlignment w:val="center"/>
              <w:rPr>
                <w:rFonts w:hint="eastAsia" w:cs="Times New Roman"/>
                <w:b w:val="0"/>
                <w:bCs w:val="0"/>
                <w:color w:val="auto"/>
                <w:spacing w:val="0"/>
                <w:w w:val="100"/>
                <w:kern w:val="2"/>
                <w:sz w:val="21"/>
                <w:szCs w:val="21"/>
                <w:highlight w:val="none"/>
                <w:lang w:val="en-US" w:eastAsia="zh-CN" w:bidi="ar-SA"/>
              </w:rPr>
            </w:pPr>
            <w:r>
              <w:rPr>
                <w:rFonts w:hint="default" w:ascii="Times New Roman" w:hAnsi="Times New Roman" w:cs="Times New Roman"/>
                <w:color w:val="auto"/>
                <w:highlight w:val="none"/>
                <w:lang w:val="en-US" w:eastAsia="zh-CN"/>
              </w:rPr>
              <w:t>0.133</w:t>
            </w:r>
          </w:p>
        </w:tc>
        <w:tc>
          <w:tcPr>
            <w:tcW w:w="1471" w:type="dxa"/>
            <w:tcBorders>
              <w:top w:val="single" w:color="auto" w:sz="2" w:space="0"/>
              <w:left w:val="single" w:color="auto" w:sz="2" w:space="0"/>
              <w:bottom w:val="single" w:color="auto" w:sz="2" w:space="0"/>
              <w:right w:val="single" w:color="auto" w:sz="2" w:space="0"/>
            </w:tcBorders>
            <w:noWrap w:val="0"/>
            <w:vAlign w:val="center"/>
          </w:tcPr>
          <w:p w14:paraId="21210AFE">
            <w:pPr>
              <w:keepNext w:val="0"/>
              <w:keepLines w:val="0"/>
              <w:widowControl/>
              <w:suppressLineNumbers w:val="0"/>
              <w:jc w:val="center"/>
              <w:textAlignment w:val="center"/>
              <w:rPr>
                <w:rFonts w:hint="default"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0.1768</w:t>
            </w:r>
          </w:p>
        </w:tc>
        <w:tc>
          <w:tcPr>
            <w:tcW w:w="992" w:type="pct"/>
            <w:tcBorders>
              <w:top w:val="single" w:color="auto" w:sz="2" w:space="0"/>
              <w:left w:val="single" w:color="auto" w:sz="2" w:space="0"/>
              <w:bottom w:val="single" w:color="auto" w:sz="2" w:space="0"/>
              <w:right w:val="single" w:color="auto" w:sz="2" w:space="0"/>
            </w:tcBorders>
            <w:noWrap w:val="0"/>
            <w:vAlign w:val="center"/>
          </w:tcPr>
          <w:p w14:paraId="7208AF3A">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ascii="Times New Roman" w:hAnsi="Times New Roman" w:eastAsia="宋体" w:cs="Times New Roman"/>
                <w:b w:val="0"/>
                <w:bCs w:val="0"/>
                <w:color w:val="auto"/>
                <w:spacing w:val="0"/>
                <w:w w:val="100"/>
                <w:kern w:val="2"/>
                <w:sz w:val="21"/>
                <w:szCs w:val="21"/>
                <w:highlight w:val="none"/>
                <w:lang w:val="en-US" w:eastAsia="zh-CN" w:bidi="ar-SA"/>
              </w:rPr>
              <w:t>1.0</w:t>
            </w:r>
          </w:p>
        </w:tc>
        <w:tc>
          <w:tcPr>
            <w:tcW w:w="596" w:type="pct"/>
            <w:tcBorders>
              <w:top w:val="single" w:color="auto" w:sz="2" w:space="0"/>
              <w:left w:val="single" w:color="auto" w:sz="2" w:space="0"/>
              <w:bottom w:val="single" w:color="auto" w:sz="2" w:space="0"/>
              <w:right w:val="single" w:color="auto" w:sz="2" w:space="0"/>
            </w:tcBorders>
            <w:noWrap w:val="0"/>
            <w:vAlign w:val="center"/>
          </w:tcPr>
          <w:p w14:paraId="62D7BF0B">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达标</w:t>
            </w:r>
          </w:p>
        </w:tc>
      </w:tr>
      <w:tr w14:paraId="34432C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8" w:type="pct"/>
            <w:vMerge w:val="continue"/>
            <w:tcBorders>
              <w:top w:val="single" w:color="auto" w:sz="2" w:space="0"/>
              <w:left w:val="single" w:color="auto" w:sz="2" w:space="0"/>
              <w:bottom w:val="single" w:color="auto" w:sz="2" w:space="0"/>
              <w:right w:val="single" w:color="auto" w:sz="2" w:space="0"/>
            </w:tcBorders>
            <w:noWrap w:val="0"/>
            <w:vAlign w:val="center"/>
          </w:tcPr>
          <w:p w14:paraId="27AFDEAD">
            <w:pPr>
              <w:keepNext w:val="0"/>
              <w:keepLines w:val="0"/>
              <w:pageBreakBefore w:val="0"/>
              <w:kinsoku/>
              <w:wordWrap/>
              <w:overflowPunct/>
              <w:topLinePunct w:val="0"/>
              <w:bidi w:val="0"/>
              <w:snapToGrid/>
              <w:spacing w:line="240" w:lineRule="atLeast"/>
              <w:ind w:firstLine="0" w:firstLineChars="0"/>
              <w:jc w:val="center"/>
              <w:rPr>
                <w:rFonts w:ascii="Times New Roman" w:hAnsi="宋体" w:eastAsia="宋体" w:cs="Times New Roman"/>
                <w:b w:val="0"/>
                <w:bCs w:val="0"/>
                <w:color w:val="auto"/>
                <w:spacing w:val="0"/>
                <w:w w:val="100"/>
                <w:kern w:val="2"/>
                <w:sz w:val="21"/>
                <w:szCs w:val="21"/>
                <w:highlight w:val="none"/>
              </w:rPr>
            </w:pPr>
          </w:p>
        </w:tc>
        <w:tc>
          <w:tcPr>
            <w:tcW w:w="563"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201682C7">
            <w:pPr>
              <w:keepNext w:val="0"/>
              <w:keepLines w:val="0"/>
              <w:pageBreakBefore w:val="0"/>
              <w:kinsoku/>
              <w:wordWrap/>
              <w:overflowPunct/>
              <w:topLinePunct w:val="0"/>
              <w:bidi w:val="0"/>
              <w:snapToGrid/>
              <w:spacing w:line="240" w:lineRule="atLeast"/>
              <w:ind w:firstLine="0" w:firstLineChars="0"/>
              <w:jc w:val="center"/>
              <w:rPr>
                <w:rFonts w:hint="default" w:ascii="Times New Roman" w:hAnsi="宋体" w:eastAsia="宋体"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b w:val="0"/>
                <w:bCs w:val="0"/>
                <w:color w:val="auto"/>
                <w:spacing w:val="0"/>
                <w:w w:val="100"/>
                <w:kern w:val="2"/>
                <w:sz w:val="21"/>
                <w:szCs w:val="21"/>
                <w:highlight w:val="none"/>
                <w:lang w:val="en-US" w:eastAsia="zh-CN" w:bidi="ar-SA"/>
              </w:rPr>
              <w:t>西</w:t>
            </w:r>
            <w:r>
              <w:rPr>
                <w:rFonts w:hint="eastAsia" w:cs="Times New Roman"/>
                <w:b w:val="0"/>
                <w:bCs w:val="0"/>
                <w:color w:val="auto"/>
                <w:spacing w:val="0"/>
                <w:w w:val="100"/>
                <w:kern w:val="2"/>
                <w:sz w:val="21"/>
                <w:szCs w:val="21"/>
                <w:highlight w:val="none"/>
                <w:lang w:val="en-US" w:eastAsia="zh-CN" w:bidi="ar-SA"/>
              </w:rPr>
              <w:t>场</w:t>
            </w:r>
            <w:r>
              <w:rPr>
                <w:rFonts w:hint="default" w:ascii="Times New Roman" w:hAnsi="Times New Roman" w:eastAsia="宋体" w:cs="Times New Roman"/>
                <w:b w:val="0"/>
                <w:bCs w:val="0"/>
                <w:color w:val="auto"/>
                <w:spacing w:val="0"/>
                <w:w w:val="100"/>
                <w:kern w:val="2"/>
                <w:sz w:val="21"/>
                <w:szCs w:val="21"/>
                <w:highlight w:val="none"/>
                <w:lang w:val="en-US" w:eastAsia="zh-CN" w:bidi="ar-SA"/>
              </w:rPr>
              <w:t>界</w:t>
            </w:r>
          </w:p>
        </w:tc>
        <w:tc>
          <w:tcPr>
            <w:tcW w:w="1186" w:type="dxa"/>
            <w:tcBorders>
              <w:top w:val="single" w:color="auto" w:sz="2" w:space="0"/>
              <w:left w:val="single" w:color="auto" w:sz="2" w:space="0"/>
              <w:bottom w:val="single" w:color="auto" w:sz="2" w:space="0"/>
              <w:right w:val="single" w:color="auto" w:sz="2" w:space="0"/>
            </w:tcBorders>
            <w:noWrap w:val="0"/>
            <w:vAlign w:val="center"/>
          </w:tcPr>
          <w:p w14:paraId="6599DE0C">
            <w:pPr>
              <w:keepNext w:val="0"/>
              <w:keepLines w:val="0"/>
              <w:widowControl/>
              <w:suppressLineNumbers w:val="0"/>
              <w:jc w:val="center"/>
              <w:textAlignment w:val="center"/>
              <w:rPr>
                <w:rFonts w:hint="eastAsia" w:cs="Times New Roman"/>
                <w:b w:val="0"/>
                <w:bCs w:val="0"/>
                <w:color w:val="auto"/>
                <w:spacing w:val="0"/>
                <w:w w:val="1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0.0438</w:t>
            </w:r>
          </w:p>
        </w:tc>
        <w:tc>
          <w:tcPr>
            <w:tcW w:w="1230" w:type="dxa"/>
            <w:tcBorders>
              <w:top w:val="single" w:color="auto" w:sz="2" w:space="0"/>
              <w:left w:val="single" w:color="auto" w:sz="2" w:space="0"/>
              <w:bottom w:val="single" w:color="auto" w:sz="2" w:space="0"/>
              <w:right w:val="single" w:color="auto" w:sz="2" w:space="0"/>
            </w:tcBorders>
            <w:noWrap w:val="0"/>
            <w:vAlign w:val="center"/>
          </w:tcPr>
          <w:p w14:paraId="456E5642">
            <w:pPr>
              <w:keepNext w:val="0"/>
              <w:keepLines w:val="0"/>
              <w:widowControl/>
              <w:suppressLineNumbers w:val="0"/>
              <w:jc w:val="center"/>
              <w:textAlignment w:val="center"/>
              <w:rPr>
                <w:rFonts w:hint="eastAsia" w:cs="Times New Roman"/>
                <w:b w:val="0"/>
                <w:bCs w:val="0"/>
                <w:color w:val="auto"/>
                <w:spacing w:val="0"/>
                <w:w w:val="100"/>
                <w:kern w:val="2"/>
                <w:sz w:val="21"/>
                <w:szCs w:val="21"/>
                <w:highlight w:val="none"/>
                <w:lang w:val="en-US" w:eastAsia="zh-CN" w:bidi="ar-SA"/>
              </w:rPr>
            </w:pPr>
            <w:r>
              <w:rPr>
                <w:rFonts w:hint="default" w:ascii="Times New Roman" w:hAnsi="Times New Roman" w:cs="Times New Roman"/>
                <w:color w:val="auto"/>
                <w:highlight w:val="none"/>
                <w:lang w:val="en-US" w:eastAsia="zh-CN"/>
              </w:rPr>
              <w:t>0.133</w:t>
            </w:r>
          </w:p>
        </w:tc>
        <w:tc>
          <w:tcPr>
            <w:tcW w:w="1471" w:type="dxa"/>
            <w:tcBorders>
              <w:top w:val="single" w:color="auto" w:sz="2" w:space="0"/>
              <w:left w:val="single" w:color="auto" w:sz="2" w:space="0"/>
              <w:bottom w:val="single" w:color="auto" w:sz="2" w:space="0"/>
              <w:right w:val="single" w:color="auto" w:sz="2" w:space="0"/>
            </w:tcBorders>
            <w:noWrap w:val="0"/>
            <w:vAlign w:val="center"/>
          </w:tcPr>
          <w:p w14:paraId="53710B7C">
            <w:pPr>
              <w:keepNext w:val="0"/>
              <w:keepLines w:val="0"/>
              <w:widowControl/>
              <w:suppressLineNumbers w:val="0"/>
              <w:jc w:val="center"/>
              <w:textAlignment w:val="center"/>
              <w:rPr>
                <w:rFonts w:hint="default"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0.1768</w:t>
            </w:r>
          </w:p>
        </w:tc>
        <w:tc>
          <w:tcPr>
            <w:tcW w:w="992" w:type="pct"/>
            <w:tcBorders>
              <w:top w:val="single" w:color="auto" w:sz="2" w:space="0"/>
              <w:left w:val="single" w:color="auto" w:sz="2" w:space="0"/>
              <w:bottom w:val="single" w:color="auto" w:sz="2" w:space="0"/>
              <w:right w:val="single" w:color="auto" w:sz="2" w:space="0"/>
            </w:tcBorders>
            <w:noWrap w:val="0"/>
            <w:vAlign w:val="center"/>
          </w:tcPr>
          <w:p w14:paraId="5CE96503">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ascii="Times New Roman" w:hAnsi="Times New Roman" w:eastAsia="宋体" w:cs="Times New Roman"/>
                <w:b w:val="0"/>
                <w:bCs w:val="0"/>
                <w:color w:val="auto"/>
                <w:spacing w:val="0"/>
                <w:w w:val="100"/>
                <w:kern w:val="2"/>
                <w:sz w:val="21"/>
                <w:szCs w:val="21"/>
                <w:highlight w:val="none"/>
                <w:lang w:val="en-US" w:eastAsia="zh-CN" w:bidi="ar-SA"/>
              </w:rPr>
              <w:t>1.0</w:t>
            </w:r>
          </w:p>
        </w:tc>
        <w:tc>
          <w:tcPr>
            <w:tcW w:w="596" w:type="pct"/>
            <w:tcBorders>
              <w:top w:val="single" w:color="auto" w:sz="2" w:space="0"/>
              <w:left w:val="single" w:color="auto" w:sz="2" w:space="0"/>
              <w:bottom w:val="single" w:color="auto" w:sz="2" w:space="0"/>
              <w:right w:val="single" w:color="auto" w:sz="2" w:space="0"/>
            </w:tcBorders>
            <w:noWrap w:val="0"/>
            <w:vAlign w:val="center"/>
          </w:tcPr>
          <w:p w14:paraId="54F31EB2">
            <w:pPr>
              <w:keepNext w:val="0"/>
              <w:keepLines w:val="0"/>
              <w:pageBreakBefore w:val="0"/>
              <w:widowControl/>
              <w:suppressLineNumbers w:val="0"/>
              <w:kinsoku/>
              <w:wordWrap/>
              <w:overflowPunct/>
              <w:topLinePunct w:val="0"/>
              <w:bidi w:val="0"/>
              <w:snapToGrid/>
              <w:spacing w:line="240" w:lineRule="atLeast"/>
              <w:ind w:firstLine="0" w:firstLineChars="0"/>
              <w:jc w:val="center"/>
              <w:textAlignment w:val="center"/>
              <w:rPr>
                <w:rFonts w:hint="default" w:ascii="Times New Roman" w:hAnsi="Times New Roman" w:eastAsia="宋体" w:cs="Times New Roman"/>
                <w:b w:val="0"/>
                <w:bCs w:val="0"/>
                <w:color w:val="auto"/>
                <w:spacing w:val="0"/>
                <w:w w:val="100"/>
                <w:kern w:val="2"/>
                <w:sz w:val="21"/>
                <w:szCs w:val="21"/>
                <w:highlight w:val="none"/>
                <w:lang w:val="en-US" w:eastAsia="zh-CN" w:bidi="ar-SA"/>
              </w:rPr>
            </w:pPr>
            <w:r>
              <w:rPr>
                <w:rFonts w:hint="eastAsia" w:cs="Times New Roman"/>
                <w:b w:val="0"/>
                <w:bCs w:val="0"/>
                <w:color w:val="auto"/>
                <w:spacing w:val="0"/>
                <w:w w:val="100"/>
                <w:kern w:val="2"/>
                <w:sz w:val="21"/>
                <w:szCs w:val="21"/>
                <w:highlight w:val="none"/>
                <w:lang w:val="en-US" w:eastAsia="zh-CN" w:bidi="ar-SA"/>
              </w:rPr>
              <w:t>达标</w:t>
            </w:r>
          </w:p>
        </w:tc>
      </w:tr>
    </w:tbl>
    <w:p w14:paraId="70D5C846">
      <w:pPr>
        <w:keepNext w:val="0"/>
        <w:keepLines w:val="0"/>
        <w:pageBreakBefore w:val="0"/>
        <w:widowControl w:val="0"/>
        <w:tabs>
          <w:tab w:val="left" w:pos="2649"/>
        </w:tabs>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由上表可知，</w:t>
      </w:r>
      <w:r>
        <w:rPr>
          <w:rFonts w:hint="default" w:ascii="Times New Roman" w:hAnsi="Times New Roman" w:cs="Times New Roman"/>
          <w:color w:val="auto"/>
          <w:sz w:val="24"/>
          <w:szCs w:val="24"/>
          <w:highlight w:val="none"/>
          <w:lang w:eastAsia="zh-CN"/>
        </w:rPr>
        <w:t>各</w:t>
      </w:r>
      <w:r>
        <w:rPr>
          <w:rFonts w:hint="default" w:ascii="Times New Roman" w:hAnsi="Times New Roman" w:cs="Times New Roman"/>
          <w:color w:val="auto"/>
          <w:sz w:val="24"/>
          <w:szCs w:val="24"/>
          <w:highlight w:val="none"/>
        </w:rPr>
        <w:t>厂界</w:t>
      </w:r>
      <w:r>
        <w:rPr>
          <w:rFonts w:hint="default" w:ascii="Times New Roman" w:hAnsi="Times New Roman" w:cs="Times New Roman"/>
          <w:color w:val="auto"/>
          <w:sz w:val="24"/>
          <w:szCs w:val="24"/>
          <w:highlight w:val="none"/>
          <w:lang w:eastAsia="zh-CN"/>
        </w:rPr>
        <w:t>的</w:t>
      </w:r>
      <w:r>
        <w:rPr>
          <w:rFonts w:hint="eastAsia" w:ascii="Times New Roman" w:hAnsi="Times New Roman" w:cs="Times New Roman"/>
          <w:color w:val="auto"/>
          <w:sz w:val="24"/>
          <w:szCs w:val="24"/>
          <w:highlight w:val="none"/>
          <w:lang w:val="en-US" w:eastAsia="zh-CN"/>
        </w:rPr>
        <w:t>颗粒物浓度</w:t>
      </w:r>
      <w:r>
        <w:rPr>
          <w:rFonts w:hint="default" w:ascii="Times New Roman" w:hAnsi="Times New Roman" w:cs="Times New Roman"/>
          <w:color w:val="auto"/>
          <w:sz w:val="24"/>
          <w:szCs w:val="24"/>
          <w:highlight w:val="none"/>
        </w:rPr>
        <w:t>可满足《铁矿采选工业污染物排放标准》（GB28661-2012）表7无组织排放监控浓度限值。</w:t>
      </w:r>
    </w:p>
    <w:p w14:paraId="61E12751">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rPr>
      </w:pPr>
      <w:r>
        <w:rPr>
          <w:rFonts w:hint="eastAsia" w:ascii="Times New Roman" w:hAnsi="Times New Roman" w:eastAsia="宋体" w:cs="Times New Roman"/>
          <w:b/>
          <w:sz w:val="24"/>
          <w:szCs w:val="24"/>
          <w:highlight w:val="none"/>
          <w:lang w:val="en-US" w:eastAsia="zh-CN"/>
        </w:rPr>
        <w:t>5.2.1.</w:t>
      </w:r>
      <w:r>
        <w:rPr>
          <w:rFonts w:hint="eastAsia" w:cs="Times New Roman"/>
          <w:b/>
          <w:sz w:val="24"/>
          <w:szCs w:val="24"/>
          <w:highlight w:val="none"/>
          <w:lang w:val="en-US" w:eastAsia="zh-CN"/>
        </w:rPr>
        <w:t>2</w:t>
      </w:r>
      <w:r>
        <w:rPr>
          <w:rFonts w:hint="default" w:ascii="Times New Roman" w:hAnsi="Times New Roman" w:eastAsia="宋体" w:cs="Times New Roman"/>
          <w:b/>
          <w:sz w:val="24"/>
          <w:szCs w:val="24"/>
          <w:highlight w:val="none"/>
        </w:rPr>
        <w:t>大气污染物排放量</w:t>
      </w:r>
    </w:p>
    <w:p w14:paraId="04661FE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kern w:val="0"/>
          <w:sz w:val="24"/>
          <w:szCs w:val="21"/>
          <w:highlight w:val="none"/>
        </w:rPr>
      </w:pPr>
      <w:r>
        <w:rPr>
          <w:rFonts w:hint="default" w:ascii="Times New Roman" w:hAnsi="Times New Roman" w:cs="Times New Roman"/>
          <w:color w:val="000000"/>
          <w:kern w:val="0"/>
          <w:sz w:val="24"/>
          <w:szCs w:val="21"/>
          <w:highlight w:val="none"/>
        </w:rPr>
        <w:t>根据工程分析，对本项目</w:t>
      </w:r>
      <w:r>
        <w:rPr>
          <w:rFonts w:hint="eastAsia" w:ascii="Times New Roman" w:hAnsi="Times New Roman" w:cs="Times New Roman"/>
          <w:color w:val="000000"/>
          <w:kern w:val="0"/>
          <w:sz w:val="24"/>
          <w:szCs w:val="21"/>
          <w:highlight w:val="none"/>
          <w:lang w:val="en-US" w:eastAsia="zh-CN"/>
        </w:rPr>
        <w:t>无</w:t>
      </w:r>
      <w:r>
        <w:rPr>
          <w:rFonts w:hint="default" w:ascii="Times New Roman" w:hAnsi="Times New Roman" w:cs="Times New Roman"/>
          <w:color w:val="000000"/>
          <w:kern w:val="0"/>
          <w:sz w:val="24"/>
          <w:szCs w:val="21"/>
          <w:highlight w:val="none"/>
        </w:rPr>
        <w:t>组织排放污染物进行核算，</w:t>
      </w:r>
      <w:r>
        <w:rPr>
          <w:rFonts w:hint="eastAsia" w:ascii="Times New Roman" w:hAnsi="Times New Roman" w:cs="Times New Roman"/>
          <w:color w:val="000000"/>
          <w:kern w:val="0"/>
          <w:sz w:val="24"/>
          <w:szCs w:val="21"/>
          <w:highlight w:val="none"/>
          <w:lang w:val="en-US" w:eastAsia="zh-CN"/>
        </w:rPr>
        <w:t>详</w:t>
      </w:r>
      <w:r>
        <w:rPr>
          <w:rFonts w:hint="default" w:ascii="Times New Roman" w:hAnsi="Times New Roman" w:cs="Times New Roman"/>
          <w:color w:val="000000"/>
          <w:kern w:val="0"/>
          <w:sz w:val="24"/>
          <w:szCs w:val="21"/>
          <w:highlight w:val="none"/>
        </w:rPr>
        <w:t>见下表</w:t>
      </w:r>
      <w:r>
        <w:rPr>
          <w:rFonts w:hint="eastAsia" w:ascii="Times New Roman" w:hAnsi="Times New Roman" w:cs="Times New Roman"/>
          <w:color w:val="000000"/>
          <w:kern w:val="0"/>
          <w:sz w:val="24"/>
          <w:szCs w:val="21"/>
          <w:highlight w:val="none"/>
          <w:lang w:eastAsia="zh-CN"/>
        </w:rPr>
        <w:t>。</w:t>
      </w:r>
    </w:p>
    <w:p w14:paraId="5350E68A">
      <w:pPr>
        <w:numPr>
          <w:ilvl w:val="0"/>
          <w:numId w:val="24"/>
        </w:numPr>
        <w:ind w:left="0" w:leftChars="0" w:firstLine="0" w:firstLineChars="0"/>
        <w:jc w:val="center"/>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项目大气污染物无组织排放量核算表</w:t>
      </w:r>
    </w:p>
    <w:tbl>
      <w:tblPr>
        <w:tblStyle w:val="58"/>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25"/>
        <w:gridCol w:w="875"/>
        <w:gridCol w:w="985"/>
        <w:gridCol w:w="920"/>
        <w:gridCol w:w="2115"/>
        <w:gridCol w:w="1217"/>
        <w:gridCol w:w="1148"/>
        <w:gridCol w:w="840"/>
      </w:tblGrid>
      <w:tr w14:paraId="09E817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49" w:type="pct"/>
            <w:vMerge w:val="restart"/>
            <w:tcBorders>
              <w:tl2br w:val="nil"/>
              <w:tr2bl w:val="nil"/>
            </w:tcBorders>
            <w:noWrap w:val="0"/>
            <w:vAlign w:val="center"/>
          </w:tcPr>
          <w:p w14:paraId="7275CDD5">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序号</w:t>
            </w:r>
          </w:p>
        </w:tc>
        <w:tc>
          <w:tcPr>
            <w:tcW w:w="513" w:type="pct"/>
            <w:vMerge w:val="restart"/>
            <w:tcBorders>
              <w:tl2br w:val="nil"/>
              <w:tr2bl w:val="nil"/>
            </w:tcBorders>
            <w:noWrap w:val="0"/>
            <w:vAlign w:val="center"/>
          </w:tcPr>
          <w:p w14:paraId="2B438EE7">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排放口编号</w:t>
            </w:r>
          </w:p>
        </w:tc>
        <w:tc>
          <w:tcPr>
            <w:tcW w:w="577" w:type="pct"/>
            <w:vMerge w:val="restart"/>
            <w:tcBorders>
              <w:tl2br w:val="nil"/>
              <w:tr2bl w:val="nil"/>
            </w:tcBorders>
            <w:noWrap w:val="0"/>
            <w:vAlign w:val="center"/>
          </w:tcPr>
          <w:p w14:paraId="001B8215">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产污环节</w:t>
            </w:r>
          </w:p>
        </w:tc>
        <w:tc>
          <w:tcPr>
            <w:tcW w:w="539" w:type="pct"/>
            <w:vMerge w:val="restart"/>
            <w:tcBorders>
              <w:tl2br w:val="nil"/>
              <w:tr2bl w:val="nil"/>
            </w:tcBorders>
            <w:noWrap w:val="0"/>
            <w:vAlign w:val="center"/>
          </w:tcPr>
          <w:p w14:paraId="3061EBC3">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污染物</w:t>
            </w:r>
          </w:p>
        </w:tc>
        <w:tc>
          <w:tcPr>
            <w:tcW w:w="1240" w:type="pct"/>
            <w:vMerge w:val="restart"/>
            <w:tcBorders>
              <w:tl2br w:val="nil"/>
              <w:tr2bl w:val="nil"/>
            </w:tcBorders>
            <w:noWrap w:val="0"/>
            <w:vAlign w:val="center"/>
          </w:tcPr>
          <w:p w14:paraId="31F1E778">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主要污染防治措施</w:t>
            </w:r>
          </w:p>
        </w:tc>
        <w:tc>
          <w:tcPr>
            <w:tcW w:w="1387" w:type="pct"/>
            <w:gridSpan w:val="2"/>
            <w:tcBorders>
              <w:tl2br w:val="nil"/>
              <w:tr2bl w:val="nil"/>
            </w:tcBorders>
            <w:noWrap w:val="0"/>
            <w:vAlign w:val="center"/>
          </w:tcPr>
          <w:p w14:paraId="170DB737">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spacing w:val="-20"/>
                <w:kern w:val="0"/>
                <w:sz w:val="21"/>
                <w:szCs w:val="21"/>
                <w:highlight w:val="none"/>
              </w:rPr>
              <w:t>国家或地方污染物排放标准</w:t>
            </w:r>
          </w:p>
        </w:tc>
        <w:tc>
          <w:tcPr>
            <w:tcW w:w="492" w:type="pct"/>
            <w:vMerge w:val="restart"/>
            <w:tcBorders>
              <w:tl2br w:val="nil"/>
              <w:tr2bl w:val="nil"/>
            </w:tcBorders>
            <w:noWrap w:val="0"/>
            <w:vAlign w:val="center"/>
          </w:tcPr>
          <w:p w14:paraId="38591885">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年排放量（t/a）</w:t>
            </w:r>
          </w:p>
        </w:tc>
      </w:tr>
      <w:tr w14:paraId="0A852A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49" w:type="pct"/>
            <w:vMerge w:val="continue"/>
            <w:tcBorders>
              <w:tl2br w:val="nil"/>
              <w:tr2bl w:val="nil"/>
            </w:tcBorders>
            <w:noWrap w:val="0"/>
            <w:vAlign w:val="center"/>
          </w:tcPr>
          <w:p w14:paraId="426B2679">
            <w:pPr>
              <w:widowControl/>
              <w:jc w:val="center"/>
              <w:rPr>
                <w:rFonts w:hint="default" w:ascii="Times New Roman" w:hAnsi="Times New Roman" w:cs="Times New Roman"/>
                <w:b/>
                <w:color w:val="000000"/>
                <w:kern w:val="0"/>
                <w:szCs w:val="21"/>
                <w:highlight w:val="none"/>
              </w:rPr>
            </w:pPr>
          </w:p>
        </w:tc>
        <w:tc>
          <w:tcPr>
            <w:tcW w:w="513" w:type="pct"/>
            <w:vMerge w:val="continue"/>
            <w:tcBorders>
              <w:tl2br w:val="nil"/>
              <w:tr2bl w:val="nil"/>
            </w:tcBorders>
            <w:noWrap w:val="0"/>
            <w:vAlign w:val="center"/>
          </w:tcPr>
          <w:p w14:paraId="27D2C657">
            <w:pPr>
              <w:widowControl/>
              <w:jc w:val="center"/>
              <w:rPr>
                <w:rFonts w:hint="default" w:ascii="Times New Roman" w:hAnsi="Times New Roman" w:cs="Times New Roman"/>
                <w:b/>
                <w:color w:val="000000"/>
                <w:kern w:val="0"/>
                <w:szCs w:val="21"/>
                <w:highlight w:val="none"/>
              </w:rPr>
            </w:pPr>
          </w:p>
        </w:tc>
        <w:tc>
          <w:tcPr>
            <w:tcW w:w="577" w:type="pct"/>
            <w:vMerge w:val="continue"/>
            <w:tcBorders>
              <w:tl2br w:val="nil"/>
              <w:tr2bl w:val="nil"/>
            </w:tcBorders>
            <w:noWrap w:val="0"/>
            <w:vAlign w:val="center"/>
          </w:tcPr>
          <w:p w14:paraId="55874869">
            <w:pPr>
              <w:widowControl/>
              <w:jc w:val="center"/>
              <w:rPr>
                <w:rFonts w:hint="default" w:ascii="Times New Roman" w:hAnsi="Times New Roman" w:cs="Times New Roman"/>
                <w:b/>
                <w:color w:val="000000"/>
                <w:kern w:val="0"/>
                <w:szCs w:val="21"/>
                <w:highlight w:val="none"/>
              </w:rPr>
            </w:pPr>
          </w:p>
        </w:tc>
        <w:tc>
          <w:tcPr>
            <w:tcW w:w="539" w:type="pct"/>
            <w:vMerge w:val="continue"/>
            <w:tcBorders>
              <w:tl2br w:val="nil"/>
              <w:tr2bl w:val="nil"/>
            </w:tcBorders>
            <w:noWrap w:val="0"/>
            <w:vAlign w:val="center"/>
          </w:tcPr>
          <w:p w14:paraId="0391B0B2">
            <w:pPr>
              <w:widowControl/>
              <w:jc w:val="center"/>
              <w:rPr>
                <w:rFonts w:hint="default" w:ascii="Times New Roman" w:hAnsi="Times New Roman" w:cs="Times New Roman"/>
                <w:b/>
                <w:color w:val="000000"/>
                <w:kern w:val="0"/>
                <w:szCs w:val="21"/>
                <w:highlight w:val="none"/>
              </w:rPr>
            </w:pPr>
          </w:p>
        </w:tc>
        <w:tc>
          <w:tcPr>
            <w:tcW w:w="1240" w:type="pct"/>
            <w:vMerge w:val="continue"/>
            <w:tcBorders>
              <w:tl2br w:val="nil"/>
              <w:tr2bl w:val="nil"/>
            </w:tcBorders>
            <w:noWrap w:val="0"/>
            <w:vAlign w:val="center"/>
          </w:tcPr>
          <w:p w14:paraId="7D590590">
            <w:pPr>
              <w:widowControl/>
              <w:jc w:val="center"/>
              <w:rPr>
                <w:rFonts w:hint="default" w:ascii="Times New Roman" w:hAnsi="Times New Roman" w:cs="Times New Roman"/>
                <w:b/>
                <w:color w:val="000000"/>
                <w:kern w:val="0"/>
                <w:szCs w:val="21"/>
                <w:highlight w:val="none"/>
              </w:rPr>
            </w:pPr>
          </w:p>
        </w:tc>
        <w:tc>
          <w:tcPr>
            <w:tcW w:w="713" w:type="pct"/>
            <w:tcBorders>
              <w:tl2br w:val="nil"/>
              <w:tr2bl w:val="nil"/>
            </w:tcBorders>
            <w:noWrap w:val="0"/>
            <w:vAlign w:val="center"/>
          </w:tcPr>
          <w:p w14:paraId="3E24AA0A">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标准名称</w:t>
            </w:r>
          </w:p>
        </w:tc>
        <w:tc>
          <w:tcPr>
            <w:tcW w:w="673" w:type="pct"/>
            <w:tcBorders>
              <w:tl2br w:val="nil"/>
              <w:tr2bl w:val="nil"/>
            </w:tcBorders>
            <w:noWrap w:val="0"/>
            <w:vAlign w:val="center"/>
          </w:tcPr>
          <w:p w14:paraId="6CD91202">
            <w:pPr>
              <w:widowControl/>
              <w:jc w:val="center"/>
              <w:rPr>
                <w:rFonts w:hint="default" w:ascii="Times New Roman" w:hAnsi="Times New Roman" w:cs="Times New Roman"/>
                <w:b/>
                <w:color w:val="000000"/>
                <w:kern w:val="0"/>
                <w:szCs w:val="21"/>
                <w:highlight w:val="none"/>
              </w:rPr>
            </w:pPr>
            <w:r>
              <w:rPr>
                <w:rFonts w:hint="default" w:ascii="Times New Roman" w:hAnsi="Times New Roman" w:cs="Times New Roman"/>
                <w:b/>
                <w:color w:val="000000"/>
                <w:kern w:val="0"/>
                <w:szCs w:val="21"/>
                <w:highlight w:val="none"/>
              </w:rPr>
              <w:t>浓度限值（mg/m</w:t>
            </w:r>
            <w:r>
              <w:rPr>
                <w:rFonts w:hint="default" w:ascii="Times New Roman" w:hAnsi="Times New Roman" w:cs="Times New Roman"/>
                <w:b/>
                <w:color w:val="000000"/>
                <w:kern w:val="0"/>
                <w:szCs w:val="21"/>
                <w:highlight w:val="none"/>
                <w:vertAlign w:val="superscript"/>
              </w:rPr>
              <w:t>3</w:t>
            </w:r>
            <w:r>
              <w:rPr>
                <w:rFonts w:hint="default" w:ascii="Times New Roman" w:hAnsi="Times New Roman" w:cs="Times New Roman"/>
                <w:b/>
                <w:color w:val="000000"/>
                <w:kern w:val="0"/>
                <w:szCs w:val="21"/>
                <w:highlight w:val="none"/>
              </w:rPr>
              <w:t>）</w:t>
            </w:r>
          </w:p>
        </w:tc>
        <w:tc>
          <w:tcPr>
            <w:tcW w:w="492" w:type="pct"/>
            <w:vMerge w:val="continue"/>
            <w:tcBorders>
              <w:tl2br w:val="nil"/>
              <w:tr2bl w:val="nil"/>
            </w:tcBorders>
            <w:noWrap w:val="0"/>
            <w:vAlign w:val="center"/>
          </w:tcPr>
          <w:p w14:paraId="5928A614">
            <w:pPr>
              <w:widowControl/>
              <w:jc w:val="center"/>
              <w:rPr>
                <w:rFonts w:hint="default" w:ascii="Times New Roman" w:hAnsi="Times New Roman" w:cs="Times New Roman"/>
                <w:b/>
                <w:color w:val="000000"/>
                <w:kern w:val="0"/>
                <w:szCs w:val="21"/>
                <w:highlight w:val="none"/>
              </w:rPr>
            </w:pPr>
          </w:p>
        </w:tc>
      </w:tr>
      <w:tr w14:paraId="5D774A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49" w:type="pct"/>
            <w:tcBorders>
              <w:tl2br w:val="nil"/>
              <w:tr2bl w:val="nil"/>
            </w:tcBorders>
            <w:noWrap w:val="0"/>
            <w:vAlign w:val="center"/>
          </w:tcPr>
          <w:p w14:paraId="10F9D3D5">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1</w:t>
            </w:r>
          </w:p>
        </w:tc>
        <w:tc>
          <w:tcPr>
            <w:tcW w:w="513" w:type="pct"/>
            <w:tcBorders>
              <w:tl2br w:val="nil"/>
              <w:tr2bl w:val="nil"/>
            </w:tcBorders>
            <w:noWrap w:val="0"/>
            <w:vAlign w:val="center"/>
          </w:tcPr>
          <w:p w14:paraId="6164C764">
            <w:pPr>
              <w:widowControl/>
              <w:jc w:val="center"/>
              <w:rPr>
                <w:rFonts w:hint="default" w:ascii="Times New Roman" w:hAnsi="Times New Roman" w:eastAsia="宋体" w:cs="Times New Roman"/>
                <w:b w:val="0"/>
                <w:bCs w:val="0"/>
                <w:color w:val="000000"/>
                <w:kern w:val="0"/>
                <w:szCs w:val="21"/>
                <w:highlight w:val="none"/>
                <w:lang w:val="en-US" w:eastAsia="zh-CN"/>
              </w:rPr>
            </w:pPr>
            <w:r>
              <w:rPr>
                <w:rFonts w:hint="eastAsia" w:ascii="Times New Roman" w:hAnsi="Times New Roman" w:cs="Times New Roman"/>
                <w:b w:val="0"/>
                <w:bCs w:val="0"/>
                <w:color w:val="000000"/>
                <w:kern w:val="0"/>
                <w:szCs w:val="21"/>
                <w:highlight w:val="none"/>
                <w:lang w:val="en-US" w:eastAsia="zh-CN"/>
              </w:rPr>
              <w:t>MF001</w:t>
            </w:r>
          </w:p>
        </w:tc>
        <w:tc>
          <w:tcPr>
            <w:tcW w:w="577" w:type="pct"/>
            <w:tcBorders>
              <w:tl2br w:val="nil"/>
              <w:tr2bl w:val="nil"/>
            </w:tcBorders>
            <w:noWrap w:val="0"/>
            <w:vAlign w:val="center"/>
          </w:tcPr>
          <w:p w14:paraId="59CF6BFE">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堆存作业区</w:t>
            </w:r>
          </w:p>
        </w:tc>
        <w:tc>
          <w:tcPr>
            <w:tcW w:w="539" w:type="pct"/>
            <w:tcBorders>
              <w:tl2br w:val="nil"/>
              <w:tr2bl w:val="nil"/>
            </w:tcBorders>
            <w:noWrap w:val="0"/>
            <w:vAlign w:val="center"/>
          </w:tcPr>
          <w:p w14:paraId="4BCC8A24">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颗粒物</w:t>
            </w:r>
          </w:p>
        </w:tc>
        <w:tc>
          <w:tcPr>
            <w:tcW w:w="1240" w:type="pct"/>
            <w:tcBorders>
              <w:tl2br w:val="nil"/>
              <w:tr2bl w:val="nil"/>
            </w:tcBorders>
            <w:noWrap w:val="0"/>
            <w:vAlign w:val="center"/>
          </w:tcPr>
          <w:p w14:paraId="146FF7C1">
            <w:pPr>
              <w:pStyle w:val="174"/>
              <w:adjustRightInd w:val="0"/>
              <w:snapToGrid w:val="0"/>
              <w:rPr>
                <w:rFonts w:hint="eastAsia" w:ascii="Times New Roman" w:hAnsi="Times New Roman" w:eastAsia="宋体" w:cs="Times New Roman"/>
                <w:color w:val="000000"/>
                <w:kern w:val="0"/>
                <w:szCs w:val="21"/>
                <w:highlight w:val="none"/>
                <w:lang w:eastAsia="zh-CN"/>
              </w:rPr>
            </w:pPr>
            <w:r>
              <w:rPr>
                <w:color w:val="auto"/>
                <w:szCs w:val="21"/>
                <w:highlight w:val="none"/>
              </w:rPr>
              <w:t>在堆置废石过程中，对台阶尚未形成最终堆积面的区域及时进行压实、苫盖；倾卸土石时洒水抑尘</w:t>
            </w:r>
            <w:r>
              <w:rPr>
                <w:rFonts w:hint="eastAsia"/>
                <w:color w:val="auto"/>
                <w:szCs w:val="21"/>
                <w:highlight w:val="none"/>
                <w:lang w:eastAsia="zh-CN"/>
              </w:rPr>
              <w:t>。</w:t>
            </w:r>
          </w:p>
        </w:tc>
        <w:tc>
          <w:tcPr>
            <w:tcW w:w="713" w:type="pct"/>
            <w:vMerge w:val="restart"/>
            <w:tcBorders>
              <w:tl2br w:val="nil"/>
              <w:tr2bl w:val="nil"/>
            </w:tcBorders>
            <w:noWrap w:val="0"/>
            <w:vAlign w:val="center"/>
          </w:tcPr>
          <w:p w14:paraId="0A057011">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szCs w:val="21"/>
                <w:highlight w:val="none"/>
              </w:rPr>
              <w:t>《铁矿采选工业污染物排放标准》（GB28661-2012）</w:t>
            </w:r>
          </w:p>
        </w:tc>
        <w:tc>
          <w:tcPr>
            <w:tcW w:w="673" w:type="pct"/>
            <w:tcBorders>
              <w:tl2br w:val="nil"/>
              <w:tr2bl w:val="nil"/>
            </w:tcBorders>
            <w:noWrap w:val="0"/>
            <w:vAlign w:val="center"/>
          </w:tcPr>
          <w:p w14:paraId="26D8C679">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1.0</w:t>
            </w:r>
          </w:p>
        </w:tc>
        <w:tc>
          <w:tcPr>
            <w:tcW w:w="492" w:type="pct"/>
            <w:tcBorders>
              <w:tl2br w:val="nil"/>
              <w:tr2bl w:val="nil"/>
            </w:tcBorders>
            <w:noWrap w:val="0"/>
            <w:vAlign w:val="center"/>
          </w:tcPr>
          <w:p w14:paraId="2276852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91.758</w:t>
            </w:r>
          </w:p>
        </w:tc>
      </w:tr>
      <w:tr w14:paraId="7840918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49" w:type="pct"/>
            <w:tcBorders>
              <w:tl2br w:val="nil"/>
              <w:tr2bl w:val="nil"/>
            </w:tcBorders>
            <w:shd w:val="clear" w:color="auto" w:fill="auto"/>
            <w:noWrap w:val="0"/>
            <w:vAlign w:val="center"/>
          </w:tcPr>
          <w:p w14:paraId="280B7808">
            <w:pPr>
              <w:widowControl/>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bidi="ar-SA"/>
              </w:rPr>
              <w:t>2</w:t>
            </w:r>
          </w:p>
        </w:tc>
        <w:tc>
          <w:tcPr>
            <w:tcW w:w="513" w:type="pct"/>
            <w:tcBorders>
              <w:tl2br w:val="nil"/>
              <w:tr2bl w:val="nil"/>
            </w:tcBorders>
            <w:noWrap w:val="0"/>
            <w:vAlign w:val="center"/>
          </w:tcPr>
          <w:p w14:paraId="590A761C">
            <w:pPr>
              <w:widowControl/>
              <w:jc w:val="center"/>
              <w:rPr>
                <w:rFonts w:hint="default" w:ascii="Times New Roman" w:hAnsi="Times New Roman" w:cs="Times New Roman"/>
                <w:b w:val="0"/>
                <w:bCs w:val="0"/>
                <w:color w:val="000000"/>
                <w:kern w:val="0"/>
                <w:szCs w:val="21"/>
                <w:highlight w:val="none"/>
                <w:lang w:val="en-US" w:eastAsia="zh-CN"/>
              </w:rPr>
            </w:pPr>
            <w:r>
              <w:rPr>
                <w:rFonts w:hint="eastAsia" w:cs="Times New Roman"/>
                <w:b w:val="0"/>
                <w:bCs w:val="0"/>
                <w:color w:val="000000"/>
                <w:kern w:val="0"/>
                <w:szCs w:val="21"/>
                <w:highlight w:val="none"/>
                <w:lang w:val="en-US" w:eastAsia="zh-CN"/>
              </w:rPr>
              <w:t>/</w:t>
            </w:r>
          </w:p>
        </w:tc>
        <w:tc>
          <w:tcPr>
            <w:tcW w:w="577" w:type="pct"/>
            <w:tcBorders>
              <w:tl2br w:val="nil"/>
              <w:tr2bl w:val="nil"/>
            </w:tcBorders>
            <w:noWrap w:val="0"/>
            <w:vAlign w:val="center"/>
          </w:tcPr>
          <w:p w14:paraId="42BECA3E">
            <w:pPr>
              <w:widowControl/>
              <w:jc w:val="center"/>
              <w:rPr>
                <w:rFonts w:hint="default" w:ascii="Times New Roman" w:hAnsi="Times New Roman" w:cs="Times New Roman"/>
                <w:color w:val="000000"/>
                <w:kern w:val="0"/>
                <w:szCs w:val="21"/>
                <w:highlight w:val="none"/>
                <w:lang w:val="en-US"/>
              </w:rPr>
            </w:pPr>
            <w:r>
              <w:rPr>
                <w:rFonts w:hint="eastAsia" w:cs="Times New Roman"/>
                <w:color w:val="auto"/>
                <w:kern w:val="2"/>
                <w:sz w:val="21"/>
                <w:szCs w:val="21"/>
                <w:highlight w:val="none"/>
                <w:vertAlign w:val="baseline"/>
                <w:lang w:val="en-US" w:eastAsia="zh-CN" w:bidi="ar-SA"/>
              </w:rPr>
              <w:t>封场覆土扬尘</w:t>
            </w:r>
          </w:p>
        </w:tc>
        <w:tc>
          <w:tcPr>
            <w:tcW w:w="539" w:type="pct"/>
            <w:tcBorders>
              <w:tl2br w:val="nil"/>
              <w:tr2bl w:val="nil"/>
            </w:tcBorders>
            <w:noWrap w:val="0"/>
            <w:vAlign w:val="center"/>
          </w:tcPr>
          <w:p w14:paraId="2938AA5A">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颗粒物</w:t>
            </w:r>
          </w:p>
        </w:tc>
        <w:tc>
          <w:tcPr>
            <w:tcW w:w="1240" w:type="pct"/>
            <w:tcBorders>
              <w:tl2br w:val="nil"/>
              <w:tr2bl w:val="nil"/>
            </w:tcBorders>
            <w:noWrap w:val="0"/>
            <w:vAlign w:val="center"/>
          </w:tcPr>
          <w:p w14:paraId="1A46EE42">
            <w:pPr>
              <w:pStyle w:val="174"/>
              <w:adjustRightInd w:val="0"/>
              <w:snapToGrid w:val="0"/>
              <w:rPr>
                <w:rFonts w:hint="default" w:ascii="Times New Roman" w:hAnsi="Times New Roman" w:cs="Times New Roman"/>
                <w:color w:val="000000"/>
                <w:kern w:val="0"/>
                <w:szCs w:val="21"/>
                <w:highlight w:val="none"/>
              </w:rPr>
            </w:pPr>
            <w:r>
              <w:rPr>
                <w:color w:val="auto"/>
                <w:highlight w:val="none"/>
              </w:rPr>
              <w:t>配备洒水车辆降尘</w:t>
            </w:r>
            <w:r>
              <w:rPr>
                <w:rFonts w:hint="eastAsia"/>
                <w:color w:val="auto"/>
                <w:highlight w:val="none"/>
                <w:lang w:eastAsia="zh-CN"/>
              </w:rPr>
              <w:t>。</w:t>
            </w:r>
          </w:p>
        </w:tc>
        <w:tc>
          <w:tcPr>
            <w:tcW w:w="713" w:type="pct"/>
            <w:vMerge w:val="continue"/>
            <w:tcBorders>
              <w:tl2br w:val="nil"/>
              <w:tr2bl w:val="nil"/>
            </w:tcBorders>
            <w:noWrap w:val="0"/>
            <w:vAlign w:val="center"/>
          </w:tcPr>
          <w:p w14:paraId="1822CEBA">
            <w:pPr>
              <w:widowControl/>
              <w:jc w:val="center"/>
              <w:rPr>
                <w:rFonts w:hint="default" w:ascii="Times New Roman" w:hAnsi="Times New Roman" w:cs="Times New Roman"/>
                <w:color w:val="000000"/>
                <w:szCs w:val="21"/>
                <w:highlight w:val="none"/>
              </w:rPr>
            </w:pPr>
          </w:p>
        </w:tc>
        <w:tc>
          <w:tcPr>
            <w:tcW w:w="673" w:type="pct"/>
            <w:tcBorders>
              <w:tl2br w:val="nil"/>
              <w:tr2bl w:val="nil"/>
            </w:tcBorders>
            <w:noWrap w:val="0"/>
            <w:vAlign w:val="center"/>
          </w:tcPr>
          <w:p w14:paraId="035F34B2">
            <w:pPr>
              <w:widowControl/>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1.0</w:t>
            </w:r>
          </w:p>
        </w:tc>
        <w:tc>
          <w:tcPr>
            <w:tcW w:w="492" w:type="pct"/>
            <w:tcBorders>
              <w:tl2br w:val="nil"/>
              <w:tr2bl w:val="nil"/>
            </w:tcBorders>
            <w:noWrap w:val="0"/>
            <w:vAlign w:val="center"/>
          </w:tcPr>
          <w:p w14:paraId="63493BB5">
            <w:pPr>
              <w:keepNext w:val="0"/>
              <w:keepLines w:val="0"/>
              <w:widowControl/>
              <w:suppressLineNumbers w:val="0"/>
              <w:jc w:val="center"/>
              <w:textAlignment w:val="center"/>
              <w:rPr>
                <w:rFonts w:hint="default" w:ascii="Times New Roman" w:hAnsi="Times New Roman" w:eastAsia="宋体" w:cs="Times New Roman"/>
                <w:color w:val="000000"/>
                <w:kern w:val="0"/>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0.497</w:t>
            </w:r>
          </w:p>
        </w:tc>
      </w:tr>
      <w:tr w14:paraId="3B6E82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49" w:type="pct"/>
            <w:tcBorders>
              <w:tl2br w:val="nil"/>
              <w:tr2bl w:val="nil"/>
            </w:tcBorders>
            <w:noWrap w:val="0"/>
            <w:vAlign w:val="center"/>
          </w:tcPr>
          <w:p w14:paraId="17DD2A44">
            <w:pPr>
              <w:widowControl/>
              <w:jc w:val="center"/>
              <w:rPr>
                <w:rFonts w:hint="default" w:ascii="Times New Roman" w:hAnsi="Times New Roman" w:cs="Times New Roman"/>
                <w:color w:val="000000"/>
                <w:kern w:val="0"/>
                <w:szCs w:val="21"/>
                <w:highlight w:val="none"/>
                <w:lang w:val="en-US" w:eastAsia="zh-CN"/>
              </w:rPr>
            </w:pPr>
            <w:r>
              <w:rPr>
                <w:rFonts w:hint="eastAsia" w:cs="Times New Roman"/>
                <w:color w:val="000000"/>
                <w:kern w:val="0"/>
                <w:szCs w:val="21"/>
                <w:highlight w:val="none"/>
                <w:lang w:val="en-US" w:eastAsia="zh-CN"/>
              </w:rPr>
              <w:t>3</w:t>
            </w:r>
          </w:p>
        </w:tc>
        <w:tc>
          <w:tcPr>
            <w:tcW w:w="513" w:type="pct"/>
            <w:tcBorders>
              <w:tl2br w:val="nil"/>
              <w:tr2bl w:val="nil"/>
            </w:tcBorders>
            <w:noWrap w:val="0"/>
            <w:vAlign w:val="center"/>
          </w:tcPr>
          <w:p w14:paraId="0C150106">
            <w:pPr>
              <w:widowControl/>
              <w:jc w:val="center"/>
              <w:rPr>
                <w:rFonts w:hint="default" w:ascii="Times New Roman" w:hAnsi="Times New Roman" w:cs="Times New Roman"/>
                <w:b w:val="0"/>
                <w:bCs w:val="0"/>
                <w:color w:val="000000"/>
                <w:kern w:val="0"/>
                <w:szCs w:val="21"/>
                <w:highlight w:val="none"/>
                <w:lang w:val="en-US" w:eastAsia="zh-CN"/>
              </w:rPr>
            </w:pPr>
            <w:r>
              <w:rPr>
                <w:rFonts w:hint="eastAsia" w:ascii="Times New Roman" w:hAnsi="Times New Roman" w:cs="Times New Roman"/>
                <w:b w:val="0"/>
                <w:bCs w:val="0"/>
                <w:color w:val="000000"/>
                <w:kern w:val="0"/>
                <w:szCs w:val="21"/>
                <w:highlight w:val="none"/>
                <w:lang w:val="en-US" w:eastAsia="zh-CN"/>
              </w:rPr>
              <w:t>/</w:t>
            </w:r>
          </w:p>
        </w:tc>
        <w:tc>
          <w:tcPr>
            <w:tcW w:w="577" w:type="pct"/>
            <w:tcBorders>
              <w:tl2br w:val="nil"/>
              <w:tr2bl w:val="nil"/>
            </w:tcBorders>
            <w:noWrap w:val="0"/>
            <w:vAlign w:val="center"/>
          </w:tcPr>
          <w:p w14:paraId="11188167">
            <w:pPr>
              <w:widowControl/>
              <w:jc w:val="center"/>
              <w:rPr>
                <w:rFonts w:hint="default" w:ascii="Times New Roman" w:hAnsi="Times New Roman" w:eastAsia="宋体" w:cs="Times New Roman"/>
                <w:b w:val="0"/>
                <w:bCs w:val="0"/>
                <w:i w:val="0"/>
                <w:iCs w:val="0"/>
                <w:color w:val="000000"/>
                <w:kern w:val="0"/>
                <w:sz w:val="21"/>
                <w:szCs w:val="21"/>
                <w:highlight w:val="none"/>
                <w:u w:val="none"/>
                <w:lang w:val="en-US" w:eastAsia="zh-CN" w:bidi="ar"/>
              </w:rPr>
            </w:pPr>
            <w:r>
              <w:rPr>
                <w:rFonts w:hint="eastAsia" w:ascii="Times New Roman" w:hAnsi="Times New Roman" w:eastAsia="宋体" w:cs="Times New Roman"/>
                <w:b w:val="0"/>
                <w:bCs w:val="0"/>
                <w:i w:val="0"/>
                <w:iCs w:val="0"/>
                <w:color w:val="000000"/>
                <w:kern w:val="0"/>
                <w:sz w:val="21"/>
                <w:szCs w:val="21"/>
                <w:highlight w:val="none"/>
                <w:u w:val="none"/>
                <w:lang w:val="en-US" w:eastAsia="zh-CN" w:bidi="ar"/>
              </w:rPr>
              <w:t>车辆运输</w:t>
            </w:r>
          </w:p>
        </w:tc>
        <w:tc>
          <w:tcPr>
            <w:tcW w:w="539" w:type="pct"/>
            <w:tcBorders>
              <w:tl2br w:val="nil"/>
              <w:tr2bl w:val="nil"/>
            </w:tcBorders>
            <w:noWrap w:val="0"/>
            <w:vAlign w:val="center"/>
          </w:tcPr>
          <w:p w14:paraId="7406EA8E">
            <w:pPr>
              <w:widowControl/>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颗粒物</w:t>
            </w:r>
          </w:p>
        </w:tc>
        <w:tc>
          <w:tcPr>
            <w:tcW w:w="1240" w:type="pct"/>
            <w:tcBorders>
              <w:tl2br w:val="nil"/>
              <w:tr2bl w:val="nil"/>
            </w:tcBorders>
            <w:noWrap w:val="0"/>
            <w:vAlign w:val="center"/>
          </w:tcPr>
          <w:p w14:paraId="77F01174">
            <w:pPr>
              <w:widowControl/>
              <w:jc w:val="center"/>
              <w:rPr>
                <w:rFonts w:hint="default" w:ascii="Times New Roman" w:hAnsi="Times New Roman" w:cs="Times New Roman"/>
                <w:color w:val="000000"/>
                <w:kern w:val="0"/>
                <w:szCs w:val="21"/>
                <w:highlight w:val="none"/>
              </w:rPr>
            </w:pPr>
            <w:r>
              <w:rPr>
                <w:rFonts w:hint="eastAsia" w:ascii="Times New Roman" w:hAnsi="Times New Roman" w:cs="Times New Roman"/>
                <w:color w:val="000000"/>
                <w:highlight w:val="none"/>
                <w:lang w:val="en-US" w:eastAsia="zh-CN"/>
              </w:rPr>
              <w:t>运输道路硬化，定期清扫、洒水降尘，运输车辆减速慢行、车辆苫布苫盖</w:t>
            </w:r>
            <w:r>
              <w:rPr>
                <w:rFonts w:hint="default" w:ascii="Times New Roman" w:hAnsi="Times New Roman" w:cs="Times New Roman"/>
                <w:bCs/>
                <w:color w:val="000000"/>
                <w:highlight w:val="none"/>
              </w:rPr>
              <w:t>。</w:t>
            </w:r>
          </w:p>
        </w:tc>
        <w:tc>
          <w:tcPr>
            <w:tcW w:w="713" w:type="pct"/>
            <w:vMerge w:val="continue"/>
            <w:tcBorders>
              <w:tl2br w:val="nil"/>
              <w:tr2bl w:val="nil"/>
            </w:tcBorders>
            <w:noWrap w:val="0"/>
            <w:vAlign w:val="center"/>
          </w:tcPr>
          <w:p w14:paraId="3B80F029">
            <w:pPr>
              <w:widowControl/>
              <w:jc w:val="center"/>
              <w:rPr>
                <w:rFonts w:hint="default" w:ascii="Times New Roman" w:hAnsi="Times New Roman" w:cs="Times New Roman"/>
                <w:color w:val="000000"/>
                <w:szCs w:val="21"/>
                <w:highlight w:val="none"/>
              </w:rPr>
            </w:pPr>
          </w:p>
        </w:tc>
        <w:tc>
          <w:tcPr>
            <w:tcW w:w="673" w:type="pct"/>
            <w:tcBorders>
              <w:tl2br w:val="nil"/>
              <w:tr2bl w:val="nil"/>
            </w:tcBorders>
            <w:noWrap w:val="0"/>
            <w:vAlign w:val="center"/>
          </w:tcPr>
          <w:p w14:paraId="587D975E">
            <w:pPr>
              <w:widowControl/>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1.0</w:t>
            </w:r>
          </w:p>
        </w:tc>
        <w:tc>
          <w:tcPr>
            <w:tcW w:w="492" w:type="pct"/>
            <w:tcBorders>
              <w:tl2br w:val="nil"/>
              <w:tr2bl w:val="nil"/>
            </w:tcBorders>
            <w:noWrap w:val="0"/>
            <w:vAlign w:val="center"/>
          </w:tcPr>
          <w:p w14:paraId="4455268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0.714</w:t>
            </w:r>
          </w:p>
        </w:tc>
      </w:tr>
      <w:tr w14:paraId="0724C5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5000" w:type="pct"/>
            <w:gridSpan w:val="8"/>
            <w:tcBorders>
              <w:tl2br w:val="nil"/>
              <w:tr2bl w:val="nil"/>
            </w:tcBorders>
            <w:noWrap w:val="0"/>
            <w:vAlign w:val="center"/>
          </w:tcPr>
          <w:p w14:paraId="64129797">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无组织排放总计</w:t>
            </w:r>
          </w:p>
        </w:tc>
      </w:tr>
      <w:tr w14:paraId="1E34EE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62" w:type="pct"/>
            <w:gridSpan w:val="2"/>
            <w:tcBorders>
              <w:tl2br w:val="nil"/>
              <w:tr2bl w:val="nil"/>
            </w:tcBorders>
            <w:noWrap w:val="0"/>
            <w:vAlign w:val="center"/>
          </w:tcPr>
          <w:p w14:paraId="01EF87B3">
            <w:pPr>
              <w:widowControl/>
              <w:jc w:val="center"/>
              <w:rPr>
                <w:rFonts w:hint="default"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排放</w:t>
            </w:r>
            <w:r>
              <w:rPr>
                <w:rFonts w:hint="default" w:ascii="Times New Roman" w:hAnsi="Times New Roman" w:cs="Times New Roman"/>
                <w:color w:val="000000"/>
                <w:kern w:val="0"/>
                <w:szCs w:val="21"/>
                <w:highlight w:val="none"/>
              </w:rPr>
              <w:t>合计</w:t>
            </w:r>
          </w:p>
        </w:tc>
        <w:tc>
          <w:tcPr>
            <w:tcW w:w="3071" w:type="pct"/>
            <w:gridSpan w:val="4"/>
            <w:tcBorders>
              <w:tl2br w:val="nil"/>
              <w:tr2bl w:val="nil"/>
            </w:tcBorders>
            <w:noWrap w:val="0"/>
            <w:vAlign w:val="center"/>
          </w:tcPr>
          <w:p w14:paraId="365ACCD6">
            <w:pPr>
              <w:widowControl/>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颗粒物</w:t>
            </w:r>
          </w:p>
        </w:tc>
        <w:tc>
          <w:tcPr>
            <w:tcW w:w="1165" w:type="pct"/>
            <w:gridSpan w:val="2"/>
            <w:tcBorders>
              <w:tl2br w:val="nil"/>
              <w:tr2bl w:val="nil"/>
            </w:tcBorders>
            <w:noWrap w:val="0"/>
            <w:vAlign w:val="center"/>
          </w:tcPr>
          <w:p w14:paraId="573D5A8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highlight w:val="none"/>
                <w:u w:val="none"/>
                <w:lang w:val="en-US" w:eastAsia="zh-CN" w:bidi="ar-SA"/>
              </w:rPr>
            </w:pPr>
            <w:r>
              <w:rPr>
                <w:rFonts w:hint="eastAsia" w:cs="Times New Roman"/>
                <w:i w:val="0"/>
                <w:iCs w:val="0"/>
                <w:color w:val="000000"/>
                <w:kern w:val="0"/>
                <w:sz w:val="22"/>
                <w:szCs w:val="22"/>
                <w:highlight w:val="none"/>
                <w:u w:val="none"/>
                <w:lang w:val="en-US" w:eastAsia="zh-CN" w:bidi="ar"/>
              </w:rPr>
              <w:t>26.008</w:t>
            </w:r>
          </w:p>
        </w:tc>
      </w:tr>
    </w:tbl>
    <w:p w14:paraId="4C6CD74F">
      <w:pPr>
        <w:numPr>
          <w:ilvl w:val="0"/>
          <w:numId w:val="24"/>
        </w:numPr>
        <w:ind w:left="0" w:leftChars="0" w:firstLine="0" w:firstLineChars="0"/>
        <w:jc w:val="center"/>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项目大气污染物年排放量核算表</w:t>
      </w:r>
    </w:p>
    <w:tbl>
      <w:tblPr>
        <w:tblStyle w:val="58"/>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50"/>
        <w:gridCol w:w="3761"/>
        <w:gridCol w:w="3614"/>
      </w:tblGrid>
      <w:tr w14:paraId="7B1C34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4" w:type="pct"/>
            <w:tcBorders>
              <w:top w:val="single" w:color="auto" w:sz="2" w:space="0"/>
              <w:left w:val="single" w:color="auto" w:sz="2" w:space="0"/>
              <w:bottom w:val="single" w:color="auto" w:sz="2" w:space="0"/>
              <w:right w:val="single" w:color="auto" w:sz="2" w:space="0"/>
            </w:tcBorders>
            <w:noWrap w:val="0"/>
            <w:vAlign w:val="center"/>
          </w:tcPr>
          <w:p w14:paraId="4001EAD5">
            <w:pPr>
              <w:widowControl/>
              <w:jc w:val="center"/>
              <w:rPr>
                <w:rFonts w:hint="default" w:ascii="Times New Roman" w:hAnsi="Times New Roman" w:cs="Times New Roman"/>
                <w:b/>
                <w:color w:val="000000"/>
                <w:kern w:val="0"/>
                <w:szCs w:val="22"/>
                <w:highlight w:val="none"/>
              </w:rPr>
            </w:pPr>
            <w:r>
              <w:rPr>
                <w:rFonts w:hint="default" w:ascii="Times New Roman" w:hAnsi="Times New Roman" w:cs="Times New Roman"/>
                <w:b/>
                <w:color w:val="000000"/>
                <w:kern w:val="0"/>
                <w:szCs w:val="22"/>
                <w:highlight w:val="none"/>
              </w:rPr>
              <w:t>序号</w:t>
            </w:r>
          </w:p>
        </w:tc>
        <w:tc>
          <w:tcPr>
            <w:tcW w:w="2205" w:type="pct"/>
            <w:tcBorders>
              <w:top w:val="single" w:color="auto" w:sz="2" w:space="0"/>
              <w:left w:val="single" w:color="auto" w:sz="2" w:space="0"/>
              <w:bottom w:val="single" w:color="auto" w:sz="2" w:space="0"/>
              <w:right w:val="single" w:color="auto" w:sz="2" w:space="0"/>
            </w:tcBorders>
            <w:noWrap w:val="0"/>
            <w:vAlign w:val="center"/>
          </w:tcPr>
          <w:p w14:paraId="69AAF962">
            <w:pPr>
              <w:widowControl/>
              <w:jc w:val="center"/>
              <w:rPr>
                <w:rFonts w:hint="default" w:ascii="Times New Roman" w:hAnsi="Times New Roman" w:cs="Times New Roman"/>
                <w:b/>
                <w:color w:val="000000"/>
                <w:kern w:val="0"/>
                <w:szCs w:val="22"/>
                <w:highlight w:val="none"/>
              </w:rPr>
            </w:pPr>
            <w:r>
              <w:rPr>
                <w:rFonts w:hint="default" w:ascii="Times New Roman" w:hAnsi="Times New Roman" w:cs="Times New Roman"/>
                <w:b/>
                <w:color w:val="000000"/>
                <w:kern w:val="0"/>
                <w:szCs w:val="22"/>
                <w:highlight w:val="none"/>
              </w:rPr>
              <w:t>污染物</w:t>
            </w:r>
          </w:p>
        </w:tc>
        <w:tc>
          <w:tcPr>
            <w:tcW w:w="2119" w:type="pct"/>
            <w:tcBorders>
              <w:top w:val="single" w:color="auto" w:sz="2" w:space="0"/>
              <w:left w:val="single" w:color="auto" w:sz="2" w:space="0"/>
              <w:bottom w:val="single" w:color="auto" w:sz="2" w:space="0"/>
              <w:right w:val="single" w:color="auto" w:sz="2" w:space="0"/>
            </w:tcBorders>
            <w:noWrap w:val="0"/>
            <w:vAlign w:val="center"/>
          </w:tcPr>
          <w:p w14:paraId="6962EE11">
            <w:pPr>
              <w:widowControl/>
              <w:jc w:val="center"/>
              <w:rPr>
                <w:rFonts w:hint="default" w:ascii="Times New Roman" w:hAnsi="Times New Roman" w:cs="Times New Roman"/>
                <w:b/>
                <w:color w:val="000000"/>
                <w:kern w:val="0"/>
                <w:szCs w:val="22"/>
                <w:highlight w:val="none"/>
              </w:rPr>
            </w:pPr>
            <w:r>
              <w:rPr>
                <w:rFonts w:hint="default" w:ascii="Times New Roman" w:hAnsi="Times New Roman" w:cs="Times New Roman"/>
                <w:b/>
                <w:color w:val="000000"/>
                <w:kern w:val="0"/>
                <w:szCs w:val="22"/>
                <w:highlight w:val="none"/>
              </w:rPr>
              <w:t>年排放量/（t/a）</w:t>
            </w:r>
          </w:p>
        </w:tc>
      </w:tr>
      <w:tr w14:paraId="2E807D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4" w:type="pct"/>
            <w:tcBorders>
              <w:top w:val="single" w:color="auto" w:sz="2" w:space="0"/>
              <w:left w:val="single" w:color="auto" w:sz="2" w:space="0"/>
              <w:bottom w:val="single" w:color="auto" w:sz="2" w:space="0"/>
              <w:right w:val="single" w:color="auto" w:sz="2" w:space="0"/>
            </w:tcBorders>
            <w:noWrap w:val="0"/>
            <w:vAlign w:val="center"/>
          </w:tcPr>
          <w:p w14:paraId="24D248BE">
            <w:pPr>
              <w:widowControl/>
              <w:jc w:val="center"/>
              <w:rPr>
                <w:rFonts w:hint="default" w:ascii="Times New Roman" w:hAnsi="Times New Roman" w:cs="Times New Roman"/>
                <w:color w:val="000000"/>
                <w:kern w:val="0"/>
                <w:szCs w:val="22"/>
                <w:highlight w:val="none"/>
              </w:rPr>
            </w:pPr>
            <w:r>
              <w:rPr>
                <w:rFonts w:hint="default" w:ascii="Times New Roman" w:hAnsi="Times New Roman" w:cs="Times New Roman"/>
                <w:color w:val="000000"/>
                <w:kern w:val="0"/>
                <w:szCs w:val="22"/>
                <w:highlight w:val="none"/>
              </w:rPr>
              <w:t>1</w:t>
            </w:r>
          </w:p>
        </w:tc>
        <w:tc>
          <w:tcPr>
            <w:tcW w:w="2205" w:type="pct"/>
            <w:tcBorders>
              <w:top w:val="single" w:color="auto" w:sz="2" w:space="0"/>
              <w:left w:val="single" w:color="auto" w:sz="2" w:space="0"/>
              <w:bottom w:val="single" w:color="auto" w:sz="2" w:space="0"/>
              <w:right w:val="single" w:color="auto" w:sz="2" w:space="0"/>
            </w:tcBorders>
            <w:noWrap w:val="0"/>
            <w:vAlign w:val="center"/>
          </w:tcPr>
          <w:p w14:paraId="56D3278A">
            <w:pPr>
              <w:widowControl/>
              <w:jc w:val="center"/>
              <w:rPr>
                <w:rFonts w:hint="default" w:ascii="Times New Roman" w:hAnsi="Times New Roman" w:cs="Times New Roman"/>
                <w:color w:val="000000"/>
                <w:kern w:val="0"/>
                <w:sz w:val="21"/>
                <w:szCs w:val="22"/>
                <w:highlight w:val="none"/>
                <w:lang w:val="en-US" w:eastAsia="zh-CN" w:bidi="ar-SA"/>
              </w:rPr>
            </w:pPr>
            <w:r>
              <w:rPr>
                <w:rFonts w:hint="default" w:ascii="Times New Roman" w:hAnsi="Times New Roman" w:cs="Times New Roman"/>
                <w:color w:val="000000"/>
                <w:kern w:val="0"/>
                <w:szCs w:val="22"/>
                <w:highlight w:val="none"/>
              </w:rPr>
              <w:t>颗粒物</w:t>
            </w:r>
          </w:p>
        </w:tc>
        <w:tc>
          <w:tcPr>
            <w:tcW w:w="2119" w:type="pct"/>
            <w:tcBorders>
              <w:top w:val="single" w:color="auto" w:sz="2" w:space="0"/>
              <w:left w:val="single" w:color="auto" w:sz="2" w:space="0"/>
              <w:bottom w:val="single" w:color="auto" w:sz="2" w:space="0"/>
              <w:right w:val="single" w:color="auto" w:sz="2" w:space="0"/>
            </w:tcBorders>
            <w:noWrap w:val="0"/>
            <w:vAlign w:val="center"/>
          </w:tcPr>
          <w:p w14:paraId="508178E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highlight w:val="none"/>
                <w:u w:val="none"/>
                <w:lang w:val="en-US" w:eastAsia="zh-CN" w:bidi="ar-SA"/>
              </w:rPr>
            </w:pPr>
            <w:r>
              <w:rPr>
                <w:rFonts w:hint="eastAsia" w:cs="Times New Roman"/>
                <w:i w:val="0"/>
                <w:iCs w:val="0"/>
                <w:color w:val="000000"/>
                <w:kern w:val="0"/>
                <w:sz w:val="22"/>
                <w:szCs w:val="22"/>
                <w:highlight w:val="none"/>
                <w:u w:val="none"/>
                <w:lang w:val="en-US" w:eastAsia="zh-CN" w:bidi="ar"/>
              </w:rPr>
              <w:t>26.008</w:t>
            </w:r>
          </w:p>
        </w:tc>
      </w:tr>
    </w:tbl>
    <w:p w14:paraId="44E820D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rPr>
      </w:pPr>
      <w:r>
        <w:rPr>
          <w:rFonts w:hint="default" w:ascii="Times New Roman" w:hAnsi="Times New Roman" w:eastAsia="宋体" w:cs="Times New Roman"/>
          <w:b/>
          <w:sz w:val="24"/>
          <w:szCs w:val="24"/>
          <w:highlight w:val="none"/>
        </w:rPr>
        <w:t>5.2.1.</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rPr>
        <w:t>大气环境防护距离</w:t>
      </w:r>
    </w:p>
    <w:p w14:paraId="271C5BE1">
      <w:pPr>
        <w:pStyle w:val="258"/>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环境影响评价技术导则-大气环境》HJ2.2-2018中的相关要求，本项目污染物厂界浓度满足大气污染物厂界浓度限值，厂界外大气污染物短期贡献浓度不超过环境质量浓度限值，因此不需设置大气环境防护距离。</w:t>
      </w:r>
    </w:p>
    <w:p w14:paraId="7FEF02F6">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rPr>
      </w:pPr>
      <w:r>
        <w:rPr>
          <w:rFonts w:hint="default" w:ascii="Times New Roman" w:hAnsi="Times New Roman" w:eastAsia="宋体" w:cs="Times New Roman"/>
          <w:b/>
          <w:sz w:val="24"/>
          <w:szCs w:val="24"/>
          <w:highlight w:val="none"/>
        </w:rPr>
        <w:t>5.2.1.</w:t>
      </w:r>
      <w:r>
        <w:rPr>
          <w:rFonts w:hint="eastAsia" w:cs="Times New Roman"/>
          <w:b/>
          <w:sz w:val="24"/>
          <w:szCs w:val="24"/>
          <w:highlight w:val="none"/>
          <w:lang w:val="en-US" w:eastAsia="zh-CN"/>
        </w:rPr>
        <w:t>4</w:t>
      </w:r>
      <w:r>
        <w:rPr>
          <w:rFonts w:hint="default" w:ascii="Times New Roman" w:hAnsi="Times New Roman" w:eastAsia="宋体" w:cs="Times New Roman"/>
          <w:b/>
          <w:sz w:val="24"/>
          <w:szCs w:val="24"/>
          <w:highlight w:val="none"/>
        </w:rPr>
        <w:t>大气环境影响评价结论</w:t>
      </w:r>
    </w:p>
    <w:p w14:paraId="40112E60">
      <w:pPr>
        <w:pStyle w:val="258"/>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综上所述，</w:t>
      </w:r>
      <w:r>
        <w:rPr>
          <w:rFonts w:hint="eastAsia" w:ascii="Times New Roman" w:hAnsi="Times New Roman" w:cs="Times New Roman"/>
          <w:color w:val="000000"/>
          <w:highlight w:val="none"/>
          <w:lang w:eastAsia="zh-CN"/>
        </w:rPr>
        <w:t>项目生产运行阶段对大气环境影响可接受</w:t>
      </w:r>
      <w:r>
        <w:rPr>
          <w:rFonts w:hint="default" w:ascii="Times New Roman" w:hAnsi="Times New Roman" w:cs="Times New Roman"/>
          <w:color w:val="000000"/>
          <w:highlight w:val="none"/>
        </w:rPr>
        <w:t>。</w:t>
      </w:r>
    </w:p>
    <w:p w14:paraId="041F5684">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rPr>
      </w:pPr>
      <w:r>
        <w:rPr>
          <w:rFonts w:hint="eastAsia" w:ascii="Times New Roman" w:hAnsi="Times New Roman" w:eastAsia="宋体" w:cs="Times New Roman"/>
          <w:b/>
          <w:sz w:val="24"/>
          <w:szCs w:val="24"/>
          <w:highlight w:val="none"/>
          <w:lang w:val="en-US" w:eastAsia="zh-CN"/>
        </w:rPr>
        <w:t>5.2.1.</w:t>
      </w:r>
      <w:r>
        <w:rPr>
          <w:rFonts w:hint="eastAsia" w:cs="Times New Roman"/>
          <w:b/>
          <w:sz w:val="24"/>
          <w:szCs w:val="24"/>
          <w:highlight w:val="none"/>
          <w:lang w:val="en-US" w:eastAsia="zh-CN"/>
        </w:rPr>
        <w:t>5</w:t>
      </w:r>
      <w:r>
        <w:rPr>
          <w:rFonts w:hint="default" w:ascii="Times New Roman" w:hAnsi="Times New Roman" w:eastAsia="宋体" w:cs="Times New Roman"/>
          <w:b/>
          <w:sz w:val="24"/>
          <w:szCs w:val="24"/>
          <w:highlight w:val="none"/>
        </w:rPr>
        <w:t>大气环境影响评价自查表</w:t>
      </w:r>
    </w:p>
    <w:p w14:paraId="2D8DC0FE">
      <w:pPr>
        <w:pStyle w:val="258"/>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项目大气环境影响评价自查表详见下表：</w:t>
      </w:r>
    </w:p>
    <w:p w14:paraId="0A8508DC">
      <w:pPr>
        <w:keepNext w:val="0"/>
        <w:keepLines w:val="0"/>
        <w:pageBreakBefore w:val="0"/>
        <w:widowControl w:val="0"/>
        <w:numPr>
          <w:ilvl w:val="0"/>
          <w:numId w:val="24"/>
        </w:numPr>
        <w:kinsoku/>
        <w:wordWrap/>
        <w:overflowPunct/>
        <w:topLinePunct w:val="0"/>
        <w:autoSpaceDE/>
        <w:autoSpaceDN/>
        <w:bidi w:val="0"/>
        <w:spacing w:line="360" w:lineRule="auto"/>
        <w:ind w:left="0" w:leftChars="0" w:firstLine="0" w:firstLineChars="0"/>
        <w:jc w:val="center"/>
        <w:textAlignment w:val="auto"/>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建设项目大气环境影响评价自查表</w:t>
      </w:r>
    </w:p>
    <w:tbl>
      <w:tblPr>
        <w:tblStyle w:val="58"/>
        <w:tblW w:w="8595"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51"/>
        <w:gridCol w:w="1701"/>
        <w:gridCol w:w="773"/>
        <w:gridCol w:w="420"/>
        <w:gridCol w:w="220"/>
        <w:gridCol w:w="69"/>
        <w:gridCol w:w="786"/>
        <w:gridCol w:w="284"/>
        <w:gridCol w:w="283"/>
        <w:gridCol w:w="499"/>
        <w:gridCol w:w="210"/>
        <w:gridCol w:w="401"/>
        <w:gridCol w:w="546"/>
        <w:gridCol w:w="24"/>
        <w:gridCol w:w="38"/>
        <w:gridCol w:w="73"/>
        <w:gridCol w:w="777"/>
        <w:gridCol w:w="640"/>
      </w:tblGrid>
      <w:tr w14:paraId="14A447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552" w:type="dxa"/>
            <w:gridSpan w:val="2"/>
            <w:tcBorders>
              <w:tl2br w:val="nil"/>
              <w:tr2bl w:val="nil"/>
            </w:tcBorders>
            <w:noWrap w:val="0"/>
            <w:vAlign w:val="center"/>
          </w:tcPr>
          <w:p w14:paraId="751FC44F">
            <w:pPr>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工作内容</w:t>
            </w:r>
          </w:p>
        </w:tc>
        <w:tc>
          <w:tcPr>
            <w:tcW w:w="6043" w:type="dxa"/>
            <w:gridSpan w:val="16"/>
            <w:tcBorders>
              <w:tl2br w:val="nil"/>
              <w:tr2bl w:val="nil"/>
            </w:tcBorders>
            <w:noWrap w:val="0"/>
            <w:vAlign w:val="center"/>
          </w:tcPr>
          <w:p w14:paraId="10455638">
            <w:pPr>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自查项目</w:t>
            </w:r>
          </w:p>
        </w:tc>
      </w:tr>
      <w:tr w14:paraId="1ED2AA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restart"/>
            <w:tcBorders>
              <w:tl2br w:val="nil"/>
              <w:tr2bl w:val="nil"/>
            </w:tcBorders>
            <w:noWrap w:val="0"/>
            <w:vAlign w:val="center"/>
          </w:tcPr>
          <w:p w14:paraId="7BAEA0C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评价等级与范围</w:t>
            </w:r>
          </w:p>
        </w:tc>
        <w:tc>
          <w:tcPr>
            <w:tcW w:w="1701" w:type="dxa"/>
            <w:tcBorders>
              <w:tl2br w:val="nil"/>
              <w:tr2bl w:val="nil"/>
            </w:tcBorders>
            <w:noWrap w:val="0"/>
            <w:vAlign w:val="center"/>
          </w:tcPr>
          <w:p w14:paraId="5468625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评价等级</w:t>
            </w:r>
          </w:p>
        </w:tc>
        <w:tc>
          <w:tcPr>
            <w:tcW w:w="2268" w:type="dxa"/>
            <w:gridSpan w:val="5"/>
            <w:tcBorders>
              <w:tl2br w:val="nil"/>
              <w:tr2bl w:val="nil"/>
            </w:tcBorders>
            <w:noWrap w:val="0"/>
            <w:vAlign w:val="center"/>
          </w:tcPr>
          <w:p w14:paraId="4FC867C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一级□</w:t>
            </w:r>
          </w:p>
        </w:tc>
        <w:tc>
          <w:tcPr>
            <w:tcW w:w="1677" w:type="dxa"/>
            <w:gridSpan w:val="5"/>
            <w:tcBorders>
              <w:tl2br w:val="nil"/>
              <w:tr2bl w:val="nil"/>
            </w:tcBorders>
            <w:noWrap w:val="0"/>
            <w:vAlign w:val="center"/>
          </w:tcPr>
          <w:p w14:paraId="4100AD5E">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二级☑</w:t>
            </w:r>
          </w:p>
        </w:tc>
        <w:tc>
          <w:tcPr>
            <w:tcW w:w="2098" w:type="dxa"/>
            <w:gridSpan w:val="6"/>
            <w:tcBorders>
              <w:tl2br w:val="nil"/>
              <w:tr2bl w:val="nil"/>
            </w:tcBorders>
            <w:noWrap w:val="0"/>
            <w:vAlign w:val="center"/>
          </w:tcPr>
          <w:p w14:paraId="259D557B">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三级□</w:t>
            </w:r>
          </w:p>
        </w:tc>
      </w:tr>
      <w:tr w14:paraId="54F8A4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0DB35A67">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3B8F910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评价范围</w:t>
            </w:r>
          </w:p>
        </w:tc>
        <w:tc>
          <w:tcPr>
            <w:tcW w:w="2268" w:type="dxa"/>
            <w:gridSpan w:val="5"/>
            <w:tcBorders>
              <w:tl2br w:val="nil"/>
              <w:tr2bl w:val="nil"/>
            </w:tcBorders>
            <w:noWrap w:val="0"/>
            <w:vAlign w:val="center"/>
          </w:tcPr>
          <w:p w14:paraId="1AF5F9CE">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边长=50km□</w:t>
            </w:r>
          </w:p>
        </w:tc>
        <w:tc>
          <w:tcPr>
            <w:tcW w:w="1677" w:type="dxa"/>
            <w:gridSpan w:val="5"/>
            <w:tcBorders>
              <w:tl2br w:val="nil"/>
              <w:tr2bl w:val="nil"/>
            </w:tcBorders>
            <w:noWrap w:val="0"/>
            <w:vAlign w:val="center"/>
          </w:tcPr>
          <w:p w14:paraId="7E34B11F">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边长5~50km□</w:t>
            </w:r>
          </w:p>
        </w:tc>
        <w:tc>
          <w:tcPr>
            <w:tcW w:w="2098" w:type="dxa"/>
            <w:gridSpan w:val="6"/>
            <w:tcBorders>
              <w:tl2br w:val="nil"/>
              <w:tr2bl w:val="nil"/>
            </w:tcBorders>
            <w:noWrap w:val="0"/>
            <w:vAlign w:val="center"/>
          </w:tcPr>
          <w:p w14:paraId="0C1BB5BC">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边长=5km☑</w:t>
            </w:r>
          </w:p>
        </w:tc>
      </w:tr>
      <w:tr w14:paraId="4B0E37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restart"/>
            <w:tcBorders>
              <w:tl2br w:val="nil"/>
              <w:tr2bl w:val="nil"/>
            </w:tcBorders>
            <w:noWrap w:val="0"/>
            <w:vAlign w:val="center"/>
          </w:tcPr>
          <w:p w14:paraId="6C13D1B8">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评价因子</w:t>
            </w:r>
          </w:p>
        </w:tc>
        <w:tc>
          <w:tcPr>
            <w:tcW w:w="1701" w:type="dxa"/>
            <w:tcBorders>
              <w:tl2br w:val="nil"/>
              <w:tr2bl w:val="nil"/>
            </w:tcBorders>
            <w:noWrap w:val="0"/>
            <w:vAlign w:val="center"/>
          </w:tcPr>
          <w:p w14:paraId="6451869F">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SO</w:t>
            </w:r>
            <w:r>
              <w:rPr>
                <w:rFonts w:hint="default" w:ascii="Times New Roman" w:hAnsi="Times New Roman" w:cs="Times New Roman"/>
                <w:color w:val="000000"/>
                <w:szCs w:val="21"/>
                <w:highlight w:val="none"/>
                <w:vertAlign w:val="subscript"/>
              </w:rPr>
              <w:t>2</w:t>
            </w:r>
            <w:r>
              <w:rPr>
                <w:rFonts w:hint="default" w:ascii="Times New Roman" w:hAnsi="Times New Roman" w:cs="Times New Roman"/>
                <w:color w:val="000000"/>
                <w:szCs w:val="21"/>
                <w:highlight w:val="none"/>
              </w:rPr>
              <w:t>+NO</w:t>
            </w:r>
            <w:r>
              <w:rPr>
                <w:rFonts w:hint="default" w:ascii="Times New Roman" w:hAnsi="Times New Roman" w:cs="Times New Roman"/>
                <w:color w:val="000000"/>
                <w:szCs w:val="21"/>
                <w:highlight w:val="none"/>
                <w:vertAlign w:val="subscript"/>
              </w:rPr>
              <w:t>x</w:t>
            </w:r>
            <w:r>
              <w:rPr>
                <w:rFonts w:hint="default" w:ascii="Times New Roman" w:hAnsi="Times New Roman" w:cs="Times New Roman"/>
                <w:color w:val="000000"/>
                <w:szCs w:val="21"/>
                <w:highlight w:val="none"/>
              </w:rPr>
              <w:t>排放量</w:t>
            </w:r>
          </w:p>
        </w:tc>
        <w:tc>
          <w:tcPr>
            <w:tcW w:w="2268" w:type="dxa"/>
            <w:gridSpan w:val="5"/>
            <w:tcBorders>
              <w:tl2br w:val="nil"/>
              <w:tr2bl w:val="nil"/>
            </w:tcBorders>
            <w:noWrap w:val="0"/>
            <w:vAlign w:val="center"/>
          </w:tcPr>
          <w:p w14:paraId="329FEC0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≥2000t/a□</w:t>
            </w:r>
          </w:p>
        </w:tc>
        <w:tc>
          <w:tcPr>
            <w:tcW w:w="1677" w:type="dxa"/>
            <w:gridSpan w:val="5"/>
            <w:tcBorders>
              <w:tl2br w:val="nil"/>
              <w:tr2bl w:val="nil"/>
            </w:tcBorders>
            <w:noWrap w:val="0"/>
            <w:vAlign w:val="center"/>
          </w:tcPr>
          <w:p w14:paraId="1EB1F10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500~2000t/a□</w:t>
            </w:r>
          </w:p>
        </w:tc>
        <w:tc>
          <w:tcPr>
            <w:tcW w:w="2098" w:type="dxa"/>
            <w:gridSpan w:val="6"/>
            <w:tcBorders>
              <w:tl2br w:val="nil"/>
              <w:tr2bl w:val="nil"/>
            </w:tcBorders>
            <w:noWrap w:val="0"/>
            <w:vAlign w:val="center"/>
          </w:tcPr>
          <w:p w14:paraId="313B1B78">
            <w:pPr>
              <w:jc w:val="center"/>
              <w:rPr>
                <w:rFonts w:hint="eastAsia" w:ascii="Times New Roman" w:hAnsi="Times New Roman" w:eastAsia="宋体" w:cs="Times New Roman"/>
                <w:color w:val="000000"/>
                <w:szCs w:val="21"/>
                <w:highlight w:val="none"/>
                <w:lang w:eastAsia="zh-CN"/>
              </w:rPr>
            </w:pPr>
            <w:r>
              <w:rPr>
                <w:rFonts w:hint="default" w:ascii="Times New Roman" w:hAnsi="Times New Roman" w:cs="Times New Roman"/>
                <w:color w:val="000000"/>
                <w:szCs w:val="21"/>
                <w:highlight w:val="none"/>
              </w:rPr>
              <w:t>＜500t/a</w:t>
            </w:r>
            <w:r>
              <w:rPr>
                <w:rFonts w:hint="eastAsia" w:ascii="Times New Roman" w:hAnsi="Times New Roman" w:cs="Times New Roman"/>
                <w:color w:val="000000"/>
                <w:szCs w:val="21"/>
                <w:highlight w:val="none"/>
                <w:lang w:eastAsia="zh-CN"/>
              </w:rPr>
              <w:t>□</w:t>
            </w:r>
          </w:p>
        </w:tc>
      </w:tr>
      <w:tr w14:paraId="5FF04F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1B70FB8D">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27D2B42F">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评价因子</w:t>
            </w:r>
          </w:p>
        </w:tc>
        <w:tc>
          <w:tcPr>
            <w:tcW w:w="3334" w:type="dxa"/>
            <w:gridSpan w:val="8"/>
            <w:tcBorders>
              <w:tl2br w:val="nil"/>
              <w:tr2bl w:val="nil"/>
            </w:tcBorders>
            <w:noWrap w:val="0"/>
            <w:vAlign w:val="center"/>
          </w:tcPr>
          <w:p w14:paraId="45802DCF">
            <w:pPr>
              <w:jc w:val="center"/>
              <w:rPr>
                <w:rFonts w:hint="eastAsia" w:ascii="Times New Roman" w:hAnsi="Times New Roman" w:eastAsia="Calibri" w:cs="Times New Roman"/>
                <w:color w:val="000000"/>
                <w:szCs w:val="21"/>
                <w:highlight w:val="none"/>
                <w:lang w:eastAsia="zh-CN"/>
              </w:rPr>
            </w:pPr>
            <w:r>
              <w:rPr>
                <w:rFonts w:hint="default" w:ascii="Times New Roman" w:hAnsi="Times New Roman" w:cs="Times New Roman"/>
                <w:color w:val="000000"/>
                <w:szCs w:val="21"/>
                <w:highlight w:val="none"/>
              </w:rPr>
              <w:t>基本污染物（PM</w:t>
            </w:r>
            <w:r>
              <w:rPr>
                <w:rFonts w:hint="default" w:ascii="Times New Roman" w:hAnsi="Times New Roman" w:cs="Times New Roman"/>
                <w:color w:val="000000"/>
                <w:szCs w:val="21"/>
                <w:highlight w:val="none"/>
                <w:vertAlign w:val="subscript"/>
              </w:rPr>
              <w:t>10</w:t>
            </w:r>
            <w:r>
              <w:rPr>
                <w:rFonts w:hint="default" w:ascii="Times New Roman" w:hAnsi="Times New Roman" w:cs="Times New Roman"/>
                <w:color w:val="000000"/>
                <w:szCs w:val="21"/>
                <w:highlight w:val="none"/>
              </w:rPr>
              <w:t>）</w:t>
            </w:r>
            <w:r>
              <w:rPr>
                <w:rFonts w:hint="eastAsia" w:ascii="Times New Roman" w:hAnsi="Times New Roman" w:cs="Times New Roman"/>
                <w:color w:val="000000"/>
                <w:szCs w:val="21"/>
                <w:highlight w:val="none"/>
                <w:lang w:eastAsia="zh-CN"/>
              </w:rPr>
              <w:sym w:font="Wingdings 2" w:char="0052"/>
            </w:r>
          </w:p>
          <w:p w14:paraId="0DF757C6">
            <w:pPr>
              <w:jc w:val="center"/>
              <w:rPr>
                <w:rFonts w:hint="eastAsia" w:ascii="Times New Roman" w:hAnsi="Times New Roman" w:eastAsia="Calibri" w:cs="Times New Roman"/>
                <w:color w:val="000000"/>
                <w:szCs w:val="21"/>
                <w:highlight w:val="none"/>
                <w:lang w:eastAsia="zh-CN"/>
              </w:rPr>
            </w:pPr>
            <w:r>
              <w:rPr>
                <w:rFonts w:hint="default" w:ascii="Times New Roman" w:hAnsi="Times New Roman" w:cs="Times New Roman"/>
                <w:color w:val="000000"/>
                <w:szCs w:val="21"/>
                <w:highlight w:val="none"/>
              </w:rPr>
              <w:t>其他污染物（</w:t>
            </w:r>
            <w:r>
              <w:rPr>
                <w:rFonts w:hint="eastAsia" w:ascii="Times New Roman" w:hAnsi="Times New Roman" w:cs="Times New Roman"/>
                <w:color w:val="000000"/>
                <w:szCs w:val="21"/>
                <w:highlight w:val="none"/>
                <w:lang w:val="en-US" w:eastAsia="zh-CN"/>
              </w:rPr>
              <w:t>TSP</w:t>
            </w:r>
            <w:r>
              <w:rPr>
                <w:rFonts w:hint="default" w:ascii="Times New Roman" w:hAnsi="Times New Roman" w:cs="Times New Roman"/>
                <w:color w:val="000000"/>
                <w:szCs w:val="21"/>
                <w:highlight w:val="none"/>
              </w:rPr>
              <w:t>）</w:t>
            </w:r>
            <w:r>
              <w:rPr>
                <w:rFonts w:hint="eastAsia" w:ascii="Times New Roman" w:hAnsi="Times New Roman" w:cs="Times New Roman"/>
                <w:color w:val="000000"/>
                <w:szCs w:val="21"/>
                <w:highlight w:val="none"/>
                <w:lang w:eastAsia="zh-CN"/>
              </w:rPr>
              <w:t>☑</w:t>
            </w:r>
          </w:p>
        </w:tc>
        <w:tc>
          <w:tcPr>
            <w:tcW w:w="2709" w:type="dxa"/>
            <w:gridSpan w:val="8"/>
            <w:tcBorders>
              <w:tl2br w:val="nil"/>
              <w:tr2bl w:val="nil"/>
            </w:tcBorders>
            <w:noWrap w:val="0"/>
            <w:vAlign w:val="center"/>
          </w:tcPr>
          <w:p w14:paraId="7F03469F">
            <w:pPr>
              <w:jc w:val="center"/>
              <w:rPr>
                <w:rFonts w:hint="default" w:ascii="Times New Roman" w:hAnsi="Times New Roman" w:cs="Times New Roman"/>
                <w:color w:val="000000"/>
                <w:szCs w:val="21"/>
                <w:highlight w:val="none"/>
                <w:vertAlign w:val="subscript"/>
              </w:rPr>
            </w:pPr>
            <w:r>
              <w:rPr>
                <w:rFonts w:hint="default" w:ascii="Times New Roman" w:hAnsi="Times New Roman" w:cs="Times New Roman"/>
                <w:color w:val="000000"/>
                <w:szCs w:val="21"/>
                <w:highlight w:val="none"/>
              </w:rPr>
              <w:t>包括二次PM</w:t>
            </w:r>
            <w:r>
              <w:rPr>
                <w:rFonts w:hint="default" w:ascii="Times New Roman" w:hAnsi="Times New Roman" w:cs="Times New Roman"/>
                <w:color w:val="000000"/>
                <w:szCs w:val="21"/>
                <w:highlight w:val="none"/>
                <w:vertAlign w:val="subscript"/>
              </w:rPr>
              <w:t>2.5</w:t>
            </w:r>
            <w:r>
              <w:rPr>
                <w:rFonts w:hint="default" w:ascii="Times New Roman" w:hAnsi="Times New Roman" w:cs="Times New Roman"/>
                <w:color w:val="000000"/>
                <w:szCs w:val="21"/>
                <w:highlight w:val="none"/>
              </w:rPr>
              <w:t>□</w:t>
            </w:r>
          </w:p>
          <w:p w14:paraId="1C375B90">
            <w:pPr>
              <w:jc w:val="center"/>
              <w:rPr>
                <w:rFonts w:hint="eastAsia" w:ascii="Times New Roman" w:hAnsi="Times New Roman" w:eastAsia="宋体" w:cs="Times New Roman"/>
                <w:color w:val="000000"/>
                <w:szCs w:val="21"/>
                <w:highlight w:val="none"/>
                <w:lang w:eastAsia="zh-CN"/>
              </w:rPr>
            </w:pPr>
            <w:r>
              <w:rPr>
                <w:rFonts w:hint="default" w:ascii="Times New Roman" w:hAnsi="Times New Roman" w:cs="Times New Roman"/>
                <w:color w:val="000000"/>
                <w:szCs w:val="21"/>
                <w:highlight w:val="none"/>
              </w:rPr>
              <w:t>不包括二次PM</w:t>
            </w:r>
            <w:r>
              <w:rPr>
                <w:rFonts w:hint="default" w:ascii="Times New Roman" w:hAnsi="Times New Roman" w:cs="Times New Roman"/>
                <w:color w:val="000000"/>
                <w:szCs w:val="21"/>
                <w:highlight w:val="none"/>
                <w:vertAlign w:val="subscript"/>
              </w:rPr>
              <w:t>2.5</w:t>
            </w:r>
            <w:r>
              <w:rPr>
                <w:rFonts w:hint="eastAsia" w:cs="Times New Roman"/>
                <w:color w:val="000000"/>
                <w:szCs w:val="21"/>
                <w:highlight w:val="none"/>
                <w:lang w:eastAsia="zh-CN"/>
              </w:rPr>
              <w:t>□</w:t>
            </w:r>
          </w:p>
        </w:tc>
      </w:tr>
      <w:tr w14:paraId="255746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tcBorders>
              <w:tl2br w:val="nil"/>
              <w:tr2bl w:val="nil"/>
            </w:tcBorders>
            <w:noWrap w:val="0"/>
            <w:vAlign w:val="center"/>
          </w:tcPr>
          <w:p w14:paraId="4CC7F63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评价标准</w:t>
            </w:r>
          </w:p>
        </w:tc>
        <w:tc>
          <w:tcPr>
            <w:tcW w:w="1701" w:type="dxa"/>
            <w:tcBorders>
              <w:tl2br w:val="nil"/>
              <w:tr2bl w:val="nil"/>
            </w:tcBorders>
            <w:noWrap w:val="0"/>
            <w:vAlign w:val="center"/>
          </w:tcPr>
          <w:p w14:paraId="284155D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评价标准</w:t>
            </w:r>
          </w:p>
        </w:tc>
        <w:tc>
          <w:tcPr>
            <w:tcW w:w="1413" w:type="dxa"/>
            <w:gridSpan w:val="3"/>
            <w:tcBorders>
              <w:tl2br w:val="nil"/>
              <w:tr2bl w:val="nil"/>
            </w:tcBorders>
            <w:noWrap w:val="0"/>
            <w:vAlign w:val="center"/>
          </w:tcPr>
          <w:p w14:paraId="68E7A81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国家标准☑</w:t>
            </w:r>
          </w:p>
        </w:tc>
        <w:tc>
          <w:tcPr>
            <w:tcW w:w="1921" w:type="dxa"/>
            <w:gridSpan w:val="5"/>
            <w:tcBorders>
              <w:tl2br w:val="nil"/>
              <w:tr2bl w:val="nil"/>
            </w:tcBorders>
            <w:noWrap w:val="0"/>
            <w:vAlign w:val="center"/>
          </w:tcPr>
          <w:p w14:paraId="08EDE815">
            <w:pPr>
              <w:jc w:val="center"/>
              <w:rPr>
                <w:rFonts w:hint="eastAsia" w:ascii="Times New Roman" w:hAnsi="Times New Roman" w:eastAsia="宋体" w:cs="Times New Roman"/>
                <w:color w:val="000000"/>
                <w:szCs w:val="21"/>
                <w:highlight w:val="none"/>
                <w:lang w:eastAsia="zh-CN"/>
              </w:rPr>
            </w:pPr>
            <w:r>
              <w:rPr>
                <w:rFonts w:hint="default" w:ascii="Times New Roman" w:hAnsi="Times New Roman" w:cs="Times New Roman"/>
                <w:color w:val="000000"/>
                <w:szCs w:val="21"/>
                <w:highlight w:val="none"/>
              </w:rPr>
              <w:t>地方标准</w:t>
            </w:r>
            <w:r>
              <w:rPr>
                <w:rFonts w:hint="eastAsia" w:ascii="Times New Roman" w:hAnsi="Times New Roman" w:cs="Times New Roman"/>
                <w:color w:val="000000"/>
                <w:szCs w:val="21"/>
                <w:highlight w:val="none"/>
                <w:lang w:eastAsia="zh-CN"/>
              </w:rPr>
              <w:t>□</w:t>
            </w:r>
          </w:p>
        </w:tc>
        <w:tc>
          <w:tcPr>
            <w:tcW w:w="1292" w:type="dxa"/>
            <w:gridSpan w:val="6"/>
            <w:tcBorders>
              <w:tl2br w:val="nil"/>
              <w:tr2bl w:val="nil"/>
            </w:tcBorders>
            <w:noWrap w:val="0"/>
            <w:vAlign w:val="center"/>
          </w:tcPr>
          <w:p w14:paraId="1B397BC8">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附录D□</w:t>
            </w:r>
          </w:p>
        </w:tc>
        <w:tc>
          <w:tcPr>
            <w:tcW w:w="1417" w:type="dxa"/>
            <w:gridSpan w:val="2"/>
            <w:tcBorders>
              <w:tl2br w:val="nil"/>
              <w:tr2bl w:val="nil"/>
            </w:tcBorders>
            <w:noWrap w:val="0"/>
            <w:vAlign w:val="center"/>
          </w:tcPr>
          <w:p w14:paraId="7D496E04">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其他标准□</w:t>
            </w:r>
          </w:p>
        </w:tc>
      </w:tr>
      <w:tr w14:paraId="156759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restart"/>
            <w:tcBorders>
              <w:tl2br w:val="nil"/>
              <w:tr2bl w:val="nil"/>
            </w:tcBorders>
            <w:noWrap w:val="0"/>
            <w:vAlign w:val="center"/>
          </w:tcPr>
          <w:p w14:paraId="629EA97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现状评价</w:t>
            </w:r>
          </w:p>
        </w:tc>
        <w:tc>
          <w:tcPr>
            <w:tcW w:w="1701" w:type="dxa"/>
            <w:tcBorders>
              <w:tl2br w:val="nil"/>
              <w:tr2bl w:val="nil"/>
            </w:tcBorders>
            <w:noWrap w:val="0"/>
            <w:vAlign w:val="center"/>
          </w:tcPr>
          <w:p w14:paraId="290368D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环境功能区</w:t>
            </w:r>
          </w:p>
        </w:tc>
        <w:tc>
          <w:tcPr>
            <w:tcW w:w="2268" w:type="dxa"/>
            <w:gridSpan w:val="5"/>
            <w:tcBorders>
              <w:tl2br w:val="nil"/>
              <w:tr2bl w:val="nil"/>
            </w:tcBorders>
            <w:noWrap w:val="0"/>
            <w:vAlign w:val="center"/>
          </w:tcPr>
          <w:p w14:paraId="32FA98E1">
            <w:pPr>
              <w:jc w:val="center"/>
              <w:rPr>
                <w:rFonts w:hint="eastAsia" w:ascii="Times New Roman" w:hAnsi="Times New Roman" w:eastAsia="Calibri" w:cs="Times New Roman"/>
                <w:color w:val="000000"/>
                <w:szCs w:val="21"/>
                <w:highlight w:val="none"/>
                <w:lang w:eastAsia="zh-CN"/>
              </w:rPr>
            </w:pPr>
            <w:r>
              <w:rPr>
                <w:rFonts w:hint="default" w:ascii="Times New Roman" w:hAnsi="Times New Roman" w:cs="Times New Roman"/>
                <w:color w:val="000000"/>
                <w:szCs w:val="21"/>
                <w:highlight w:val="none"/>
              </w:rPr>
              <w:t>一类区</w:t>
            </w:r>
            <w:r>
              <w:rPr>
                <w:rFonts w:hint="eastAsia" w:ascii="Times New Roman" w:hAnsi="Times New Roman" w:cs="Times New Roman"/>
                <w:color w:val="000000"/>
                <w:szCs w:val="21"/>
                <w:highlight w:val="none"/>
                <w:lang w:eastAsia="zh-CN"/>
              </w:rPr>
              <w:t>□</w:t>
            </w:r>
          </w:p>
        </w:tc>
        <w:tc>
          <w:tcPr>
            <w:tcW w:w="1677" w:type="dxa"/>
            <w:gridSpan w:val="5"/>
            <w:tcBorders>
              <w:tl2br w:val="nil"/>
              <w:tr2bl w:val="nil"/>
            </w:tcBorders>
            <w:noWrap w:val="0"/>
            <w:vAlign w:val="center"/>
          </w:tcPr>
          <w:p w14:paraId="1A8D557F">
            <w:pPr>
              <w:jc w:val="center"/>
              <w:rPr>
                <w:rFonts w:hint="eastAsia" w:ascii="Times New Roman" w:hAnsi="Times New Roman" w:eastAsia="Calibri" w:cs="Times New Roman"/>
                <w:color w:val="000000"/>
                <w:szCs w:val="21"/>
                <w:highlight w:val="none"/>
                <w:lang w:eastAsia="zh-CN"/>
              </w:rPr>
            </w:pPr>
            <w:r>
              <w:rPr>
                <w:rFonts w:hint="default" w:ascii="Times New Roman" w:hAnsi="Times New Roman" w:cs="Times New Roman"/>
                <w:color w:val="000000"/>
                <w:szCs w:val="21"/>
                <w:highlight w:val="none"/>
              </w:rPr>
              <w:t>二类区</w:t>
            </w:r>
            <w:r>
              <w:rPr>
                <w:rFonts w:hint="eastAsia" w:ascii="Times New Roman" w:hAnsi="Times New Roman" w:cs="Times New Roman"/>
                <w:color w:val="000000"/>
                <w:szCs w:val="21"/>
                <w:highlight w:val="none"/>
                <w:lang w:eastAsia="zh-CN"/>
              </w:rPr>
              <w:sym w:font="Wingdings 2" w:char="0052"/>
            </w:r>
          </w:p>
        </w:tc>
        <w:tc>
          <w:tcPr>
            <w:tcW w:w="2098" w:type="dxa"/>
            <w:gridSpan w:val="6"/>
            <w:tcBorders>
              <w:tl2br w:val="nil"/>
              <w:tr2bl w:val="nil"/>
            </w:tcBorders>
            <w:noWrap w:val="0"/>
            <w:vAlign w:val="center"/>
          </w:tcPr>
          <w:p w14:paraId="79C210B8">
            <w:pPr>
              <w:jc w:val="center"/>
              <w:rPr>
                <w:rFonts w:hint="eastAsia" w:ascii="Times New Roman" w:hAnsi="Times New Roman" w:eastAsia="Calibri" w:cs="Times New Roman"/>
                <w:color w:val="000000"/>
                <w:szCs w:val="21"/>
                <w:highlight w:val="none"/>
                <w:lang w:eastAsia="zh-CN"/>
              </w:rPr>
            </w:pPr>
            <w:r>
              <w:rPr>
                <w:rFonts w:hint="default" w:ascii="Times New Roman" w:hAnsi="Times New Roman" w:cs="Times New Roman"/>
                <w:color w:val="000000"/>
                <w:szCs w:val="21"/>
                <w:highlight w:val="none"/>
              </w:rPr>
              <w:t>一类区和二类区</w:t>
            </w:r>
            <w:r>
              <w:rPr>
                <w:rFonts w:hint="eastAsia" w:ascii="Times New Roman" w:hAnsi="Times New Roman" w:cs="Times New Roman"/>
                <w:color w:val="000000"/>
                <w:szCs w:val="21"/>
                <w:highlight w:val="none"/>
                <w:lang w:eastAsia="zh-CN"/>
              </w:rPr>
              <w:t>□</w:t>
            </w:r>
          </w:p>
        </w:tc>
      </w:tr>
      <w:tr w14:paraId="6994C6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31EF3D3D">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2FA9C17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评价基准年</w:t>
            </w:r>
          </w:p>
        </w:tc>
        <w:tc>
          <w:tcPr>
            <w:tcW w:w="6043" w:type="dxa"/>
            <w:gridSpan w:val="16"/>
            <w:tcBorders>
              <w:tl2br w:val="nil"/>
              <w:tr2bl w:val="nil"/>
            </w:tcBorders>
            <w:noWrap w:val="0"/>
            <w:vAlign w:val="center"/>
          </w:tcPr>
          <w:p w14:paraId="1CBF134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（20</w:t>
            </w:r>
            <w:r>
              <w:rPr>
                <w:rFonts w:hint="eastAsia" w:ascii="Times New Roman" w:hAnsi="Times New Roman" w:cs="Times New Roman"/>
                <w:color w:val="000000"/>
                <w:szCs w:val="21"/>
                <w:highlight w:val="none"/>
                <w:lang w:val="en-US" w:eastAsia="zh-CN"/>
              </w:rPr>
              <w:t>2</w:t>
            </w:r>
            <w:r>
              <w:rPr>
                <w:rFonts w:hint="eastAsia" w:cs="Times New Roman"/>
                <w:color w:val="000000"/>
                <w:szCs w:val="21"/>
                <w:highlight w:val="none"/>
                <w:lang w:val="en-US" w:eastAsia="zh-CN"/>
              </w:rPr>
              <w:t>3</w:t>
            </w:r>
            <w:r>
              <w:rPr>
                <w:rFonts w:hint="default" w:ascii="Times New Roman" w:hAnsi="Times New Roman" w:cs="Times New Roman"/>
                <w:color w:val="000000"/>
                <w:szCs w:val="21"/>
                <w:highlight w:val="none"/>
              </w:rPr>
              <w:t>）年</w:t>
            </w:r>
          </w:p>
        </w:tc>
      </w:tr>
      <w:tr w14:paraId="210802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69077769">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4A4F5FEB">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环境空气质量现状调查数据来源</w:t>
            </w:r>
          </w:p>
        </w:tc>
        <w:tc>
          <w:tcPr>
            <w:tcW w:w="2268" w:type="dxa"/>
            <w:gridSpan w:val="5"/>
            <w:tcBorders>
              <w:tl2br w:val="nil"/>
              <w:tr2bl w:val="nil"/>
            </w:tcBorders>
            <w:noWrap w:val="0"/>
            <w:vAlign w:val="center"/>
          </w:tcPr>
          <w:p w14:paraId="42E836A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长期例行监测数据□</w:t>
            </w:r>
          </w:p>
        </w:tc>
        <w:tc>
          <w:tcPr>
            <w:tcW w:w="1677" w:type="dxa"/>
            <w:gridSpan w:val="5"/>
            <w:tcBorders>
              <w:tl2br w:val="nil"/>
              <w:tr2bl w:val="nil"/>
            </w:tcBorders>
            <w:noWrap w:val="0"/>
            <w:vAlign w:val="center"/>
          </w:tcPr>
          <w:p w14:paraId="32E8C91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主管部门发布的数据☑</w:t>
            </w:r>
          </w:p>
        </w:tc>
        <w:tc>
          <w:tcPr>
            <w:tcW w:w="2098" w:type="dxa"/>
            <w:gridSpan w:val="6"/>
            <w:tcBorders>
              <w:tl2br w:val="nil"/>
              <w:tr2bl w:val="nil"/>
            </w:tcBorders>
            <w:noWrap w:val="0"/>
            <w:vAlign w:val="center"/>
          </w:tcPr>
          <w:p w14:paraId="7E610207">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现状补充监测☑</w:t>
            </w:r>
          </w:p>
        </w:tc>
      </w:tr>
      <w:tr w14:paraId="61506A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6FA558C6">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64A9E80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现状评价</w:t>
            </w:r>
          </w:p>
        </w:tc>
        <w:tc>
          <w:tcPr>
            <w:tcW w:w="3334" w:type="dxa"/>
            <w:gridSpan w:val="8"/>
            <w:tcBorders>
              <w:tl2br w:val="nil"/>
              <w:tr2bl w:val="nil"/>
            </w:tcBorders>
            <w:noWrap w:val="0"/>
            <w:vAlign w:val="center"/>
          </w:tcPr>
          <w:p w14:paraId="0991E0A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达标区</w:t>
            </w:r>
            <w:r>
              <w:rPr>
                <w:rFonts w:hint="default" w:ascii="Times New Roman" w:hAnsi="Times New Roman" w:cs="Times New Roman"/>
                <w:color w:val="000000"/>
                <w:szCs w:val="21"/>
                <w:highlight w:val="none"/>
              </w:rPr>
              <w:sym w:font="Wingdings 2" w:char="0052"/>
            </w:r>
          </w:p>
        </w:tc>
        <w:tc>
          <w:tcPr>
            <w:tcW w:w="2709" w:type="dxa"/>
            <w:gridSpan w:val="8"/>
            <w:tcBorders>
              <w:tl2br w:val="nil"/>
              <w:tr2bl w:val="nil"/>
            </w:tcBorders>
            <w:noWrap w:val="0"/>
            <w:vAlign w:val="center"/>
          </w:tcPr>
          <w:p w14:paraId="22B3F26C">
            <w:pPr>
              <w:jc w:val="center"/>
              <w:rPr>
                <w:rFonts w:hint="eastAsia" w:ascii="Times New Roman" w:hAnsi="Times New Roman" w:eastAsia="宋体" w:cs="Times New Roman"/>
                <w:color w:val="000000"/>
                <w:szCs w:val="21"/>
                <w:highlight w:val="none"/>
                <w:lang w:eastAsia="zh-CN"/>
              </w:rPr>
            </w:pPr>
            <w:r>
              <w:rPr>
                <w:rFonts w:hint="default" w:ascii="Times New Roman" w:hAnsi="Times New Roman" w:cs="Times New Roman"/>
                <w:color w:val="000000"/>
                <w:szCs w:val="21"/>
                <w:highlight w:val="none"/>
              </w:rPr>
              <w:t>不达标区</w:t>
            </w:r>
            <w:r>
              <w:rPr>
                <w:rFonts w:hint="eastAsia" w:ascii="Times New Roman" w:hAnsi="Times New Roman" w:cs="Times New Roman"/>
                <w:color w:val="000000"/>
                <w:szCs w:val="21"/>
                <w:highlight w:val="none"/>
                <w:lang w:eastAsia="zh-CN"/>
              </w:rPr>
              <w:t>□</w:t>
            </w:r>
          </w:p>
        </w:tc>
      </w:tr>
      <w:tr w14:paraId="3EEB89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tcBorders>
              <w:tl2br w:val="nil"/>
              <w:tr2bl w:val="nil"/>
            </w:tcBorders>
            <w:noWrap w:val="0"/>
            <w:vAlign w:val="center"/>
          </w:tcPr>
          <w:p w14:paraId="795CFC2B">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污染源调查</w:t>
            </w:r>
          </w:p>
        </w:tc>
        <w:tc>
          <w:tcPr>
            <w:tcW w:w="1701" w:type="dxa"/>
            <w:tcBorders>
              <w:tl2br w:val="nil"/>
              <w:tr2bl w:val="nil"/>
            </w:tcBorders>
            <w:noWrap w:val="0"/>
            <w:vAlign w:val="center"/>
          </w:tcPr>
          <w:p w14:paraId="7D7B712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调查内容</w:t>
            </w:r>
          </w:p>
        </w:tc>
        <w:tc>
          <w:tcPr>
            <w:tcW w:w="2268" w:type="dxa"/>
            <w:gridSpan w:val="5"/>
            <w:tcBorders>
              <w:tl2br w:val="nil"/>
              <w:tr2bl w:val="nil"/>
            </w:tcBorders>
            <w:noWrap w:val="0"/>
            <w:vAlign w:val="center"/>
          </w:tcPr>
          <w:p w14:paraId="0703EBF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本项目正常排放源☑</w:t>
            </w:r>
          </w:p>
          <w:p w14:paraId="04C37568">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本项目非正常排放源□</w:t>
            </w:r>
          </w:p>
          <w:p w14:paraId="0BE0BBA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现有污染源□</w:t>
            </w:r>
          </w:p>
        </w:tc>
        <w:tc>
          <w:tcPr>
            <w:tcW w:w="1066" w:type="dxa"/>
            <w:gridSpan w:val="3"/>
            <w:tcBorders>
              <w:tl2br w:val="nil"/>
              <w:tr2bl w:val="nil"/>
            </w:tcBorders>
            <w:noWrap w:val="0"/>
            <w:vAlign w:val="center"/>
          </w:tcPr>
          <w:p w14:paraId="18CE12A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拟替代的污染源□</w:t>
            </w:r>
          </w:p>
        </w:tc>
        <w:tc>
          <w:tcPr>
            <w:tcW w:w="1292" w:type="dxa"/>
            <w:gridSpan w:val="6"/>
            <w:tcBorders>
              <w:tl2br w:val="nil"/>
              <w:tr2bl w:val="nil"/>
            </w:tcBorders>
            <w:noWrap w:val="0"/>
            <w:vAlign w:val="center"/>
          </w:tcPr>
          <w:p w14:paraId="54F9115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其他在建、拟建项目污染源□</w:t>
            </w:r>
          </w:p>
        </w:tc>
        <w:tc>
          <w:tcPr>
            <w:tcW w:w="1417" w:type="dxa"/>
            <w:gridSpan w:val="2"/>
            <w:tcBorders>
              <w:tl2br w:val="nil"/>
              <w:tr2bl w:val="nil"/>
            </w:tcBorders>
            <w:noWrap w:val="0"/>
            <w:vAlign w:val="center"/>
          </w:tcPr>
          <w:p w14:paraId="10E52E8E">
            <w:pPr>
              <w:jc w:val="center"/>
              <w:rPr>
                <w:rFonts w:hint="eastAsia" w:ascii="Times New Roman" w:hAnsi="Times New Roman" w:eastAsia="宋体" w:cs="Times New Roman"/>
                <w:color w:val="000000"/>
                <w:szCs w:val="21"/>
                <w:highlight w:val="none"/>
                <w:lang w:eastAsia="zh-CN"/>
              </w:rPr>
            </w:pPr>
            <w:r>
              <w:rPr>
                <w:rFonts w:hint="default" w:ascii="Times New Roman" w:hAnsi="Times New Roman" w:cs="Times New Roman"/>
                <w:color w:val="000000"/>
                <w:szCs w:val="21"/>
                <w:highlight w:val="none"/>
              </w:rPr>
              <w:t>区域污染源</w:t>
            </w:r>
            <w:r>
              <w:rPr>
                <w:rFonts w:hint="eastAsia" w:cs="Times New Roman"/>
                <w:color w:val="000000"/>
                <w:szCs w:val="21"/>
                <w:highlight w:val="none"/>
                <w:lang w:eastAsia="zh-CN"/>
              </w:rPr>
              <w:sym w:font="Wingdings 2" w:char="0052"/>
            </w:r>
          </w:p>
        </w:tc>
      </w:tr>
      <w:tr w14:paraId="23F827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restart"/>
            <w:tcBorders>
              <w:tl2br w:val="nil"/>
              <w:tr2bl w:val="nil"/>
            </w:tcBorders>
            <w:noWrap w:val="0"/>
            <w:vAlign w:val="center"/>
          </w:tcPr>
          <w:p w14:paraId="21CD1073">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大气环境影响预测与评价</w:t>
            </w:r>
          </w:p>
        </w:tc>
        <w:tc>
          <w:tcPr>
            <w:tcW w:w="1701" w:type="dxa"/>
            <w:tcBorders>
              <w:tl2br w:val="nil"/>
              <w:tr2bl w:val="nil"/>
            </w:tcBorders>
            <w:noWrap w:val="0"/>
            <w:vAlign w:val="center"/>
          </w:tcPr>
          <w:p w14:paraId="38C0BE7B">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预测模型</w:t>
            </w:r>
          </w:p>
        </w:tc>
        <w:tc>
          <w:tcPr>
            <w:tcW w:w="773" w:type="dxa"/>
            <w:tcBorders>
              <w:tl2br w:val="nil"/>
              <w:tr2bl w:val="nil"/>
            </w:tcBorders>
            <w:noWrap w:val="0"/>
            <w:vAlign w:val="center"/>
          </w:tcPr>
          <w:p w14:paraId="2B69CD1C">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AERMOD□</w:t>
            </w:r>
          </w:p>
        </w:tc>
        <w:tc>
          <w:tcPr>
            <w:tcW w:w="709" w:type="dxa"/>
            <w:gridSpan w:val="3"/>
            <w:tcBorders>
              <w:tl2br w:val="nil"/>
              <w:tr2bl w:val="nil"/>
            </w:tcBorders>
            <w:noWrap w:val="0"/>
            <w:vAlign w:val="center"/>
          </w:tcPr>
          <w:p w14:paraId="04F3AE27">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ADMS□</w:t>
            </w:r>
          </w:p>
        </w:tc>
        <w:tc>
          <w:tcPr>
            <w:tcW w:w="1070" w:type="dxa"/>
            <w:gridSpan w:val="2"/>
            <w:tcBorders>
              <w:tl2br w:val="nil"/>
              <w:tr2bl w:val="nil"/>
            </w:tcBorders>
            <w:noWrap w:val="0"/>
            <w:vAlign w:val="center"/>
          </w:tcPr>
          <w:p w14:paraId="7EABA7B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AUSTAL2000□</w:t>
            </w:r>
          </w:p>
        </w:tc>
        <w:tc>
          <w:tcPr>
            <w:tcW w:w="992" w:type="dxa"/>
            <w:gridSpan w:val="3"/>
            <w:tcBorders>
              <w:tl2br w:val="nil"/>
              <w:tr2bl w:val="nil"/>
            </w:tcBorders>
            <w:noWrap w:val="0"/>
            <w:vAlign w:val="center"/>
          </w:tcPr>
          <w:p w14:paraId="4896EE49">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EDMS/AEDT□</w:t>
            </w:r>
          </w:p>
        </w:tc>
        <w:tc>
          <w:tcPr>
            <w:tcW w:w="1009" w:type="dxa"/>
            <w:gridSpan w:val="4"/>
            <w:tcBorders>
              <w:tl2br w:val="nil"/>
              <w:tr2bl w:val="nil"/>
            </w:tcBorders>
            <w:noWrap w:val="0"/>
            <w:vAlign w:val="center"/>
          </w:tcPr>
          <w:p w14:paraId="5FDADDA3">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CALPUFF□</w:t>
            </w:r>
          </w:p>
        </w:tc>
        <w:tc>
          <w:tcPr>
            <w:tcW w:w="850" w:type="dxa"/>
            <w:gridSpan w:val="2"/>
            <w:tcBorders>
              <w:tl2br w:val="nil"/>
              <w:tr2bl w:val="nil"/>
            </w:tcBorders>
            <w:noWrap w:val="0"/>
            <w:vAlign w:val="center"/>
          </w:tcPr>
          <w:p w14:paraId="49FC542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网格模型□</w:t>
            </w:r>
          </w:p>
        </w:tc>
        <w:tc>
          <w:tcPr>
            <w:tcW w:w="640" w:type="dxa"/>
            <w:tcBorders>
              <w:tl2br w:val="nil"/>
              <w:tr2bl w:val="nil"/>
            </w:tcBorders>
            <w:noWrap w:val="0"/>
            <w:vAlign w:val="center"/>
          </w:tcPr>
          <w:p w14:paraId="5F5B0C7E">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其他□</w:t>
            </w:r>
          </w:p>
        </w:tc>
      </w:tr>
      <w:tr w14:paraId="0859CE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22B9E16F">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6B7D0AA3">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预测范围</w:t>
            </w:r>
          </w:p>
        </w:tc>
        <w:tc>
          <w:tcPr>
            <w:tcW w:w="2268" w:type="dxa"/>
            <w:gridSpan w:val="5"/>
            <w:tcBorders>
              <w:tl2br w:val="nil"/>
              <w:tr2bl w:val="nil"/>
            </w:tcBorders>
            <w:noWrap w:val="0"/>
            <w:vAlign w:val="center"/>
          </w:tcPr>
          <w:p w14:paraId="16063D04">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边长≥50km□</w:t>
            </w:r>
          </w:p>
        </w:tc>
        <w:tc>
          <w:tcPr>
            <w:tcW w:w="1677" w:type="dxa"/>
            <w:gridSpan w:val="5"/>
            <w:tcBorders>
              <w:tl2br w:val="nil"/>
              <w:tr2bl w:val="nil"/>
            </w:tcBorders>
            <w:noWrap w:val="0"/>
            <w:vAlign w:val="center"/>
          </w:tcPr>
          <w:p w14:paraId="0FF516F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边长5~50km□</w:t>
            </w:r>
          </w:p>
        </w:tc>
        <w:tc>
          <w:tcPr>
            <w:tcW w:w="2098" w:type="dxa"/>
            <w:gridSpan w:val="6"/>
            <w:tcBorders>
              <w:tl2br w:val="nil"/>
              <w:tr2bl w:val="nil"/>
            </w:tcBorders>
            <w:noWrap w:val="0"/>
            <w:vAlign w:val="center"/>
          </w:tcPr>
          <w:p w14:paraId="61F9A20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边长=5km□</w:t>
            </w:r>
          </w:p>
        </w:tc>
      </w:tr>
      <w:tr w14:paraId="2A28F5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1C177B35">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16DC63C9">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预测因子</w:t>
            </w:r>
          </w:p>
        </w:tc>
        <w:tc>
          <w:tcPr>
            <w:tcW w:w="3334" w:type="dxa"/>
            <w:gridSpan w:val="8"/>
            <w:tcBorders>
              <w:tl2br w:val="nil"/>
              <w:tr2bl w:val="nil"/>
            </w:tcBorders>
            <w:noWrap w:val="0"/>
            <w:vAlign w:val="center"/>
          </w:tcPr>
          <w:p w14:paraId="188B7D64">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预测因子（      ）</w:t>
            </w:r>
          </w:p>
        </w:tc>
        <w:tc>
          <w:tcPr>
            <w:tcW w:w="2709" w:type="dxa"/>
            <w:gridSpan w:val="8"/>
            <w:tcBorders>
              <w:tl2br w:val="nil"/>
              <w:tr2bl w:val="nil"/>
            </w:tcBorders>
            <w:noWrap w:val="0"/>
            <w:vAlign w:val="center"/>
          </w:tcPr>
          <w:p w14:paraId="4F1A15FB">
            <w:pPr>
              <w:jc w:val="center"/>
              <w:rPr>
                <w:rFonts w:hint="eastAsia" w:ascii="Times New Roman" w:hAnsi="Times New Roman" w:eastAsia="Calibri" w:cs="Times New Roman"/>
                <w:color w:val="000000"/>
                <w:szCs w:val="21"/>
                <w:highlight w:val="none"/>
                <w:vertAlign w:val="subscript"/>
                <w:lang w:eastAsia="zh-CN"/>
              </w:rPr>
            </w:pPr>
            <w:r>
              <w:rPr>
                <w:rFonts w:hint="default" w:ascii="Times New Roman" w:hAnsi="Times New Roman" w:cs="Times New Roman"/>
                <w:color w:val="000000"/>
                <w:szCs w:val="21"/>
                <w:highlight w:val="none"/>
              </w:rPr>
              <w:t>包括二次PM</w:t>
            </w:r>
            <w:r>
              <w:rPr>
                <w:rFonts w:hint="default" w:ascii="Times New Roman" w:hAnsi="Times New Roman" w:cs="Times New Roman"/>
                <w:color w:val="000000"/>
                <w:szCs w:val="21"/>
                <w:highlight w:val="none"/>
                <w:vertAlign w:val="subscript"/>
              </w:rPr>
              <w:t>2.5</w:t>
            </w:r>
            <w:r>
              <w:rPr>
                <w:rFonts w:hint="eastAsia" w:ascii="Times New Roman" w:hAnsi="Times New Roman" w:cs="Times New Roman"/>
                <w:color w:val="000000"/>
                <w:szCs w:val="21"/>
                <w:highlight w:val="none"/>
                <w:lang w:eastAsia="zh-CN"/>
              </w:rPr>
              <w:t>□</w:t>
            </w:r>
          </w:p>
          <w:p w14:paraId="156E4340">
            <w:pPr>
              <w:jc w:val="center"/>
              <w:rPr>
                <w:rFonts w:hint="eastAsia" w:ascii="Times New Roman" w:hAnsi="Times New Roman" w:eastAsia="Calibri" w:cs="Times New Roman"/>
                <w:color w:val="000000"/>
                <w:szCs w:val="21"/>
                <w:highlight w:val="none"/>
                <w:lang w:eastAsia="zh-CN"/>
              </w:rPr>
            </w:pPr>
            <w:r>
              <w:rPr>
                <w:rFonts w:hint="default" w:ascii="Times New Roman" w:hAnsi="Times New Roman" w:cs="Times New Roman"/>
                <w:color w:val="000000"/>
                <w:szCs w:val="21"/>
                <w:highlight w:val="none"/>
              </w:rPr>
              <w:t>不包括二次PM</w:t>
            </w:r>
            <w:r>
              <w:rPr>
                <w:rFonts w:hint="default" w:ascii="Times New Roman" w:hAnsi="Times New Roman" w:cs="Times New Roman"/>
                <w:color w:val="000000"/>
                <w:szCs w:val="21"/>
                <w:highlight w:val="none"/>
                <w:vertAlign w:val="subscript"/>
              </w:rPr>
              <w:t>2.5</w:t>
            </w:r>
            <w:r>
              <w:rPr>
                <w:rFonts w:hint="eastAsia" w:ascii="Times New Roman" w:hAnsi="Times New Roman" w:cs="Times New Roman"/>
                <w:color w:val="000000"/>
                <w:szCs w:val="21"/>
                <w:highlight w:val="none"/>
                <w:lang w:eastAsia="zh-CN"/>
              </w:rPr>
              <w:t>□</w:t>
            </w:r>
          </w:p>
        </w:tc>
      </w:tr>
      <w:tr w14:paraId="3298BA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38E1EE14">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7647CE7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正常排放短期浓度贡献值</w:t>
            </w:r>
          </w:p>
        </w:tc>
        <w:tc>
          <w:tcPr>
            <w:tcW w:w="3334" w:type="dxa"/>
            <w:gridSpan w:val="8"/>
            <w:tcBorders>
              <w:tl2br w:val="nil"/>
              <w:tr2bl w:val="nil"/>
            </w:tcBorders>
            <w:noWrap w:val="0"/>
            <w:vAlign w:val="center"/>
          </w:tcPr>
          <w:p w14:paraId="5709B28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本项目</w:t>
            </w:r>
            <w:r>
              <w:rPr>
                <w:rFonts w:hint="default" w:ascii="Times New Roman" w:hAnsi="Times New Roman" w:cs="Times New Roman"/>
                <w:color w:val="000000"/>
                <w:szCs w:val="21"/>
                <w:highlight w:val="none"/>
              </w:rPr>
              <w:t>最大占标率≤100%□</w:t>
            </w:r>
          </w:p>
        </w:tc>
        <w:tc>
          <w:tcPr>
            <w:tcW w:w="2709" w:type="dxa"/>
            <w:gridSpan w:val="8"/>
            <w:tcBorders>
              <w:tl2br w:val="nil"/>
              <w:tr2bl w:val="nil"/>
            </w:tcBorders>
            <w:noWrap w:val="0"/>
            <w:vAlign w:val="center"/>
          </w:tcPr>
          <w:p w14:paraId="776971E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本项目</w:t>
            </w:r>
            <w:r>
              <w:rPr>
                <w:rFonts w:hint="default" w:ascii="Times New Roman" w:hAnsi="Times New Roman" w:cs="Times New Roman"/>
                <w:color w:val="000000"/>
                <w:szCs w:val="21"/>
                <w:highlight w:val="none"/>
              </w:rPr>
              <w:t>最大占标率＞100%□</w:t>
            </w:r>
          </w:p>
        </w:tc>
      </w:tr>
      <w:tr w14:paraId="30FE61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6CD907CB">
            <w:pPr>
              <w:jc w:val="center"/>
              <w:rPr>
                <w:rFonts w:hint="default" w:ascii="Times New Roman" w:hAnsi="Times New Roman" w:cs="Times New Roman"/>
                <w:color w:val="000000"/>
                <w:szCs w:val="21"/>
                <w:highlight w:val="none"/>
              </w:rPr>
            </w:pPr>
          </w:p>
        </w:tc>
        <w:tc>
          <w:tcPr>
            <w:tcW w:w="1701" w:type="dxa"/>
            <w:vMerge w:val="restart"/>
            <w:tcBorders>
              <w:tl2br w:val="nil"/>
              <w:tr2bl w:val="nil"/>
            </w:tcBorders>
            <w:noWrap w:val="0"/>
            <w:vAlign w:val="center"/>
          </w:tcPr>
          <w:p w14:paraId="21FB693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正常排放年均浓度贡献值</w:t>
            </w:r>
          </w:p>
        </w:tc>
        <w:tc>
          <w:tcPr>
            <w:tcW w:w="773" w:type="dxa"/>
            <w:tcBorders>
              <w:tl2br w:val="nil"/>
              <w:tr2bl w:val="nil"/>
            </w:tcBorders>
            <w:noWrap w:val="0"/>
            <w:vAlign w:val="center"/>
          </w:tcPr>
          <w:p w14:paraId="6B64E499">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一类区</w:t>
            </w:r>
          </w:p>
        </w:tc>
        <w:tc>
          <w:tcPr>
            <w:tcW w:w="2561" w:type="dxa"/>
            <w:gridSpan w:val="7"/>
            <w:tcBorders>
              <w:tl2br w:val="nil"/>
              <w:tr2bl w:val="nil"/>
            </w:tcBorders>
            <w:noWrap w:val="0"/>
            <w:vAlign w:val="center"/>
          </w:tcPr>
          <w:p w14:paraId="7F74292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本项目</w:t>
            </w:r>
            <w:r>
              <w:rPr>
                <w:rFonts w:hint="default" w:ascii="Times New Roman" w:hAnsi="Times New Roman" w:cs="Times New Roman"/>
                <w:color w:val="000000"/>
                <w:szCs w:val="21"/>
                <w:highlight w:val="none"/>
              </w:rPr>
              <w:t>最大占标率≤10%□</w:t>
            </w:r>
          </w:p>
        </w:tc>
        <w:tc>
          <w:tcPr>
            <w:tcW w:w="2709" w:type="dxa"/>
            <w:gridSpan w:val="8"/>
            <w:tcBorders>
              <w:tl2br w:val="nil"/>
              <w:tr2bl w:val="nil"/>
            </w:tcBorders>
            <w:noWrap w:val="0"/>
            <w:vAlign w:val="center"/>
          </w:tcPr>
          <w:p w14:paraId="2D32DEF3">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本项目</w:t>
            </w:r>
            <w:r>
              <w:rPr>
                <w:rFonts w:hint="default" w:ascii="Times New Roman" w:hAnsi="Times New Roman" w:cs="Times New Roman"/>
                <w:color w:val="000000"/>
                <w:szCs w:val="21"/>
                <w:highlight w:val="none"/>
              </w:rPr>
              <w:t>最大占标率＞10%□</w:t>
            </w:r>
          </w:p>
        </w:tc>
      </w:tr>
      <w:tr w14:paraId="316CB9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58AABF71">
            <w:pPr>
              <w:jc w:val="center"/>
              <w:rPr>
                <w:rFonts w:hint="default" w:ascii="Times New Roman" w:hAnsi="Times New Roman" w:cs="Times New Roman"/>
                <w:color w:val="000000"/>
                <w:szCs w:val="21"/>
                <w:highlight w:val="none"/>
              </w:rPr>
            </w:pPr>
          </w:p>
        </w:tc>
        <w:tc>
          <w:tcPr>
            <w:tcW w:w="1701" w:type="dxa"/>
            <w:vMerge w:val="continue"/>
            <w:tcBorders>
              <w:tl2br w:val="nil"/>
              <w:tr2bl w:val="nil"/>
            </w:tcBorders>
            <w:noWrap w:val="0"/>
            <w:vAlign w:val="center"/>
          </w:tcPr>
          <w:p w14:paraId="20A981F7">
            <w:pPr>
              <w:jc w:val="center"/>
              <w:rPr>
                <w:rFonts w:hint="default" w:ascii="Times New Roman" w:hAnsi="Times New Roman" w:cs="Times New Roman"/>
                <w:color w:val="000000"/>
                <w:szCs w:val="21"/>
                <w:highlight w:val="none"/>
              </w:rPr>
            </w:pPr>
          </w:p>
        </w:tc>
        <w:tc>
          <w:tcPr>
            <w:tcW w:w="773" w:type="dxa"/>
            <w:tcBorders>
              <w:tl2br w:val="nil"/>
              <w:tr2bl w:val="nil"/>
            </w:tcBorders>
            <w:noWrap w:val="0"/>
            <w:vAlign w:val="center"/>
          </w:tcPr>
          <w:p w14:paraId="02FF391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二类区</w:t>
            </w:r>
          </w:p>
        </w:tc>
        <w:tc>
          <w:tcPr>
            <w:tcW w:w="2561" w:type="dxa"/>
            <w:gridSpan w:val="7"/>
            <w:tcBorders>
              <w:tl2br w:val="nil"/>
              <w:tr2bl w:val="nil"/>
            </w:tcBorders>
            <w:noWrap w:val="0"/>
            <w:vAlign w:val="center"/>
          </w:tcPr>
          <w:p w14:paraId="475CC80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本项目</w:t>
            </w:r>
            <w:r>
              <w:rPr>
                <w:rFonts w:hint="default" w:ascii="Times New Roman" w:hAnsi="Times New Roman" w:cs="Times New Roman"/>
                <w:color w:val="000000"/>
                <w:szCs w:val="21"/>
                <w:highlight w:val="none"/>
              </w:rPr>
              <w:t>最大占标率≤30%□</w:t>
            </w:r>
          </w:p>
        </w:tc>
        <w:tc>
          <w:tcPr>
            <w:tcW w:w="2709" w:type="dxa"/>
            <w:gridSpan w:val="8"/>
            <w:tcBorders>
              <w:tl2br w:val="nil"/>
              <w:tr2bl w:val="nil"/>
            </w:tcBorders>
            <w:noWrap w:val="0"/>
            <w:vAlign w:val="center"/>
          </w:tcPr>
          <w:p w14:paraId="1E6C605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本项目</w:t>
            </w:r>
            <w:r>
              <w:rPr>
                <w:rFonts w:hint="default" w:ascii="Times New Roman" w:hAnsi="Times New Roman" w:cs="Times New Roman"/>
                <w:color w:val="000000"/>
                <w:szCs w:val="21"/>
                <w:highlight w:val="none"/>
              </w:rPr>
              <w:t>最大占标率＞30%□</w:t>
            </w:r>
          </w:p>
        </w:tc>
      </w:tr>
      <w:tr w14:paraId="585484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7CDD7B31">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0202AD5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非正常排放1h浓度贡献值</w:t>
            </w:r>
          </w:p>
        </w:tc>
        <w:tc>
          <w:tcPr>
            <w:tcW w:w="2268" w:type="dxa"/>
            <w:gridSpan w:val="5"/>
            <w:tcBorders>
              <w:tl2br w:val="nil"/>
              <w:tr2bl w:val="nil"/>
            </w:tcBorders>
            <w:noWrap w:val="0"/>
            <w:vAlign w:val="center"/>
          </w:tcPr>
          <w:p w14:paraId="5533034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非正常持续时长（  ）h</w:t>
            </w:r>
          </w:p>
        </w:tc>
        <w:tc>
          <w:tcPr>
            <w:tcW w:w="1677" w:type="dxa"/>
            <w:gridSpan w:val="5"/>
            <w:tcBorders>
              <w:tl2br w:val="nil"/>
              <w:tr2bl w:val="nil"/>
            </w:tcBorders>
            <w:noWrap w:val="0"/>
            <w:vAlign w:val="center"/>
          </w:tcPr>
          <w:p w14:paraId="4945766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非正常</w:t>
            </w:r>
            <w:r>
              <w:rPr>
                <w:rFonts w:hint="default" w:ascii="Times New Roman" w:hAnsi="Times New Roman" w:cs="Times New Roman"/>
                <w:color w:val="000000"/>
                <w:szCs w:val="21"/>
                <w:highlight w:val="none"/>
              </w:rPr>
              <w:t>占标率≤100%□</w:t>
            </w:r>
          </w:p>
        </w:tc>
        <w:tc>
          <w:tcPr>
            <w:tcW w:w="2098" w:type="dxa"/>
            <w:gridSpan w:val="6"/>
            <w:tcBorders>
              <w:tl2br w:val="nil"/>
              <w:tr2bl w:val="nil"/>
            </w:tcBorders>
            <w:noWrap w:val="0"/>
            <w:vAlign w:val="center"/>
          </w:tcPr>
          <w:p w14:paraId="15A3619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非正常</w:t>
            </w:r>
            <w:r>
              <w:rPr>
                <w:rFonts w:hint="default" w:ascii="Times New Roman" w:hAnsi="Times New Roman" w:cs="Times New Roman"/>
                <w:color w:val="000000"/>
                <w:szCs w:val="21"/>
                <w:highlight w:val="none"/>
              </w:rPr>
              <w:t>占标率＞100%□</w:t>
            </w:r>
          </w:p>
        </w:tc>
      </w:tr>
      <w:tr w14:paraId="2D97D4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04182A78">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444B75AB">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保证率日均浓度和年平均浓度叠加值</w:t>
            </w:r>
          </w:p>
        </w:tc>
        <w:tc>
          <w:tcPr>
            <w:tcW w:w="3334" w:type="dxa"/>
            <w:gridSpan w:val="8"/>
            <w:tcBorders>
              <w:tl2br w:val="nil"/>
              <w:tr2bl w:val="nil"/>
            </w:tcBorders>
            <w:noWrap w:val="0"/>
            <w:vAlign w:val="center"/>
          </w:tcPr>
          <w:p w14:paraId="774AE03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叠加</w:t>
            </w:r>
            <w:r>
              <w:rPr>
                <w:rFonts w:hint="default" w:ascii="Times New Roman" w:hAnsi="Times New Roman" w:cs="Times New Roman"/>
                <w:color w:val="000000"/>
                <w:szCs w:val="21"/>
                <w:highlight w:val="none"/>
              </w:rPr>
              <w:t>达标□</w:t>
            </w:r>
          </w:p>
        </w:tc>
        <w:tc>
          <w:tcPr>
            <w:tcW w:w="2709" w:type="dxa"/>
            <w:gridSpan w:val="8"/>
            <w:tcBorders>
              <w:tl2br w:val="nil"/>
              <w:tr2bl w:val="nil"/>
            </w:tcBorders>
            <w:noWrap w:val="0"/>
            <w:vAlign w:val="center"/>
          </w:tcPr>
          <w:p w14:paraId="659823A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w:t>
            </w:r>
            <w:r>
              <w:rPr>
                <w:rFonts w:hint="default" w:ascii="Times New Roman" w:hAnsi="Times New Roman" w:cs="Times New Roman"/>
                <w:color w:val="000000"/>
                <w:szCs w:val="21"/>
                <w:highlight w:val="none"/>
                <w:vertAlign w:val="subscript"/>
              </w:rPr>
              <w:t>叠加</w:t>
            </w:r>
            <w:r>
              <w:rPr>
                <w:rFonts w:hint="default" w:ascii="Times New Roman" w:hAnsi="Times New Roman" w:cs="Times New Roman"/>
                <w:color w:val="000000"/>
                <w:szCs w:val="21"/>
                <w:highlight w:val="none"/>
              </w:rPr>
              <w:t>不达标□</w:t>
            </w:r>
          </w:p>
        </w:tc>
      </w:tr>
      <w:tr w14:paraId="2BBE4A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68614994">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1E66898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区域环境质量的整体变化情况</w:t>
            </w:r>
          </w:p>
        </w:tc>
        <w:tc>
          <w:tcPr>
            <w:tcW w:w="3334" w:type="dxa"/>
            <w:gridSpan w:val="8"/>
            <w:tcBorders>
              <w:tl2br w:val="nil"/>
              <w:tr2bl w:val="nil"/>
            </w:tcBorders>
            <w:noWrap w:val="0"/>
            <w:vAlign w:val="center"/>
          </w:tcPr>
          <w:p w14:paraId="363A522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k≤-20%</w:t>
            </w:r>
          </w:p>
        </w:tc>
        <w:tc>
          <w:tcPr>
            <w:tcW w:w="2709" w:type="dxa"/>
            <w:gridSpan w:val="8"/>
            <w:tcBorders>
              <w:tl2br w:val="nil"/>
              <w:tr2bl w:val="nil"/>
            </w:tcBorders>
            <w:noWrap w:val="0"/>
            <w:vAlign w:val="center"/>
          </w:tcPr>
          <w:p w14:paraId="6A6D3854">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k＞-20%</w:t>
            </w:r>
          </w:p>
        </w:tc>
      </w:tr>
      <w:tr w14:paraId="7CEB56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restart"/>
            <w:tcBorders>
              <w:tl2br w:val="nil"/>
              <w:tr2bl w:val="nil"/>
            </w:tcBorders>
            <w:noWrap w:val="0"/>
            <w:vAlign w:val="center"/>
          </w:tcPr>
          <w:p w14:paraId="07292D78">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环境监测计划</w:t>
            </w:r>
          </w:p>
        </w:tc>
        <w:tc>
          <w:tcPr>
            <w:tcW w:w="1701" w:type="dxa"/>
            <w:tcBorders>
              <w:tl2br w:val="nil"/>
              <w:tr2bl w:val="nil"/>
            </w:tcBorders>
            <w:noWrap w:val="0"/>
            <w:vAlign w:val="center"/>
          </w:tcPr>
          <w:p w14:paraId="3A709DC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污染源监测</w:t>
            </w:r>
          </w:p>
        </w:tc>
        <w:tc>
          <w:tcPr>
            <w:tcW w:w="2268" w:type="dxa"/>
            <w:gridSpan w:val="5"/>
            <w:tcBorders>
              <w:tl2br w:val="nil"/>
              <w:tr2bl w:val="nil"/>
            </w:tcBorders>
            <w:noWrap w:val="0"/>
            <w:vAlign w:val="center"/>
          </w:tcPr>
          <w:p w14:paraId="61ACE46F">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监测因子（颗粒物）</w:t>
            </w:r>
          </w:p>
        </w:tc>
        <w:tc>
          <w:tcPr>
            <w:tcW w:w="2223" w:type="dxa"/>
            <w:gridSpan w:val="6"/>
            <w:tcBorders>
              <w:tl2br w:val="nil"/>
              <w:tr2bl w:val="nil"/>
            </w:tcBorders>
            <w:noWrap w:val="0"/>
            <w:vAlign w:val="center"/>
          </w:tcPr>
          <w:p w14:paraId="118FBFE4">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有组织废气监测□</w:t>
            </w:r>
          </w:p>
          <w:p w14:paraId="0E2C355E">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无组织废气监测☑</w:t>
            </w:r>
          </w:p>
        </w:tc>
        <w:tc>
          <w:tcPr>
            <w:tcW w:w="1552" w:type="dxa"/>
            <w:gridSpan w:val="5"/>
            <w:tcBorders>
              <w:tl2br w:val="nil"/>
              <w:tr2bl w:val="nil"/>
            </w:tcBorders>
            <w:noWrap w:val="0"/>
            <w:vAlign w:val="center"/>
          </w:tcPr>
          <w:p w14:paraId="395B03E3">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无监测□</w:t>
            </w:r>
          </w:p>
        </w:tc>
      </w:tr>
      <w:tr w14:paraId="1B21DE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08EB5EAF">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16E3C7BC">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环境质量监测</w:t>
            </w:r>
          </w:p>
        </w:tc>
        <w:tc>
          <w:tcPr>
            <w:tcW w:w="2268" w:type="dxa"/>
            <w:gridSpan w:val="5"/>
            <w:tcBorders>
              <w:tl2br w:val="nil"/>
              <w:tr2bl w:val="nil"/>
            </w:tcBorders>
            <w:noWrap w:val="0"/>
            <w:vAlign w:val="center"/>
          </w:tcPr>
          <w:p w14:paraId="5696FDE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监测因子（）</w:t>
            </w:r>
          </w:p>
        </w:tc>
        <w:tc>
          <w:tcPr>
            <w:tcW w:w="2223" w:type="dxa"/>
            <w:gridSpan w:val="6"/>
            <w:tcBorders>
              <w:tl2br w:val="nil"/>
              <w:tr2bl w:val="nil"/>
            </w:tcBorders>
            <w:noWrap w:val="0"/>
            <w:vAlign w:val="center"/>
          </w:tcPr>
          <w:p w14:paraId="5687E807">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监测点位数（）</w:t>
            </w:r>
          </w:p>
        </w:tc>
        <w:tc>
          <w:tcPr>
            <w:tcW w:w="1552" w:type="dxa"/>
            <w:gridSpan w:val="5"/>
            <w:tcBorders>
              <w:tl2br w:val="nil"/>
              <w:tr2bl w:val="nil"/>
            </w:tcBorders>
            <w:noWrap w:val="0"/>
            <w:vAlign w:val="center"/>
          </w:tcPr>
          <w:p w14:paraId="5454E744">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无监测☑</w:t>
            </w:r>
          </w:p>
        </w:tc>
      </w:tr>
      <w:tr w14:paraId="2D3394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restart"/>
            <w:tcBorders>
              <w:tl2br w:val="nil"/>
              <w:tr2bl w:val="nil"/>
            </w:tcBorders>
            <w:noWrap w:val="0"/>
            <w:vAlign w:val="center"/>
          </w:tcPr>
          <w:p w14:paraId="4C0B46BD">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评价结论</w:t>
            </w:r>
          </w:p>
        </w:tc>
        <w:tc>
          <w:tcPr>
            <w:tcW w:w="1701" w:type="dxa"/>
            <w:tcBorders>
              <w:tl2br w:val="nil"/>
              <w:tr2bl w:val="nil"/>
            </w:tcBorders>
            <w:noWrap w:val="0"/>
            <w:vAlign w:val="center"/>
          </w:tcPr>
          <w:p w14:paraId="636AC6B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环境影响</w:t>
            </w:r>
          </w:p>
        </w:tc>
        <w:tc>
          <w:tcPr>
            <w:tcW w:w="6043" w:type="dxa"/>
            <w:gridSpan w:val="16"/>
            <w:tcBorders>
              <w:tl2br w:val="nil"/>
              <w:tr2bl w:val="nil"/>
            </w:tcBorders>
            <w:noWrap w:val="0"/>
            <w:vAlign w:val="center"/>
          </w:tcPr>
          <w:p w14:paraId="7B6D308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可以接受☑  不可以接收□</w:t>
            </w:r>
          </w:p>
        </w:tc>
      </w:tr>
      <w:tr w14:paraId="546D2B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7025502C">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46DB7BEA">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大气环境防护距离</w:t>
            </w:r>
          </w:p>
        </w:tc>
        <w:tc>
          <w:tcPr>
            <w:tcW w:w="6043" w:type="dxa"/>
            <w:gridSpan w:val="16"/>
            <w:tcBorders>
              <w:tl2br w:val="nil"/>
              <w:tr2bl w:val="nil"/>
            </w:tcBorders>
            <w:noWrap w:val="0"/>
            <w:vAlign w:val="center"/>
          </w:tcPr>
          <w:p w14:paraId="509D6F5E">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距（ ）厂界最远（0）m</w:t>
            </w:r>
          </w:p>
        </w:tc>
      </w:tr>
      <w:tr w14:paraId="701932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1" w:type="dxa"/>
            <w:vMerge w:val="continue"/>
            <w:tcBorders>
              <w:tl2br w:val="nil"/>
              <w:tr2bl w:val="nil"/>
            </w:tcBorders>
            <w:noWrap w:val="0"/>
            <w:vAlign w:val="center"/>
          </w:tcPr>
          <w:p w14:paraId="60696D5B">
            <w:pPr>
              <w:jc w:val="center"/>
              <w:rPr>
                <w:rFonts w:hint="default" w:ascii="Times New Roman" w:hAnsi="Times New Roman" w:cs="Times New Roman"/>
                <w:color w:val="000000"/>
                <w:szCs w:val="21"/>
                <w:highlight w:val="none"/>
              </w:rPr>
            </w:pPr>
          </w:p>
        </w:tc>
        <w:tc>
          <w:tcPr>
            <w:tcW w:w="1701" w:type="dxa"/>
            <w:tcBorders>
              <w:tl2br w:val="nil"/>
              <w:tr2bl w:val="nil"/>
            </w:tcBorders>
            <w:noWrap w:val="0"/>
            <w:vAlign w:val="center"/>
          </w:tcPr>
          <w:p w14:paraId="73F6BD3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污染源年排放量</w:t>
            </w:r>
          </w:p>
        </w:tc>
        <w:tc>
          <w:tcPr>
            <w:tcW w:w="1193" w:type="dxa"/>
            <w:gridSpan w:val="2"/>
            <w:tcBorders>
              <w:tl2br w:val="nil"/>
              <w:tr2bl w:val="nil"/>
            </w:tcBorders>
            <w:noWrap w:val="0"/>
            <w:vAlign w:val="center"/>
          </w:tcPr>
          <w:p w14:paraId="39D0337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SO</w:t>
            </w:r>
            <w:r>
              <w:rPr>
                <w:rFonts w:hint="default" w:ascii="Times New Roman" w:hAnsi="Times New Roman" w:cs="Times New Roman"/>
                <w:color w:val="000000"/>
                <w:szCs w:val="21"/>
                <w:highlight w:val="none"/>
                <w:vertAlign w:val="subscript"/>
              </w:rPr>
              <w:t>2</w:t>
            </w:r>
            <w:r>
              <w:rPr>
                <w:rFonts w:hint="default" w:ascii="Times New Roman" w:hAnsi="Times New Roman" w:cs="Times New Roman"/>
                <w:color w:val="000000"/>
                <w:szCs w:val="21"/>
                <w:highlight w:val="none"/>
              </w:rPr>
              <w:t>：（）t/a</w:t>
            </w:r>
          </w:p>
        </w:tc>
        <w:tc>
          <w:tcPr>
            <w:tcW w:w="1642" w:type="dxa"/>
            <w:gridSpan w:val="5"/>
            <w:tcBorders>
              <w:tl2br w:val="nil"/>
              <w:tr2bl w:val="nil"/>
            </w:tcBorders>
            <w:noWrap w:val="0"/>
            <w:vAlign w:val="center"/>
          </w:tcPr>
          <w:p w14:paraId="0E9BE5D9">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NO</w:t>
            </w:r>
            <w:r>
              <w:rPr>
                <w:rFonts w:hint="default" w:ascii="Times New Roman" w:hAnsi="Times New Roman" w:cs="Times New Roman"/>
                <w:color w:val="000000"/>
                <w:szCs w:val="21"/>
                <w:highlight w:val="none"/>
                <w:vertAlign w:val="subscript"/>
              </w:rPr>
              <w:t>x</w:t>
            </w:r>
            <w:r>
              <w:rPr>
                <w:rFonts w:hint="default" w:ascii="Times New Roman" w:hAnsi="Times New Roman" w:cs="Times New Roman"/>
                <w:color w:val="000000"/>
                <w:szCs w:val="21"/>
                <w:highlight w:val="none"/>
              </w:rPr>
              <w:t>：（）t/a</w:t>
            </w:r>
          </w:p>
        </w:tc>
        <w:tc>
          <w:tcPr>
            <w:tcW w:w="1680" w:type="dxa"/>
            <w:gridSpan w:val="5"/>
            <w:tcBorders>
              <w:tl2br w:val="nil"/>
              <w:tr2bl w:val="nil"/>
            </w:tcBorders>
            <w:noWrap w:val="0"/>
            <w:vAlign w:val="center"/>
          </w:tcPr>
          <w:p w14:paraId="5D3358A6">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颗粒物：</w:t>
            </w:r>
          </w:p>
          <w:p w14:paraId="42E8C180">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w:t>
            </w:r>
            <w:r>
              <w:rPr>
                <w:rFonts w:hint="eastAsia" w:cs="Times New Roman"/>
                <w:i w:val="0"/>
                <w:iCs w:val="0"/>
                <w:color w:val="000000"/>
                <w:kern w:val="0"/>
                <w:sz w:val="22"/>
                <w:szCs w:val="22"/>
                <w:highlight w:val="none"/>
                <w:u w:val="none"/>
                <w:lang w:val="en-US" w:eastAsia="zh-CN" w:bidi="ar"/>
              </w:rPr>
              <w:t>26.008</w:t>
            </w:r>
            <w:r>
              <w:rPr>
                <w:rFonts w:hint="default" w:ascii="Times New Roman" w:hAnsi="Times New Roman" w:cs="Times New Roman"/>
                <w:color w:val="000000"/>
                <w:szCs w:val="21"/>
                <w:highlight w:val="none"/>
              </w:rPr>
              <w:t>）t/a</w:t>
            </w:r>
          </w:p>
        </w:tc>
        <w:tc>
          <w:tcPr>
            <w:tcW w:w="1528" w:type="dxa"/>
            <w:gridSpan w:val="4"/>
            <w:tcBorders>
              <w:tl2br w:val="nil"/>
              <w:tr2bl w:val="nil"/>
            </w:tcBorders>
            <w:noWrap w:val="0"/>
            <w:vAlign w:val="center"/>
          </w:tcPr>
          <w:p w14:paraId="0DD2585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VOCs：</w:t>
            </w:r>
          </w:p>
          <w:p w14:paraId="45E0F522">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（0）t/a</w:t>
            </w:r>
          </w:p>
        </w:tc>
      </w:tr>
      <w:tr w14:paraId="08540C8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595" w:type="dxa"/>
            <w:gridSpan w:val="18"/>
            <w:tcBorders>
              <w:tl2br w:val="nil"/>
              <w:tr2bl w:val="nil"/>
            </w:tcBorders>
            <w:noWrap w:val="0"/>
            <w:vAlign w:val="center"/>
          </w:tcPr>
          <w:p w14:paraId="302B0C0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注：“□”为勾选项，填“√”；“（）”为内容填写项</w:t>
            </w:r>
          </w:p>
        </w:tc>
      </w:tr>
    </w:tbl>
    <w:p w14:paraId="5196BC52">
      <w:pPr>
        <w:pStyle w:val="6"/>
        <w:rPr>
          <w:rFonts w:hint="default" w:ascii="Times New Roman" w:hAnsi="Times New Roman" w:cs="Times New Roman"/>
          <w:color w:val="000000"/>
          <w:highlight w:val="none"/>
        </w:rPr>
      </w:pPr>
      <w:bookmarkStart w:id="297" w:name="_Toc2932"/>
      <w:r>
        <w:rPr>
          <w:rFonts w:hint="default" w:ascii="Times New Roman" w:hAnsi="Times New Roman" w:cs="Times New Roman"/>
          <w:color w:val="000000"/>
          <w:highlight w:val="none"/>
        </w:rPr>
        <w:t>生产运行阶段地表水环境影响分析</w:t>
      </w:r>
      <w:bookmarkEnd w:id="297"/>
    </w:p>
    <w:p w14:paraId="0F34888E">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5.2.2.1地表水环境影响分析</w:t>
      </w:r>
    </w:p>
    <w:p w14:paraId="0ED8132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b/>
          <w:sz w:val="24"/>
          <w:szCs w:val="24"/>
          <w:highlight w:val="none"/>
        </w:rPr>
      </w:pPr>
      <w:r>
        <w:rPr>
          <w:rFonts w:hint="default" w:ascii="Times New Roman" w:hAnsi="Times New Roman" w:cs="Times New Roman"/>
          <w:color w:val="000000"/>
          <w:sz w:val="24"/>
          <w:highlight w:val="none"/>
        </w:rPr>
        <w:t>项目生产运行阶段污水主要为排土场区域降雨产生的淋滤废水</w:t>
      </w:r>
      <w:r>
        <w:rPr>
          <w:rFonts w:hint="eastAsia" w:cs="Times New Roman"/>
          <w:color w:val="000000"/>
          <w:sz w:val="24"/>
          <w:highlight w:val="none"/>
          <w:lang w:eastAsia="zh-CN"/>
        </w:rPr>
        <w:t>，</w:t>
      </w:r>
      <w:r>
        <w:rPr>
          <w:rFonts w:hint="eastAsia"/>
          <w:sz w:val="24"/>
          <w:szCs w:val="24"/>
          <w:highlight w:val="none"/>
          <w:lang w:val="en-US" w:eastAsia="zh-CN"/>
        </w:rPr>
        <w:t>回用降尘</w:t>
      </w:r>
      <w:r>
        <w:rPr>
          <w:rFonts w:hint="default" w:ascii="Times New Roman" w:hAnsi="Times New Roman" w:cs="Times New Roman"/>
          <w:color w:val="000000"/>
          <w:sz w:val="24"/>
          <w:highlight w:val="none"/>
        </w:rPr>
        <w:t>。</w:t>
      </w:r>
      <w:r>
        <w:rPr>
          <w:rFonts w:hint="eastAsia"/>
          <w:sz w:val="24"/>
          <w:szCs w:val="24"/>
          <w:highlight w:val="none"/>
          <w:lang w:val="en-US" w:eastAsia="zh-CN"/>
        </w:rPr>
        <w:t>废</w:t>
      </w:r>
      <w:r>
        <w:rPr>
          <w:rFonts w:ascii="Times New Roman" w:eastAsia="宋体"/>
          <w:sz w:val="24"/>
          <w:szCs w:val="24"/>
          <w:highlight w:val="none"/>
        </w:rPr>
        <w:t>水不排入外环境，对区域地表水环境影响较小。</w:t>
      </w:r>
    </w:p>
    <w:p w14:paraId="718AA301">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5.2.2.2</w:t>
      </w:r>
      <w:r>
        <w:rPr>
          <w:rFonts w:hint="default" w:ascii="Times New Roman" w:hAnsi="Times New Roman" w:eastAsia="宋体" w:cs="Times New Roman"/>
          <w:b/>
          <w:sz w:val="24"/>
          <w:szCs w:val="24"/>
          <w:highlight w:val="none"/>
          <w:lang w:val="en-US" w:eastAsia="zh-CN"/>
        </w:rPr>
        <w:t>地表水环境影响评价自查表</w:t>
      </w:r>
    </w:p>
    <w:p w14:paraId="1F5880E8">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cs="Times New Roman"/>
          <w:color w:val="000000"/>
          <w:sz w:val="24"/>
          <w:highlight w:val="none"/>
          <w:lang w:eastAsia="zh-CN"/>
        </w:rPr>
      </w:pPr>
      <w:r>
        <w:rPr>
          <w:rFonts w:hint="default" w:ascii="Times New Roman" w:hAnsi="Times New Roman" w:cs="Times New Roman"/>
          <w:color w:val="000000"/>
          <w:sz w:val="24"/>
          <w:highlight w:val="none"/>
        </w:rPr>
        <w:t>项目地表水环境影响评价自查表详见下表</w:t>
      </w:r>
      <w:r>
        <w:rPr>
          <w:rFonts w:hint="eastAsia" w:cs="Times New Roman"/>
          <w:color w:val="000000"/>
          <w:sz w:val="24"/>
          <w:highlight w:val="none"/>
          <w:lang w:eastAsia="zh-CN"/>
        </w:rPr>
        <w:t>。</w:t>
      </w:r>
    </w:p>
    <w:p w14:paraId="1BEA21BB">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建设项目地表水环境影响评价自查表</w:t>
      </w:r>
    </w:p>
    <w:tbl>
      <w:tblPr>
        <w:tblStyle w:val="58"/>
        <w:tblW w:w="515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321"/>
        <w:gridCol w:w="1224"/>
        <w:gridCol w:w="1788"/>
        <w:gridCol w:w="550"/>
        <w:gridCol w:w="290"/>
        <w:gridCol w:w="420"/>
        <w:gridCol w:w="653"/>
        <w:gridCol w:w="903"/>
        <w:gridCol w:w="123"/>
        <w:gridCol w:w="840"/>
        <w:gridCol w:w="386"/>
        <w:gridCol w:w="1073"/>
      </w:tblGrid>
      <w:tr w14:paraId="2B1BF7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901" w:type="pct"/>
            <w:gridSpan w:val="2"/>
            <w:tcBorders>
              <w:tl2br w:val="nil"/>
              <w:tr2bl w:val="nil"/>
            </w:tcBorders>
            <w:noWrap w:val="0"/>
            <w:vAlign w:val="center"/>
          </w:tcPr>
          <w:p w14:paraId="062C426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b/>
                <w:color w:val="000000"/>
                <w:sz w:val="20"/>
                <w:szCs w:val="20"/>
                <w:highlight w:val="none"/>
              </w:rPr>
            </w:pPr>
            <w:r>
              <w:rPr>
                <w:rFonts w:hint="default" w:ascii="Times New Roman" w:hAnsi="Times New Roman" w:eastAsia="宋体" w:cs="Times New Roman"/>
                <w:b/>
                <w:color w:val="000000"/>
                <w:sz w:val="20"/>
                <w:szCs w:val="20"/>
                <w:highlight w:val="none"/>
              </w:rPr>
              <w:t>工作内容</w:t>
            </w:r>
          </w:p>
        </w:tc>
        <w:tc>
          <w:tcPr>
            <w:tcW w:w="4098" w:type="pct"/>
            <w:gridSpan w:val="10"/>
            <w:tcBorders>
              <w:tl2br w:val="nil"/>
              <w:tr2bl w:val="nil"/>
            </w:tcBorders>
            <w:noWrap w:val="0"/>
            <w:vAlign w:val="center"/>
          </w:tcPr>
          <w:p w14:paraId="3D2F12C6">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b/>
                <w:color w:val="000000"/>
                <w:sz w:val="20"/>
                <w:szCs w:val="20"/>
                <w:highlight w:val="none"/>
              </w:rPr>
            </w:pPr>
            <w:r>
              <w:rPr>
                <w:rFonts w:hint="default" w:ascii="Times New Roman" w:hAnsi="Times New Roman" w:eastAsia="宋体" w:cs="Times New Roman"/>
                <w:b/>
                <w:color w:val="000000"/>
                <w:sz w:val="20"/>
                <w:szCs w:val="20"/>
                <w:highlight w:val="none"/>
              </w:rPr>
              <w:t>自查项目</w:t>
            </w:r>
          </w:p>
        </w:tc>
      </w:tr>
      <w:tr w14:paraId="350A4B4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restart"/>
            <w:tcBorders>
              <w:tl2br w:val="nil"/>
              <w:tr2bl w:val="nil"/>
            </w:tcBorders>
            <w:noWrap w:val="0"/>
            <w:vAlign w:val="center"/>
          </w:tcPr>
          <w:p w14:paraId="34D3B6F3">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影响识别</w:t>
            </w:r>
          </w:p>
        </w:tc>
        <w:tc>
          <w:tcPr>
            <w:tcW w:w="713" w:type="pct"/>
            <w:tcBorders>
              <w:tl2br w:val="nil"/>
              <w:tr2bl w:val="nil"/>
            </w:tcBorders>
            <w:noWrap w:val="0"/>
            <w:vAlign w:val="center"/>
          </w:tcPr>
          <w:p w14:paraId="5EE7F7C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影响类型</w:t>
            </w:r>
          </w:p>
        </w:tc>
        <w:tc>
          <w:tcPr>
            <w:tcW w:w="4098" w:type="pct"/>
            <w:gridSpan w:val="10"/>
            <w:tcBorders>
              <w:tl2br w:val="nil"/>
              <w:tr2bl w:val="nil"/>
            </w:tcBorders>
            <w:noWrap w:val="0"/>
            <w:vAlign w:val="center"/>
          </w:tcPr>
          <w:p w14:paraId="5AA6D141">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水污染影响型 ☑；水文要素影响型 □</w:t>
            </w:r>
          </w:p>
        </w:tc>
      </w:tr>
      <w:tr w14:paraId="0E09C3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5B21202F">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0ECBE743">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水环境保护目标</w:t>
            </w:r>
          </w:p>
        </w:tc>
        <w:tc>
          <w:tcPr>
            <w:tcW w:w="4098" w:type="pct"/>
            <w:gridSpan w:val="10"/>
            <w:tcBorders>
              <w:tl2br w:val="nil"/>
              <w:tr2bl w:val="nil"/>
            </w:tcBorders>
            <w:noWrap w:val="0"/>
            <w:vAlign w:val="center"/>
          </w:tcPr>
          <w:p w14:paraId="094D7515">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饮用水水源保护区 □；饮用水取水口 □；涉水的自然保护区 □；重要湿地 □；</w:t>
            </w:r>
          </w:p>
          <w:p w14:paraId="2B3BBD01">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重点保护与珍稀水生生物的栖息地 □；重要水生生物的自然产卵场及索饵场、越冬场和洄游通道、天然渔场等渔业水体 □；涉水的风景名胜区 □；其他 ☑</w:t>
            </w:r>
          </w:p>
        </w:tc>
      </w:tr>
      <w:tr w14:paraId="30DABF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0401187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restart"/>
            <w:tcBorders>
              <w:tl2br w:val="nil"/>
              <w:tr2bl w:val="nil"/>
            </w:tcBorders>
            <w:noWrap w:val="0"/>
            <w:vAlign w:val="center"/>
          </w:tcPr>
          <w:p w14:paraId="327A870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影响途径</w:t>
            </w:r>
          </w:p>
        </w:tc>
        <w:tc>
          <w:tcPr>
            <w:tcW w:w="2159" w:type="pct"/>
            <w:gridSpan w:val="5"/>
            <w:tcBorders>
              <w:tl2br w:val="nil"/>
              <w:tr2bl w:val="nil"/>
            </w:tcBorders>
            <w:noWrap w:val="0"/>
            <w:vAlign w:val="center"/>
          </w:tcPr>
          <w:p w14:paraId="59AFB17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水污染影响型</w:t>
            </w:r>
          </w:p>
        </w:tc>
        <w:tc>
          <w:tcPr>
            <w:tcW w:w="1939" w:type="pct"/>
            <w:gridSpan w:val="5"/>
            <w:tcBorders>
              <w:tl2br w:val="nil"/>
              <w:tr2bl w:val="nil"/>
            </w:tcBorders>
            <w:noWrap w:val="0"/>
            <w:vAlign w:val="center"/>
          </w:tcPr>
          <w:p w14:paraId="24695125">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水文要素影响型</w:t>
            </w:r>
          </w:p>
        </w:tc>
      </w:tr>
      <w:tr w14:paraId="5557C7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0C4852B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582BFB98">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2159" w:type="pct"/>
            <w:gridSpan w:val="5"/>
            <w:tcBorders>
              <w:tl2br w:val="nil"/>
              <w:tr2bl w:val="nil"/>
            </w:tcBorders>
            <w:noWrap w:val="0"/>
            <w:vAlign w:val="center"/>
          </w:tcPr>
          <w:p w14:paraId="11542D86">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直接排放 □；间接排放 ☑；其他 □</w:t>
            </w:r>
          </w:p>
        </w:tc>
        <w:tc>
          <w:tcPr>
            <w:tcW w:w="1939" w:type="pct"/>
            <w:gridSpan w:val="5"/>
            <w:tcBorders>
              <w:tl2br w:val="nil"/>
              <w:tr2bl w:val="nil"/>
            </w:tcBorders>
            <w:noWrap w:val="0"/>
            <w:vAlign w:val="center"/>
          </w:tcPr>
          <w:p w14:paraId="4847BEB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水温 □；径流 □；水域面积 □</w:t>
            </w:r>
          </w:p>
        </w:tc>
      </w:tr>
      <w:tr w14:paraId="117121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0DDE726D">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108A4DA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影响因子</w:t>
            </w:r>
          </w:p>
        </w:tc>
        <w:tc>
          <w:tcPr>
            <w:tcW w:w="2159" w:type="pct"/>
            <w:gridSpan w:val="5"/>
            <w:tcBorders>
              <w:tl2br w:val="nil"/>
              <w:tr2bl w:val="nil"/>
            </w:tcBorders>
            <w:noWrap w:val="0"/>
            <w:vAlign w:val="center"/>
          </w:tcPr>
          <w:p w14:paraId="66678A99">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持久性污染物 □；有毒有害污染物 □；非持久性污染物☑；</w:t>
            </w:r>
          </w:p>
          <w:p w14:paraId="07157C26">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 xml:space="preserve">pH 值 </w:t>
            </w:r>
            <w:r>
              <w:rPr>
                <w:rFonts w:hint="eastAsia" w:eastAsia="宋体" w:cs="Times New Roman"/>
                <w:color w:val="000000"/>
                <w:sz w:val="20"/>
                <w:szCs w:val="20"/>
                <w:highlight w:val="none"/>
                <w:lang w:eastAsia="zh-CN"/>
              </w:rPr>
              <w:t>□</w:t>
            </w:r>
            <w:r>
              <w:rPr>
                <w:rFonts w:hint="default" w:ascii="Times New Roman" w:hAnsi="Times New Roman" w:eastAsia="宋体" w:cs="Times New Roman"/>
                <w:color w:val="000000"/>
                <w:sz w:val="20"/>
                <w:szCs w:val="20"/>
                <w:highlight w:val="none"/>
              </w:rPr>
              <w:t>；热污染 □；富营养化 □；其他 □</w:t>
            </w:r>
          </w:p>
        </w:tc>
        <w:tc>
          <w:tcPr>
            <w:tcW w:w="1939" w:type="pct"/>
            <w:gridSpan w:val="5"/>
            <w:tcBorders>
              <w:tl2br w:val="nil"/>
              <w:tr2bl w:val="nil"/>
            </w:tcBorders>
            <w:noWrap w:val="0"/>
            <w:vAlign w:val="center"/>
          </w:tcPr>
          <w:p w14:paraId="38D69101">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水温 □；水位（水深） □；流速 □；流量 □；其他 □</w:t>
            </w:r>
          </w:p>
        </w:tc>
      </w:tr>
      <w:tr w14:paraId="779072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901" w:type="pct"/>
            <w:gridSpan w:val="2"/>
            <w:vMerge w:val="restart"/>
            <w:tcBorders>
              <w:tl2br w:val="nil"/>
              <w:tr2bl w:val="nil"/>
            </w:tcBorders>
            <w:noWrap w:val="0"/>
            <w:vAlign w:val="center"/>
          </w:tcPr>
          <w:p w14:paraId="15743DA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评价等级</w:t>
            </w:r>
          </w:p>
        </w:tc>
        <w:tc>
          <w:tcPr>
            <w:tcW w:w="2159" w:type="pct"/>
            <w:gridSpan w:val="5"/>
            <w:tcBorders>
              <w:tl2br w:val="nil"/>
              <w:tr2bl w:val="nil"/>
            </w:tcBorders>
            <w:noWrap w:val="0"/>
            <w:vAlign w:val="center"/>
          </w:tcPr>
          <w:p w14:paraId="1A9B096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水污染影响型</w:t>
            </w:r>
          </w:p>
        </w:tc>
        <w:tc>
          <w:tcPr>
            <w:tcW w:w="1939" w:type="pct"/>
            <w:gridSpan w:val="5"/>
            <w:tcBorders>
              <w:tl2br w:val="nil"/>
              <w:tr2bl w:val="nil"/>
            </w:tcBorders>
            <w:noWrap w:val="0"/>
            <w:vAlign w:val="center"/>
          </w:tcPr>
          <w:p w14:paraId="00E7E64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水文要素影响型</w:t>
            </w:r>
          </w:p>
        </w:tc>
      </w:tr>
      <w:tr w14:paraId="756182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901" w:type="pct"/>
            <w:gridSpan w:val="2"/>
            <w:vMerge w:val="continue"/>
            <w:tcBorders>
              <w:tl2br w:val="nil"/>
              <w:tr2bl w:val="nil"/>
            </w:tcBorders>
            <w:noWrap w:val="0"/>
            <w:vAlign w:val="center"/>
          </w:tcPr>
          <w:p w14:paraId="3565105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2159" w:type="pct"/>
            <w:gridSpan w:val="5"/>
            <w:tcBorders>
              <w:tl2br w:val="nil"/>
              <w:tr2bl w:val="nil"/>
            </w:tcBorders>
            <w:noWrap w:val="0"/>
            <w:vAlign w:val="center"/>
          </w:tcPr>
          <w:p w14:paraId="413BF80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一级 □；二级 □；三级 A □；三级 B ☑</w:t>
            </w:r>
          </w:p>
        </w:tc>
        <w:tc>
          <w:tcPr>
            <w:tcW w:w="1939" w:type="pct"/>
            <w:gridSpan w:val="5"/>
            <w:tcBorders>
              <w:tl2br w:val="nil"/>
              <w:tr2bl w:val="nil"/>
            </w:tcBorders>
            <w:noWrap w:val="0"/>
            <w:vAlign w:val="center"/>
          </w:tcPr>
          <w:p w14:paraId="1F00570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一级 □；二级 □；三级 □</w:t>
            </w:r>
          </w:p>
        </w:tc>
      </w:tr>
      <w:tr w14:paraId="1BFDA8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restart"/>
            <w:tcBorders>
              <w:tl2br w:val="nil"/>
              <w:tr2bl w:val="nil"/>
            </w:tcBorders>
            <w:noWrap w:val="0"/>
            <w:vAlign w:val="center"/>
          </w:tcPr>
          <w:p w14:paraId="22459995">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现状调查</w:t>
            </w:r>
          </w:p>
        </w:tc>
        <w:tc>
          <w:tcPr>
            <w:tcW w:w="713" w:type="pct"/>
            <w:vMerge w:val="restart"/>
            <w:tcBorders>
              <w:tl2br w:val="nil"/>
              <w:tr2bl w:val="nil"/>
            </w:tcBorders>
            <w:noWrap w:val="0"/>
            <w:vAlign w:val="center"/>
          </w:tcPr>
          <w:p w14:paraId="2375C04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区域污染源</w:t>
            </w:r>
          </w:p>
        </w:tc>
        <w:tc>
          <w:tcPr>
            <w:tcW w:w="2159" w:type="pct"/>
            <w:gridSpan w:val="5"/>
            <w:tcBorders>
              <w:tl2br w:val="nil"/>
              <w:tr2bl w:val="nil"/>
            </w:tcBorders>
            <w:noWrap w:val="0"/>
            <w:vAlign w:val="center"/>
          </w:tcPr>
          <w:p w14:paraId="73284C68">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调查项目</w:t>
            </w:r>
          </w:p>
        </w:tc>
        <w:tc>
          <w:tcPr>
            <w:tcW w:w="1939" w:type="pct"/>
            <w:gridSpan w:val="5"/>
            <w:tcBorders>
              <w:tl2br w:val="nil"/>
              <w:tr2bl w:val="nil"/>
            </w:tcBorders>
            <w:noWrap w:val="0"/>
            <w:vAlign w:val="center"/>
          </w:tcPr>
          <w:p w14:paraId="6FF68F96">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数据来源</w:t>
            </w:r>
          </w:p>
        </w:tc>
      </w:tr>
      <w:tr w14:paraId="6EF701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0922A0A0">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6D2D60C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364" w:type="pct"/>
            <w:gridSpan w:val="2"/>
            <w:tcBorders>
              <w:tl2br w:val="nil"/>
              <w:tr2bl w:val="nil"/>
            </w:tcBorders>
            <w:noWrap w:val="0"/>
            <w:vAlign w:val="center"/>
          </w:tcPr>
          <w:p w14:paraId="604FFEF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已建 □；在建 □；拟建 □； 其他 ☑</w:t>
            </w:r>
          </w:p>
        </w:tc>
        <w:tc>
          <w:tcPr>
            <w:tcW w:w="795" w:type="pct"/>
            <w:gridSpan w:val="3"/>
            <w:tcBorders>
              <w:tl2br w:val="nil"/>
              <w:tr2bl w:val="nil"/>
            </w:tcBorders>
            <w:noWrap w:val="0"/>
            <w:vAlign w:val="center"/>
          </w:tcPr>
          <w:p w14:paraId="2278A4F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拟替代的污染源 □</w:t>
            </w:r>
          </w:p>
        </w:tc>
        <w:tc>
          <w:tcPr>
            <w:tcW w:w="1939" w:type="pct"/>
            <w:gridSpan w:val="5"/>
            <w:tcBorders>
              <w:tl2br w:val="nil"/>
              <w:tr2bl w:val="nil"/>
            </w:tcBorders>
            <w:noWrap w:val="0"/>
            <w:vAlign w:val="center"/>
          </w:tcPr>
          <w:p w14:paraId="5375C4A3">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 xml:space="preserve">排污许可证 </w:t>
            </w:r>
            <w:r>
              <w:rPr>
                <w:rFonts w:hint="eastAsia" w:ascii="Times New Roman" w:hAnsi="Times New Roman" w:eastAsia="宋体" w:cs="Times New Roman"/>
                <w:color w:val="000000"/>
                <w:sz w:val="20"/>
                <w:szCs w:val="20"/>
                <w:highlight w:val="none"/>
                <w:lang w:eastAsia="zh-CN"/>
              </w:rPr>
              <w:t>□</w:t>
            </w:r>
            <w:r>
              <w:rPr>
                <w:rFonts w:hint="default" w:ascii="Times New Roman" w:hAnsi="Times New Roman" w:eastAsia="宋体" w:cs="Times New Roman"/>
                <w:color w:val="000000"/>
                <w:sz w:val="20"/>
                <w:szCs w:val="20"/>
                <w:highlight w:val="none"/>
              </w:rPr>
              <w:t xml:space="preserve">；环评 </w:t>
            </w:r>
            <w:r>
              <w:rPr>
                <w:rFonts w:hint="eastAsia" w:ascii="Times New Roman" w:hAnsi="Times New Roman" w:eastAsia="宋体" w:cs="Times New Roman"/>
                <w:color w:val="000000"/>
                <w:sz w:val="20"/>
                <w:szCs w:val="20"/>
                <w:highlight w:val="none"/>
                <w:lang w:eastAsia="zh-CN"/>
              </w:rPr>
              <w:t>□</w:t>
            </w:r>
            <w:r>
              <w:rPr>
                <w:rFonts w:hint="default" w:ascii="Times New Roman" w:hAnsi="Times New Roman" w:eastAsia="宋体" w:cs="Times New Roman"/>
                <w:color w:val="000000"/>
                <w:sz w:val="20"/>
                <w:szCs w:val="20"/>
                <w:highlight w:val="none"/>
              </w:rPr>
              <w:t xml:space="preserve">；环保验收 </w:t>
            </w:r>
            <w:r>
              <w:rPr>
                <w:rFonts w:hint="eastAsia" w:ascii="Times New Roman" w:hAnsi="Times New Roman" w:eastAsia="宋体" w:cs="Times New Roman"/>
                <w:color w:val="000000"/>
                <w:sz w:val="20"/>
                <w:szCs w:val="20"/>
                <w:highlight w:val="none"/>
                <w:lang w:eastAsia="zh-CN"/>
              </w:rPr>
              <w:t>□</w:t>
            </w:r>
            <w:r>
              <w:rPr>
                <w:rFonts w:hint="default" w:ascii="Times New Roman" w:hAnsi="Times New Roman" w:eastAsia="宋体" w:cs="Times New Roman"/>
                <w:color w:val="000000"/>
                <w:sz w:val="20"/>
                <w:szCs w:val="20"/>
                <w:highlight w:val="none"/>
              </w:rPr>
              <w:t>；既有实测 □；现场 监测 □；入河排放口数据 □；其他 □</w:t>
            </w:r>
          </w:p>
        </w:tc>
      </w:tr>
      <w:tr w14:paraId="06D3E8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05E293CF">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restart"/>
            <w:tcBorders>
              <w:tl2br w:val="nil"/>
              <w:tr2bl w:val="nil"/>
            </w:tcBorders>
            <w:noWrap w:val="0"/>
            <w:vAlign w:val="center"/>
          </w:tcPr>
          <w:p w14:paraId="4694C7E9">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 xml:space="preserve">受影响水体水环境质量 </w:t>
            </w:r>
          </w:p>
        </w:tc>
        <w:tc>
          <w:tcPr>
            <w:tcW w:w="2159" w:type="pct"/>
            <w:gridSpan w:val="5"/>
            <w:tcBorders>
              <w:tl2br w:val="nil"/>
              <w:tr2bl w:val="nil"/>
            </w:tcBorders>
            <w:noWrap w:val="0"/>
            <w:vAlign w:val="center"/>
          </w:tcPr>
          <w:p w14:paraId="0F71E3E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调查时期</w:t>
            </w:r>
          </w:p>
        </w:tc>
        <w:tc>
          <w:tcPr>
            <w:tcW w:w="1939" w:type="pct"/>
            <w:gridSpan w:val="5"/>
            <w:tcBorders>
              <w:tl2br w:val="nil"/>
              <w:tr2bl w:val="nil"/>
            </w:tcBorders>
            <w:noWrap w:val="0"/>
            <w:vAlign w:val="center"/>
          </w:tcPr>
          <w:p w14:paraId="7A815757">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数据来源</w:t>
            </w:r>
          </w:p>
        </w:tc>
      </w:tr>
      <w:tr w14:paraId="7DFAF38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7ACB726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219FA982">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2159" w:type="pct"/>
            <w:gridSpan w:val="5"/>
            <w:tcBorders>
              <w:tl2br w:val="nil"/>
              <w:tr2bl w:val="nil"/>
            </w:tcBorders>
            <w:noWrap w:val="0"/>
            <w:vAlign w:val="center"/>
          </w:tcPr>
          <w:p w14:paraId="61D296C5">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丰水期 □；平水期 □；枯水期 □；冰封期 □</w:t>
            </w:r>
          </w:p>
          <w:p w14:paraId="035EEFE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春季 □；夏季 □；秋季 □；冬季 □</w:t>
            </w:r>
          </w:p>
        </w:tc>
        <w:tc>
          <w:tcPr>
            <w:tcW w:w="1939" w:type="pct"/>
            <w:gridSpan w:val="5"/>
            <w:tcBorders>
              <w:tl2br w:val="nil"/>
              <w:tr2bl w:val="nil"/>
            </w:tcBorders>
            <w:noWrap w:val="0"/>
            <w:vAlign w:val="center"/>
          </w:tcPr>
          <w:p w14:paraId="4955FE8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生态环境保护主管部门☑；补充监测 □；其他 □</w:t>
            </w:r>
          </w:p>
        </w:tc>
      </w:tr>
      <w:tr w14:paraId="16764D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60439B6E">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3AC5303B">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区域水资源开发利用状况</w:t>
            </w:r>
          </w:p>
        </w:tc>
        <w:tc>
          <w:tcPr>
            <w:tcW w:w="4098" w:type="pct"/>
            <w:gridSpan w:val="10"/>
            <w:tcBorders>
              <w:tl2br w:val="nil"/>
              <w:tr2bl w:val="nil"/>
            </w:tcBorders>
            <w:noWrap w:val="0"/>
            <w:vAlign w:val="center"/>
          </w:tcPr>
          <w:p w14:paraId="551FAA08">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未开发 □；开发量 40%以下 □；开发量 40%以上 □</w:t>
            </w:r>
          </w:p>
        </w:tc>
      </w:tr>
      <w:tr w14:paraId="296361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6624BD83">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restart"/>
            <w:tcBorders>
              <w:tl2br w:val="nil"/>
              <w:tr2bl w:val="nil"/>
            </w:tcBorders>
            <w:noWrap w:val="0"/>
            <w:vAlign w:val="center"/>
          </w:tcPr>
          <w:p w14:paraId="11C9050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水文情势调查</w:t>
            </w:r>
          </w:p>
        </w:tc>
        <w:tc>
          <w:tcPr>
            <w:tcW w:w="2159" w:type="pct"/>
            <w:gridSpan w:val="5"/>
            <w:tcBorders>
              <w:tl2br w:val="nil"/>
              <w:tr2bl w:val="nil"/>
            </w:tcBorders>
            <w:noWrap w:val="0"/>
            <w:vAlign w:val="center"/>
          </w:tcPr>
          <w:p w14:paraId="758CE833">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调查时期</w:t>
            </w:r>
          </w:p>
        </w:tc>
        <w:tc>
          <w:tcPr>
            <w:tcW w:w="1939" w:type="pct"/>
            <w:gridSpan w:val="5"/>
            <w:tcBorders>
              <w:tl2br w:val="nil"/>
              <w:tr2bl w:val="nil"/>
            </w:tcBorders>
            <w:noWrap w:val="0"/>
            <w:vAlign w:val="center"/>
          </w:tcPr>
          <w:p w14:paraId="6EE93ED5">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数据来源</w:t>
            </w:r>
          </w:p>
        </w:tc>
      </w:tr>
      <w:tr w14:paraId="475781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67B4C1AE">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2A3D0E24">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2159" w:type="pct"/>
            <w:gridSpan w:val="5"/>
            <w:tcBorders>
              <w:tl2br w:val="nil"/>
              <w:tr2bl w:val="nil"/>
            </w:tcBorders>
            <w:noWrap w:val="0"/>
            <w:vAlign w:val="center"/>
          </w:tcPr>
          <w:p w14:paraId="77FA0BE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丰水期 □；平水期 □；枯水期 □；冰封期 □</w:t>
            </w:r>
          </w:p>
          <w:p w14:paraId="0DB23007">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春季 □；夏季 □；秋季 □；冬季 □</w:t>
            </w:r>
          </w:p>
        </w:tc>
        <w:tc>
          <w:tcPr>
            <w:tcW w:w="1939" w:type="pct"/>
            <w:gridSpan w:val="5"/>
            <w:tcBorders>
              <w:tl2br w:val="nil"/>
              <w:tr2bl w:val="nil"/>
            </w:tcBorders>
            <w:noWrap w:val="0"/>
            <w:vAlign w:val="center"/>
          </w:tcPr>
          <w:p w14:paraId="7711D00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水行政主管部门☑；补充监测 □；其他 □</w:t>
            </w:r>
          </w:p>
        </w:tc>
      </w:tr>
      <w:tr w14:paraId="42ADAE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3A20450F">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restart"/>
            <w:tcBorders>
              <w:tl2br w:val="nil"/>
              <w:tr2bl w:val="nil"/>
            </w:tcBorders>
            <w:noWrap w:val="0"/>
            <w:vAlign w:val="center"/>
          </w:tcPr>
          <w:p w14:paraId="211D0019">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补充监测</w:t>
            </w:r>
          </w:p>
        </w:tc>
        <w:tc>
          <w:tcPr>
            <w:tcW w:w="2159" w:type="pct"/>
            <w:gridSpan w:val="5"/>
            <w:tcBorders>
              <w:tl2br w:val="nil"/>
              <w:tr2bl w:val="nil"/>
            </w:tcBorders>
            <w:noWrap w:val="0"/>
            <w:vAlign w:val="center"/>
          </w:tcPr>
          <w:p w14:paraId="4D26A52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监测时期</w:t>
            </w:r>
          </w:p>
        </w:tc>
        <w:tc>
          <w:tcPr>
            <w:tcW w:w="527" w:type="pct"/>
            <w:tcBorders>
              <w:tl2br w:val="nil"/>
              <w:tr2bl w:val="nil"/>
            </w:tcBorders>
            <w:noWrap w:val="0"/>
            <w:vAlign w:val="center"/>
          </w:tcPr>
          <w:p w14:paraId="5BE290A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监测因子</w:t>
            </w:r>
          </w:p>
        </w:tc>
        <w:tc>
          <w:tcPr>
            <w:tcW w:w="1411" w:type="pct"/>
            <w:gridSpan w:val="4"/>
            <w:tcBorders>
              <w:tl2br w:val="nil"/>
              <w:tr2bl w:val="nil"/>
            </w:tcBorders>
            <w:noWrap w:val="0"/>
            <w:vAlign w:val="center"/>
          </w:tcPr>
          <w:p w14:paraId="4E757887">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监测断面或点位</w:t>
            </w:r>
          </w:p>
        </w:tc>
      </w:tr>
      <w:tr w14:paraId="1FD788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49D01D5E">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4A482D6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2159" w:type="pct"/>
            <w:gridSpan w:val="5"/>
            <w:tcBorders>
              <w:tl2br w:val="nil"/>
              <w:tr2bl w:val="nil"/>
            </w:tcBorders>
            <w:noWrap w:val="0"/>
            <w:vAlign w:val="center"/>
          </w:tcPr>
          <w:p w14:paraId="2D9D3E8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丰水期 □；平水期 □；枯水期 □；冰封期 □</w:t>
            </w:r>
          </w:p>
          <w:p w14:paraId="79350D6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春季 □；夏季 □；秋季 □；冬季 □</w:t>
            </w:r>
          </w:p>
        </w:tc>
        <w:tc>
          <w:tcPr>
            <w:tcW w:w="527" w:type="pct"/>
            <w:tcBorders>
              <w:tl2br w:val="nil"/>
              <w:tr2bl w:val="nil"/>
            </w:tcBorders>
            <w:noWrap w:val="0"/>
            <w:vAlign w:val="center"/>
          </w:tcPr>
          <w:p w14:paraId="212B8DA5">
            <w:pPr>
              <w:pStyle w:val="227"/>
              <w:keepNext w:val="0"/>
              <w:keepLines w:val="0"/>
              <w:pageBreakBefore w:val="0"/>
              <w:widowControl w:val="0"/>
              <w:tabs>
                <w:tab w:val="left" w:pos="550"/>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411" w:type="pct"/>
            <w:gridSpan w:val="4"/>
            <w:tcBorders>
              <w:tl2br w:val="nil"/>
              <w:tr2bl w:val="nil"/>
            </w:tcBorders>
            <w:noWrap w:val="0"/>
            <w:vAlign w:val="center"/>
          </w:tcPr>
          <w:p w14:paraId="4D83C43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监测断面或点位个数（）个</w:t>
            </w:r>
          </w:p>
        </w:tc>
      </w:tr>
      <w:tr w14:paraId="11C964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restart"/>
            <w:tcBorders>
              <w:tl2br w:val="nil"/>
              <w:tr2bl w:val="nil"/>
            </w:tcBorders>
            <w:noWrap w:val="0"/>
            <w:vAlign w:val="center"/>
          </w:tcPr>
          <w:p w14:paraId="71340A44">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现状评价</w:t>
            </w:r>
          </w:p>
        </w:tc>
        <w:tc>
          <w:tcPr>
            <w:tcW w:w="713" w:type="pct"/>
            <w:tcBorders>
              <w:tl2br w:val="nil"/>
              <w:tr2bl w:val="nil"/>
            </w:tcBorders>
            <w:noWrap w:val="0"/>
            <w:vAlign w:val="center"/>
          </w:tcPr>
          <w:p w14:paraId="780C0254">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评价范围</w:t>
            </w:r>
          </w:p>
        </w:tc>
        <w:tc>
          <w:tcPr>
            <w:tcW w:w="4098" w:type="pct"/>
            <w:gridSpan w:val="10"/>
            <w:tcBorders>
              <w:tl2br w:val="nil"/>
              <w:tr2bl w:val="nil"/>
            </w:tcBorders>
            <w:noWrap w:val="0"/>
            <w:vAlign w:val="center"/>
          </w:tcPr>
          <w:p w14:paraId="4CF3CDCE">
            <w:pPr>
              <w:pStyle w:val="227"/>
              <w:keepNext w:val="0"/>
              <w:keepLines w:val="0"/>
              <w:pageBreakBefore w:val="0"/>
              <w:widowControl w:val="0"/>
              <w:tabs>
                <w:tab w:val="left" w:pos="1453"/>
                <w:tab w:val="left" w:pos="4831"/>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河流：长度（）km；湖库、河口及近岸海域：面积（）km</w:t>
            </w:r>
            <w:r>
              <w:rPr>
                <w:rFonts w:hint="default" w:ascii="Times New Roman" w:hAnsi="Times New Roman" w:eastAsia="宋体" w:cs="Times New Roman"/>
                <w:color w:val="000000"/>
                <w:sz w:val="20"/>
                <w:szCs w:val="20"/>
                <w:highlight w:val="none"/>
                <w:vertAlign w:val="superscript"/>
              </w:rPr>
              <w:t>2</w:t>
            </w:r>
          </w:p>
        </w:tc>
      </w:tr>
      <w:tr w14:paraId="3EC8EA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51921483">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6D8DCD4B">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评价因子</w:t>
            </w:r>
          </w:p>
        </w:tc>
        <w:tc>
          <w:tcPr>
            <w:tcW w:w="4098" w:type="pct"/>
            <w:gridSpan w:val="10"/>
            <w:tcBorders>
              <w:tl2br w:val="nil"/>
              <w:tr2bl w:val="nil"/>
            </w:tcBorders>
            <w:noWrap w:val="0"/>
            <w:vAlign w:val="center"/>
          </w:tcPr>
          <w:p w14:paraId="1A8E072B">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386C57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3864C775">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515846C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评价标准</w:t>
            </w:r>
          </w:p>
        </w:tc>
        <w:tc>
          <w:tcPr>
            <w:tcW w:w="4098" w:type="pct"/>
            <w:gridSpan w:val="10"/>
            <w:tcBorders>
              <w:tl2br w:val="nil"/>
              <w:tr2bl w:val="nil"/>
            </w:tcBorders>
            <w:noWrap w:val="0"/>
            <w:vAlign w:val="center"/>
          </w:tcPr>
          <w:p w14:paraId="27EFCC7E">
            <w:pPr>
              <w:pStyle w:val="227"/>
              <w:keepNext w:val="0"/>
              <w:keepLines w:val="0"/>
              <w:pageBreakBefore w:val="0"/>
              <w:widowControl w:val="0"/>
              <w:tabs>
                <w:tab w:val="left" w:pos="181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河流、湖库、河口：Ⅰ类 □；Ⅱ类 □；Ⅲ类 □；Ⅳ类 □；Ⅴ类 □</w:t>
            </w:r>
          </w:p>
          <w:p w14:paraId="4851C8DE">
            <w:pPr>
              <w:pStyle w:val="227"/>
              <w:keepNext w:val="0"/>
              <w:keepLines w:val="0"/>
              <w:pageBreakBefore w:val="0"/>
              <w:widowControl w:val="0"/>
              <w:tabs>
                <w:tab w:val="left" w:pos="181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近岸海域：第一类 □；第二类 □；第三类 □；第四类 □</w:t>
            </w:r>
          </w:p>
          <w:p w14:paraId="7A7C12CB">
            <w:pPr>
              <w:pStyle w:val="227"/>
              <w:keepNext w:val="0"/>
              <w:keepLines w:val="0"/>
              <w:pageBreakBefore w:val="0"/>
              <w:widowControl w:val="0"/>
              <w:tabs>
                <w:tab w:val="left" w:pos="181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规划年评价标准（）</w:t>
            </w:r>
          </w:p>
        </w:tc>
      </w:tr>
      <w:tr w14:paraId="525694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4A10623E">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05CEB846">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评价时期</w:t>
            </w:r>
          </w:p>
        </w:tc>
        <w:tc>
          <w:tcPr>
            <w:tcW w:w="4098" w:type="pct"/>
            <w:gridSpan w:val="10"/>
            <w:tcBorders>
              <w:tl2br w:val="nil"/>
              <w:tr2bl w:val="nil"/>
            </w:tcBorders>
            <w:noWrap w:val="0"/>
            <w:vAlign w:val="center"/>
          </w:tcPr>
          <w:p w14:paraId="6C62ECE9">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丰水期 □；平水期 □；枯水期 □；冰封期 □</w:t>
            </w:r>
          </w:p>
          <w:p w14:paraId="3843E17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春季 □；夏季 □；秋季 □；冬季 □</w:t>
            </w:r>
          </w:p>
        </w:tc>
      </w:tr>
      <w:tr w14:paraId="14459A8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3329B51A">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2068668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评价结论</w:t>
            </w:r>
          </w:p>
        </w:tc>
        <w:tc>
          <w:tcPr>
            <w:tcW w:w="3473" w:type="pct"/>
            <w:gridSpan w:val="9"/>
            <w:tcBorders>
              <w:tl2br w:val="nil"/>
              <w:tr2bl w:val="nil"/>
            </w:tcBorders>
            <w:noWrap w:val="0"/>
            <w:vAlign w:val="center"/>
          </w:tcPr>
          <w:p w14:paraId="3EA8E91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水环境功能区或水功能区、近岸海域环境功能区水质达标状况 □：达标 □；不达标 □</w:t>
            </w:r>
          </w:p>
          <w:p w14:paraId="678FB57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水环境控制单元或断面水质达标状况 □：达标 □；不达标 □</w:t>
            </w:r>
          </w:p>
          <w:p w14:paraId="0CCDE91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水环境保护目标质量状况 □：达标 □；不达标 □</w:t>
            </w:r>
          </w:p>
          <w:p w14:paraId="209FDF9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对照断面、控制断面等代表性断面的水质状况 □：达标 □；不达标 □</w:t>
            </w:r>
          </w:p>
          <w:p w14:paraId="0ADE7EB4">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底泥污染评价 □</w:t>
            </w:r>
          </w:p>
          <w:p w14:paraId="1EF8510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水资源与开发利用程度及其水文情势评价 □</w:t>
            </w:r>
          </w:p>
          <w:p w14:paraId="51410C4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水环境质量回顾评价 □</w:t>
            </w:r>
          </w:p>
          <w:p w14:paraId="3D1254B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流域（区域）水资源（包括水能资源）与开发利用总体状况、生态流量管理要求与现状满足程度、建设项目占用水域空间的水流状况与河湖演变状况 □</w:t>
            </w:r>
          </w:p>
        </w:tc>
        <w:tc>
          <w:tcPr>
            <w:tcW w:w="625" w:type="pct"/>
            <w:tcBorders>
              <w:tl2br w:val="nil"/>
              <w:tr2bl w:val="nil"/>
            </w:tcBorders>
            <w:noWrap w:val="0"/>
            <w:vAlign w:val="center"/>
          </w:tcPr>
          <w:p w14:paraId="1FF4415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达标区□</w:t>
            </w:r>
          </w:p>
          <w:p w14:paraId="27810E1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不达标区□</w:t>
            </w:r>
          </w:p>
        </w:tc>
      </w:tr>
      <w:tr w14:paraId="254DC2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restart"/>
            <w:tcBorders>
              <w:tl2br w:val="nil"/>
              <w:tr2bl w:val="nil"/>
            </w:tcBorders>
            <w:noWrap w:val="0"/>
            <w:vAlign w:val="center"/>
          </w:tcPr>
          <w:p w14:paraId="61B5B118">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影响预测</w:t>
            </w:r>
          </w:p>
        </w:tc>
        <w:tc>
          <w:tcPr>
            <w:tcW w:w="713" w:type="pct"/>
            <w:tcBorders>
              <w:tl2br w:val="nil"/>
              <w:tr2bl w:val="nil"/>
            </w:tcBorders>
            <w:noWrap w:val="0"/>
            <w:vAlign w:val="center"/>
          </w:tcPr>
          <w:p w14:paraId="348F136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预测范围</w:t>
            </w:r>
          </w:p>
        </w:tc>
        <w:tc>
          <w:tcPr>
            <w:tcW w:w="4098" w:type="pct"/>
            <w:gridSpan w:val="10"/>
            <w:tcBorders>
              <w:tl2br w:val="nil"/>
              <w:tr2bl w:val="nil"/>
            </w:tcBorders>
            <w:noWrap w:val="0"/>
            <w:vAlign w:val="center"/>
          </w:tcPr>
          <w:p w14:paraId="32681F36">
            <w:pPr>
              <w:pStyle w:val="227"/>
              <w:keepNext w:val="0"/>
              <w:keepLines w:val="0"/>
              <w:pageBreakBefore w:val="0"/>
              <w:widowControl w:val="0"/>
              <w:tabs>
                <w:tab w:val="left" w:pos="1453"/>
                <w:tab w:val="left" w:pos="4831"/>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河流：长度（）km；湖库、河口及近岸海域：面积（）km</w:t>
            </w:r>
            <w:r>
              <w:rPr>
                <w:rFonts w:hint="default" w:ascii="Times New Roman" w:hAnsi="Times New Roman" w:eastAsia="宋体" w:cs="Times New Roman"/>
                <w:color w:val="000000"/>
                <w:sz w:val="20"/>
                <w:szCs w:val="20"/>
                <w:highlight w:val="none"/>
                <w:vertAlign w:val="superscript"/>
              </w:rPr>
              <w:t>2</w:t>
            </w:r>
          </w:p>
        </w:tc>
      </w:tr>
      <w:tr w14:paraId="47AF8C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31541172">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6DBBD348">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预测因子</w:t>
            </w:r>
          </w:p>
        </w:tc>
        <w:tc>
          <w:tcPr>
            <w:tcW w:w="4098" w:type="pct"/>
            <w:gridSpan w:val="10"/>
            <w:tcBorders>
              <w:tl2br w:val="nil"/>
              <w:tr2bl w:val="nil"/>
            </w:tcBorders>
            <w:noWrap w:val="0"/>
            <w:vAlign w:val="center"/>
          </w:tcPr>
          <w:p w14:paraId="330CA693">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78454C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3CD63ED3">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56B6F044">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预测时期</w:t>
            </w:r>
          </w:p>
        </w:tc>
        <w:tc>
          <w:tcPr>
            <w:tcW w:w="4098" w:type="pct"/>
            <w:gridSpan w:val="10"/>
            <w:tcBorders>
              <w:tl2br w:val="nil"/>
              <w:tr2bl w:val="nil"/>
            </w:tcBorders>
            <w:noWrap w:val="0"/>
            <w:vAlign w:val="center"/>
          </w:tcPr>
          <w:p w14:paraId="4B442019">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丰水期 □；平水期 □；枯水期 □；冰封期 □</w:t>
            </w:r>
          </w:p>
          <w:p w14:paraId="33D9904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春季 □；夏季 □；秋季 □；冬季 □</w:t>
            </w:r>
          </w:p>
          <w:p w14:paraId="48C42AD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设计水文条件 □</w:t>
            </w:r>
          </w:p>
        </w:tc>
      </w:tr>
      <w:tr w14:paraId="6BB567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185D05D4">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377105F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预测情景</w:t>
            </w:r>
          </w:p>
        </w:tc>
        <w:tc>
          <w:tcPr>
            <w:tcW w:w="4098" w:type="pct"/>
            <w:gridSpan w:val="10"/>
            <w:tcBorders>
              <w:tl2br w:val="nil"/>
              <w:tr2bl w:val="nil"/>
            </w:tcBorders>
            <w:noWrap w:val="0"/>
            <w:vAlign w:val="center"/>
          </w:tcPr>
          <w:p w14:paraId="6C3445DB">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建设期 □；生产运行期 □；服务期满后 □</w:t>
            </w:r>
          </w:p>
          <w:p w14:paraId="65AC98D7">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正常工况 □；非正常工况 □</w:t>
            </w:r>
          </w:p>
          <w:p w14:paraId="732EF689">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污染控制和减缓措施方案 □</w:t>
            </w:r>
          </w:p>
          <w:p w14:paraId="10B5BC1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区（流）域环境质量改善目标要求情景 □</w:t>
            </w:r>
          </w:p>
        </w:tc>
      </w:tr>
      <w:tr w14:paraId="5C4662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75F918C2">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0EED41E7">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预测方法</w:t>
            </w:r>
          </w:p>
        </w:tc>
        <w:tc>
          <w:tcPr>
            <w:tcW w:w="4098" w:type="pct"/>
            <w:gridSpan w:val="10"/>
            <w:tcBorders>
              <w:tl2br w:val="nil"/>
              <w:tr2bl w:val="nil"/>
            </w:tcBorders>
            <w:noWrap w:val="0"/>
            <w:vAlign w:val="center"/>
          </w:tcPr>
          <w:p w14:paraId="59BA6D7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数值解 □：解析解 □；其他 □</w:t>
            </w:r>
          </w:p>
          <w:p w14:paraId="5C82DE1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导则推荐模式 □：其他 □</w:t>
            </w:r>
          </w:p>
        </w:tc>
      </w:tr>
      <w:tr w14:paraId="5DCE5C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restart"/>
            <w:tcBorders>
              <w:tl2br w:val="nil"/>
              <w:tr2bl w:val="nil"/>
            </w:tcBorders>
            <w:noWrap w:val="0"/>
            <w:vAlign w:val="center"/>
          </w:tcPr>
          <w:p w14:paraId="3D3A638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影响评价</w:t>
            </w:r>
          </w:p>
        </w:tc>
        <w:tc>
          <w:tcPr>
            <w:tcW w:w="713" w:type="pct"/>
            <w:tcBorders>
              <w:tl2br w:val="nil"/>
              <w:tr2bl w:val="nil"/>
            </w:tcBorders>
            <w:noWrap w:val="0"/>
            <w:vAlign w:val="center"/>
          </w:tcPr>
          <w:p w14:paraId="259049E4">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水污染控制和水环境影响减缓措施有效性评价</w:t>
            </w:r>
          </w:p>
        </w:tc>
        <w:tc>
          <w:tcPr>
            <w:tcW w:w="4098" w:type="pct"/>
            <w:gridSpan w:val="10"/>
            <w:tcBorders>
              <w:tl2br w:val="nil"/>
              <w:tr2bl w:val="nil"/>
            </w:tcBorders>
            <w:noWrap w:val="0"/>
            <w:vAlign w:val="center"/>
          </w:tcPr>
          <w:p w14:paraId="397AF4E9">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区（流）域水环境质量改善目标 □；替代削减源 □</w:t>
            </w:r>
          </w:p>
        </w:tc>
      </w:tr>
      <w:tr w14:paraId="7D537B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665C2719">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4AB1C27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水环境影响评价</w:t>
            </w:r>
          </w:p>
        </w:tc>
        <w:tc>
          <w:tcPr>
            <w:tcW w:w="4098" w:type="pct"/>
            <w:gridSpan w:val="10"/>
            <w:tcBorders>
              <w:tl2br w:val="nil"/>
              <w:tr2bl w:val="nil"/>
            </w:tcBorders>
            <w:noWrap w:val="0"/>
            <w:vAlign w:val="center"/>
          </w:tcPr>
          <w:p w14:paraId="344479B8">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排放口混合区外满足水环境管理要求 □</w:t>
            </w:r>
          </w:p>
          <w:p w14:paraId="06908B58">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水环境功能区或水功能区、近岸海域环境功能区水质达标 □</w:t>
            </w:r>
          </w:p>
          <w:p w14:paraId="732BB75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满足水环境保护目标水域水环境质量要求 □</w:t>
            </w:r>
          </w:p>
          <w:p w14:paraId="6F980C01">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水环境控制单元或断面水质达标 □</w:t>
            </w:r>
          </w:p>
          <w:p w14:paraId="68FF76A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满足重点水污染物排放总量控制指标要求，重点行业建设项目，主要污染物排放满足等量或减量替代要求 □</w:t>
            </w:r>
          </w:p>
          <w:p w14:paraId="2BC068F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满足区（流）域水环境质量改善目标要求 □</w:t>
            </w:r>
          </w:p>
          <w:p w14:paraId="35686755">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水文要素影响型建设项目同时应包括水文情势变化评价、主要水文特征值影响评价、生态流量符合性评价 □</w:t>
            </w:r>
          </w:p>
          <w:p w14:paraId="50EAD1A3">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对于新设或调整入河（湖库、近岸海域）排放口的建设项目，应包括排放口设置的环境合理性评价 □</w:t>
            </w:r>
          </w:p>
          <w:p w14:paraId="27FE008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满足生态保护红线、水环境质量底线、资源利用上线和环境准入清单管理要求 □</w:t>
            </w:r>
          </w:p>
        </w:tc>
      </w:tr>
      <w:tr w14:paraId="23F708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1C755BCD">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restart"/>
            <w:tcBorders>
              <w:tl2br w:val="nil"/>
              <w:tr2bl w:val="nil"/>
            </w:tcBorders>
            <w:noWrap w:val="0"/>
            <w:vAlign w:val="center"/>
          </w:tcPr>
          <w:p w14:paraId="7456EB84">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污染源排放量核算</w:t>
            </w:r>
          </w:p>
        </w:tc>
        <w:tc>
          <w:tcPr>
            <w:tcW w:w="1533" w:type="pct"/>
            <w:gridSpan w:val="3"/>
            <w:tcBorders>
              <w:tl2br w:val="nil"/>
              <w:tr2bl w:val="nil"/>
            </w:tcBorders>
            <w:noWrap w:val="0"/>
            <w:vAlign w:val="center"/>
          </w:tcPr>
          <w:p w14:paraId="00CA71D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污染物名称</w:t>
            </w:r>
          </w:p>
        </w:tc>
        <w:tc>
          <w:tcPr>
            <w:tcW w:w="1225" w:type="pct"/>
            <w:gridSpan w:val="4"/>
            <w:tcBorders>
              <w:tl2br w:val="nil"/>
              <w:tr2bl w:val="nil"/>
            </w:tcBorders>
            <w:noWrap w:val="0"/>
            <w:vAlign w:val="center"/>
          </w:tcPr>
          <w:p w14:paraId="54768BCB">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排放量/（t/a）</w:t>
            </w:r>
          </w:p>
        </w:tc>
        <w:tc>
          <w:tcPr>
            <w:tcW w:w="1340" w:type="pct"/>
            <w:gridSpan w:val="3"/>
            <w:tcBorders>
              <w:tl2br w:val="nil"/>
              <w:tr2bl w:val="nil"/>
            </w:tcBorders>
            <w:noWrap w:val="0"/>
            <w:vAlign w:val="center"/>
          </w:tcPr>
          <w:p w14:paraId="5C01544F">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排放浓度/（mg/L）</w:t>
            </w:r>
          </w:p>
        </w:tc>
      </w:tr>
      <w:tr w14:paraId="416F6C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7C47B34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349C974C">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533" w:type="pct"/>
            <w:gridSpan w:val="3"/>
            <w:tcBorders>
              <w:tl2br w:val="nil"/>
              <w:tr2bl w:val="nil"/>
            </w:tcBorders>
            <w:noWrap w:val="0"/>
            <w:vAlign w:val="center"/>
          </w:tcPr>
          <w:p w14:paraId="5E0916BB">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（COD）</w:t>
            </w:r>
          </w:p>
        </w:tc>
        <w:tc>
          <w:tcPr>
            <w:tcW w:w="1225" w:type="pct"/>
            <w:gridSpan w:val="4"/>
            <w:tcBorders>
              <w:tl2br w:val="nil"/>
              <w:tr2bl w:val="nil"/>
            </w:tcBorders>
            <w:noWrap w:val="0"/>
            <w:vAlign w:val="center"/>
          </w:tcPr>
          <w:p w14:paraId="7B85990D">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340" w:type="pct"/>
            <w:gridSpan w:val="3"/>
            <w:tcBorders>
              <w:tl2br w:val="nil"/>
              <w:tr2bl w:val="nil"/>
            </w:tcBorders>
            <w:noWrap w:val="0"/>
            <w:vAlign w:val="center"/>
          </w:tcPr>
          <w:p w14:paraId="27DC169C">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7636A5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3325B2D4">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350FD2F0">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533" w:type="pct"/>
            <w:gridSpan w:val="3"/>
            <w:tcBorders>
              <w:tl2br w:val="nil"/>
              <w:tr2bl w:val="nil"/>
            </w:tcBorders>
            <w:noWrap w:val="0"/>
            <w:vAlign w:val="center"/>
          </w:tcPr>
          <w:p w14:paraId="05F4C315">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（BOD</w:t>
            </w:r>
            <w:r>
              <w:rPr>
                <w:rFonts w:hint="default" w:ascii="Times New Roman" w:hAnsi="Times New Roman" w:eastAsia="宋体" w:cs="Times New Roman"/>
                <w:color w:val="000000"/>
                <w:sz w:val="20"/>
                <w:szCs w:val="20"/>
                <w:highlight w:val="none"/>
                <w:vertAlign w:val="subscript"/>
              </w:rPr>
              <w:t>5</w:t>
            </w:r>
            <w:r>
              <w:rPr>
                <w:rFonts w:hint="default" w:ascii="Times New Roman" w:hAnsi="Times New Roman" w:eastAsia="宋体" w:cs="Times New Roman"/>
                <w:color w:val="000000"/>
                <w:sz w:val="20"/>
                <w:szCs w:val="20"/>
                <w:highlight w:val="none"/>
              </w:rPr>
              <w:t>）</w:t>
            </w:r>
          </w:p>
        </w:tc>
        <w:tc>
          <w:tcPr>
            <w:tcW w:w="1225" w:type="pct"/>
            <w:gridSpan w:val="4"/>
            <w:tcBorders>
              <w:tl2br w:val="nil"/>
              <w:tr2bl w:val="nil"/>
            </w:tcBorders>
            <w:noWrap w:val="0"/>
            <w:vAlign w:val="center"/>
          </w:tcPr>
          <w:p w14:paraId="4B9C0333">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340" w:type="pct"/>
            <w:gridSpan w:val="3"/>
            <w:tcBorders>
              <w:tl2br w:val="nil"/>
              <w:tr2bl w:val="nil"/>
            </w:tcBorders>
            <w:noWrap w:val="0"/>
            <w:vAlign w:val="center"/>
          </w:tcPr>
          <w:p w14:paraId="7CCA42A7">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678633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57E2E149">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2F5D980F">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533" w:type="pct"/>
            <w:gridSpan w:val="3"/>
            <w:tcBorders>
              <w:tl2br w:val="nil"/>
              <w:tr2bl w:val="nil"/>
            </w:tcBorders>
            <w:noWrap w:val="0"/>
            <w:vAlign w:val="center"/>
          </w:tcPr>
          <w:p w14:paraId="4E4C71D0">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（NH</w:t>
            </w:r>
            <w:r>
              <w:rPr>
                <w:rFonts w:hint="default" w:ascii="Times New Roman" w:hAnsi="Times New Roman" w:eastAsia="宋体" w:cs="Times New Roman"/>
                <w:color w:val="000000"/>
                <w:sz w:val="20"/>
                <w:szCs w:val="20"/>
                <w:highlight w:val="none"/>
                <w:vertAlign w:val="subscript"/>
              </w:rPr>
              <w:t>3</w:t>
            </w:r>
            <w:r>
              <w:rPr>
                <w:rFonts w:hint="default" w:ascii="Times New Roman" w:hAnsi="Times New Roman" w:eastAsia="宋体" w:cs="Times New Roman"/>
                <w:color w:val="000000"/>
                <w:sz w:val="20"/>
                <w:szCs w:val="20"/>
                <w:highlight w:val="none"/>
              </w:rPr>
              <w:t>-N）</w:t>
            </w:r>
          </w:p>
        </w:tc>
        <w:tc>
          <w:tcPr>
            <w:tcW w:w="1225" w:type="pct"/>
            <w:gridSpan w:val="4"/>
            <w:tcBorders>
              <w:tl2br w:val="nil"/>
              <w:tr2bl w:val="nil"/>
            </w:tcBorders>
            <w:noWrap w:val="0"/>
            <w:vAlign w:val="center"/>
          </w:tcPr>
          <w:p w14:paraId="515FF79E">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340" w:type="pct"/>
            <w:gridSpan w:val="3"/>
            <w:tcBorders>
              <w:tl2br w:val="nil"/>
              <w:tr2bl w:val="nil"/>
            </w:tcBorders>
            <w:noWrap w:val="0"/>
            <w:vAlign w:val="center"/>
          </w:tcPr>
          <w:p w14:paraId="7872C1BD">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18CC73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2BB7E381">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25639DE5">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533" w:type="pct"/>
            <w:gridSpan w:val="3"/>
            <w:tcBorders>
              <w:tl2br w:val="nil"/>
              <w:tr2bl w:val="nil"/>
            </w:tcBorders>
            <w:noWrap w:val="0"/>
            <w:vAlign w:val="center"/>
          </w:tcPr>
          <w:p w14:paraId="5CC7633F">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（SS）</w:t>
            </w:r>
          </w:p>
        </w:tc>
        <w:tc>
          <w:tcPr>
            <w:tcW w:w="1225" w:type="pct"/>
            <w:gridSpan w:val="4"/>
            <w:tcBorders>
              <w:tl2br w:val="nil"/>
              <w:tr2bl w:val="nil"/>
            </w:tcBorders>
            <w:noWrap w:val="0"/>
            <w:vAlign w:val="center"/>
          </w:tcPr>
          <w:p w14:paraId="7E9A33BA">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340" w:type="pct"/>
            <w:gridSpan w:val="3"/>
            <w:tcBorders>
              <w:tl2br w:val="nil"/>
              <w:tr2bl w:val="nil"/>
            </w:tcBorders>
            <w:noWrap w:val="0"/>
            <w:vAlign w:val="center"/>
          </w:tcPr>
          <w:p w14:paraId="648A4E20">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500BCD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270B5578">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5718FFD8">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533" w:type="pct"/>
            <w:gridSpan w:val="3"/>
            <w:tcBorders>
              <w:tl2br w:val="nil"/>
              <w:tr2bl w:val="nil"/>
            </w:tcBorders>
            <w:noWrap w:val="0"/>
            <w:vAlign w:val="center"/>
          </w:tcPr>
          <w:p w14:paraId="7820F097">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（石油类）</w:t>
            </w:r>
          </w:p>
        </w:tc>
        <w:tc>
          <w:tcPr>
            <w:tcW w:w="1225" w:type="pct"/>
            <w:gridSpan w:val="4"/>
            <w:tcBorders>
              <w:tl2br w:val="nil"/>
              <w:tr2bl w:val="nil"/>
            </w:tcBorders>
            <w:noWrap w:val="0"/>
            <w:vAlign w:val="center"/>
          </w:tcPr>
          <w:p w14:paraId="7E964C7F">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340" w:type="pct"/>
            <w:gridSpan w:val="3"/>
            <w:tcBorders>
              <w:tl2br w:val="nil"/>
              <w:tr2bl w:val="nil"/>
            </w:tcBorders>
            <w:noWrap w:val="0"/>
            <w:vAlign w:val="center"/>
          </w:tcPr>
          <w:p w14:paraId="51EEE5D9">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41FAAF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77007C48">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restart"/>
            <w:tcBorders>
              <w:tl2br w:val="nil"/>
              <w:tr2bl w:val="nil"/>
            </w:tcBorders>
            <w:noWrap w:val="0"/>
            <w:vAlign w:val="center"/>
          </w:tcPr>
          <w:p w14:paraId="7F96BED8">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替代源排放情况</w:t>
            </w:r>
          </w:p>
        </w:tc>
        <w:tc>
          <w:tcPr>
            <w:tcW w:w="1043" w:type="pct"/>
            <w:tcBorders>
              <w:tl2br w:val="nil"/>
              <w:tr2bl w:val="nil"/>
            </w:tcBorders>
            <w:noWrap w:val="0"/>
            <w:vAlign w:val="center"/>
          </w:tcPr>
          <w:p w14:paraId="66AA0B27">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污染源名称</w:t>
            </w:r>
          </w:p>
        </w:tc>
        <w:tc>
          <w:tcPr>
            <w:tcW w:w="735" w:type="pct"/>
            <w:gridSpan w:val="3"/>
            <w:tcBorders>
              <w:tl2br w:val="nil"/>
              <w:tr2bl w:val="nil"/>
            </w:tcBorders>
            <w:noWrap w:val="0"/>
            <w:vAlign w:val="center"/>
          </w:tcPr>
          <w:p w14:paraId="0C45FFEB">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排污许可证编号</w:t>
            </w:r>
          </w:p>
        </w:tc>
        <w:tc>
          <w:tcPr>
            <w:tcW w:w="908" w:type="pct"/>
            <w:gridSpan w:val="2"/>
            <w:tcBorders>
              <w:tl2br w:val="nil"/>
              <w:tr2bl w:val="nil"/>
            </w:tcBorders>
            <w:noWrap w:val="0"/>
            <w:vAlign w:val="center"/>
          </w:tcPr>
          <w:p w14:paraId="3B5FD38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污染物名称</w:t>
            </w:r>
          </w:p>
        </w:tc>
        <w:tc>
          <w:tcPr>
            <w:tcW w:w="562" w:type="pct"/>
            <w:gridSpan w:val="2"/>
            <w:tcBorders>
              <w:tl2br w:val="nil"/>
              <w:tr2bl w:val="nil"/>
            </w:tcBorders>
            <w:noWrap w:val="0"/>
            <w:vAlign w:val="center"/>
          </w:tcPr>
          <w:p w14:paraId="49940CC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排放量/（t/a）</w:t>
            </w:r>
          </w:p>
        </w:tc>
        <w:tc>
          <w:tcPr>
            <w:tcW w:w="849" w:type="pct"/>
            <w:gridSpan w:val="2"/>
            <w:tcBorders>
              <w:tl2br w:val="nil"/>
              <w:tr2bl w:val="nil"/>
            </w:tcBorders>
            <w:noWrap w:val="0"/>
            <w:vAlign w:val="center"/>
          </w:tcPr>
          <w:p w14:paraId="1B48ACD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排放浓度/（mg/L）</w:t>
            </w:r>
          </w:p>
        </w:tc>
      </w:tr>
      <w:tr w14:paraId="0FEE2C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59FAC02F">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5F2846D9">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043" w:type="pct"/>
            <w:tcBorders>
              <w:tl2br w:val="nil"/>
              <w:tr2bl w:val="nil"/>
            </w:tcBorders>
            <w:noWrap w:val="0"/>
            <w:vAlign w:val="center"/>
          </w:tcPr>
          <w:p w14:paraId="24034D4E">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735" w:type="pct"/>
            <w:gridSpan w:val="3"/>
            <w:tcBorders>
              <w:tl2br w:val="nil"/>
              <w:tr2bl w:val="nil"/>
            </w:tcBorders>
            <w:noWrap w:val="0"/>
            <w:vAlign w:val="center"/>
          </w:tcPr>
          <w:p w14:paraId="26EE75B1">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908" w:type="pct"/>
            <w:gridSpan w:val="2"/>
            <w:tcBorders>
              <w:tl2br w:val="nil"/>
              <w:tr2bl w:val="nil"/>
            </w:tcBorders>
            <w:noWrap w:val="0"/>
            <w:vAlign w:val="center"/>
          </w:tcPr>
          <w:p w14:paraId="3E897228">
            <w:pPr>
              <w:pStyle w:val="227"/>
              <w:keepNext w:val="0"/>
              <w:keepLines w:val="0"/>
              <w:pageBreakBefore w:val="0"/>
              <w:widowControl w:val="0"/>
              <w:tabs>
                <w:tab w:val="left" w:pos="551"/>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562" w:type="pct"/>
            <w:gridSpan w:val="2"/>
            <w:tcBorders>
              <w:tl2br w:val="nil"/>
              <w:tr2bl w:val="nil"/>
            </w:tcBorders>
            <w:noWrap w:val="0"/>
            <w:vAlign w:val="center"/>
          </w:tcPr>
          <w:p w14:paraId="6C6C727C">
            <w:pPr>
              <w:pStyle w:val="227"/>
              <w:keepNext w:val="0"/>
              <w:keepLines w:val="0"/>
              <w:pageBreakBefore w:val="0"/>
              <w:widowControl w:val="0"/>
              <w:tabs>
                <w:tab w:val="left" w:pos="553"/>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849" w:type="pct"/>
            <w:gridSpan w:val="2"/>
            <w:tcBorders>
              <w:tl2br w:val="nil"/>
              <w:tr2bl w:val="nil"/>
            </w:tcBorders>
            <w:noWrap w:val="0"/>
            <w:vAlign w:val="center"/>
          </w:tcPr>
          <w:p w14:paraId="7DF45F9A">
            <w:pPr>
              <w:pStyle w:val="227"/>
              <w:keepNext w:val="0"/>
              <w:keepLines w:val="0"/>
              <w:pageBreakBefore w:val="0"/>
              <w:widowControl w:val="0"/>
              <w:tabs>
                <w:tab w:val="left" w:pos="550"/>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1C07B3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48DE1161">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2D58AE9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生态流量确定</w:t>
            </w:r>
          </w:p>
        </w:tc>
        <w:tc>
          <w:tcPr>
            <w:tcW w:w="4098" w:type="pct"/>
            <w:gridSpan w:val="10"/>
            <w:tcBorders>
              <w:tl2br w:val="nil"/>
              <w:tr2bl w:val="nil"/>
            </w:tcBorders>
            <w:noWrap w:val="0"/>
            <w:vAlign w:val="center"/>
          </w:tcPr>
          <w:p w14:paraId="51366A82">
            <w:pPr>
              <w:pStyle w:val="227"/>
              <w:keepNext w:val="0"/>
              <w:keepLines w:val="0"/>
              <w:pageBreakBefore w:val="0"/>
              <w:widowControl w:val="0"/>
              <w:tabs>
                <w:tab w:val="left" w:pos="2173"/>
                <w:tab w:val="left" w:pos="4024"/>
                <w:tab w:val="left" w:pos="4204"/>
                <w:tab w:val="left" w:pos="5335"/>
                <w:tab w:val="left" w:pos="5695"/>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生态流量：一般水期（）m</w:t>
            </w:r>
            <w:r>
              <w:rPr>
                <w:rFonts w:hint="default" w:ascii="Times New Roman" w:hAnsi="Times New Roman" w:eastAsia="宋体" w:cs="Times New Roman"/>
                <w:color w:val="000000"/>
                <w:sz w:val="20"/>
                <w:szCs w:val="20"/>
                <w:highlight w:val="none"/>
                <w:vertAlign w:val="superscript"/>
              </w:rPr>
              <w:t>3</w:t>
            </w:r>
            <w:r>
              <w:rPr>
                <w:rFonts w:hint="default" w:ascii="Times New Roman" w:hAnsi="Times New Roman" w:eastAsia="宋体" w:cs="Times New Roman"/>
                <w:color w:val="000000"/>
                <w:sz w:val="20"/>
                <w:szCs w:val="20"/>
                <w:highlight w:val="none"/>
              </w:rPr>
              <w:t>/s；鱼类繁殖期（）m</w:t>
            </w:r>
            <w:r>
              <w:rPr>
                <w:rFonts w:hint="default" w:ascii="Times New Roman" w:hAnsi="Times New Roman" w:eastAsia="宋体" w:cs="Times New Roman"/>
                <w:color w:val="000000"/>
                <w:sz w:val="20"/>
                <w:szCs w:val="20"/>
                <w:highlight w:val="none"/>
                <w:vertAlign w:val="superscript"/>
              </w:rPr>
              <w:t>3</w:t>
            </w:r>
            <w:r>
              <w:rPr>
                <w:rFonts w:hint="default" w:ascii="Times New Roman" w:hAnsi="Times New Roman" w:eastAsia="宋体" w:cs="Times New Roman"/>
                <w:color w:val="000000"/>
                <w:sz w:val="20"/>
                <w:szCs w:val="20"/>
                <w:highlight w:val="none"/>
              </w:rPr>
              <w:t>/s；其他（）m</w:t>
            </w:r>
            <w:r>
              <w:rPr>
                <w:rFonts w:hint="default" w:ascii="Times New Roman" w:hAnsi="Times New Roman" w:eastAsia="宋体" w:cs="Times New Roman"/>
                <w:color w:val="000000"/>
                <w:sz w:val="20"/>
                <w:szCs w:val="20"/>
                <w:highlight w:val="none"/>
                <w:vertAlign w:val="superscript"/>
              </w:rPr>
              <w:t>3</w:t>
            </w:r>
            <w:r>
              <w:rPr>
                <w:rFonts w:hint="default" w:ascii="Times New Roman" w:hAnsi="Times New Roman" w:eastAsia="宋体" w:cs="Times New Roman"/>
                <w:color w:val="000000"/>
                <w:sz w:val="20"/>
                <w:szCs w:val="20"/>
                <w:highlight w:val="none"/>
              </w:rPr>
              <w:t>/s</w:t>
            </w:r>
          </w:p>
          <w:p w14:paraId="05C6AAC3">
            <w:pPr>
              <w:pStyle w:val="227"/>
              <w:keepNext w:val="0"/>
              <w:keepLines w:val="0"/>
              <w:pageBreakBefore w:val="0"/>
              <w:widowControl w:val="0"/>
              <w:tabs>
                <w:tab w:val="left" w:pos="2173"/>
                <w:tab w:val="left" w:pos="4024"/>
                <w:tab w:val="left" w:pos="4204"/>
                <w:tab w:val="left" w:pos="5335"/>
                <w:tab w:val="left" w:pos="5695"/>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生态水位：一般水期（）m；鱼类繁殖期（）m；其他（）m</w:t>
            </w:r>
          </w:p>
        </w:tc>
      </w:tr>
      <w:tr w14:paraId="1D799D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restart"/>
            <w:tcBorders>
              <w:tl2br w:val="nil"/>
              <w:tr2bl w:val="nil"/>
            </w:tcBorders>
            <w:noWrap w:val="0"/>
            <w:vAlign w:val="center"/>
          </w:tcPr>
          <w:p w14:paraId="648874F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防治措施</w:t>
            </w:r>
          </w:p>
        </w:tc>
        <w:tc>
          <w:tcPr>
            <w:tcW w:w="713" w:type="pct"/>
            <w:tcBorders>
              <w:tl2br w:val="nil"/>
              <w:tr2bl w:val="nil"/>
            </w:tcBorders>
            <w:noWrap w:val="0"/>
            <w:vAlign w:val="center"/>
          </w:tcPr>
          <w:p w14:paraId="27E5608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环保措施</w:t>
            </w:r>
          </w:p>
        </w:tc>
        <w:tc>
          <w:tcPr>
            <w:tcW w:w="4098" w:type="pct"/>
            <w:gridSpan w:val="10"/>
            <w:tcBorders>
              <w:tl2br w:val="nil"/>
              <w:tr2bl w:val="nil"/>
            </w:tcBorders>
            <w:noWrap w:val="0"/>
            <w:vAlign w:val="center"/>
          </w:tcPr>
          <w:p w14:paraId="38435D8A">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 xml:space="preserve">污水处理设施 </w:t>
            </w:r>
            <w:r>
              <w:rPr>
                <w:rFonts w:hint="eastAsia" w:eastAsia="宋体" w:cs="Times New Roman"/>
                <w:color w:val="000000"/>
                <w:sz w:val="20"/>
                <w:szCs w:val="20"/>
                <w:highlight w:val="none"/>
                <w:lang w:eastAsia="zh-CN"/>
              </w:rPr>
              <w:t>□</w:t>
            </w:r>
            <w:r>
              <w:rPr>
                <w:rFonts w:hint="default" w:ascii="Times New Roman" w:hAnsi="Times New Roman" w:eastAsia="宋体" w:cs="Times New Roman"/>
                <w:color w:val="000000"/>
                <w:sz w:val="20"/>
                <w:szCs w:val="20"/>
                <w:highlight w:val="none"/>
              </w:rPr>
              <w:t xml:space="preserve">；水文减缓设施 □；生态流量保障设施 □；区域削减 □；依托其他工程措施 </w:t>
            </w:r>
            <w:r>
              <w:rPr>
                <w:rFonts w:hint="eastAsia" w:eastAsia="宋体" w:cs="Times New Roman"/>
                <w:color w:val="000000"/>
                <w:sz w:val="20"/>
                <w:szCs w:val="20"/>
                <w:highlight w:val="none"/>
                <w:lang w:eastAsia="zh-CN"/>
              </w:rPr>
              <w:t>□</w:t>
            </w:r>
            <w:r>
              <w:rPr>
                <w:rFonts w:hint="default" w:ascii="Times New Roman" w:hAnsi="Times New Roman" w:eastAsia="宋体" w:cs="Times New Roman"/>
                <w:color w:val="000000"/>
                <w:sz w:val="20"/>
                <w:szCs w:val="20"/>
                <w:highlight w:val="none"/>
              </w:rPr>
              <w:t>；其他 □</w:t>
            </w:r>
          </w:p>
        </w:tc>
      </w:tr>
      <w:tr w14:paraId="2064C8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6414A69F">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restart"/>
            <w:tcBorders>
              <w:tl2br w:val="nil"/>
              <w:tr2bl w:val="nil"/>
            </w:tcBorders>
            <w:noWrap w:val="0"/>
            <w:vAlign w:val="center"/>
          </w:tcPr>
          <w:p w14:paraId="2C7C50A5">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监测计划</w:t>
            </w:r>
          </w:p>
        </w:tc>
        <w:tc>
          <w:tcPr>
            <w:tcW w:w="1364" w:type="pct"/>
            <w:gridSpan w:val="2"/>
            <w:tcBorders>
              <w:tl2br w:val="nil"/>
              <w:tr2bl w:val="nil"/>
            </w:tcBorders>
            <w:noWrap w:val="0"/>
            <w:vAlign w:val="center"/>
          </w:tcPr>
          <w:p w14:paraId="2BFEAAC3">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322" w:type="pct"/>
            <w:gridSpan w:val="4"/>
            <w:tcBorders>
              <w:tl2br w:val="nil"/>
              <w:tr2bl w:val="nil"/>
            </w:tcBorders>
            <w:noWrap w:val="0"/>
            <w:vAlign w:val="center"/>
          </w:tcPr>
          <w:p w14:paraId="16B4043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环境质量</w:t>
            </w:r>
          </w:p>
        </w:tc>
        <w:tc>
          <w:tcPr>
            <w:tcW w:w="1411" w:type="pct"/>
            <w:gridSpan w:val="4"/>
            <w:tcBorders>
              <w:tl2br w:val="nil"/>
              <w:tr2bl w:val="nil"/>
            </w:tcBorders>
            <w:noWrap w:val="0"/>
            <w:vAlign w:val="center"/>
          </w:tcPr>
          <w:p w14:paraId="3A5BCBA0">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污染源</w:t>
            </w:r>
          </w:p>
        </w:tc>
      </w:tr>
      <w:tr w14:paraId="4D7BB9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00386B54">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3CCF5139">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364" w:type="pct"/>
            <w:gridSpan w:val="2"/>
            <w:tcBorders>
              <w:tl2br w:val="nil"/>
              <w:tr2bl w:val="nil"/>
            </w:tcBorders>
            <w:noWrap w:val="0"/>
            <w:vAlign w:val="center"/>
          </w:tcPr>
          <w:p w14:paraId="06EC09C7">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监测方式</w:t>
            </w:r>
          </w:p>
        </w:tc>
        <w:tc>
          <w:tcPr>
            <w:tcW w:w="1322" w:type="pct"/>
            <w:gridSpan w:val="4"/>
            <w:tcBorders>
              <w:tl2br w:val="nil"/>
              <w:tr2bl w:val="nil"/>
            </w:tcBorders>
            <w:noWrap w:val="0"/>
            <w:vAlign w:val="center"/>
          </w:tcPr>
          <w:p w14:paraId="6CDDBF46">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手动 □；自动 □；无监测 ☑</w:t>
            </w:r>
            <w:r>
              <w:rPr>
                <w:rFonts w:hint="default" w:ascii="Times New Roman" w:hAnsi="Times New Roman" w:eastAsia="宋体" w:cs="Times New Roman"/>
                <w:b/>
                <w:bCs/>
                <w:color w:val="000000"/>
                <w:sz w:val="20"/>
                <w:szCs w:val="20"/>
                <w:highlight w:val="none"/>
              </w:rPr>
              <w:t xml:space="preserve"> </w:t>
            </w:r>
          </w:p>
        </w:tc>
        <w:tc>
          <w:tcPr>
            <w:tcW w:w="1411" w:type="pct"/>
            <w:gridSpan w:val="4"/>
            <w:tcBorders>
              <w:tl2br w:val="nil"/>
              <w:tr2bl w:val="nil"/>
            </w:tcBorders>
            <w:noWrap w:val="0"/>
            <w:vAlign w:val="center"/>
          </w:tcPr>
          <w:p w14:paraId="7B6FCEC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 xml:space="preserve">手动 </w:t>
            </w:r>
            <w:r>
              <w:rPr>
                <w:rFonts w:hint="eastAsia" w:ascii="Times New Roman" w:hAnsi="Times New Roman" w:eastAsia="宋体" w:cs="Times New Roman"/>
                <w:color w:val="000000"/>
                <w:sz w:val="20"/>
                <w:szCs w:val="20"/>
                <w:highlight w:val="none"/>
                <w:lang w:eastAsia="zh-CN"/>
              </w:rPr>
              <w:t>□</w:t>
            </w:r>
            <w:r>
              <w:rPr>
                <w:rFonts w:hint="default" w:ascii="Times New Roman" w:hAnsi="Times New Roman" w:eastAsia="宋体" w:cs="Times New Roman"/>
                <w:color w:val="000000"/>
                <w:sz w:val="20"/>
                <w:szCs w:val="20"/>
                <w:highlight w:val="none"/>
              </w:rPr>
              <w:t>；自动 □；无监测 □</w:t>
            </w:r>
          </w:p>
        </w:tc>
      </w:tr>
      <w:tr w14:paraId="1D79BD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7AE7AC8B">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7D9B8BB3">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364" w:type="pct"/>
            <w:gridSpan w:val="2"/>
            <w:tcBorders>
              <w:tl2br w:val="nil"/>
              <w:tr2bl w:val="nil"/>
            </w:tcBorders>
            <w:noWrap w:val="0"/>
            <w:vAlign w:val="center"/>
          </w:tcPr>
          <w:p w14:paraId="5D5A111E">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监测点位</w:t>
            </w:r>
          </w:p>
        </w:tc>
        <w:tc>
          <w:tcPr>
            <w:tcW w:w="1322" w:type="pct"/>
            <w:gridSpan w:val="4"/>
            <w:tcBorders>
              <w:tl2br w:val="nil"/>
              <w:tr2bl w:val="nil"/>
            </w:tcBorders>
            <w:noWrap w:val="0"/>
            <w:vAlign w:val="center"/>
          </w:tcPr>
          <w:p w14:paraId="0C78C690">
            <w:pPr>
              <w:pStyle w:val="227"/>
              <w:keepNext w:val="0"/>
              <w:keepLines w:val="0"/>
              <w:pageBreakBefore w:val="0"/>
              <w:widowControl w:val="0"/>
              <w:tabs>
                <w:tab w:val="left" w:pos="536"/>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411" w:type="pct"/>
            <w:gridSpan w:val="4"/>
            <w:tcBorders>
              <w:tl2br w:val="nil"/>
              <w:tr2bl w:val="nil"/>
            </w:tcBorders>
            <w:noWrap w:val="0"/>
            <w:vAlign w:val="center"/>
          </w:tcPr>
          <w:p w14:paraId="0597FFC2">
            <w:pPr>
              <w:pStyle w:val="227"/>
              <w:keepNext w:val="0"/>
              <w:keepLines w:val="0"/>
              <w:pageBreakBefore w:val="0"/>
              <w:widowControl w:val="0"/>
              <w:tabs>
                <w:tab w:val="left" w:pos="548"/>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1DDC93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73369731">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vMerge w:val="continue"/>
            <w:tcBorders>
              <w:tl2br w:val="nil"/>
              <w:tr2bl w:val="nil"/>
            </w:tcBorders>
            <w:noWrap w:val="0"/>
            <w:vAlign w:val="center"/>
          </w:tcPr>
          <w:p w14:paraId="144345AF">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1364" w:type="pct"/>
            <w:gridSpan w:val="2"/>
            <w:tcBorders>
              <w:tl2br w:val="nil"/>
              <w:tr2bl w:val="nil"/>
            </w:tcBorders>
            <w:noWrap w:val="0"/>
            <w:vAlign w:val="center"/>
          </w:tcPr>
          <w:p w14:paraId="7C1C6EE2">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监测因子</w:t>
            </w:r>
          </w:p>
        </w:tc>
        <w:tc>
          <w:tcPr>
            <w:tcW w:w="1322" w:type="pct"/>
            <w:gridSpan w:val="4"/>
            <w:tcBorders>
              <w:tl2br w:val="nil"/>
              <w:tr2bl w:val="nil"/>
            </w:tcBorders>
            <w:noWrap w:val="0"/>
            <w:vAlign w:val="center"/>
          </w:tcPr>
          <w:p w14:paraId="4B48D107">
            <w:pPr>
              <w:pStyle w:val="227"/>
              <w:keepNext w:val="0"/>
              <w:keepLines w:val="0"/>
              <w:pageBreakBefore w:val="0"/>
              <w:widowControl w:val="0"/>
              <w:tabs>
                <w:tab w:val="left" w:pos="536"/>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c>
          <w:tcPr>
            <w:tcW w:w="1411" w:type="pct"/>
            <w:gridSpan w:val="4"/>
            <w:tcBorders>
              <w:tl2br w:val="nil"/>
              <w:tr2bl w:val="nil"/>
            </w:tcBorders>
            <w:noWrap w:val="0"/>
            <w:vAlign w:val="center"/>
          </w:tcPr>
          <w:p w14:paraId="676A1106">
            <w:pPr>
              <w:pStyle w:val="227"/>
              <w:keepNext w:val="0"/>
              <w:keepLines w:val="0"/>
              <w:pageBreakBefore w:val="0"/>
              <w:widowControl w:val="0"/>
              <w:tabs>
                <w:tab w:val="left" w:pos="548"/>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1E9C6D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187" w:type="pct"/>
            <w:vMerge w:val="continue"/>
            <w:tcBorders>
              <w:tl2br w:val="nil"/>
              <w:tr2bl w:val="nil"/>
            </w:tcBorders>
            <w:noWrap w:val="0"/>
            <w:vAlign w:val="center"/>
          </w:tcPr>
          <w:p w14:paraId="18731B82">
            <w:pPr>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cs="Times New Roman"/>
                <w:color w:val="000000"/>
                <w:sz w:val="20"/>
                <w:szCs w:val="20"/>
                <w:highlight w:val="none"/>
              </w:rPr>
            </w:pPr>
          </w:p>
        </w:tc>
        <w:tc>
          <w:tcPr>
            <w:tcW w:w="713" w:type="pct"/>
            <w:tcBorders>
              <w:tl2br w:val="nil"/>
              <w:tr2bl w:val="nil"/>
            </w:tcBorders>
            <w:noWrap w:val="0"/>
            <w:vAlign w:val="center"/>
          </w:tcPr>
          <w:p w14:paraId="6FF75F4D">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污染物排放清单</w:t>
            </w:r>
          </w:p>
        </w:tc>
        <w:tc>
          <w:tcPr>
            <w:tcW w:w="4098" w:type="pct"/>
            <w:gridSpan w:val="10"/>
            <w:tcBorders>
              <w:tl2br w:val="nil"/>
              <w:tr2bl w:val="nil"/>
            </w:tcBorders>
            <w:noWrap w:val="0"/>
            <w:vAlign w:val="center"/>
          </w:tcPr>
          <w:p w14:paraId="398232EC">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w:t>
            </w:r>
          </w:p>
        </w:tc>
      </w:tr>
      <w:tr w14:paraId="7618A09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901" w:type="pct"/>
            <w:gridSpan w:val="2"/>
            <w:tcBorders>
              <w:tl2br w:val="nil"/>
              <w:tr2bl w:val="nil"/>
            </w:tcBorders>
            <w:noWrap w:val="0"/>
            <w:vAlign w:val="center"/>
          </w:tcPr>
          <w:p w14:paraId="79EB3686">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评价结论</w:t>
            </w:r>
          </w:p>
        </w:tc>
        <w:tc>
          <w:tcPr>
            <w:tcW w:w="4098" w:type="pct"/>
            <w:gridSpan w:val="10"/>
            <w:tcBorders>
              <w:tl2br w:val="nil"/>
              <w:tr2bl w:val="nil"/>
            </w:tcBorders>
            <w:noWrap w:val="0"/>
            <w:vAlign w:val="center"/>
          </w:tcPr>
          <w:p w14:paraId="7528E901">
            <w:pPr>
              <w:pStyle w:val="227"/>
              <w:keepNext w:val="0"/>
              <w:keepLines w:val="0"/>
              <w:pageBreakBefore w:val="0"/>
              <w:widowControl w:val="0"/>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可以接受☑；不可以接受 □</w:t>
            </w:r>
          </w:p>
        </w:tc>
      </w:tr>
      <w:tr w14:paraId="4D035F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5000" w:type="pct"/>
            <w:gridSpan w:val="12"/>
            <w:tcBorders>
              <w:tl2br w:val="nil"/>
              <w:tr2bl w:val="nil"/>
            </w:tcBorders>
            <w:noWrap w:val="0"/>
            <w:vAlign w:val="center"/>
          </w:tcPr>
          <w:p w14:paraId="0BC725F9">
            <w:pPr>
              <w:pStyle w:val="227"/>
              <w:keepNext w:val="0"/>
              <w:keepLines w:val="0"/>
              <w:pageBreakBefore w:val="0"/>
              <w:widowControl w:val="0"/>
              <w:tabs>
                <w:tab w:val="left" w:pos="3066"/>
              </w:tabs>
              <w:kinsoku/>
              <w:wordWrap/>
              <w:overflowPunct/>
              <w:topLinePunct w:val="0"/>
              <w:bidi w:val="0"/>
              <w:snapToGrid w:val="0"/>
              <w:spacing w:line="240" w:lineRule="atLeast"/>
              <w:jc w:val="center"/>
              <w:textAlignment w:val="auto"/>
              <w:rPr>
                <w:rFonts w:hint="default" w:ascii="Times New Roman" w:hAnsi="Times New Roman" w:eastAsia="宋体" w:cs="Times New Roman"/>
                <w:color w:val="000000"/>
                <w:sz w:val="20"/>
                <w:szCs w:val="20"/>
                <w:highlight w:val="none"/>
              </w:rPr>
            </w:pPr>
            <w:r>
              <w:rPr>
                <w:rFonts w:hint="default" w:ascii="Times New Roman" w:hAnsi="Times New Roman" w:eastAsia="宋体" w:cs="Times New Roman"/>
                <w:color w:val="000000"/>
                <w:sz w:val="20"/>
                <w:szCs w:val="20"/>
                <w:highlight w:val="none"/>
              </w:rPr>
              <w:t>注：“□”为勾选项，可√；“（）”为内容填写项；“备注”为其他补充内容。</w:t>
            </w:r>
          </w:p>
        </w:tc>
      </w:tr>
    </w:tbl>
    <w:p w14:paraId="69A5F58D">
      <w:pPr>
        <w:pStyle w:val="6"/>
        <w:pageBreakBefore w:val="0"/>
        <w:widowControl w:val="0"/>
        <w:kinsoku/>
        <w:wordWrap/>
        <w:overflowPunct/>
        <w:topLinePunct w:val="0"/>
        <w:bidi w:val="0"/>
        <w:adjustRightInd w:val="0"/>
        <w:spacing w:before="0" w:beforeLines="0"/>
        <w:textAlignment w:val="auto"/>
        <w:rPr>
          <w:rFonts w:hint="default" w:ascii="Times New Roman" w:hAnsi="Times New Roman" w:cs="Times New Roman"/>
          <w:color w:val="000000"/>
          <w:highlight w:val="none"/>
        </w:rPr>
      </w:pPr>
      <w:bookmarkStart w:id="298" w:name="_Toc2784"/>
      <w:r>
        <w:rPr>
          <w:rFonts w:hint="default" w:ascii="Times New Roman" w:hAnsi="Times New Roman" w:cs="Times New Roman"/>
          <w:color w:val="000000"/>
          <w:highlight w:val="none"/>
        </w:rPr>
        <w:t>生产运行阶段地下水环境影响分析</w:t>
      </w:r>
      <w:bookmarkEnd w:id="298"/>
    </w:p>
    <w:p w14:paraId="173FCA54">
      <w:pPr>
        <w:keepNext w:val="0"/>
        <w:keepLines w:val="0"/>
        <w:pageBreakBefore w:val="0"/>
        <w:widowControl w:val="0"/>
        <w:kinsoku/>
        <w:wordWrap/>
        <w:overflowPunct/>
        <w:topLinePunct w:val="0"/>
        <w:bidi w:val="0"/>
        <w:spacing w:line="360" w:lineRule="auto"/>
        <w:ind w:firstLine="480" w:firstLineChars="200"/>
        <w:textAlignment w:val="auto"/>
        <w:rPr>
          <w:rFonts w:hint="eastAsia"/>
          <w:sz w:val="24"/>
          <w:szCs w:val="24"/>
          <w:highlight w:val="none"/>
          <w:lang w:eastAsia="zh-CN"/>
        </w:rPr>
      </w:pPr>
      <w:r>
        <w:rPr>
          <w:rFonts w:hint="eastAsia" w:cs="Times New Roman"/>
          <w:sz w:val="24"/>
          <w:szCs w:val="24"/>
          <w:highlight w:val="none"/>
          <w:lang w:val="en-US" w:eastAsia="zh-CN"/>
        </w:rPr>
        <w:t>2019年9月，承德天宝矿业集团大昌矿业有限公司委托河北省地矿局第四地质大队</w:t>
      </w:r>
      <w:r>
        <w:rPr>
          <w:rFonts w:ascii="Times New Roman" w:eastAsia="宋体"/>
          <w:sz w:val="24"/>
          <w:szCs w:val="24"/>
          <w:highlight w:val="none"/>
        </w:rPr>
        <w:t>编制了</w:t>
      </w:r>
      <w:r>
        <w:rPr>
          <w:rFonts w:hint="eastAsia"/>
          <w:sz w:val="24"/>
          <w:szCs w:val="24"/>
          <w:highlight w:val="none"/>
          <w:lang w:eastAsia="zh-CN"/>
        </w:rPr>
        <w:t>《承德天宝矿业集团大昌矿业有限公司矿山废弃资源综合利用项目水文地质勘查报告》，</w:t>
      </w:r>
      <w:r>
        <w:rPr>
          <w:rFonts w:hint="eastAsia" w:ascii="Times New Roman"/>
          <w:sz w:val="24"/>
          <w:szCs w:val="24"/>
          <w:highlight w:val="none"/>
          <w:lang w:val="en-US" w:eastAsia="zh-CN"/>
        </w:rPr>
        <w:t>本次评价引用</w:t>
      </w:r>
      <w:r>
        <w:rPr>
          <w:rFonts w:hint="eastAsia"/>
          <w:sz w:val="24"/>
          <w:szCs w:val="24"/>
          <w:highlight w:val="none"/>
          <w:lang w:val="en-US" w:eastAsia="zh-CN"/>
        </w:rPr>
        <w:t>上述水文地质勘察报告</w:t>
      </w:r>
      <w:r>
        <w:rPr>
          <w:rFonts w:hint="eastAsia" w:ascii="Times New Roman"/>
          <w:sz w:val="24"/>
          <w:szCs w:val="24"/>
          <w:highlight w:val="none"/>
          <w:lang w:val="en-US" w:eastAsia="zh-CN"/>
        </w:rPr>
        <w:t>来说明项目所在区域水文地质情况。</w:t>
      </w:r>
    </w:p>
    <w:p w14:paraId="6EAF3ABF">
      <w:pPr>
        <w:pStyle w:val="7"/>
        <w:adjustRightInd w:val="0"/>
        <w:snapToGrid w:val="0"/>
        <w:spacing w:before="120" w:beforeLines="50" w:after="0" w:line="360" w:lineRule="auto"/>
        <w:rPr>
          <w:rFonts w:ascii="Times New Roman" w:hAnsi="Times New Roman" w:eastAsia="宋体"/>
          <w:sz w:val="24"/>
          <w:szCs w:val="24"/>
          <w:highlight w:val="none"/>
        </w:rPr>
      </w:pPr>
      <w:r>
        <w:rPr>
          <w:rFonts w:ascii="Times New Roman" w:hAnsi="Times New Roman" w:eastAsia="宋体"/>
          <w:sz w:val="24"/>
          <w:szCs w:val="24"/>
          <w:highlight w:val="none"/>
        </w:rPr>
        <w:t>区域</w:t>
      </w:r>
      <w:r>
        <w:rPr>
          <w:rFonts w:hint="eastAsia" w:ascii="Times New Roman" w:hAnsi="Times New Roman" w:eastAsia="宋体"/>
          <w:sz w:val="24"/>
          <w:szCs w:val="24"/>
          <w:highlight w:val="none"/>
          <w:lang w:val="en-US" w:eastAsia="zh-CN"/>
        </w:rPr>
        <w:t>水文地质</w:t>
      </w:r>
      <w:r>
        <w:rPr>
          <w:rFonts w:ascii="Times New Roman" w:hAnsi="Times New Roman" w:eastAsia="宋体"/>
          <w:sz w:val="24"/>
          <w:szCs w:val="24"/>
          <w:highlight w:val="none"/>
        </w:rPr>
        <w:t>概况</w:t>
      </w:r>
    </w:p>
    <w:p w14:paraId="70622CF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rPr>
      </w:pPr>
      <w:bookmarkStart w:id="299" w:name="_Toc3868"/>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含水层</w:t>
      </w:r>
      <w:bookmarkEnd w:id="299"/>
    </w:p>
    <w:p w14:paraId="486D872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勘查区位于龙关—隆化裂隙水亚区（Ⅲ6）区内，根据区内地下水类型又可进一步划分为第四系松散岩类孔隙水、碎屑岩类裂隙孔隙水和基岩裂隙水</w:t>
      </w:r>
      <w:r>
        <w:rPr>
          <w:rFonts w:hint="eastAsia" w:cs="Times New Roman"/>
          <w:color w:val="auto"/>
          <w:sz w:val="24"/>
          <w:szCs w:val="24"/>
          <w:highlight w:val="none"/>
          <w:lang w:eastAsia="zh-CN"/>
        </w:rPr>
        <w:t>。</w:t>
      </w:r>
    </w:p>
    <w:p w14:paraId="0FA2022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第四系松散岩类孔隙水</w:t>
      </w:r>
    </w:p>
    <w:p w14:paraId="525B68F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①</w:t>
      </w:r>
      <w:r>
        <w:rPr>
          <w:rFonts w:hint="default" w:ascii="Times New Roman" w:hAnsi="Times New Roman" w:cs="Times New Roman"/>
          <w:color w:val="auto"/>
          <w:sz w:val="24"/>
          <w:szCs w:val="24"/>
          <w:highlight w:val="none"/>
          <w:lang w:val="en-US" w:eastAsia="zh-CN"/>
        </w:rPr>
        <w:t>第四系上更新统冲积坡积物孔隙水含水岩组</w:t>
      </w:r>
    </w:p>
    <w:p w14:paraId="7B04300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分布于河谷两侧山麓边缘的缓坡地带。更新统风积物常覆于早期洪积物之上,岩性主要亚粘土、黄土状亚砂土夹砂砾石，厚4</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8m</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往往构成透水不含水地层，其下部的含土砂砾石层厚度较薄，富水性差，厚度一般小于5m</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蓄水空间较小，地下水贫乏。</w:t>
      </w:r>
    </w:p>
    <w:p w14:paraId="1558E9B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②</w:t>
      </w:r>
      <w:r>
        <w:rPr>
          <w:rFonts w:hint="default" w:ascii="Times New Roman" w:hAnsi="Times New Roman" w:cs="Times New Roman"/>
          <w:color w:val="auto"/>
          <w:sz w:val="24"/>
          <w:szCs w:val="24"/>
          <w:highlight w:val="none"/>
          <w:lang w:val="en-US" w:eastAsia="zh-CN"/>
        </w:rPr>
        <w:t>第四系全新统冲积洪积物孔隙水含水岩组</w:t>
      </w:r>
    </w:p>
    <w:p w14:paraId="34DDEE2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分布于河床拐弯内侧。地下水含在砂及砂卵石层中，中间夹亚粘土透镜体。含水层厚度一般小于10m。而上覆的包气带厚度增大，一般大于5m</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岩性以亚粘土、亚砂土为主，加之地势相对升高，汇水面积减小，所以上述部位富水程度相对减弱，结合区域水文地质资料，该类含水层地下水单井涌水量介于100</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1000m</w:t>
      </w:r>
      <w:r>
        <w:rPr>
          <w:rFonts w:hint="eastAsia"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/d，属水量中等区。</w:t>
      </w:r>
    </w:p>
    <w:p w14:paraId="5BCA836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③</w:t>
      </w:r>
      <w:r>
        <w:rPr>
          <w:rFonts w:hint="default" w:ascii="Times New Roman" w:hAnsi="Times New Roman" w:cs="Times New Roman"/>
          <w:color w:val="auto"/>
          <w:sz w:val="24"/>
          <w:szCs w:val="24"/>
          <w:highlight w:val="none"/>
          <w:lang w:val="en-US" w:eastAsia="zh-CN"/>
        </w:rPr>
        <w:t>第四系人工堆积物孔隙水含水岩组</w:t>
      </w:r>
    </w:p>
    <w:p w14:paraId="404F69D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分布于东北沟</w:t>
      </w:r>
      <w:r>
        <w:rPr>
          <w:rFonts w:hint="eastAsia" w:cs="Times New Roman"/>
          <w:color w:val="auto"/>
          <w:sz w:val="24"/>
          <w:szCs w:val="24"/>
          <w:highlight w:val="none"/>
          <w:lang w:val="en-US" w:eastAsia="zh-CN"/>
        </w:rPr>
        <w:t>尾矿库</w:t>
      </w:r>
      <w:r>
        <w:rPr>
          <w:rFonts w:hint="default" w:ascii="Times New Roman" w:hAnsi="Times New Roman" w:cs="Times New Roman"/>
          <w:color w:val="auto"/>
          <w:sz w:val="24"/>
          <w:szCs w:val="24"/>
          <w:highlight w:val="none"/>
          <w:lang w:val="en-US" w:eastAsia="zh-CN"/>
        </w:rPr>
        <w:t>内，主要由常年选矿排出的尾砂组成，岩性主要为尾矿砂，厚度约5.00～</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lang w:val="en-US" w:eastAsia="zh-CN"/>
        </w:rPr>
        <w:t>0.00m，为透水不含水层。含水层富水性为弱富水性，属于水量贫乏区，主要接受大气降雨补给。</w:t>
      </w:r>
    </w:p>
    <w:p w14:paraId="2BB6BBAE">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碎屑岩类裂隙孔隙水</w:t>
      </w:r>
    </w:p>
    <w:p w14:paraId="4ABEDA2A">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①</w:t>
      </w:r>
      <w:r>
        <w:rPr>
          <w:rFonts w:hint="default" w:ascii="Times New Roman" w:hAnsi="Times New Roman" w:cs="Times New Roman"/>
          <w:color w:val="auto"/>
          <w:sz w:val="24"/>
          <w:szCs w:val="24"/>
          <w:highlight w:val="none"/>
          <w:lang w:val="en-US" w:eastAsia="zh-CN"/>
        </w:rPr>
        <w:t>白垩系碎屑岩类裂隙孔隙水含水岩组</w:t>
      </w:r>
    </w:p>
    <w:p w14:paraId="35F98B9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包括大北沟组（K1d）和西瓜园组（K1x），含水层岩性以砂岩、砂砾岩为主，地下水主要富集与断裂带及其影响带成岩孔隙、裂隙中。该区域岩组泉流量为1.296L/S,单井涌水量为15.9m3/d，富水性强；远离构造带部，地下水主要赋存于层间孔隙、裂隙及风化裂隙中，蓄水空间有限，地下水的富集程度相对减弱。</w:t>
      </w:r>
    </w:p>
    <w:p w14:paraId="2C47DA1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②</w:t>
      </w:r>
      <w:r>
        <w:rPr>
          <w:rFonts w:hint="default" w:ascii="Times New Roman" w:hAnsi="Times New Roman" w:cs="Times New Roman"/>
          <w:color w:val="auto"/>
          <w:sz w:val="24"/>
          <w:szCs w:val="24"/>
          <w:highlight w:val="none"/>
          <w:lang w:val="en-US" w:eastAsia="zh-CN"/>
        </w:rPr>
        <w:t>侏罗系碎屑岩裂隙孔隙水含水岩组</w:t>
      </w:r>
    </w:p>
    <w:p w14:paraId="44D80E9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区域上主要包括下花园组（J1x）和南大岭组（J1n），含水层岩性以砾岩、砂岩、凝灰质砂砾岩、安山岩以及砂质页岩等，其水力性质以潜水为主，局部承压。结合区域水文地质资料，该岩组富水性弱。</w:t>
      </w:r>
    </w:p>
    <w:p w14:paraId="03E32C3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en-US" w:eastAsia="zh-CN"/>
        </w:rPr>
        <w:t>碎屑岩、碳酸盐岩类裂隙溶洞水</w:t>
      </w:r>
    </w:p>
    <w:p w14:paraId="3EFB830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①</w:t>
      </w:r>
      <w:r>
        <w:rPr>
          <w:rFonts w:hint="default" w:ascii="Times New Roman" w:hAnsi="Times New Roman" w:cs="Times New Roman"/>
          <w:color w:val="auto"/>
          <w:sz w:val="24"/>
          <w:szCs w:val="24"/>
          <w:highlight w:val="none"/>
          <w:lang w:val="en-US" w:eastAsia="zh-CN"/>
        </w:rPr>
        <w:t>长城系大红峪组—团山子组碎屑岩、碳酸盐岩裂隙溶洞水含水岩组</w:t>
      </w:r>
    </w:p>
    <w:p w14:paraId="1EF76EF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含水层岩性为灰质白云岩、燧石条带白云岩夹砂页岩、钙质页岩、石英砂岩等，一般分布于高于庄组白云岩含水层外围，其水力性质以潜水为主，局部具承压性。下部大红峪组砂质白云岩，该类含水岩组基本上以中等富水为主。</w:t>
      </w:r>
    </w:p>
    <w:p w14:paraId="0511577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基岩裂隙水</w:t>
      </w:r>
    </w:p>
    <w:p w14:paraId="1A058E4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按地下水的成因可分为二个亚类，即构造裂隙水与风化带网状裂隙水。</w:t>
      </w:r>
    </w:p>
    <w:p w14:paraId="4E5AE6D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①</w:t>
      </w:r>
      <w:r>
        <w:rPr>
          <w:rFonts w:hint="default" w:ascii="Times New Roman" w:hAnsi="Times New Roman" w:cs="Times New Roman"/>
          <w:color w:val="auto"/>
          <w:sz w:val="24"/>
          <w:szCs w:val="24"/>
          <w:highlight w:val="none"/>
          <w:lang w:val="en-US" w:eastAsia="zh-CN"/>
        </w:rPr>
        <w:t>构造裂隙水</w:t>
      </w:r>
    </w:p>
    <w:p w14:paraId="6583E29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侏罗系火山熔岩构造裂隙水含水岩组</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区域上主要包括张家口组（J3z）和白庙组（J3b），含水层岩性以凝灰岩、安山质凝灰岩、凝灰质砂砾岩为主，具块状构造，其富水性受岩性、地形地貌及构造条件的综合控制，尤以构造控水最为明显，该区域岩组泉流量为0.062L/S，富水性弱。</w:t>
      </w:r>
    </w:p>
    <w:p w14:paraId="5BC27FE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②</w:t>
      </w:r>
      <w:r>
        <w:rPr>
          <w:rFonts w:hint="default" w:ascii="Times New Roman" w:hAnsi="Times New Roman" w:cs="Times New Roman"/>
          <w:color w:val="auto"/>
          <w:sz w:val="24"/>
          <w:szCs w:val="24"/>
          <w:highlight w:val="none"/>
          <w:lang w:val="en-US" w:eastAsia="zh-CN"/>
        </w:rPr>
        <w:t>风化带网状裂隙水</w:t>
      </w:r>
    </w:p>
    <w:p w14:paraId="3414866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太古界变质岩系风化带网状裂隙水含水岩组</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该区域含水层岩性为太古界凤凰嘴组、白庙组，以赋存风化裂隙水为主，风化带厚度一般小于10m，泉点一般出于坡脚或冲沟中，该区域岩组泉流量0.471L/S</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富水性中等。</w:t>
      </w:r>
    </w:p>
    <w:p w14:paraId="0BFEDA5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各期岩浆岩风化带网状裂隙水含水岩组</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该岩类区域出露主要有海西期花岗岩，中元古代斑状石英二长岩、石英正长岩、角闪石英正长岩、斜长岩，早元古代变质闪长岩，次火山岩类以流纹斑岩为主，其基岩以发育风化裂隙为主，风化带厚度一般10</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30m，该区域岩组泉流量0.148</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0.235L/S，富水性中等</w:t>
      </w:r>
      <w:r>
        <w:rPr>
          <w:rFonts w:hint="eastAsia" w:cs="Times New Roman"/>
          <w:color w:val="auto"/>
          <w:sz w:val="24"/>
          <w:szCs w:val="24"/>
          <w:highlight w:val="none"/>
          <w:lang w:val="en-US" w:eastAsia="zh-CN"/>
        </w:rPr>
        <w:t>。</w:t>
      </w:r>
    </w:p>
    <w:p w14:paraId="3F4DF5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bookmarkStart w:id="300" w:name="_Toc15404"/>
      <w:r>
        <w:rPr>
          <w:rFonts w:hint="eastAsia" w:cs="Times New Roman"/>
          <w:color w:val="auto"/>
          <w:sz w:val="24"/>
          <w:szCs w:val="24"/>
          <w:highlight w:val="none"/>
          <w:lang w:val="en-US" w:eastAsia="zh-CN"/>
        </w:rPr>
        <w:t>2、</w:t>
      </w:r>
      <w:bookmarkEnd w:id="300"/>
      <w:r>
        <w:rPr>
          <w:rFonts w:hint="eastAsia" w:cs="Times New Roman"/>
          <w:color w:val="auto"/>
          <w:sz w:val="24"/>
          <w:szCs w:val="24"/>
          <w:highlight w:val="none"/>
          <w:lang w:val="en-US" w:eastAsia="zh-CN"/>
        </w:rPr>
        <w:t>透水不含水层</w:t>
      </w:r>
    </w:p>
    <w:p w14:paraId="616B2E2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针对于沟谷内的人工堆积（QS），主要由常年选矿排出的尾矿砂及废石组成，由于堆积相对松散，属透水不含水岩类。</w:t>
      </w:r>
    </w:p>
    <w:p w14:paraId="7BCD41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rPr>
      </w:pPr>
      <w:bookmarkStart w:id="301" w:name="_Toc13025"/>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地下水补</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径</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排特征</w:t>
      </w:r>
      <w:bookmarkEnd w:id="301"/>
    </w:p>
    <w:p w14:paraId="0ADD1BD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因地质、地貌以及含水层分布、埋藏条件的不同，赋存于不同含水层的地下水具不同的水力特征，其补给、径流、排泄条件也有差异。</w:t>
      </w:r>
    </w:p>
    <w:p w14:paraId="0B2642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分布于山区河（沟）谷区的第四系松散岩类孔隙潜水，主要接受大气降水的补给，其次为上游区的地下水侧向径流补给。以径流方式，由上游区向下游区排泄，径流方向近似河流向，径流条件较好。蒸发和人工开采也是其排泄方式的主要途径。</w:t>
      </w:r>
    </w:p>
    <w:p w14:paraId="16CA33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分布于基岩山区的风化裂隙水，大气降水是唯一补给来源。繁茂的植被，缓平的地形，均可增加地表糙度，从而减少地表径流，使降水有较充分的渗入时间，增加了地下水的补给量。当岩石的风化裂隙接受降水补给后，主要以地下水径流的方式泄于沟谷区，亦有一部分将补给河（沟）谷区第四系孔隙砂砾石层</w:t>
      </w:r>
      <w:r>
        <w:rPr>
          <w:rFonts w:hint="eastAsia" w:cs="Times New Roman"/>
          <w:color w:val="auto"/>
          <w:sz w:val="24"/>
          <w:szCs w:val="24"/>
          <w:highlight w:val="none"/>
          <w:lang w:eastAsia="zh-CN"/>
        </w:rPr>
        <w:t>。</w:t>
      </w:r>
    </w:p>
    <w:p w14:paraId="68E05249">
      <w:pPr>
        <w:pStyle w:val="7"/>
        <w:adjustRightInd w:val="0"/>
        <w:snapToGrid w:val="0"/>
        <w:spacing w:before="120" w:beforeLines="50" w:after="0" w:line="360" w:lineRule="auto"/>
        <w:rPr>
          <w:rFonts w:ascii="Times New Roman" w:hAnsi="Times New Roman" w:eastAsia="宋体"/>
          <w:sz w:val="24"/>
          <w:szCs w:val="24"/>
          <w:highlight w:val="none"/>
        </w:rPr>
      </w:pPr>
      <w:r>
        <w:rPr>
          <w:rFonts w:ascii="Times New Roman" w:hAnsi="Times New Roman" w:eastAsia="宋体"/>
          <w:sz w:val="24"/>
          <w:szCs w:val="24"/>
          <w:highlight w:val="none"/>
        </w:rPr>
        <w:t>区域地质概况</w:t>
      </w:r>
    </w:p>
    <w:p w14:paraId="7F89F2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val="en-US" w:eastAsia="zh-CN"/>
        </w:rPr>
      </w:pPr>
      <w:r>
        <w:rPr>
          <w:rFonts w:hint="eastAsia"/>
          <w:sz w:val="24"/>
          <w:szCs w:val="24"/>
          <w:highlight w:val="none"/>
          <w:lang w:val="en-US" w:eastAsia="zh-CN"/>
        </w:rPr>
        <w:t>1、地层</w:t>
      </w:r>
    </w:p>
    <w:p w14:paraId="3E9A3A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区域内出露主要地层有上太古界地层、中元古界长城系地层、中生界白垩系和侏罗系地层及第四系，另见晚太古代侵入体、早、中元古代侵入体、海西期侵入岩以及燕山期侵入体。</w:t>
      </w:r>
    </w:p>
    <w:p w14:paraId="6C54DC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（1）上太古界</w:t>
      </w:r>
    </w:p>
    <w:p w14:paraId="6A2F7A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上太古界由老至新划分为白庙子组（Arb）、凤凰咀组（Arf）。</w:t>
      </w:r>
    </w:p>
    <w:p w14:paraId="14D4D6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白庙组地层分布于区域图东侧冷水头东沟一带，其主要岩性为角闪斜长变粒岩，角闪斜长片麻岩、斜长角闪岩、混合岩化黑云斜长片麻岩夹透镜状磁铁矿石英岩。</w:t>
      </w:r>
    </w:p>
    <w:p w14:paraId="06EC0C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凤凰咀组地层按其岩性特点，沿用凤山—太平庄幅四分法，归入二、三段。</w:t>
      </w:r>
    </w:p>
    <w:p w14:paraId="272898D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①凤凰咀组二段（Arf2），主要沿丰宁—隆化深断裂不连续分布，其主要岩性为混合岩化黑云斜长变粒岩，角闪斜长变粒岩夹浅粒岩、斜长角闪岩。</w:t>
      </w:r>
    </w:p>
    <w:p w14:paraId="7FCC56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②凤凰咀组三段（Arf3），主要分布于丰宁—隆化断裂以南、姚家沟北一带，其主要岩性为含石榴、蓝晶石云母长石石英片岩，二长片麻岩、黑云斜长片麻岩，斜长角闪变粒岩及斜长角闪岩夹含石墨白云石大理岩。</w:t>
      </w:r>
    </w:p>
    <w:p w14:paraId="545D5A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（2）中元古界长城系</w:t>
      </w:r>
    </w:p>
    <w:p w14:paraId="50320E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中元古界地层为长城系，自下而上为常州沟组、串岭沟组、团山子组、大红峪组、高于庄组。</w:t>
      </w:r>
    </w:p>
    <w:p w14:paraId="120A54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常州沟组</w:t>
      </w:r>
      <w:r>
        <w:rPr>
          <w:rFonts w:hint="eastAsia"/>
          <w:sz w:val="24"/>
          <w:szCs w:val="24"/>
          <w:highlight w:val="none"/>
          <w:lang w:eastAsia="zh-CN"/>
        </w:rPr>
        <w:t>：</w:t>
      </w:r>
      <w:r>
        <w:rPr>
          <w:rFonts w:hint="default"/>
          <w:sz w:val="24"/>
          <w:szCs w:val="24"/>
          <w:highlight w:val="none"/>
          <w:lang w:eastAsia="zh-CN"/>
        </w:rPr>
        <w:t>以石英岩为主，另有长石石英岩、石英砂岩。</w:t>
      </w:r>
    </w:p>
    <w:p w14:paraId="56ECBA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串岭沟组</w:t>
      </w:r>
      <w:r>
        <w:rPr>
          <w:rFonts w:hint="eastAsia"/>
          <w:sz w:val="24"/>
          <w:szCs w:val="24"/>
          <w:highlight w:val="none"/>
          <w:lang w:eastAsia="zh-CN"/>
        </w:rPr>
        <w:t>：</w:t>
      </w:r>
      <w:r>
        <w:rPr>
          <w:rFonts w:hint="default"/>
          <w:sz w:val="24"/>
          <w:szCs w:val="24"/>
          <w:highlight w:val="none"/>
          <w:lang w:eastAsia="zh-CN"/>
        </w:rPr>
        <w:t>下部为灰黑色、灰绿色页岩夹赤铁矿；中部薄层状白色石英岩；上部为泥质页岩。</w:t>
      </w:r>
    </w:p>
    <w:p w14:paraId="0D9B0ED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团山子组</w:t>
      </w:r>
      <w:r>
        <w:rPr>
          <w:rFonts w:hint="eastAsia"/>
          <w:sz w:val="24"/>
          <w:szCs w:val="24"/>
          <w:highlight w:val="none"/>
          <w:lang w:eastAsia="zh-CN"/>
        </w:rPr>
        <w:t>：</w:t>
      </w:r>
      <w:r>
        <w:rPr>
          <w:rFonts w:hint="default"/>
          <w:sz w:val="24"/>
          <w:szCs w:val="24"/>
          <w:highlight w:val="none"/>
          <w:lang w:eastAsia="zh-CN"/>
        </w:rPr>
        <w:t>主要岩性为白云岩、泥质白云岩、局部夹燧石条带，变质后成白云石大理岩。</w:t>
      </w:r>
    </w:p>
    <w:p w14:paraId="74B56B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大红峪组</w:t>
      </w:r>
      <w:r>
        <w:rPr>
          <w:rFonts w:hint="eastAsia"/>
          <w:sz w:val="24"/>
          <w:szCs w:val="24"/>
          <w:highlight w:val="none"/>
          <w:lang w:eastAsia="zh-CN"/>
        </w:rPr>
        <w:t>：</w:t>
      </w:r>
      <w:r>
        <w:rPr>
          <w:rFonts w:hint="default"/>
          <w:sz w:val="24"/>
          <w:szCs w:val="24"/>
          <w:highlight w:val="none"/>
          <w:lang w:eastAsia="zh-CN"/>
        </w:rPr>
        <w:t>仅在对沟一带有少量分布，岩性为灰白色石英岩。</w:t>
      </w:r>
    </w:p>
    <w:p w14:paraId="0508C3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高于庄组</w:t>
      </w:r>
      <w:r>
        <w:rPr>
          <w:rFonts w:hint="eastAsia"/>
          <w:sz w:val="24"/>
          <w:szCs w:val="24"/>
          <w:highlight w:val="none"/>
          <w:lang w:eastAsia="zh-CN"/>
        </w:rPr>
        <w:t>：</w:t>
      </w:r>
      <w:r>
        <w:rPr>
          <w:rFonts w:hint="default"/>
          <w:sz w:val="24"/>
          <w:szCs w:val="24"/>
          <w:highlight w:val="none"/>
          <w:lang w:eastAsia="zh-CN"/>
        </w:rPr>
        <w:t>仅出露于对沟一带。上部为结晶质白云岩、中部为白云质灰岩、下部为页岩。</w:t>
      </w:r>
    </w:p>
    <w:p w14:paraId="216423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（3）中生界</w:t>
      </w:r>
    </w:p>
    <w:p w14:paraId="372DF0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中生界由下而上依次为侏罗系下统门头沟群南大岭组，下花园组；上统东岭台群白庙组，张家口组；白垩系下统滦平群大北沟组、西瓜园组。</w:t>
      </w:r>
    </w:p>
    <w:p w14:paraId="631D47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①侏罗系下统门头沟群，按其岩性组合，接触关系划分为二个组。</w:t>
      </w:r>
    </w:p>
    <w:p w14:paraId="4AC3B2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南大岭组（J1n）</w:t>
      </w:r>
      <w:r>
        <w:rPr>
          <w:rFonts w:hint="eastAsia"/>
          <w:sz w:val="24"/>
          <w:szCs w:val="24"/>
          <w:highlight w:val="none"/>
          <w:lang w:eastAsia="zh-CN"/>
        </w:rPr>
        <w:t>：</w:t>
      </w:r>
      <w:r>
        <w:rPr>
          <w:rFonts w:hint="default"/>
          <w:sz w:val="24"/>
          <w:szCs w:val="24"/>
          <w:highlight w:val="none"/>
          <w:lang w:eastAsia="zh-CN"/>
        </w:rPr>
        <w:t>主要分布于盆地西部边缘，东部有零星出露，岩性简单、下部为紫红色蛇纹石化安山岩、上部为紫红色安山质凝灰岩。</w:t>
      </w:r>
    </w:p>
    <w:p w14:paraId="15881E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下花园组（J1x）</w:t>
      </w:r>
      <w:r>
        <w:rPr>
          <w:rFonts w:hint="eastAsia"/>
          <w:sz w:val="24"/>
          <w:szCs w:val="24"/>
          <w:highlight w:val="none"/>
          <w:lang w:eastAsia="zh-CN"/>
        </w:rPr>
        <w:t>：</w:t>
      </w:r>
      <w:r>
        <w:rPr>
          <w:rFonts w:hint="default"/>
          <w:sz w:val="24"/>
          <w:szCs w:val="24"/>
          <w:highlight w:val="none"/>
          <w:lang w:eastAsia="zh-CN"/>
        </w:rPr>
        <w:t>在孤山一大庙一带有小面积出露，由页岩、砂岩及煤系组成。平行不整合于南大岭组之上。</w:t>
      </w:r>
    </w:p>
    <w:p w14:paraId="237A28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②侏罗系上统东岭台群，按岩性组合，接触关系划分为白旗组，张家口组。</w:t>
      </w:r>
    </w:p>
    <w:p w14:paraId="0DC577E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白旗组（J3b）</w:t>
      </w:r>
      <w:r>
        <w:rPr>
          <w:rFonts w:hint="eastAsia"/>
          <w:sz w:val="24"/>
          <w:szCs w:val="24"/>
          <w:highlight w:val="none"/>
          <w:lang w:eastAsia="zh-CN"/>
        </w:rPr>
        <w:t>：</w:t>
      </w:r>
      <w:r>
        <w:rPr>
          <w:rFonts w:hint="default"/>
          <w:sz w:val="24"/>
          <w:szCs w:val="24"/>
          <w:highlight w:val="none"/>
          <w:lang w:eastAsia="zh-CN"/>
        </w:rPr>
        <w:t>出露于区内朝梁沟及后中关盆地中，不整合于太古界太平庄组及中侏罗系后城组之上。下部为凝灰岩、流纹质凝灰角砾岩，夹薄层砂岩及砂砾岩。上部为灰绿色、灰紫色安山岩，夹薄层气孔状安山岩。</w:t>
      </w:r>
    </w:p>
    <w:p w14:paraId="2962AA3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张家口组（J3z）</w:t>
      </w:r>
      <w:r>
        <w:rPr>
          <w:rFonts w:hint="eastAsia"/>
          <w:sz w:val="24"/>
          <w:szCs w:val="24"/>
          <w:highlight w:val="none"/>
          <w:lang w:eastAsia="zh-CN"/>
        </w:rPr>
        <w:t>：</w:t>
      </w:r>
      <w:r>
        <w:rPr>
          <w:rFonts w:hint="default"/>
          <w:sz w:val="24"/>
          <w:szCs w:val="24"/>
          <w:highlight w:val="none"/>
          <w:lang w:eastAsia="zh-CN"/>
        </w:rPr>
        <w:t>整合及不整合于白旗组、太古界地层及斜长岩之上。由流纹岩、粗面岩和中酸性亚碱性火山碎屑岩所组成，中夹薄层 凝灰质砂岩、砂砾岩。该组岩性及厚度变化很大，分层性不好。</w:t>
      </w:r>
    </w:p>
    <w:p w14:paraId="207AF1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eastAsia"/>
          <w:sz w:val="24"/>
          <w:szCs w:val="24"/>
          <w:highlight w:val="none"/>
          <w:lang w:val="en-US" w:eastAsia="zh-CN"/>
        </w:rPr>
        <w:t>③</w:t>
      </w:r>
      <w:r>
        <w:rPr>
          <w:rFonts w:hint="default"/>
          <w:sz w:val="24"/>
          <w:szCs w:val="24"/>
          <w:highlight w:val="none"/>
          <w:lang w:eastAsia="zh-CN"/>
        </w:rPr>
        <w:t>白垩系下统滦平群，按其岩性组合、接触关系划分为大北沟组，西瓜园组。</w:t>
      </w:r>
    </w:p>
    <w:p w14:paraId="6BF11C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大北沟组（K1d）</w:t>
      </w:r>
      <w:r>
        <w:rPr>
          <w:rFonts w:hint="eastAsia"/>
          <w:sz w:val="24"/>
          <w:szCs w:val="24"/>
          <w:highlight w:val="none"/>
          <w:lang w:eastAsia="zh-CN"/>
        </w:rPr>
        <w:t>：</w:t>
      </w:r>
      <w:r>
        <w:rPr>
          <w:rFonts w:hint="default"/>
          <w:sz w:val="24"/>
          <w:szCs w:val="24"/>
          <w:highlight w:val="none"/>
          <w:lang w:eastAsia="zh-CN"/>
        </w:rPr>
        <w:t>由紫灰色、灰绿色安山岩及杏仁状安山岩组成 ，与下伏张家口组地层呈整合接触。</w:t>
      </w:r>
    </w:p>
    <w:p w14:paraId="573BE3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西瓜园组（K1x）：平行不整合于大北沟组和张家口组之上。下部为灰绿色砂砾岩。上部为绿色页岩夹薄层粉砂岩。</w:t>
      </w:r>
    </w:p>
    <w:p w14:paraId="269ED3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（4）新生界</w:t>
      </w:r>
    </w:p>
    <w:p w14:paraId="4F83A2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第四系沉积物主要分布于河谷及山间沟谷地带。沉积物类型为冲积，洪积和坡积物。按沉积物性质及出露构造位置划分为上更新统、全新统。</w:t>
      </w:r>
    </w:p>
    <w:p w14:paraId="51F020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上更新统（Q3pl+dl）：为冲积亚砂土、亚粘土及少量坡积物。主要分布于河谷两岸的山麓边缘地带。山间平缓洼地也有分布。</w:t>
      </w:r>
    </w:p>
    <w:p w14:paraId="7E09DE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全新统(Q4al、Q4al+pl)：沉积物性质为冲积砂、砾石、亚粘土，洪积砂砾石层。分布于石洞川、银窝川等河谷、形成现代河床、河漫滩相沉积物。有时形成I级阶地。在山间沟谷及沟口地带、发育冲洪积物，在沟口形成冲洪积扇。</w:t>
      </w:r>
    </w:p>
    <w:p w14:paraId="5FFA9F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人工堆积（QS）</w:t>
      </w:r>
      <w:r>
        <w:rPr>
          <w:rFonts w:hint="eastAsia"/>
          <w:sz w:val="24"/>
          <w:szCs w:val="24"/>
          <w:highlight w:val="none"/>
          <w:lang w:eastAsia="zh-CN"/>
        </w:rPr>
        <w:t>：</w:t>
      </w:r>
      <w:r>
        <w:rPr>
          <w:rFonts w:hint="eastAsia"/>
          <w:sz w:val="24"/>
          <w:szCs w:val="24"/>
          <w:highlight w:val="none"/>
          <w:lang w:val="en-US" w:eastAsia="zh-CN"/>
        </w:rPr>
        <w:t>东北沟</w:t>
      </w:r>
      <w:r>
        <w:rPr>
          <w:rFonts w:hint="default"/>
          <w:sz w:val="24"/>
          <w:szCs w:val="24"/>
          <w:highlight w:val="none"/>
          <w:lang w:eastAsia="zh-CN"/>
        </w:rPr>
        <w:t>尾矿库堆积的尾矿砂及废石，分布于隆化县韩麻营镇东兴村邓沙沟大石头沟西南方向1.4km处中低山区的自然山间沟谷内。</w:t>
      </w:r>
    </w:p>
    <w:p w14:paraId="14BEDA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（5）岩浆岩</w:t>
      </w:r>
    </w:p>
    <w:p w14:paraId="07955C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区内岩浆岩活动强烈，自太古代至中生代各个地质时期均有不同特征的火山—岩浆侵入活动，形成了不同类型的岩浆岩。</w:t>
      </w:r>
    </w:p>
    <w:p w14:paraId="71F91B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eastAsia"/>
          <w:sz w:val="24"/>
          <w:szCs w:val="24"/>
          <w:highlight w:val="none"/>
          <w:lang w:val="en-US" w:eastAsia="zh-CN"/>
        </w:rPr>
        <w:t>①</w:t>
      </w:r>
      <w:r>
        <w:rPr>
          <w:rFonts w:hint="default"/>
          <w:sz w:val="24"/>
          <w:szCs w:val="24"/>
          <w:highlight w:val="none"/>
          <w:lang w:eastAsia="zh-CN"/>
        </w:rPr>
        <w:t>晚太古代侵入体</w:t>
      </w:r>
      <w:r>
        <w:rPr>
          <w:rFonts w:hint="eastAsia"/>
          <w:sz w:val="24"/>
          <w:szCs w:val="24"/>
          <w:highlight w:val="none"/>
          <w:lang w:eastAsia="zh-CN"/>
        </w:rPr>
        <w:t>：</w:t>
      </w:r>
      <w:r>
        <w:rPr>
          <w:rFonts w:hint="default"/>
          <w:sz w:val="24"/>
          <w:szCs w:val="24"/>
          <w:highlight w:val="none"/>
          <w:lang w:eastAsia="zh-CN"/>
        </w:rPr>
        <w:t>主要有韩三沟门黑云二长片麻岩和台子沟黑云二长片麻岩，原岩相当（黑云）花岗岩。</w:t>
      </w:r>
    </w:p>
    <w:p w14:paraId="7B823D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②早元古代侵入体</w:t>
      </w:r>
    </w:p>
    <w:p w14:paraId="59B5FA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鬼脸沟混合岩化变质闪长岩</w:t>
      </w:r>
      <w:r>
        <w:rPr>
          <w:rFonts w:hint="eastAsia"/>
          <w:sz w:val="24"/>
          <w:szCs w:val="24"/>
          <w:highlight w:val="none"/>
          <w:lang w:eastAsia="zh-CN"/>
        </w:rPr>
        <w:t>：</w:t>
      </w:r>
      <w:r>
        <w:rPr>
          <w:rFonts w:hint="default"/>
          <w:sz w:val="24"/>
          <w:szCs w:val="24"/>
          <w:highlight w:val="none"/>
          <w:lang w:eastAsia="zh-CN"/>
        </w:rPr>
        <w:t xml:space="preserve">岩体位于隆化县韩麻营乡鬼脸沟一带，岩石主要呈灰色—灰白色，半自形粒状结构，交代残留结构，块状构造。 </w:t>
      </w:r>
    </w:p>
    <w:p w14:paraId="344FE2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胡家窝铺变质石英闪长岩</w:t>
      </w:r>
      <w:r>
        <w:rPr>
          <w:rFonts w:hint="eastAsia"/>
          <w:sz w:val="24"/>
          <w:szCs w:val="24"/>
          <w:highlight w:val="none"/>
          <w:lang w:eastAsia="zh-CN"/>
        </w:rPr>
        <w:t>：</w:t>
      </w:r>
      <w:r>
        <w:rPr>
          <w:rFonts w:hint="default"/>
          <w:sz w:val="24"/>
          <w:szCs w:val="24"/>
          <w:highlight w:val="none"/>
          <w:lang w:eastAsia="zh-CN"/>
        </w:rPr>
        <w:t>位于隆化县二阳坡一带，岩石类型为变质石英闪长岩，岩石呈灰色—灰白色，变余中粒粒状结构，块状构造。</w:t>
      </w:r>
    </w:p>
    <w:p w14:paraId="0FC593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eastAsia"/>
          <w:sz w:val="24"/>
          <w:szCs w:val="24"/>
          <w:highlight w:val="none"/>
          <w:lang w:val="en-US" w:eastAsia="zh-CN"/>
        </w:rPr>
        <w:t>③</w:t>
      </w:r>
      <w:r>
        <w:rPr>
          <w:rFonts w:hint="default"/>
          <w:sz w:val="24"/>
          <w:szCs w:val="24"/>
          <w:highlight w:val="none"/>
          <w:lang w:eastAsia="zh-CN"/>
        </w:rPr>
        <w:t>中元古代侵入体</w:t>
      </w:r>
    </w:p>
    <w:p w14:paraId="47B918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大庙斜长岩</w:t>
      </w:r>
      <w:r>
        <w:rPr>
          <w:rFonts w:hint="eastAsia"/>
          <w:sz w:val="24"/>
          <w:szCs w:val="24"/>
          <w:highlight w:val="none"/>
          <w:lang w:eastAsia="zh-CN"/>
        </w:rPr>
        <w:t>：</w:t>
      </w:r>
      <w:r>
        <w:rPr>
          <w:rFonts w:hint="default"/>
          <w:sz w:val="24"/>
          <w:szCs w:val="24"/>
          <w:highlight w:val="none"/>
          <w:lang w:eastAsia="zh-CN"/>
        </w:rPr>
        <w:t>岩体位于隆化县大庙—大黑山一带。主要岩石类型为白色斜长石。岩石呈白色—瓷白色，中粗粒结构为主，斑状结构，交代残晶结构，块状构造，斑杂状、条带状构造。</w:t>
      </w:r>
    </w:p>
    <w:p w14:paraId="3DB8E7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平营子苏长—斜长岩</w:t>
      </w:r>
      <w:r>
        <w:rPr>
          <w:rFonts w:hint="eastAsia"/>
          <w:sz w:val="24"/>
          <w:szCs w:val="24"/>
          <w:highlight w:val="none"/>
          <w:lang w:eastAsia="zh-CN"/>
        </w:rPr>
        <w:t>：</w:t>
      </w:r>
      <w:r>
        <w:rPr>
          <w:rFonts w:hint="default"/>
          <w:sz w:val="24"/>
          <w:szCs w:val="24"/>
          <w:highlight w:val="none"/>
          <w:lang w:eastAsia="zh-CN"/>
        </w:rPr>
        <w:t>位于隆化县章吉营乡平营子一带。主要岩石类型为斜长岩，岩石呈灰黑色，中粗粒结构，斑状结构，块状构造。</w:t>
      </w:r>
    </w:p>
    <w:p w14:paraId="642C4E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川心店角闪石英正长岩</w:t>
      </w:r>
      <w:r>
        <w:rPr>
          <w:rFonts w:hint="eastAsia"/>
          <w:sz w:val="24"/>
          <w:szCs w:val="24"/>
          <w:highlight w:val="none"/>
          <w:lang w:eastAsia="zh-CN"/>
        </w:rPr>
        <w:t>：</w:t>
      </w:r>
      <w:r>
        <w:rPr>
          <w:rFonts w:hint="default"/>
          <w:sz w:val="24"/>
          <w:szCs w:val="24"/>
          <w:highlight w:val="none"/>
          <w:lang w:eastAsia="zh-CN"/>
        </w:rPr>
        <w:t>位于隆化县韩麻营乡川心店一带。岩石类型以角闪石英正长岩为主，岩石呈肉红色，花岗变晶结构，交代残留结构，块状构造。</w:t>
      </w:r>
    </w:p>
    <w:p w14:paraId="4D69C1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共和村斑状石英二长岩</w:t>
      </w:r>
      <w:r>
        <w:rPr>
          <w:rFonts w:hint="eastAsia"/>
          <w:sz w:val="24"/>
          <w:szCs w:val="24"/>
          <w:highlight w:val="none"/>
          <w:lang w:eastAsia="zh-CN"/>
        </w:rPr>
        <w:t>：</w:t>
      </w:r>
      <w:r>
        <w:rPr>
          <w:rFonts w:hint="default"/>
          <w:sz w:val="24"/>
          <w:szCs w:val="24"/>
          <w:highlight w:val="none"/>
          <w:lang w:eastAsia="zh-CN"/>
        </w:rPr>
        <w:t>位于隆化县韩麻营乡共和村一带。岩石类型均为斑状石英二长岩。岩石呈紫灰色—灰色，似斑状结构，块状构造。</w:t>
      </w:r>
    </w:p>
    <w:p w14:paraId="064131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大庙矿源苏长岩</w:t>
      </w:r>
      <w:r>
        <w:rPr>
          <w:rFonts w:hint="eastAsia"/>
          <w:sz w:val="24"/>
          <w:szCs w:val="24"/>
          <w:highlight w:val="none"/>
          <w:lang w:eastAsia="zh-CN"/>
        </w:rPr>
        <w:t>：</w:t>
      </w:r>
      <w:r>
        <w:rPr>
          <w:rFonts w:hint="default"/>
          <w:sz w:val="24"/>
          <w:szCs w:val="24"/>
          <w:highlight w:val="none"/>
          <w:lang w:eastAsia="zh-CN"/>
        </w:rPr>
        <w:t>主要分布于罗锅子沟大乌素沟，乌龙素沟、七家、大庙等地。岩石呈深灰色，粒状结构，每绵陨铁结构，块状构造。</w:t>
      </w:r>
    </w:p>
    <w:p w14:paraId="77B366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大旗梁尖二长岩—紫苏二长岩</w:t>
      </w:r>
      <w:r>
        <w:rPr>
          <w:rFonts w:hint="eastAsia"/>
          <w:sz w:val="24"/>
          <w:szCs w:val="24"/>
          <w:highlight w:val="none"/>
          <w:lang w:eastAsia="zh-CN"/>
        </w:rPr>
        <w:t>：</w:t>
      </w:r>
      <w:r>
        <w:rPr>
          <w:rFonts w:hint="default"/>
          <w:sz w:val="24"/>
          <w:szCs w:val="24"/>
          <w:highlight w:val="none"/>
          <w:lang w:eastAsia="zh-CN"/>
        </w:rPr>
        <w:t>位于隆化县韩麻营乡大旗梁尖一带。主要岩石类型为紫苏二长岩，岩石呈灰色—灰黑色，半自形中粒粒状结构，块状构造。</w:t>
      </w:r>
    </w:p>
    <w:p w14:paraId="59EAA0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eastAsia"/>
          <w:sz w:val="24"/>
          <w:szCs w:val="24"/>
          <w:highlight w:val="none"/>
          <w:lang w:val="en-US" w:eastAsia="zh-CN"/>
        </w:rPr>
        <w:t>④</w:t>
      </w:r>
      <w:r>
        <w:rPr>
          <w:rFonts w:hint="default"/>
          <w:sz w:val="24"/>
          <w:szCs w:val="24"/>
          <w:highlight w:val="none"/>
          <w:lang w:eastAsia="zh-CN"/>
        </w:rPr>
        <w:t>海西期侵入体</w:t>
      </w:r>
    </w:p>
    <w:p w14:paraId="27BF05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上孤山钾长闪长岩</w:t>
      </w:r>
      <w:r>
        <w:rPr>
          <w:rFonts w:hint="eastAsia"/>
          <w:sz w:val="24"/>
          <w:szCs w:val="24"/>
          <w:highlight w:val="none"/>
          <w:lang w:eastAsia="zh-CN"/>
        </w:rPr>
        <w:t>：</w:t>
      </w:r>
      <w:r>
        <w:rPr>
          <w:rFonts w:hint="default"/>
          <w:sz w:val="24"/>
          <w:szCs w:val="24"/>
          <w:highlight w:val="none"/>
          <w:lang w:eastAsia="zh-CN"/>
        </w:rPr>
        <w:t>位于隆化县韩麻营乡上孤山一带。岩石呈灰—浅灰色，半自形中粒粒状结构，块状构造。</w:t>
      </w:r>
    </w:p>
    <w:p w14:paraId="01DF8D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官地辉石角闪岩</w:t>
      </w:r>
      <w:r>
        <w:rPr>
          <w:rFonts w:hint="eastAsia"/>
          <w:sz w:val="24"/>
          <w:szCs w:val="24"/>
          <w:highlight w:val="none"/>
          <w:lang w:eastAsia="zh-CN"/>
        </w:rPr>
        <w:t>：</w:t>
      </w:r>
      <w:r>
        <w:rPr>
          <w:rFonts w:hint="default"/>
          <w:sz w:val="24"/>
          <w:szCs w:val="24"/>
          <w:highlight w:val="none"/>
          <w:lang w:eastAsia="zh-CN"/>
        </w:rPr>
        <w:t>位于隆化县韩麻营乡官地村北。岩石呈黑绿色，半自形中粒粒状结构，块状构造。</w:t>
      </w:r>
    </w:p>
    <w:p w14:paraId="2F5DC9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黄花沟花岗岩</w:t>
      </w:r>
      <w:r>
        <w:rPr>
          <w:rFonts w:hint="eastAsia"/>
          <w:sz w:val="24"/>
          <w:szCs w:val="24"/>
          <w:highlight w:val="none"/>
          <w:lang w:eastAsia="zh-CN"/>
        </w:rPr>
        <w:t>：</w:t>
      </w:r>
      <w:r>
        <w:rPr>
          <w:rFonts w:hint="default"/>
          <w:sz w:val="24"/>
          <w:szCs w:val="24"/>
          <w:highlight w:val="none"/>
          <w:lang w:eastAsia="zh-CN"/>
        </w:rPr>
        <w:t>位于隆化县韩麻营乡黄花沟一带。岩石呈浅肉红色、半自形粒状结构，块状构造。</w:t>
      </w:r>
    </w:p>
    <w:p w14:paraId="7051E0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eastAsia"/>
          <w:sz w:val="24"/>
          <w:szCs w:val="24"/>
          <w:highlight w:val="none"/>
          <w:lang w:val="en-US" w:eastAsia="zh-CN"/>
        </w:rPr>
        <w:t>⑤</w:t>
      </w:r>
      <w:r>
        <w:rPr>
          <w:rFonts w:hint="default"/>
          <w:sz w:val="24"/>
          <w:szCs w:val="24"/>
          <w:highlight w:val="none"/>
          <w:lang w:eastAsia="zh-CN"/>
        </w:rPr>
        <w:t>燕山期侵入体</w:t>
      </w:r>
    </w:p>
    <w:p w14:paraId="27DAC8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default"/>
          <w:sz w:val="24"/>
          <w:szCs w:val="24"/>
          <w:highlight w:val="none"/>
          <w:lang w:eastAsia="zh-CN"/>
        </w:rPr>
        <w:t>主要包括牌岔子及柏子沟正长斑岩体。岩石呈肉红色，斑状结构，块状构造。</w:t>
      </w:r>
    </w:p>
    <w:p w14:paraId="71AE1D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eastAsia="zh-CN"/>
        </w:rPr>
      </w:pPr>
      <w:r>
        <w:rPr>
          <w:rFonts w:hint="eastAsia"/>
          <w:sz w:val="24"/>
          <w:szCs w:val="24"/>
          <w:highlight w:val="none"/>
          <w:lang w:val="en-US" w:eastAsia="zh-CN"/>
        </w:rPr>
        <w:t>2、</w:t>
      </w:r>
      <w:r>
        <w:rPr>
          <w:rFonts w:hint="default"/>
          <w:sz w:val="24"/>
          <w:szCs w:val="24"/>
          <w:highlight w:val="none"/>
          <w:lang w:eastAsia="zh-CN"/>
        </w:rPr>
        <w:t>构造</w:t>
      </w:r>
    </w:p>
    <w:p w14:paraId="16EC09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default"/>
          <w:sz w:val="24"/>
          <w:szCs w:val="24"/>
          <w:highlight w:val="none"/>
          <w:lang w:eastAsia="zh-CN"/>
        </w:rPr>
        <w:t>区域断裂构造较发育，主要是东西向丰宁—隆化深断裂及燕山期北东向和北西向断裂。东西向深断裂继承性多期活动，生成于新太古末期，它控制了中、上元古界地层的发育和海西期岩浆侵入活动，燕山期继承性活动，使长城系地层逆冲到侏罗系、白垩系地层之上。燕山期构造运动形成的断陷盆地，控制了中生界地层的沉积，侏罗系—白垩系地层自东向西依次排列，总体走向北东，倾向北西</w:t>
      </w:r>
      <w:r>
        <w:rPr>
          <w:rFonts w:hint="eastAsia"/>
          <w:sz w:val="24"/>
          <w:szCs w:val="24"/>
          <w:highlight w:val="none"/>
          <w:lang w:eastAsia="zh-CN"/>
        </w:rPr>
        <w:t>。</w:t>
      </w:r>
    </w:p>
    <w:p w14:paraId="1936DD9F">
      <w:pPr>
        <w:pStyle w:val="7"/>
        <w:adjustRightInd w:val="0"/>
        <w:snapToGrid w:val="0"/>
        <w:spacing w:before="120" w:beforeLines="50" w:after="0" w:line="360" w:lineRule="auto"/>
        <w:rPr>
          <w:rFonts w:ascii="Times New Roman" w:hAnsi="Times New Roman" w:eastAsia="宋体"/>
          <w:sz w:val="24"/>
          <w:szCs w:val="24"/>
          <w:highlight w:val="none"/>
        </w:rPr>
      </w:pPr>
      <w:r>
        <w:rPr>
          <w:rFonts w:hint="eastAsia" w:ascii="Times New Roman" w:hAnsi="Times New Roman" w:eastAsia="宋体"/>
          <w:sz w:val="24"/>
          <w:szCs w:val="24"/>
          <w:highlight w:val="none"/>
          <w:lang w:val="en-US" w:eastAsia="zh-CN"/>
        </w:rPr>
        <w:t>项目区</w:t>
      </w:r>
      <w:r>
        <w:rPr>
          <w:rFonts w:ascii="Times New Roman" w:hAnsi="Times New Roman" w:eastAsia="宋体"/>
          <w:sz w:val="24"/>
          <w:szCs w:val="24"/>
          <w:highlight w:val="none"/>
        </w:rPr>
        <w:t>水文地质</w:t>
      </w:r>
      <w:r>
        <w:rPr>
          <w:rFonts w:hint="eastAsia" w:ascii="Times New Roman" w:hAnsi="Times New Roman" w:eastAsia="宋体"/>
          <w:sz w:val="24"/>
          <w:szCs w:val="24"/>
          <w:highlight w:val="none"/>
          <w:lang w:val="en-US" w:eastAsia="zh-CN"/>
        </w:rPr>
        <w:t>条件</w:t>
      </w:r>
    </w:p>
    <w:p w14:paraId="5B2ED6A2">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bookmarkStart w:id="302" w:name="_Toc21443"/>
      <w:bookmarkStart w:id="303" w:name="_Toc10642"/>
      <w:r>
        <w:rPr>
          <w:rFonts w:hint="eastAsia"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含水层岩性、厚度、分布及埋藏条件</w:t>
      </w:r>
    </w:p>
    <w:p w14:paraId="6844A34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cs="仿宋_GB2312"/>
          <w:sz w:val="24"/>
          <w:szCs w:val="24"/>
          <w:highlight w:val="none"/>
        </w:rPr>
        <w:t>根据本区含水层特性和地下水埋藏条件，</w:t>
      </w:r>
      <w:r>
        <w:rPr>
          <w:rFonts w:hint="default" w:ascii="Times New Roman" w:hAnsi="Times New Roman" w:eastAsia="宋体" w:cs="Times New Roman"/>
          <w:color w:val="auto"/>
          <w:sz w:val="24"/>
          <w:szCs w:val="24"/>
          <w:highlight w:val="none"/>
          <w:lang w:val="en-US" w:eastAsia="zh-CN"/>
        </w:rPr>
        <w:t>第四系松散层孔隙水（Ⅰ）、风化带网状裂隙水（Ⅱ）两个含水岩组</w:t>
      </w:r>
      <w:r>
        <w:rPr>
          <w:rFonts w:hint="eastAsia" w:cs="Times New Roman"/>
          <w:color w:val="auto"/>
          <w:sz w:val="24"/>
          <w:szCs w:val="24"/>
          <w:highlight w:val="none"/>
          <w:lang w:val="en-US" w:eastAsia="zh-CN"/>
        </w:rPr>
        <w:t>。</w:t>
      </w:r>
    </w:p>
    <w:p w14:paraId="60878A0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（1）第四系松散岩类孔隙含水岩组（I）</w:t>
      </w:r>
    </w:p>
    <w:p w14:paraId="67771D9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①</w:t>
      </w:r>
      <w:r>
        <w:rPr>
          <w:rFonts w:hint="default" w:ascii="Times New Roman" w:hAnsi="Times New Roman" w:eastAsia="宋体" w:cs="Times New Roman"/>
          <w:color w:val="auto"/>
          <w:sz w:val="24"/>
          <w:szCs w:val="24"/>
          <w:highlight w:val="none"/>
          <w:lang w:val="en-US" w:eastAsia="zh-CN"/>
        </w:rPr>
        <w:t>第四系全新统冲积洪积物孔隙水含水岩组</w:t>
      </w:r>
    </w:p>
    <w:p w14:paraId="357376A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含水层岩性以全新统冲积物为主，广泛分布于评价区沟谷之中，含水层岩性以砂砾石为主，并含有一定的泥质成分，厚度一般小于10m。而上覆的包气带厚度增大，一般大于5m，岩性以亚粘土、亚砂土为主，加之地势相对升高，汇水面积减小，所以富水程度相对减弱，结合区域水文地质资料</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单井涌水量在182.9</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796.2m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/d之间，为中等富水区。经实地调查，水位埋深一般为4.50</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6.00m。</w:t>
      </w:r>
    </w:p>
    <w:p w14:paraId="3BF2D52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②</w:t>
      </w:r>
      <w:r>
        <w:rPr>
          <w:rFonts w:hint="default" w:ascii="Times New Roman" w:hAnsi="Times New Roman" w:eastAsia="宋体" w:cs="Times New Roman"/>
          <w:color w:val="auto"/>
          <w:sz w:val="24"/>
          <w:szCs w:val="24"/>
          <w:highlight w:val="none"/>
          <w:lang w:val="en-US" w:eastAsia="zh-CN"/>
        </w:rPr>
        <w:t>第四系人工堆积物孔隙水含水岩组</w:t>
      </w:r>
    </w:p>
    <w:p w14:paraId="57BB8B5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分布于</w:t>
      </w:r>
      <w:r>
        <w:rPr>
          <w:rFonts w:hint="eastAsia" w:cs="Times New Roman"/>
          <w:color w:val="auto"/>
          <w:sz w:val="24"/>
          <w:szCs w:val="24"/>
          <w:highlight w:val="none"/>
          <w:lang w:val="en-US" w:eastAsia="zh-CN"/>
        </w:rPr>
        <w:t>东北沟尾矿库</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cs="Times New Roman"/>
          <w:color w:val="auto"/>
          <w:sz w:val="24"/>
          <w:szCs w:val="24"/>
          <w:highlight w:val="none"/>
          <w:lang w:val="en-US" w:eastAsia="zh-CN"/>
        </w:rPr>
        <w:t>主要由常年选矿排出的尾砂组成，岩性主要为尾矿砂，厚度约5.00～</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lang w:val="en-US" w:eastAsia="zh-CN"/>
        </w:rPr>
        <w:t>0.00m，为透水不含水层。含水层富水性为弱富水性，属于水量贫乏区，</w:t>
      </w:r>
      <w:r>
        <w:rPr>
          <w:rFonts w:hint="default" w:ascii="Times New Roman" w:hAnsi="Times New Roman" w:eastAsia="宋体" w:cs="Times New Roman"/>
          <w:color w:val="auto"/>
          <w:sz w:val="24"/>
          <w:szCs w:val="24"/>
          <w:highlight w:val="none"/>
          <w:lang w:val="en-US" w:eastAsia="zh-CN"/>
        </w:rPr>
        <w:t>渗透系数经验值为K=3×10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cm/s，</w:t>
      </w:r>
      <w:r>
        <w:rPr>
          <w:rFonts w:hint="default" w:ascii="Times New Roman" w:hAnsi="Times New Roman" w:cs="Times New Roman"/>
          <w:color w:val="auto"/>
          <w:sz w:val="24"/>
          <w:szCs w:val="24"/>
          <w:highlight w:val="none"/>
          <w:lang w:val="en-US" w:eastAsia="zh-CN"/>
        </w:rPr>
        <w:t>主要接受大气降雨补给</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向下游径流在尾矿库初期坝位置通过排洪管道排出地表</w:t>
      </w:r>
      <w:r>
        <w:rPr>
          <w:rFonts w:hint="eastAsia" w:cs="Times New Roman"/>
          <w:color w:val="auto"/>
          <w:sz w:val="24"/>
          <w:szCs w:val="24"/>
          <w:highlight w:val="none"/>
          <w:lang w:val="en-US" w:eastAsia="zh-CN"/>
        </w:rPr>
        <w:t>。</w:t>
      </w:r>
    </w:p>
    <w:p w14:paraId="33F880F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2）太古界白庙组片麻岩风化带网状裂隙含水岩组（II）</w:t>
      </w:r>
    </w:p>
    <w:p w14:paraId="3A88ACD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大面出露于沟谷两侧基岩山地，含水层岩性主要为片麻岩。其水力性质以潜水为主。地下水接受补给后，主要赋存风化带网状裂隙之中，以面状流径流，于沟谷切割处或坡脚自然泄出，结合区域水文地质资料，该类含水岩组泉流量一般在0.12-1.00L/S之间，属水量中等区</w:t>
      </w:r>
      <w:r>
        <w:rPr>
          <w:rFonts w:hint="eastAsia" w:cs="Times New Roman"/>
          <w:color w:val="auto"/>
          <w:sz w:val="24"/>
          <w:szCs w:val="24"/>
          <w:highlight w:val="none"/>
          <w:lang w:val="en-US" w:eastAsia="zh-CN"/>
        </w:rPr>
        <w:t>。</w:t>
      </w:r>
    </w:p>
    <w:p w14:paraId="0F945B95">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包气带岩性、厚度、渗透系数</w:t>
      </w:r>
    </w:p>
    <w:p w14:paraId="01F61B3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第四系人工堆积尾中砂包气带</w:t>
      </w:r>
    </w:p>
    <w:p w14:paraId="53F63BB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分布于东北沟</w:t>
      </w:r>
      <w:r>
        <w:rPr>
          <w:rFonts w:hint="eastAsia" w:cs="Times New Roman"/>
          <w:color w:val="auto"/>
          <w:sz w:val="24"/>
          <w:szCs w:val="24"/>
          <w:highlight w:val="none"/>
          <w:lang w:val="en-US" w:eastAsia="zh-CN"/>
        </w:rPr>
        <w:t>尾矿库</w:t>
      </w:r>
      <w:r>
        <w:rPr>
          <w:rFonts w:hint="default" w:ascii="Times New Roman" w:hAnsi="Times New Roman" w:eastAsia="宋体" w:cs="Times New Roman"/>
          <w:color w:val="auto"/>
          <w:sz w:val="24"/>
          <w:szCs w:val="24"/>
          <w:highlight w:val="none"/>
          <w:lang w:val="en-US" w:eastAsia="zh-CN"/>
        </w:rPr>
        <w:t>内，岩性以尾中砂为主，层底标高变化范围601.90</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746.80m，结合坝体稳定性分析报告中对其进行的野外单环注水试验可知其渗透系数为3.9×10</w:t>
      </w:r>
      <w:r>
        <w:rPr>
          <w:rFonts w:hint="default" w:ascii="Times New Roman" w:hAnsi="Times New Roman" w:eastAsia="宋体"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4.6×10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cm/s。</w:t>
      </w:r>
    </w:p>
    <w:p w14:paraId="4CEEC61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太古界白庙组片麻岩中包气带</w:t>
      </w:r>
    </w:p>
    <w:p w14:paraId="74444F1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太古界白庙组片麻岩中包气带，分布于项目区基岩山坡之上，主要岩性以全风化片麻岩为主，厚度约为3.20～8.20m</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结合岩土工程勘察对其进行的钻孔压水试验可知，渗透系数为5.05×10</w:t>
      </w:r>
      <w:r>
        <w:rPr>
          <w:rFonts w:hint="default" w:ascii="Times New Roman" w:hAnsi="Times New Roman" w:eastAsia="宋体" w:cs="Times New Roman"/>
          <w:color w:val="auto"/>
          <w:sz w:val="24"/>
          <w:szCs w:val="24"/>
          <w:highlight w:val="none"/>
          <w:vertAlign w:val="superscript"/>
          <w:lang w:val="en-US" w:eastAsia="zh-CN"/>
        </w:rPr>
        <w:t>-4</w:t>
      </w:r>
      <w:r>
        <w:rPr>
          <w:rFonts w:hint="default" w:ascii="Times New Roman" w:hAnsi="Times New Roman" w:eastAsia="宋体" w:cs="Times New Roman"/>
          <w:color w:val="auto"/>
          <w:sz w:val="24"/>
          <w:szCs w:val="24"/>
          <w:highlight w:val="none"/>
          <w:lang w:val="en-US" w:eastAsia="zh-CN"/>
        </w:rPr>
        <w:t>cm/s</w:t>
      </w:r>
      <w:r>
        <w:rPr>
          <w:rFonts w:hint="eastAsia" w:cs="Times New Roman"/>
          <w:color w:val="auto"/>
          <w:sz w:val="24"/>
          <w:szCs w:val="24"/>
          <w:highlight w:val="none"/>
          <w:lang w:val="en-US" w:eastAsia="zh-CN"/>
        </w:rPr>
        <w:t>。</w:t>
      </w:r>
    </w:p>
    <w:p w14:paraId="552C460E">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隔水层岩性、厚度、渗透系数</w:t>
      </w:r>
    </w:p>
    <w:p w14:paraId="1102DC5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区内中风化基岩裂隙带可视为相对稳定的隔水层，岩性主要为片麻岩，埋深一般大于10m，结合岩土工程勘察报告对其进行的钻孔压水试验可知其渗透系数为8.55×10</w:t>
      </w:r>
      <w:r>
        <w:rPr>
          <w:rFonts w:hint="default" w:ascii="Times New Roman" w:hAnsi="Times New Roman" w:eastAsia="宋体"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lang w:val="en-US" w:eastAsia="zh-CN"/>
        </w:rPr>
        <w:t>cm/s。</w:t>
      </w:r>
    </w:p>
    <w:p w14:paraId="1F9FCD67">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地下水补、径、排条件</w:t>
      </w:r>
    </w:p>
    <w:p w14:paraId="75F6DFD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区处于分水岭汇水区内，地下水以大气降水和侧向径流为其主要补给源，降水通过裸露基岩的风化裂隙带和第四系松散堆积层孔隙渗入地下，形成地下径流以潜流的形式向下游排泄。含水层及包气带地层均为粗颗粒地层，项目区地下水径流由西向东方向。排泄方式主要为地表径流和人工开采。</w:t>
      </w:r>
    </w:p>
    <w:p w14:paraId="6C8B8521">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地下水动态特征</w:t>
      </w:r>
    </w:p>
    <w:p w14:paraId="611BEAC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区内地下水的年变幅为1.50～2.00m，最高水位一般出现在八、九月份，最低水位出现在每年的四、五月间，即水位年变化与气象要素的周期性变化有关。一般情况地下水位升高滞后于降雨10-15天。</w:t>
      </w:r>
    </w:p>
    <w:p w14:paraId="03B295F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szCs w:val="24"/>
          <w:highlight w:val="none"/>
        </w:rPr>
      </w:pPr>
      <w:r>
        <w:rPr>
          <w:rFonts w:hint="eastAsia" w:ascii="Times New Roman" w:hAnsi="Times New Roman"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水位调查</w:t>
      </w:r>
    </w:p>
    <w:p w14:paraId="62AD72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地下水统测目的在于查明勘查区边界条件及地下径流场特征，是地下水资源计算与评价的基础工作。统测点的选布</w:t>
      </w:r>
      <w:r>
        <w:rPr>
          <w:rFonts w:hint="default" w:ascii="Times New Roman" w:hAnsi="Times New Roman" w:cs="Times New Roman"/>
          <w:color w:val="auto"/>
          <w:sz w:val="24"/>
          <w:szCs w:val="24"/>
          <w:highlight w:val="none"/>
          <w:lang w:val="en-US" w:eastAsia="zh-CN"/>
        </w:rPr>
        <w:t>既</w:t>
      </w:r>
      <w:r>
        <w:rPr>
          <w:rFonts w:hint="default" w:ascii="Times New Roman" w:hAnsi="Times New Roman" w:eastAsia="宋体" w:cs="Times New Roman"/>
          <w:color w:val="auto"/>
          <w:sz w:val="24"/>
          <w:szCs w:val="24"/>
          <w:highlight w:val="none"/>
          <w:lang w:val="en-US" w:eastAsia="zh-CN"/>
        </w:rPr>
        <w:t>要能控制不同的地貌单元和边界，又要兼顾掌握不同含水层类型。</w:t>
      </w:r>
    </w:p>
    <w:p w14:paraId="5AEC85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本次工作选取14个水点作为地下水</w:t>
      </w:r>
      <w:r>
        <w:rPr>
          <w:rFonts w:hint="eastAsia" w:cs="Times New Roman"/>
          <w:color w:val="auto"/>
          <w:sz w:val="24"/>
          <w:szCs w:val="24"/>
          <w:highlight w:val="none"/>
          <w:lang w:val="en-US" w:eastAsia="zh-CN"/>
        </w:rPr>
        <w:t>水位</w:t>
      </w:r>
      <w:r>
        <w:rPr>
          <w:rFonts w:hint="default" w:ascii="Times New Roman" w:hAnsi="Times New Roman" w:cs="Times New Roman"/>
          <w:color w:val="auto"/>
          <w:sz w:val="24"/>
          <w:szCs w:val="24"/>
          <w:highlight w:val="none"/>
          <w:lang w:val="en-US" w:eastAsia="zh-CN"/>
        </w:rPr>
        <w:t>监测点</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分别于2024年9月、2025年3月</w:t>
      </w:r>
      <w:r>
        <w:rPr>
          <w:rFonts w:hint="default" w:ascii="Times New Roman" w:hAnsi="Times New Roman" w:eastAsia="宋体" w:cs="Times New Roman"/>
          <w:color w:val="auto"/>
          <w:sz w:val="24"/>
          <w:szCs w:val="24"/>
          <w:highlight w:val="none"/>
          <w:lang w:val="en-US" w:eastAsia="zh-CN"/>
        </w:rPr>
        <w:t>进行了丰水期</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枯水期水位观测，</w:t>
      </w:r>
      <w:r>
        <w:rPr>
          <w:rFonts w:hint="eastAsia" w:cs="Times New Roman"/>
          <w:color w:val="auto"/>
          <w:sz w:val="24"/>
          <w:szCs w:val="24"/>
          <w:highlight w:val="none"/>
          <w:lang w:val="en-US" w:eastAsia="zh-CN"/>
        </w:rPr>
        <w:t>水位调查结果</w:t>
      </w:r>
      <w:r>
        <w:rPr>
          <w:rFonts w:hint="default" w:ascii="Times New Roman" w:hAnsi="Times New Roman" w:eastAsia="宋体" w:cs="Times New Roman"/>
          <w:color w:val="auto"/>
          <w:sz w:val="24"/>
          <w:szCs w:val="24"/>
          <w:highlight w:val="none"/>
          <w:lang w:val="en-US" w:eastAsia="zh-CN"/>
        </w:rPr>
        <w:t>见下表。</w:t>
      </w:r>
    </w:p>
    <w:bookmarkEnd w:id="302"/>
    <w:bookmarkEnd w:id="303"/>
    <w:p w14:paraId="37B87FA9">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color w:val="auto"/>
          <w:sz w:val="21"/>
          <w:szCs w:val="21"/>
          <w:highlight w:val="none"/>
        </w:rPr>
      </w:pPr>
      <w:r>
        <w:rPr>
          <w:rFonts w:ascii="Times New Roman" w:eastAsia="宋体"/>
          <w:b/>
          <w:color w:val="auto"/>
          <w:sz w:val="21"/>
          <w:szCs w:val="21"/>
          <w:highlight w:val="none"/>
        </w:rPr>
        <w:t>水点调查结果表</w:t>
      </w:r>
    </w:p>
    <w:tbl>
      <w:tblPr>
        <w:tblStyle w:val="58"/>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578"/>
        <w:gridCol w:w="861"/>
        <w:gridCol w:w="1843"/>
        <w:gridCol w:w="1669"/>
        <w:gridCol w:w="840"/>
        <w:gridCol w:w="677"/>
        <w:gridCol w:w="698"/>
        <w:gridCol w:w="556"/>
        <w:gridCol w:w="617"/>
      </w:tblGrid>
      <w:tr w14:paraId="6938BA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vMerge w:val="restart"/>
            <w:tcBorders>
              <w:tl2br w:val="nil"/>
              <w:tr2bl w:val="nil"/>
            </w:tcBorders>
            <w:tcMar>
              <w:top w:w="15" w:type="dxa"/>
              <w:left w:w="15" w:type="dxa"/>
              <w:right w:w="15" w:type="dxa"/>
            </w:tcMar>
            <w:vAlign w:val="center"/>
          </w:tcPr>
          <w:p w14:paraId="40E8B176">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编号</w:t>
            </w:r>
          </w:p>
        </w:tc>
        <w:tc>
          <w:tcPr>
            <w:tcW w:w="516" w:type="pct"/>
            <w:vMerge w:val="restart"/>
            <w:tcBorders>
              <w:tl2br w:val="nil"/>
              <w:tr2bl w:val="nil"/>
            </w:tcBorders>
            <w:tcMar>
              <w:top w:w="15" w:type="dxa"/>
              <w:left w:w="15" w:type="dxa"/>
              <w:right w:w="15" w:type="dxa"/>
            </w:tcMar>
            <w:vAlign w:val="center"/>
          </w:tcPr>
          <w:p w14:paraId="792C614C">
            <w:pPr>
              <w:widowControl/>
              <w:adjustRightInd w:val="0"/>
              <w:snapToGrid w:val="0"/>
              <w:spacing w:line="240" w:lineRule="auto"/>
              <w:ind w:firstLine="0" w:firstLineChars="0"/>
              <w:jc w:val="center"/>
              <w:textAlignment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位置</w:t>
            </w:r>
          </w:p>
        </w:tc>
        <w:tc>
          <w:tcPr>
            <w:tcW w:w="2105" w:type="pct"/>
            <w:gridSpan w:val="2"/>
            <w:vMerge w:val="restart"/>
            <w:tcBorders>
              <w:tl2br w:val="nil"/>
              <w:tr2bl w:val="nil"/>
            </w:tcBorders>
            <w:tcMar>
              <w:top w:w="15" w:type="dxa"/>
              <w:left w:w="15" w:type="dxa"/>
              <w:right w:w="15" w:type="dxa"/>
            </w:tcMar>
            <w:vAlign w:val="center"/>
          </w:tcPr>
          <w:p w14:paraId="2EA562D0">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cs="Times New Roman"/>
                <w:b/>
                <w:bCs/>
                <w:color w:val="auto"/>
                <w:kern w:val="0"/>
                <w:sz w:val="21"/>
                <w:szCs w:val="21"/>
                <w:highlight w:val="none"/>
                <w:lang w:val="en-US" w:eastAsia="zh-CN"/>
              </w:rPr>
              <w:t>坐标（国家2000坐标系）</w:t>
            </w:r>
          </w:p>
        </w:tc>
        <w:tc>
          <w:tcPr>
            <w:tcW w:w="503" w:type="pct"/>
            <w:vMerge w:val="restart"/>
            <w:tcBorders>
              <w:tl2br w:val="nil"/>
              <w:tr2bl w:val="nil"/>
            </w:tcBorders>
            <w:tcMar>
              <w:top w:w="15" w:type="dxa"/>
              <w:left w:w="15" w:type="dxa"/>
              <w:right w:w="15" w:type="dxa"/>
            </w:tcMar>
            <w:vAlign w:val="center"/>
          </w:tcPr>
          <w:p w14:paraId="37035275">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井口标高</w:t>
            </w:r>
            <w:r>
              <w:rPr>
                <w:rFonts w:hint="default" w:ascii="Times New Roman" w:hAnsi="Times New Roman" w:cs="Times New Roman"/>
                <w:b/>
                <w:bCs/>
                <w:color w:val="auto"/>
                <w:kern w:val="0"/>
                <w:sz w:val="21"/>
                <w:szCs w:val="21"/>
                <w:highlight w:val="none"/>
                <w:lang w:eastAsia="zh-CN"/>
              </w:rPr>
              <w:t>（</w:t>
            </w:r>
            <w:r>
              <w:rPr>
                <w:rFonts w:hint="default" w:ascii="Times New Roman" w:hAnsi="Times New Roman" w:eastAsia="宋体" w:cs="Times New Roman"/>
                <w:b/>
                <w:bCs/>
                <w:color w:val="auto"/>
                <w:kern w:val="0"/>
                <w:sz w:val="21"/>
                <w:szCs w:val="21"/>
                <w:highlight w:val="none"/>
              </w:rPr>
              <w:t>m</w:t>
            </w:r>
            <w:r>
              <w:rPr>
                <w:rFonts w:hint="default" w:ascii="Times New Roman" w:hAnsi="Times New Roman" w:cs="Times New Roman"/>
                <w:b/>
                <w:bCs/>
                <w:color w:val="auto"/>
                <w:kern w:val="0"/>
                <w:sz w:val="21"/>
                <w:szCs w:val="21"/>
                <w:highlight w:val="none"/>
                <w:lang w:eastAsia="zh-CN"/>
              </w:rPr>
              <w:t>）</w:t>
            </w:r>
          </w:p>
        </w:tc>
        <w:tc>
          <w:tcPr>
            <w:tcW w:w="824" w:type="pct"/>
            <w:gridSpan w:val="2"/>
            <w:tcBorders>
              <w:tl2br w:val="nil"/>
              <w:tr2bl w:val="nil"/>
            </w:tcBorders>
            <w:tcMar>
              <w:top w:w="15" w:type="dxa"/>
              <w:left w:w="15" w:type="dxa"/>
              <w:right w:w="15" w:type="dxa"/>
            </w:tcMar>
            <w:vAlign w:val="center"/>
          </w:tcPr>
          <w:p w14:paraId="0363216D">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水位埋深m</w:t>
            </w:r>
          </w:p>
        </w:tc>
        <w:tc>
          <w:tcPr>
            <w:tcW w:w="333" w:type="pct"/>
            <w:vMerge w:val="restart"/>
            <w:tcBorders>
              <w:tl2br w:val="nil"/>
              <w:tr2bl w:val="nil"/>
            </w:tcBorders>
            <w:tcMar>
              <w:top w:w="15" w:type="dxa"/>
              <w:left w:w="15" w:type="dxa"/>
              <w:right w:w="15" w:type="dxa"/>
            </w:tcMar>
            <w:vAlign w:val="center"/>
          </w:tcPr>
          <w:p w14:paraId="58587A21">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井深</w:t>
            </w:r>
            <w:r>
              <w:rPr>
                <w:rFonts w:hint="default" w:ascii="Times New Roman" w:hAnsi="Times New Roman" w:cs="Times New Roman"/>
                <w:b/>
                <w:bCs/>
                <w:color w:val="auto"/>
                <w:kern w:val="0"/>
                <w:sz w:val="21"/>
                <w:szCs w:val="21"/>
                <w:highlight w:val="none"/>
                <w:lang w:eastAsia="zh-CN"/>
              </w:rPr>
              <w:t>（</w:t>
            </w:r>
            <w:r>
              <w:rPr>
                <w:rFonts w:hint="default" w:ascii="Times New Roman" w:hAnsi="Times New Roman" w:eastAsia="宋体" w:cs="Times New Roman"/>
                <w:b/>
                <w:bCs/>
                <w:color w:val="auto"/>
                <w:kern w:val="0"/>
                <w:sz w:val="21"/>
                <w:szCs w:val="21"/>
                <w:highlight w:val="none"/>
              </w:rPr>
              <w:t>m</w:t>
            </w:r>
            <w:r>
              <w:rPr>
                <w:rFonts w:hint="default" w:ascii="Times New Roman" w:hAnsi="Times New Roman" w:cs="Times New Roman"/>
                <w:b/>
                <w:bCs/>
                <w:color w:val="auto"/>
                <w:kern w:val="0"/>
                <w:sz w:val="21"/>
                <w:szCs w:val="21"/>
                <w:highlight w:val="none"/>
                <w:lang w:eastAsia="zh-CN"/>
              </w:rPr>
              <w:t>）</w:t>
            </w:r>
          </w:p>
        </w:tc>
        <w:tc>
          <w:tcPr>
            <w:tcW w:w="369" w:type="pct"/>
            <w:vMerge w:val="restart"/>
            <w:tcBorders>
              <w:tl2br w:val="nil"/>
              <w:tr2bl w:val="nil"/>
            </w:tcBorders>
            <w:tcMar>
              <w:top w:w="15" w:type="dxa"/>
              <w:left w:w="15" w:type="dxa"/>
              <w:right w:w="15" w:type="dxa"/>
            </w:tcMar>
            <w:vAlign w:val="center"/>
          </w:tcPr>
          <w:p w14:paraId="43F0D039">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主要功能</w:t>
            </w:r>
          </w:p>
        </w:tc>
      </w:tr>
      <w:tr w14:paraId="21B47F5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vMerge w:val="continue"/>
            <w:tcBorders>
              <w:tl2br w:val="nil"/>
              <w:tr2bl w:val="nil"/>
            </w:tcBorders>
            <w:tcMar>
              <w:top w:w="15" w:type="dxa"/>
              <w:left w:w="15" w:type="dxa"/>
              <w:right w:w="15" w:type="dxa"/>
            </w:tcMar>
            <w:vAlign w:val="center"/>
          </w:tcPr>
          <w:p w14:paraId="4418F284">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p>
        </w:tc>
        <w:tc>
          <w:tcPr>
            <w:tcW w:w="516" w:type="pct"/>
            <w:vMerge w:val="continue"/>
            <w:tcBorders>
              <w:tl2br w:val="nil"/>
              <w:tr2bl w:val="nil"/>
            </w:tcBorders>
            <w:tcMar>
              <w:top w:w="15" w:type="dxa"/>
              <w:left w:w="15" w:type="dxa"/>
              <w:right w:w="15" w:type="dxa"/>
            </w:tcMar>
            <w:vAlign w:val="center"/>
          </w:tcPr>
          <w:p w14:paraId="41A1A58A">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p>
        </w:tc>
        <w:tc>
          <w:tcPr>
            <w:tcW w:w="2105" w:type="pct"/>
            <w:gridSpan w:val="2"/>
            <w:vMerge w:val="continue"/>
            <w:tcBorders>
              <w:tl2br w:val="nil"/>
              <w:tr2bl w:val="nil"/>
            </w:tcBorders>
            <w:tcMar>
              <w:top w:w="15" w:type="dxa"/>
              <w:left w:w="15" w:type="dxa"/>
              <w:right w:w="15" w:type="dxa"/>
            </w:tcMar>
            <w:vAlign w:val="center"/>
          </w:tcPr>
          <w:p w14:paraId="4590CA5C">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p>
        </w:tc>
        <w:tc>
          <w:tcPr>
            <w:tcW w:w="503" w:type="pct"/>
            <w:vMerge w:val="continue"/>
            <w:tcBorders>
              <w:tl2br w:val="nil"/>
              <w:tr2bl w:val="nil"/>
            </w:tcBorders>
            <w:tcMar>
              <w:top w:w="15" w:type="dxa"/>
              <w:left w:w="15" w:type="dxa"/>
              <w:right w:w="15" w:type="dxa"/>
            </w:tcMar>
            <w:vAlign w:val="center"/>
          </w:tcPr>
          <w:p w14:paraId="7E6D4EDC">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p>
        </w:tc>
        <w:tc>
          <w:tcPr>
            <w:tcW w:w="405" w:type="pct"/>
            <w:tcBorders>
              <w:tl2br w:val="nil"/>
              <w:tr2bl w:val="nil"/>
            </w:tcBorders>
            <w:tcMar>
              <w:top w:w="15" w:type="dxa"/>
              <w:left w:w="15" w:type="dxa"/>
              <w:right w:w="15" w:type="dxa"/>
            </w:tcMar>
            <w:vAlign w:val="center"/>
          </w:tcPr>
          <w:p w14:paraId="689F96EB">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2024.9</w:t>
            </w:r>
          </w:p>
        </w:tc>
        <w:tc>
          <w:tcPr>
            <w:tcW w:w="418" w:type="pct"/>
            <w:tcBorders>
              <w:tl2br w:val="nil"/>
              <w:tr2bl w:val="nil"/>
            </w:tcBorders>
            <w:tcMar>
              <w:top w:w="15" w:type="dxa"/>
              <w:left w:w="15" w:type="dxa"/>
              <w:right w:w="15" w:type="dxa"/>
            </w:tcMar>
            <w:vAlign w:val="center"/>
          </w:tcPr>
          <w:p w14:paraId="536BF70F">
            <w:pPr>
              <w:widowControl/>
              <w:adjustRightInd w:val="0"/>
              <w:snapToGrid w:val="0"/>
              <w:spacing w:line="240" w:lineRule="auto"/>
              <w:ind w:firstLine="0" w:firstLineChars="0"/>
              <w:jc w:val="center"/>
              <w:textAlignment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202</w:t>
            </w:r>
            <w:r>
              <w:rPr>
                <w:rFonts w:hint="eastAsia" w:cs="Times New Roman"/>
                <w:b/>
                <w:bCs/>
                <w:color w:val="auto"/>
                <w:kern w:val="0"/>
                <w:sz w:val="21"/>
                <w:szCs w:val="21"/>
                <w:highlight w:val="none"/>
                <w:lang w:val="en-US" w:eastAsia="zh-CN"/>
              </w:rPr>
              <w:t>5</w:t>
            </w:r>
            <w:r>
              <w:rPr>
                <w:rFonts w:hint="default" w:ascii="Times New Roman" w:hAnsi="Times New Roman" w:cs="Times New Roman"/>
                <w:b/>
                <w:bCs/>
                <w:color w:val="auto"/>
                <w:kern w:val="0"/>
                <w:sz w:val="21"/>
                <w:szCs w:val="21"/>
                <w:highlight w:val="none"/>
                <w:lang w:val="en-US" w:eastAsia="zh-CN"/>
              </w:rPr>
              <w:t>.</w:t>
            </w:r>
            <w:r>
              <w:rPr>
                <w:rFonts w:hint="eastAsia" w:cs="Times New Roman"/>
                <w:b/>
                <w:bCs/>
                <w:color w:val="auto"/>
                <w:kern w:val="0"/>
                <w:sz w:val="21"/>
                <w:szCs w:val="21"/>
                <w:highlight w:val="none"/>
                <w:lang w:val="en-US" w:eastAsia="zh-CN"/>
              </w:rPr>
              <w:t>4</w:t>
            </w:r>
          </w:p>
        </w:tc>
        <w:tc>
          <w:tcPr>
            <w:tcW w:w="333" w:type="pct"/>
            <w:vMerge w:val="continue"/>
            <w:tcBorders>
              <w:tl2br w:val="nil"/>
              <w:tr2bl w:val="nil"/>
            </w:tcBorders>
            <w:tcMar>
              <w:top w:w="15" w:type="dxa"/>
              <w:left w:w="15" w:type="dxa"/>
              <w:right w:w="15" w:type="dxa"/>
            </w:tcMar>
            <w:vAlign w:val="center"/>
          </w:tcPr>
          <w:p w14:paraId="6831C176">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p>
        </w:tc>
        <w:tc>
          <w:tcPr>
            <w:tcW w:w="369" w:type="pct"/>
            <w:vMerge w:val="continue"/>
            <w:tcBorders>
              <w:tl2br w:val="nil"/>
              <w:tr2bl w:val="nil"/>
            </w:tcBorders>
            <w:tcMar>
              <w:top w:w="15" w:type="dxa"/>
              <w:left w:w="15" w:type="dxa"/>
              <w:right w:w="15" w:type="dxa"/>
            </w:tcMar>
            <w:vAlign w:val="center"/>
          </w:tcPr>
          <w:p w14:paraId="5252FAC8">
            <w:pPr>
              <w:widowControl/>
              <w:adjustRightInd w:val="0"/>
              <w:snapToGrid w:val="0"/>
              <w:spacing w:line="240" w:lineRule="auto"/>
              <w:ind w:firstLine="0" w:firstLineChars="0"/>
              <w:jc w:val="center"/>
              <w:textAlignment w:val="center"/>
              <w:rPr>
                <w:rFonts w:hint="default" w:ascii="Times New Roman" w:hAnsi="Times New Roman" w:eastAsia="宋体" w:cs="Times New Roman"/>
                <w:b/>
                <w:bCs/>
                <w:color w:val="auto"/>
                <w:kern w:val="0"/>
                <w:sz w:val="21"/>
                <w:szCs w:val="21"/>
                <w:highlight w:val="none"/>
              </w:rPr>
            </w:pPr>
          </w:p>
        </w:tc>
      </w:tr>
      <w:tr w14:paraId="0E5AD0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tcMar>
              <w:top w:w="15" w:type="dxa"/>
              <w:left w:w="15" w:type="dxa"/>
              <w:right w:w="15" w:type="dxa"/>
            </w:tcMar>
            <w:vAlign w:val="center"/>
          </w:tcPr>
          <w:p w14:paraId="26189BD2">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Sj0</w:t>
            </w:r>
            <w:r>
              <w:rPr>
                <w:rFonts w:hint="default" w:ascii="Times New Roman" w:hAnsi="Times New Roman" w:eastAsia="宋体" w:cs="Times New Roman"/>
                <w:color w:val="auto"/>
                <w:kern w:val="0"/>
                <w:sz w:val="21"/>
                <w:szCs w:val="21"/>
                <w:highlight w:val="none"/>
              </w:rPr>
              <w:t>1</w:t>
            </w:r>
          </w:p>
        </w:tc>
        <w:tc>
          <w:tcPr>
            <w:tcW w:w="516" w:type="pct"/>
            <w:vMerge w:val="restart"/>
            <w:tcBorders>
              <w:tl2br w:val="nil"/>
              <w:tr2bl w:val="nil"/>
            </w:tcBorders>
            <w:tcMar>
              <w:top w:w="15" w:type="dxa"/>
              <w:left w:w="15" w:type="dxa"/>
              <w:right w:w="15" w:type="dxa"/>
            </w:tcMar>
            <w:vAlign w:val="center"/>
          </w:tcPr>
          <w:p w14:paraId="25F23F9B">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东兴村</w:t>
            </w:r>
          </w:p>
        </w:tc>
        <w:tc>
          <w:tcPr>
            <w:tcW w:w="1105" w:type="pct"/>
            <w:tcBorders>
              <w:tl2br w:val="nil"/>
              <w:tr2bl w:val="nil"/>
            </w:tcBorders>
            <w:tcMar>
              <w:top w:w="15" w:type="dxa"/>
              <w:left w:w="15" w:type="dxa"/>
              <w:right w:w="15" w:type="dxa"/>
            </w:tcMar>
            <w:vAlign w:val="center"/>
          </w:tcPr>
          <w:p w14:paraId="1297FB8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117°48′25.2684″   </w:t>
            </w:r>
          </w:p>
        </w:tc>
        <w:tc>
          <w:tcPr>
            <w:tcW w:w="1000" w:type="pct"/>
            <w:tcBorders>
              <w:tl2br w:val="nil"/>
              <w:tr2bl w:val="nil"/>
            </w:tcBorders>
            <w:tcMar>
              <w:top w:w="15" w:type="dxa"/>
              <w:left w:w="15" w:type="dxa"/>
              <w:right w:w="15" w:type="dxa"/>
            </w:tcMar>
            <w:vAlign w:val="center"/>
          </w:tcPr>
          <w:p w14:paraId="46C017B4">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41°14′20.2992″</w:t>
            </w:r>
          </w:p>
        </w:tc>
        <w:tc>
          <w:tcPr>
            <w:tcW w:w="503" w:type="pct"/>
            <w:tcBorders>
              <w:tl2br w:val="nil"/>
              <w:tr2bl w:val="nil"/>
            </w:tcBorders>
            <w:tcMar>
              <w:top w:w="15" w:type="dxa"/>
              <w:left w:w="15" w:type="dxa"/>
              <w:right w:w="15" w:type="dxa"/>
            </w:tcMar>
            <w:vAlign w:val="center"/>
          </w:tcPr>
          <w:p w14:paraId="3732D8D7">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629.85</w:t>
            </w:r>
          </w:p>
        </w:tc>
        <w:tc>
          <w:tcPr>
            <w:tcW w:w="405" w:type="pct"/>
            <w:tcBorders>
              <w:tl2br w:val="nil"/>
              <w:tr2bl w:val="nil"/>
            </w:tcBorders>
            <w:tcMar>
              <w:top w:w="15" w:type="dxa"/>
              <w:left w:w="15" w:type="dxa"/>
              <w:right w:w="15" w:type="dxa"/>
            </w:tcMar>
            <w:vAlign w:val="center"/>
          </w:tcPr>
          <w:p w14:paraId="5F3F7568">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4.50</w:t>
            </w:r>
          </w:p>
        </w:tc>
        <w:tc>
          <w:tcPr>
            <w:tcW w:w="418" w:type="pct"/>
            <w:tcBorders>
              <w:tl2br w:val="nil"/>
              <w:tr2bl w:val="nil"/>
            </w:tcBorders>
            <w:tcMar>
              <w:top w:w="15" w:type="dxa"/>
              <w:left w:w="15" w:type="dxa"/>
              <w:right w:w="15" w:type="dxa"/>
            </w:tcMar>
            <w:vAlign w:val="center"/>
          </w:tcPr>
          <w:p w14:paraId="6ECC010D">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5.17</w:t>
            </w:r>
          </w:p>
        </w:tc>
        <w:tc>
          <w:tcPr>
            <w:tcW w:w="333" w:type="pct"/>
            <w:tcBorders>
              <w:tl2br w:val="nil"/>
              <w:tr2bl w:val="nil"/>
            </w:tcBorders>
            <w:tcMar>
              <w:top w:w="15" w:type="dxa"/>
              <w:left w:w="15" w:type="dxa"/>
              <w:right w:w="15" w:type="dxa"/>
            </w:tcMar>
            <w:vAlign w:val="center"/>
          </w:tcPr>
          <w:p w14:paraId="5018B94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8.40</w:t>
            </w:r>
          </w:p>
        </w:tc>
        <w:tc>
          <w:tcPr>
            <w:tcW w:w="369" w:type="pct"/>
            <w:tcBorders>
              <w:tl2br w:val="nil"/>
              <w:tr2bl w:val="nil"/>
            </w:tcBorders>
            <w:tcMar>
              <w:top w:w="15" w:type="dxa"/>
              <w:left w:w="15" w:type="dxa"/>
              <w:right w:w="15" w:type="dxa"/>
            </w:tcMar>
            <w:vAlign w:val="center"/>
          </w:tcPr>
          <w:p w14:paraId="409E793D">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61E574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tcMar>
              <w:top w:w="15" w:type="dxa"/>
              <w:left w:w="15" w:type="dxa"/>
              <w:right w:w="15" w:type="dxa"/>
            </w:tcMar>
            <w:vAlign w:val="center"/>
          </w:tcPr>
          <w:p w14:paraId="2B8C537D">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2</w:t>
            </w:r>
          </w:p>
        </w:tc>
        <w:tc>
          <w:tcPr>
            <w:tcW w:w="516" w:type="pct"/>
            <w:vMerge w:val="continue"/>
            <w:tcBorders>
              <w:tl2br w:val="nil"/>
              <w:tr2bl w:val="nil"/>
            </w:tcBorders>
            <w:tcMar>
              <w:top w:w="15" w:type="dxa"/>
              <w:left w:w="15" w:type="dxa"/>
              <w:right w:w="15" w:type="dxa"/>
            </w:tcMar>
            <w:vAlign w:val="center"/>
          </w:tcPr>
          <w:p w14:paraId="7E8F1859">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53785380">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117°48′30.0852″    </w:t>
            </w:r>
          </w:p>
        </w:tc>
        <w:tc>
          <w:tcPr>
            <w:tcW w:w="1000" w:type="pct"/>
            <w:tcBorders>
              <w:tl2br w:val="nil"/>
              <w:tr2bl w:val="nil"/>
            </w:tcBorders>
            <w:tcMar>
              <w:top w:w="15" w:type="dxa"/>
              <w:left w:w="15" w:type="dxa"/>
              <w:right w:w="15" w:type="dxa"/>
            </w:tcMar>
            <w:vAlign w:val="center"/>
          </w:tcPr>
          <w:p w14:paraId="698336E1">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41°14′16.7964″</w:t>
            </w:r>
          </w:p>
        </w:tc>
        <w:tc>
          <w:tcPr>
            <w:tcW w:w="503" w:type="pct"/>
            <w:tcBorders>
              <w:tl2br w:val="nil"/>
              <w:tr2bl w:val="nil"/>
            </w:tcBorders>
            <w:tcMar>
              <w:top w:w="15" w:type="dxa"/>
              <w:left w:w="15" w:type="dxa"/>
              <w:right w:w="15" w:type="dxa"/>
            </w:tcMar>
            <w:vAlign w:val="center"/>
          </w:tcPr>
          <w:p w14:paraId="103E5519">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625.50</w:t>
            </w:r>
          </w:p>
        </w:tc>
        <w:tc>
          <w:tcPr>
            <w:tcW w:w="405" w:type="pct"/>
            <w:tcBorders>
              <w:tl2br w:val="nil"/>
              <w:tr2bl w:val="nil"/>
            </w:tcBorders>
            <w:tcMar>
              <w:top w:w="15" w:type="dxa"/>
              <w:left w:w="15" w:type="dxa"/>
              <w:right w:w="15" w:type="dxa"/>
            </w:tcMar>
            <w:vAlign w:val="center"/>
          </w:tcPr>
          <w:p w14:paraId="666DD198">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6.00</w:t>
            </w:r>
          </w:p>
        </w:tc>
        <w:tc>
          <w:tcPr>
            <w:tcW w:w="418" w:type="pct"/>
            <w:tcBorders>
              <w:tl2br w:val="nil"/>
              <w:tr2bl w:val="nil"/>
            </w:tcBorders>
            <w:tcMar>
              <w:top w:w="15" w:type="dxa"/>
              <w:left w:w="15" w:type="dxa"/>
              <w:right w:w="15" w:type="dxa"/>
            </w:tcMar>
            <w:vAlign w:val="center"/>
          </w:tcPr>
          <w:p w14:paraId="3A9822B7">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6.43</w:t>
            </w:r>
          </w:p>
        </w:tc>
        <w:tc>
          <w:tcPr>
            <w:tcW w:w="333" w:type="pct"/>
            <w:tcBorders>
              <w:tl2br w:val="nil"/>
              <w:tr2bl w:val="nil"/>
            </w:tcBorders>
            <w:tcMar>
              <w:top w:w="15" w:type="dxa"/>
              <w:left w:w="15" w:type="dxa"/>
              <w:right w:w="15" w:type="dxa"/>
            </w:tcMar>
            <w:vAlign w:val="center"/>
          </w:tcPr>
          <w:p w14:paraId="19FB5DEA">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6.70</w:t>
            </w:r>
          </w:p>
        </w:tc>
        <w:tc>
          <w:tcPr>
            <w:tcW w:w="369" w:type="pct"/>
            <w:tcBorders>
              <w:tl2br w:val="nil"/>
              <w:tr2bl w:val="nil"/>
            </w:tcBorders>
            <w:tcMar>
              <w:top w:w="15" w:type="dxa"/>
              <w:left w:w="15" w:type="dxa"/>
              <w:right w:w="15" w:type="dxa"/>
            </w:tcMar>
            <w:vAlign w:val="center"/>
          </w:tcPr>
          <w:p w14:paraId="251E62C0">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004A94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tcMar>
              <w:top w:w="15" w:type="dxa"/>
              <w:left w:w="15" w:type="dxa"/>
              <w:right w:w="15" w:type="dxa"/>
            </w:tcMar>
            <w:vAlign w:val="center"/>
          </w:tcPr>
          <w:p w14:paraId="672D76DF">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3</w:t>
            </w:r>
          </w:p>
        </w:tc>
        <w:tc>
          <w:tcPr>
            <w:tcW w:w="516" w:type="pct"/>
            <w:vMerge w:val="continue"/>
            <w:tcBorders>
              <w:tl2br w:val="nil"/>
              <w:tr2bl w:val="nil"/>
            </w:tcBorders>
            <w:tcMar>
              <w:top w:w="15" w:type="dxa"/>
              <w:left w:w="15" w:type="dxa"/>
              <w:right w:w="15" w:type="dxa"/>
            </w:tcMar>
            <w:vAlign w:val="center"/>
          </w:tcPr>
          <w:p w14:paraId="10D442C8">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1A6F8084">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117°48′38.1240″    </w:t>
            </w:r>
          </w:p>
        </w:tc>
        <w:tc>
          <w:tcPr>
            <w:tcW w:w="1000" w:type="pct"/>
            <w:tcBorders>
              <w:tl2br w:val="nil"/>
              <w:tr2bl w:val="nil"/>
            </w:tcBorders>
            <w:tcMar>
              <w:top w:w="15" w:type="dxa"/>
              <w:left w:w="15" w:type="dxa"/>
              <w:right w:w="15" w:type="dxa"/>
            </w:tcMar>
            <w:vAlign w:val="center"/>
          </w:tcPr>
          <w:p w14:paraId="0808F3AB">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41°14′17.7252″</w:t>
            </w:r>
          </w:p>
        </w:tc>
        <w:tc>
          <w:tcPr>
            <w:tcW w:w="503" w:type="pct"/>
            <w:tcBorders>
              <w:tl2br w:val="nil"/>
              <w:tr2bl w:val="nil"/>
            </w:tcBorders>
            <w:tcMar>
              <w:top w:w="15" w:type="dxa"/>
              <w:left w:w="15" w:type="dxa"/>
              <w:right w:w="15" w:type="dxa"/>
            </w:tcMar>
            <w:vAlign w:val="center"/>
          </w:tcPr>
          <w:p w14:paraId="1A080E60">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618.80</w:t>
            </w:r>
          </w:p>
        </w:tc>
        <w:tc>
          <w:tcPr>
            <w:tcW w:w="405" w:type="pct"/>
            <w:tcBorders>
              <w:tl2br w:val="nil"/>
              <w:tr2bl w:val="nil"/>
            </w:tcBorders>
            <w:tcMar>
              <w:top w:w="15" w:type="dxa"/>
              <w:left w:w="15" w:type="dxa"/>
              <w:right w:w="15" w:type="dxa"/>
            </w:tcMar>
            <w:vAlign w:val="center"/>
          </w:tcPr>
          <w:p w14:paraId="789B0FD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4.70</w:t>
            </w:r>
          </w:p>
        </w:tc>
        <w:tc>
          <w:tcPr>
            <w:tcW w:w="418" w:type="pct"/>
            <w:tcBorders>
              <w:tl2br w:val="nil"/>
              <w:tr2bl w:val="nil"/>
            </w:tcBorders>
            <w:tcMar>
              <w:top w:w="15" w:type="dxa"/>
              <w:left w:w="15" w:type="dxa"/>
              <w:right w:w="15" w:type="dxa"/>
            </w:tcMar>
            <w:vAlign w:val="center"/>
          </w:tcPr>
          <w:p w14:paraId="04595334">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5.28</w:t>
            </w:r>
          </w:p>
        </w:tc>
        <w:tc>
          <w:tcPr>
            <w:tcW w:w="333" w:type="pct"/>
            <w:tcBorders>
              <w:tl2br w:val="nil"/>
              <w:tr2bl w:val="nil"/>
            </w:tcBorders>
            <w:tcMar>
              <w:top w:w="15" w:type="dxa"/>
              <w:left w:w="15" w:type="dxa"/>
              <w:right w:w="15" w:type="dxa"/>
            </w:tcMar>
            <w:vAlign w:val="center"/>
          </w:tcPr>
          <w:p w14:paraId="43316A1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8.10</w:t>
            </w:r>
          </w:p>
        </w:tc>
        <w:tc>
          <w:tcPr>
            <w:tcW w:w="369" w:type="pct"/>
            <w:tcBorders>
              <w:tl2br w:val="nil"/>
              <w:tr2bl w:val="nil"/>
            </w:tcBorders>
            <w:tcMar>
              <w:top w:w="15" w:type="dxa"/>
              <w:left w:w="15" w:type="dxa"/>
              <w:right w:w="15" w:type="dxa"/>
            </w:tcMar>
            <w:vAlign w:val="center"/>
          </w:tcPr>
          <w:p w14:paraId="01226917">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493AA8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tcMar>
              <w:top w:w="15" w:type="dxa"/>
              <w:left w:w="15" w:type="dxa"/>
              <w:right w:w="15" w:type="dxa"/>
            </w:tcMar>
            <w:vAlign w:val="center"/>
          </w:tcPr>
          <w:p w14:paraId="2E2D1870">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4</w:t>
            </w:r>
          </w:p>
        </w:tc>
        <w:tc>
          <w:tcPr>
            <w:tcW w:w="516" w:type="pct"/>
            <w:vMerge w:val="continue"/>
            <w:tcBorders>
              <w:tl2br w:val="nil"/>
              <w:tr2bl w:val="nil"/>
            </w:tcBorders>
            <w:tcMar>
              <w:top w:w="15" w:type="dxa"/>
              <w:left w:w="15" w:type="dxa"/>
              <w:right w:w="15" w:type="dxa"/>
            </w:tcMar>
            <w:vAlign w:val="center"/>
          </w:tcPr>
          <w:p w14:paraId="5F691E96">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21318A10">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117°48′42.8112″    </w:t>
            </w:r>
          </w:p>
        </w:tc>
        <w:tc>
          <w:tcPr>
            <w:tcW w:w="1000" w:type="pct"/>
            <w:tcBorders>
              <w:tl2br w:val="nil"/>
              <w:tr2bl w:val="nil"/>
            </w:tcBorders>
            <w:tcMar>
              <w:top w:w="15" w:type="dxa"/>
              <w:left w:w="15" w:type="dxa"/>
              <w:right w:w="15" w:type="dxa"/>
            </w:tcMar>
            <w:vAlign w:val="center"/>
          </w:tcPr>
          <w:p w14:paraId="3397D5A4">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41°14′19.3848″</w:t>
            </w:r>
          </w:p>
        </w:tc>
        <w:tc>
          <w:tcPr>
            <w:tcW w:w="503" w:type="pct"/>
            <w:tcBorders>
              <w:tl2br w:val="nil"/>
              <w:tr2bl w:val="nil"/>
            </w:tcBorders>
            <w:tcMar>
              <w:top w:w="15" w:type="dxa"/>
              <w:left w:w="15" w:type="dxa"/>
              <w:right w:w="15" w:type="dxa"/>
            </w:tcMar>
            <w:vAlign w:val="center"/>
          </w:tcPr>
          <w:p w14:paraId="37C4F7B5">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615.20</w:t>
            </w:r>
          </w:p>
        </w:tc>
        <w:tc>
          <w:tcPr>
            <w:tcW w:w="405" w:type="pct"/>
            <w:tcBorders>
              <w:tl2br w:val="nil"/>
              <w:tr2bl w:val="nil"/>
            </w:tcBorders>
            <w:tcMar>
              <w:top w:w="15" w:type="dxa"/>
              <w:left w:w="15" w:type="dxa"/>
              <w:right w:w="15" w:type="dxa"/>
            </w:tcMar>
            <w:vAlign w:val="center"/>
          </w:tcPr>
          <w:p w14:paraId="6925EF35">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4.40</w:t>
            </w:r>
          </w:p>
        </w:tc>
        <w:tc>
          <w:tcPr>
            <w:tcW w:w="418" w:type="pct"/>
            <w:tcBorders>
              <w:tl2br w:val="nil"/>
              <w:tr2bl w:val="nil"/>
            </w:tcBorders>
            <w:tcMar>
              <w:top w:w="15" w:type="dxa"/>
              <w:left w:w="15" w:type="dxa"/>
              <w:right w:w="15" w:type="dxa"/>
            </w:tcMar>
            <w:vAlign w:val="center"/>
          </w:tcPr>
          <w:p w14:paraId="74DCAD10">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5.14</w:t>
            </w:r>
          </w:p>
        </w:tc>
        <w:tc>
          <w:tcPr>
            <w:tcW w:w="333" w:type="pct"/>
            <w:tcBorders>
              <w:tl2br w:val="nil"/>
              <w:tr2bl w:val="nil"/>
            </w:tcBorders>
            <w:tcMar>
              <w:top w:w="15" w:type="dxa"/>
              <w:left w:w="15" w:type="dxa"/>
              <w:right w:w="15" w:type="dxa"/>
            </w:tcMar>
            <w:vAlign w:val="center"/>
          </w:tcPr>
          <w:p w14:paraId="3DE173FA">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6.80</w:t>
            </w:r>
          </w:p>
        </w:tc>
        <w:tc>
          <w:tcPr>
            <w:tcW w:w="369" w:type="pct"/>
            <w:tcBorders>
              <w:tl2br w:val="nil"/>
              <w:tr2bl w:val="nil"/>
            </w:tcBorders>
            <w:tcMar>
              <w:top w:w="15" w:type="dxa"/>
              <w:left w:w="15" w:type="dxa"/>
              <w:right w:w="15" w:type="dxa"/>
            </w:tcMar>
            <w:vAlign w:val="center"/>
          </w:tcPr>
          <w:p w14:paraId="6C78D544">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7B11E1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shd w:val="clear" w:color="auto" w:fill="auto"/>
            <w:tcMar>
              <w:top w:w="15" w:type="dxa"/>
              <w:left w:w="15" w:type="dxa"/>
              <w:right w:w="15" w:type="dxa"/>
            </w:tcMar>
            <w:vAlign w:val="center"/>
          </w:tcPr>
          <w:p w14:paraId="0F29969B">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5</w:t>
            </w:r>
          </w:p>
        </w:tc>
        <w:tc>
          <w:tcPr>
            <w:tcW w:w="516" w:type="pct"/>
            <w:vMerge w:val="continue"/>
            <w:tcBorders>
              <w:tl2br w:val="nil"/>
              <w:tr2bl w:val="nil"/>
            </w:tcBorders>
            <w:tcMar>
              <w:top w:w="15" w:type="dxa"/>
              <w:left w:w="15" w:type="dxa"/>
              <w:right w:w="15" w:type="dxa"/>
            </w:tcMar>
            <w:vAlign w:val="center"/>
          </w:tcPr>
          <w:p w14:paraId="3D17BE60">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58FC1A2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117°48′47.1204″    </w:t>
            </w:r>
          </w:p>
        </w:tc>
        <w:tc>
          <w:tcPr>
            <w:tcW w:w="1000" w:type="pct"/>
            <w:tcBorders>
              <w:tl2br w:val="nil"/>
              <w:tr2bl w:val="nil"/>
            </w:tcBorders>
            <w:tcMar>
              <w:top w:w="15" w:type="dxa"/>
              <w:left w:w="15" w:type="dxa"/>
              <w:right w:w="15" w:type="dxa"/>
            </w:tcMar>
            <w:vAlign w:val="center"/>
          </w:tcPr>
          <w:p w14:paraId="6AD962A5">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41°14′21.6708″</w:t>
            </w:r>
          </w:p>
        </w:tc>
        <w:tc>
          <w:tcPr>
            <w:tcW w:w="503" w:type="pct"/>
            <w:tcBorders>
              <w:tl2br w:val="nil"/>
              <w:tr2bl w:val="nil"/>
            </w:tcBorders>
            <w:tcMar>
              <w:top w:w="15" w:type="dxa"/>
              <w:left w:w="15" w:type="dxa"/>
              <w:right w:w="15" w:type="dxa"/>
            </w:tcMar>
            <w:vAlign w:val="center"/>
          </w:tcPr>
          <w:p w14:paraId="60629D6E">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612.60</w:t>
            </w:r>
          </w:p>
        </w:tc>
        <w:tc>
          <w:tcPr>
            <w:tcW w:w="405" w:type="pct"/>
            <w:tcBorders>
              <w:tl2br w:val="nil"/>
              <w:tr2bl w:val="nil"/>
            </w:tcBorders>
            <w:tcMar>
              <w:top w:w="15" w:type="dxa"/>
              <w:left w:w="15" w:type="dxa"/>
              <w:right w:w="15" w:type="dxa"/>
            </w:tcMar>
            <w:vAlign w:val="center"/>
          </w:tcPr>
          <w:p w14:paraId="4D90D646">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4.20</w:t>
            </w:r>
          </w:p>
        </w:tc>
        <w:tc>
          <w:tcPr>
            <w:tcW w:w="418" w:type="pct"/>
            <w:tcBorders>
              <w:tl2br w:val="nil"/>
              <w:tr2bl w:val="nil"/>
            </w:tcBorders>
            <w:tcMar>
              <w:top w:w="15" w:type="dxa"/>
              <w:left w:w="15" w:type="dxa"/>
              <w:right w:w="15" w:type="dxa"/>
            </w:tcMar>
            <w:vAlign w:val="center"/>
          </w:tcPr>
          <w:p w14:paraId="369665DD">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4.76</w:t>
            </w:r>
          </w:p>
        </w:tc>
        <w:tc>
          <w:tcPr>
            <w:tcW w:w="333" w:type="pct"/>
            <w:tcBorders>
              <w:tl2br w:val="nil"/>
              <w:tr2bl w:val="nil"/>
            </w:tcBorders>
            <w:tcMar>
              <w:top w:w="15" w:type="dxa"/>
              <w:left w:w="15" w:type="dxa"/>
              <w:right w:w="15" w:type="dxa"/>
            </w:tcMar>
            <w:vAlign w:val="center"/>
          </w:tcPr>
          <w:p w14:paraId="5ECC8CBD">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9.40</w:t>
            </w:r>
          </w:p>
        </w:tc>
        <w:tc>
          <w:tcPr>
            <w:tcW w:w="369" w:type="pct"/>
            <w:tcBorders>
              <w:tl2br w:val="nil"/>
              <w:tr2bl w:val="nil"/>
            </w:tcBorders>
            <w:tcMar>
              <w:top w:w="15" w:type="dxa"/>
              <w:left w:w="15" w:type="dxa"/>
              <w:right w:w="15" w:type="dxa"/>
            </w:tcMar>
            <w:vAlign w:val="center"/>
          </w:tcPr>
          <w:p w14:paraId="3D2C2211">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2BFDC4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shd w:val="clear" w:color="auto" w:fill="auto"/>
            <w:tcMar>
              <w:top w:w="15" w:type="dxa"/>
              <w:left w:w="15" w:type="dxa"/>
              <w:right w:w="15" w:type="dxa"/>
            </w:tcMar>
            <w:vAlign w:val="center"/>
          </w:tcPr>
          <w:p w14:paraId="592E3CD5">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6</w:t>
            </w:r>
          </w:p>
        </w:tc>
        <w:tc>
          <w:tcPr>
            <w:tcW w:w="516" w:type="pct"/>
            <w:vMerge w:val="continue"/>
            <w:tcBorders>
              <w:tl2br w:val="nil"/>
              <w:tr2bl w:val="nil"/>
            </w:tcBorders>
            <w:tcMar>
              <w:top w:w="15" w:type="dxa"/>
              <w:left w:w="15" w:type="dxa"/>
              <w:right w:w="15" w:type="dxa"/>
            </w:tcMar>
            <w:vAlign w:val="center"/>
          </w:tcPr>
          <w:p w14:paraId="03161FB0">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0D8F0F3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117°48′48.9420″    </w:t>
            </w:r>
          </w:p>
        </w:tc>
        <w:tc>
          <w:tcPr>
            <w:tcW w:w="1000" w:type="pct"/>
            <w:tcBorders>
              <w:tl2br w:val="nil"/>
              <w:tr2bl w:val="nil"/>
            </w:tcBorders>
            <w:tcMar>
              <w:top w:w="15" w:type="dxa"/>
              <w:left w:w="15" w:type="dxa"/>
              <w:right w:w="15" w:type="dxa"/>
            </w:tcMar>
            <w:vAlign w:val="center"/>
          </w:tcPr>
          <w:p w14:paraId="0FB6CB78">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41°14′24.0288″</w:t>
            </w:r>
          </w:p>
        </w:tc>
        <w:tc>
          <w:tcPr>
            <w:tcW w:w="503" w:type="pct"/>
            <w:tcBorders>
              <w:tl2br w:val="nil"/>
              <w:tr2bl w:val="nil"/>
            </w:tcBorders>
            <w:tcMar>
              <w:top w:w="15" w:type="dxa"/>
              <w:left w:w="15" w:type="dxa"/>
              <w:right w:w="15" w:type="dxa"/>
            </w:tcMar>
            <w:vAlign w:val="center"/>
          </w:tcPr>
          <w:p w14:paraId="0E5E9D87">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613.10</w:t>
            </w:r>
          </w:p>
        </w:tc>
        <w:tc>
          <w:tcPr>
            <w:tcW w:w="405" w:type="pct"/>
            <w:tcBorders>
              <w:tl2br w:val="nil"/>
              <w:tr2bl w:val="nil"/>
            </w:tcBorders>
            <w:tcMar>
              <w:top w:w="15" w:type="dxa"/>
              <w:left w:w="15" w:type="dxa"/>
              <w:right w:w="15" w:type="dxa"/>
            </w:tcMar>
            <w:vAlign w:val="center"/>
          </w:tcPr>
          <w:p w14:paraId="0E955B05">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5.60</w:t>
            </w:r>
          </w:p>
        </w:tc>
        <w:tc>
          <w:tcPr>
            <w:tcW w:w="418" w:type="pct"/>
            <w:tcBorders>
              <w:tl2br w:val="nil"/>
              <w:tr2bl w:val="nil"/>
            </w:tcBorders>
            <w:tcMar>
              <w:top w:w="15" w:type="dxa"/>
              <w:left w:w="15" w:type="dxa"/>
              <w:right w:w="15" w:type="dxa"/>
            </w:tcMar>
            <w:vAlign w:val="center"/>
          </w:tcPr>
          <w:p w14:paraId="20780512">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6.02</w:t>
            </w:r>
          </w:p>
        </w:tc>
        <w:tc>
          <w:tcPr>
            <w:tcW w:w="333" w:type="pct"/>
            <w:tcBorders>
              <w:tl2br w:val="nil"/>
              <w:tr2bl w:val="nil"/>
            </w:tcBorders>
            <w:tcMar>
              <w:top w:w="15" w:type="dxa"/>
              <w:left w:w="15" w:type="dxa"/>
              <w:right w:w="15" w:type="dxa"/>
            </w:tcMar>
            <w:vAlign w:val="center"/>
          </w:tcPr>
          <w:p w14:paraId="4A61F7F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9.60</w:t>
            </w:r>
          </w:p>
        </w:tc>
        <w:tc>
          <w:tcPr>
            <w:tcW w:w="369" w:type="pct"/>
            <w:tcBorders>
              <w:tl2br w:val="nil"/>
              <w:tr2bl w:val="nil"/>
            </w:tcBorders>
            <w:tcMar>
              <w:top w:w="15" w:type="dxa"/>
              <w:left w:w="15" w:type="dxa"/>
              <w:right w:w="15" w:type="dxa"/>
            </w:tcMar>
            <w:vAlign w:val="center"/>
          </w:tcPr>
          <w:p w14:paraId="69236E1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4EE0D3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shd w:val="clear" w:color="auto" w:fill="auto"/>
            <w:tcMar>
              <w:top w:w="15" w:type="dxa"/>
              <w:left w:w="15" w:type="dxa"/>
              <w:right w:w="15" w:type="dxa"/>
            </w:tcMar>
            <w:vAlign w:val="center"/>
          </w:tcPr>
          <w:p w14:paraId="39398BCB">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7</w:t>
            </w:r>
          </w:p>
        </w:tc>
        <w:tc>
          <w:tcPr>
            <w:tcW w:w="516" w:type="pct"/>
            <w:vMerge w:val="continue"/>
            <w:tcBorders>
              <w:tl2br w:val="nil"/>
              <w:tr2bl w:val="nil"/>
            </w:tcBorders>
            <w:tcMar>
              <w:top w:w="15" w:type="dxa"/>
              <w:left w:w="15" w:type="dxa"/>
              <w:right w:w="15" w:type="dxa"/>
            </w:tcMar>
            <w:vAlign w:val="center"/>
          </w:tcPr>
          <w:p w14:paraId="7062C683">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07CE7D0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117°48′55.8612″    </w:t>
            </w:r>
          </w:p>
        </w:tc>
        <w:tc>
          <w:tcPr>
            <w:tcW w:w="1000" w:type="pct"/>
            <w:tcBorders>
              <w:tl2br w:val="nil"/>
              <w:tr2bl w:val="nil"/>
            </w:tcBorders>
            <w:tcMar>
              <w:top w:w="15" w:type="dxa"/>
              <w:left w:w="15" w:type="dxa"/>
              <w:right w:w="15" w:type="dxa"/>
            </w:tcMar>
            <w:vAlign w:val="center"/>
          </w:tcPr>
          <w:p w14:paraId="45B7C403">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41°14′25.7892″</w:t>
            </w:r>
          </w:p>
        </w:tc>
        <w:tc>
          <w:tcPr>
            <w:tcW w:w="503" w:type="pct"/>
            <w:tcBorders>
              <w:tl2br w:val="nil"/>
              <w:tr2bl w:val="nil"/>
            </w:tcBorders>
            <w:tcMar>
              <w:top w:w="15" w:type="dxa"/>
              <w:left w:w="15" w:type="dxa"/>
              <w:right w:w="15" w:type="dxa"/>
            </w:tcMar>
            <w:vAlign w:val="center"/>
          </w:tcPr>
          <w:p w14:paraId="7934521F">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608.00</w:t>
            </w:r>
          </w:p>
        </w:tc>
        <w:tc>
          <w:tcPr>
            <w:tcW w:w="405" w:type="pct"/>
            <w:tcBorders>
              <w:tl2br w:val="nil"/>
              <w:tr2bl w:val="nil"/>
            </w:tcBorders>
            <w:tcMar>
              <w:top w:w="15" w:type="dxa"/>
              <w:left w:w="15" w:type="dxa"/>
              <w:right w:w="15" w:type="dxa"/>
            </w:tcMar>
            <w:vAlign w:val="center"/>
          </w:tcPr>
          <w:p w14:paraId="2A03FA6D">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4.50</w:t>
            </w:r>
          </w:p>
        </w:tc>
        <w:tc>
          <w:tcPr>
            <w:tcW w:w="418" w:type="pct"/>
            <w:tcBorders>
              <w:tl2br w:val="nil"/>
              <w:tr2bl w:val="nil"/>
            </w:tcBorders>
            <w:tcMar>
              <w:top w:w="15" w:type="dxa"/>
              <w:left w:w="15" w:type="dxa"/>
              <w:right w:w="15" w:type="dxa"/>
            </w:tcMar>
            <w:vAlign w:val="center"/>
          </w:tcPr>
          <w:p w14:paraId="11DF326A">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5.36</w:t>
            </w:r>
          </w:p>
        </w:tc>
        <w:tc>
          <w:tcPr>
            <w:tcW w:w="333" w:type="pct"/>
            <w:tcBorders>
              <w:tl2br w:val="nil"/>
              <w:tr2bl w:val="nil"/>
            </w:tcBorders>
            <w:tcMar>
              <w:top w:w="15" w:type="dxa"/>
              <w:left w:w="15" w:type="dxa"/>
              <w:right w:w="15" w:type="dxa"/>
            </w:tcMar>
            <w:vAlign w:val="center"/>
          </w:tcPr>
          <w:p w14:paraId="4D07EB95">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8.50</w:t>
            </w:r>
          </w:p>
        </w:tc>
        <w:tc>
          <w:tcPr>
            <w:tcW w:w="369" w:type="pct"/>
            <w:tcBorders>
              <w:tl2br w:val="nil"/>
              <w:tr2bl w:val="nil"/>
            </w:tcBorders>
            <w:tcMar>
              <w:top w:w="15" w:type="dxa"/>
              <w:left w:w="15" w:type="dxa"/>
              <w:right w:w="15" w:type="dxa"/>
            </w:tcMar>
            <w:vAlign w:val="center"/>
          </w:tcPr>
          <w:p w14:paraId="1D5372A3">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16C692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shd w:val="clear" w:color="auto" w:fill="auto"/>
            <w:tcMar>
              <w:top w:w="15" w:type="dxa"/>
              <w:left w:w="15" w:type="dxa"/>
              <w:right w:w="15" w:type="dxa"/>
            </w:tcMar>
            <w:vAlign w:val="center"/>
          </w:tcPr>
          <w:p w14:paraId="5A1F2FC8">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8</w:t>
            </w:r>
          </w:p>
        </w:tc>
        <w:tc>
          <w:tcPr>
            <w:tcW w:w="516" w:type="pct"/>
            <w:vMerge w:val="continue"/>
            <w:tcBorders>
              <w:tl2br w:val="nil"/>
              <w:tr2bl w:val="nil"/>
            </w:tcBorders>
            <w:tcMar>
              <w:top w:w="15" w:type="dxa"/>
              <w:left w:w="15" w:type="dxa"/>
              <w:right w:w="15" w:type="dxa"/>
            </w:tcMar>
            <w:vAlign w:val="center"/>
          </w:tcPr>
          <w:p w14:paraId="1AB5CE05">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7CCD408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117°48′54.7812″    </w:t>
            </w:r>
          </w:p>
        </w:tc>
        <w:tc>
          <w:tcPr>
            <w:tcW w:w="1000" w:type="pct"/>
            <w:tcBorders>
              <w:tl2br w:val="nil"/>
              <w:tr2bl w:val="nil"/>
            </w:tcBorders>
            <w:tcMar>
              <w:top w:w="15" w:type="dxa"/>
              <w:left w:w="15" w:type="dxa"/>
              <w:right w:w="15" w:type="dxa"/>
            </w:tcMar>
            <w:vAlign w:val="center"/>
          </w:tcPr>
          <w:p w14:paraId="78CDA420">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41°14′28.1004″</w:t>
            </w:r>
          </w:p>
        </w:tc>
        <w:tc>
          <w:tcPr>
            <w:tcW w:w="503" w:type="pct"/>
            <w:tcBorders>
              <w:tl2br w:val="nil"/>
              <w:tr2bl w:val="nil"/>
            </w:tcBorders>
            <w:tcMar>
              <w:top w:w="15" w:type="dxa"/>
              <w:left w:w="15" w:type="dxa"/>
              <w:right w:w="15" w:type="dxa"/>
            </w:tcMar>
            <w:vAlign w:val="center"/>
          </w:tcPr>
          <w:p w14:paraId="6F25D0B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613.80</w:t>
            </w:r>
          </w:p>
        </w:tc>
        <w:tc>
          <w:tcPr>
            <w:tcW w:w="405" w:type="pct"/>
            <w:tcBorders>
              <w:tl2br w:val="nil"/>
              <w:tr2bl w:val="nil"/>
            </w:tcBorders>
            <w:tcMar>
              <w:top w:w="15" w:type="dxa"/>
              <w:left w:w="15" w:type="dxa"/>
              <w:right w:w="15" w:type="dxa"/>
            </w:tcMar>
            <w:vAlign w:val="center"/>
          </w:tcPr>
          <w:p w14:paraId="43EBABAE">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8.30</w:t>
            </w:r>
          </w:p>
        </w:tc>
        <w:tc>
          <w:tcPr>
            <w:tcW w:w="418" w:type="pct"/>
            <w:tcBorders>
              <w:tl2br w:val="nil"/>
              <w:tr2bl w:val="nil"/>
            </w:tcBorders>
            <w:tcMar>
              <w:top w:w="15" w:type="dxa"/>
              <w:left w:w="15" w:type="dxa"/>
              <w:right w:w="15" w:type="dxa"/>
            </w:tcMar>
            <w:vAlign w:val="center"/>
          </w:tcPr>
          <w:p w14:paraId="0869AF2B">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8.90</w:t>
            </w:r>
          </w:p>
        </w:tc>
        <w:tc>
          <w:tcPr>
            <w:tcW w:w="333" w:type="pct"/>
            <w:tcBorders>
              <w:tl2br w:val="nil"/>
              <w:tr2bl w:val="nil"/>
            </w:tcBorders>
            <w:tcMar>
              <w:top w:w="15" w:type="dxa"/>
              <w:left w:w="15" w:type="dxa"/>
              <w:right w:w="15" w:type="dxa"/>
            </w:tcMar>
            <w:vAlign w:val="center"/>
          </w:tcPr>
          <w:p w14:paraId="7D6E08B1">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12.00</w:t>
            </w:r>
          </w:p>
        </w:tc>
        <w:tc>
          <w:tcPr>
            <w:tcW w:w="369" w:type="pct"/>
            <w:tcBorders>
              <w:tl2br w:val="nil"/>
              <w:tr2bl w:val="nil"/>
            </w:tcBorders>
            <w:tcMar>
              <w:top w:w="15" w:type="dxa"/>
              <w:left w:w="15" w:type="dxa"/>
              <w:right w:w="15" w:type="dxa"/>
            </w:tcMar>
            <w:vAlign w:val="center"/>
          </w:tcPr>
          <w:p w14:paraId="69891D1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5C7556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shd w:val="clear" w:color="auto" w:fill="auto"/>
            <w:tcMar>
              <w:top w:w="15" w:type="dxa"/>
              <w:left w:w="15" w:type="dxa"/>
              <w:right w:w="15" w:type="dxa"/>
            </w:tcMar>
            <w:vAlign w:val="center"/>
          </w:tcPr>
          <w:p w14:paraId="49520E1F">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Sj0</w:t>
            </w:r>
            <w:r>
              <w:rPr>
                <w:rFonts w:hint="default" w:ascii="Times New Roman" w:hAnsi="Times New Roman" w:eastAsia="宋体" w:cs="Times New Roman"/>
                <w:color w:val="auto"/>
                <w:kern w:val="0"/>
                <w:sz w:val="21"/>
                <w:szCs w:val="21"/>
                <w:highlight w:val="none"/>
              </w:rPr>
              <w:t>9</w:t>
            </w:r>
          </w:p>
        </w:tc>
        <w:tc>
          <w:tcPr>
            <w:tcW w:w="516" w:type="pct"/>
            <w:vMerge w:val="continue"/>
            <w:tcBorders>
              <w:tl2br w:val="nil"/>
              <w:tr2bl w:val="nil"/>
            </w:tcBorders>
            <w:tcMar>
              <w:top w:w="15" w:type="dxa"/>
              <w:left w:w="15" w:type="dxa"/>
              <w:right w:w="15" w:type="dxa"/>
            </w:tcMar>
            <w:vAlign w:val="center"/>
          </w:tcPr>
          <w:p w14:paraId="61857CAF">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42FF579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117°48′57.8880″    </w:t>
            </w:r>
          </w:p>
        </w:tc>
        <w:tc>
          <w:tcPr>
            <w:tcW w:w="1000" w:type="pct"/>
            <w:tcBorders>
              <w:tl2br w:val="nil"/>
              <w:tr2bl w:val="nil"/>
            </w:tcBorders>
            <w:tcMar>
              <w:top w:w="15" w:type="dxa"/>
              <w:left w:w="15" w:type="dxa"/>
              <w:right w:w="15" w:type="dxa"/>
            </w:tcMar>
            <w:vAlign w:val="center"/>
          </w:tcPr>
          <w:p w14:paraId="13201B5F">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41°14′30.5916″</w:t>
            </w:r>
          </w:p>
        </w:tc>
        <w:tc>
          <w:tcPr>
            <w:tcW w:w="503" w:type="pct"/>
            <w:tcBorders>
              <w:tl2br w:val="nil"/>
              <w:tr2bl w:val="nil"/>
            </w:tcBorders>
            <w:tcMar>
              <w:top w:w="15" w:type="dxa"/>
              <w:left w:w="15" w:type="dxa"/>
              <w:right w:w="15" w:type="dxa"/>
            </w:tcMar>
            <w:vAlign w:val="center"/>
          </w:tcPr>
          <w:p w14:paraId="2DE428D6">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607.80</w:t>
            </w:r>
          </w:p>
        </w:tc>
        <w:tc>
          <w:tcPr>
            <w:tcW w:w="405" w:type="pct"/>
            <w:tcBorders>
              <w:tl2br w:val="nil"/>
              <w:tr2bl w:val="nil"/>
            </w:tcBorders>
            <w:tcMar>
              <w:top w:w="15" w:type="dxa"/>
              <w:left w:w="15" w:type="dxa"/>
              <w:right w:w="15" w:type="dxa"/>
            </w:tcMar>
            <w:vAlign w:val="center"/>
          </w:tcPr>
          <w:p w14:paraId="75096CB7">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7.80</w:t>
            </w:r>
          </w:p>
        </w:tc>
        <w:tc>
          <w:tcPr>
            <w:tcW w:w="418" w:type="pct"/>
            <w:tcBorders>
              <w:tl2br w:val="nil"/>
              <w:tr2bl w:val="nil"/>
            </w:tcBorders>
            <w:tcMar>
              <w:top w:w="15" w:type="dxa"/>
              <w:left w:w="15" w:type="dxa"/>
              <w:right w:w="15" w:type="dxa"/>
            </w:tcMar>
            <w:vAlign w:val="center"/>
          </w:tcPr>
          <w:p w14:paraId="341053A8">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8.44</w:t>
            </w:r>
          </w:p>
        </w:tc>
        <w:tc>
          <w:tcPr>
            <w:tcW w:w="333" w:type="pct"/>
            <w:tcBorders>
              <w:tl2br w:val="nil"/>
              <w:tr2bl w:val="nil"/>
            </w:tcBorders>
            <w:tcMar>
              <w:top w:w="15" w:type="dxa"/>
              <w:left w:w="15" w:type="dxa"/>
              <w:right w:w="15" w:type="dxa"/>
            </w:tcMar>
            <w:vAlign w:val="center"/>
          </w:tcPr>
          <w:p w14:paraId="5416BC04">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12.00</w:t>
            </w:r>
          </w:p>
        </w:tc>
        <w:tc>
          <w:tcPr>
            <w:tcW w:w="369" w:type="pct"/>
            <w:tcBorders>
              <w:tl2br w:val="nil"/>
              <w:tr2bl w:val="nil"/>
            </w:tcBorders>
            <w:tcMar>
              <w:top w:w="15" w:type="dxa"/>
              <w:left w:w="15" w:type="dxa"/>
              <w:right w:w="15" w:type="dxa"/>
            </w:tcMar>
            <w:vAlign w:val="center"/>
          </w:tcPr>
          <w:p w14:paraId="47E20D3B">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498555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shd w:val="clear" w:color="auto" w:fill="auto"/>
            <w:tcMar>
              <w:top w:w="15" w:type="dxa"/>
              <w:left w:w="15" w:type="dxa"/>
              <w:right w:w="15" w:type="dxa"/>
            </w:tcMar>
            <w:vAlign w:val="center"/>
          </w:tcPr>
          <w:p w14:paraId="2005B3C4">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Sj</w:t>
            </w:r>
            <w:r>
              <w:rPr>
                <w:rFonts w:hint="default" w:ascii="Times New Roman" w:hAnsi="Times New Roman" w:eastAsia="宋体" w:cs="Times New Roman"/>
                <w:color w:val="auto"/>
                <w:kern w:val="0"/>
                <w:sz w:val="21"/>
                <w:szCs w:val="21"/>
                <w:highlight w:val="none"/>
              </w:rPr>
              <w:t>10</w:t>
            </w:r>
          </w:p>
        </w:tc>
        <w:tc>
          <w:tcPr>
            <w:tcW w:w="516" w:type="pct"/>
            <w:vMerge w:val="continue"/>
            <w:tcBorders>
              <w:tl2br w:val="nil"/>
              <w:tr2bl w:val="nil"/>
            </w:tcBorders>
            <w:tcMar>
              <w:top w:w="15" w:type="dxa"/>
              <w:left w:w="15" w:type="dxa"/>
              <w:right w:w="15" w:type="dxa"/>
            </w:tcMar>
            <w:vAlign w:val="center"/>
          </w:tcPr>
          <w:p w14:paraId="05E0AB72">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1CD0CFA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117°49′00.2928″    </w:t>
            </w:r>
          </w:p>
        </w:tc>
        <w:tc>
          <w:tcPr>
            <w:tcW w:w="1000" w:type="pct"/>
            <w:tcBorders>
              <w:tl2br w:val="nil"/>
              <w:tr2bl w:val="nil"/>
            </w:tcBorders>
            <w:tcMar>
              <w:top w:w="15" w:type="dxa"/>
              <w:left w:w="15" w:type="dxa"/>
              <w:right w:w="15" w:type="dxa"/>
            </w:tcMar>
            <w:vAlign w:val="center"/>
          </w:tcPr>
          <w:p w14:paraId="0001E59D">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41°14′32.6868″</w:t>
            </w:r>
          </w:p>
        </w:tc>
        <w:tc>
          <w:tcPr>
            <w:tcW w:w="503" w:type="pct"/>
            <w:tcBorders>
              <w:tl2br w:val="nil"/>
              <w:tr2bl w:val="nil"/>
            </w:tcBorders>
            <w:tcMar>
              <w:top w:w="15" w:type="dxa"/>
              <w:left w:w="15" w:type="dxa"/>
              <w:right w:w="15" w:type="dxa"/>
            </w:tcMar>
            <w:vAlign w:val="center"/>
          </w:tcPr>
          <w:p w14:paraId="3F38E973">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607.19</w:t>
            </w:r>
          </w:p>
        </w:tc>
        <w:tc>
          <w:tcPr>
            <w:tcW w:w="405" w:type="pct"/>
            <w:tcBorders>
              <w:tl2br w:val="nil"/>
              <w:tr2bl w:val="nil"/>
            </w:tcBorders>
            <w:tcMar>
              <w:top w:w="15" w:type="dxa"/>
              <w:left w:w="15" w:type="dxa"/>
              <w:right w:w="15" w:type="dxa"/>
            </w:tcMar>
            <w:vAlign w:val="center"/>
          </w:tcPr>
          <w:p w14:paraId="4B45B50F">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8.60</w:t>
            </w:r>
          </w:p>
        </w:tc>
        <w:tc>
          <w:tcPr>
            <w:tcW w:w="418" w:type="pct"/>
            <w:tcBorders>
              <w:tl2br w:val="nil"/>
              <w:tr2bl w:val="nil"/>
            </w:tcBorders>
            <w:tcMar>
              <w:top w:w="15" w:type="dxa"/>
              <w:left w:w="15" w:type="dxa"/>
              <w:right w:w="15" w:type="dxa"/>
            </w:tcMar>
            <w:vAlign w:val="center"/>
          </w:tcPr>
          <w:p w14:paraId="51735F87">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8.98</w:t>
            </w:r>
          </w:p>
        </w:tc>
        <w:tc>
          <w:tcPr>
            <w:tcW w:w="333" w:type="pct"/>
            <w:tcBorders>
              <w:tl2br w:val="nil"/>
              <w:tr2bl w:val="nil"/>
            </w:tcBorders>
            <w:tcMar>
              <w:top w:w="15" w:type="dxa"/>
              <w:left w:w="15" w:type="dxa"/>
              <w:right w:w="15" w:type="dxa"/>
            </w:tcMar>
            <w:vAlign w:val="center"/>
          </w:tcPr>
          <w:p w14:paraId="478B40B3">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11.20</w:t>
            </w:r>
          </w:p>
        </w:tc>
        <w:tc>
          <w:tcPr>
            <w:tcW w:w="369" w:type="pct"/>
            <w:tcBorders>
              <w:tl2br w:val="nil"/>
              <w:tr2bl w:val="nil"/>
            </w:tcBorders>
            <w:tcMar>
              <w:top w:w="15" w:type="dxa"/>
              <w:left w:w="15" w:type="dxa"/>
              <w:right w:w="15" w:type="dxa"/>
            </w:tcMar>
            <w:vAlign w:val="center"/>
          </w:tcPr>
          <w:p w14:paraId="669C6117">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2B659D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shd w:val="clear" w:color="auto" w:fill="auto"/>
            <w:tcMar>
              <w:top w:w="15" w:type="dxa"/>
              <w:left w:w="15" w:type="dxa"/>
              <w:right w:w="15" w:type="dxa"/>
            </w:tcMar>
            <w:vAlign w:val="center"/>
          </w:tcPr>
          <w:p w14:paraId="6183F90C">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Sj</w:t>
            </w:r>
            <w:r>
              <w:rPr>
                <w:rFonts w:hint="default" w:ascii="Times New Roman" w:hAnsi="Times New Roman" w:eastAsia="宋体" w:cs="Times New Roman"/>
                <w:color w:val="auto"/>
                <w:kern w:val="0"/>
                <w:sz w:val="21"/>
                <w:szCs w:val="21"/>
                <w:highlight w:val="none"/>
              </w:rPr>
              <w:t>11</w:t>
            </w:r>
          </w:p>
        </w:tc>
        <w:tc>
          <w:tcPr>
            <w:tcW w:w="516" w:type="pct"/>
            <w:vMerge w:val="continue"/>
            <w:tcBorders>
              <w:tl2br w:val="nil"/>
              <w:tr2bl w:val="nil"/>
            </w:tcBorders>
            <w:tcMar>
              <w:top w:w="15" w:type="dxa"/>
              <w:left w:w="15" w:type="dxa"/>
              <w:right w:w="15" w:type="dxa"/>
            </w:tcMar>
            <w:vAlign w:val="center"/>
          </w:tcPr>
          <w:p w14:paraId="16C823F7">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0E05ACC5">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E</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 xml:space="preserve">117°49′3.6552″    </w:t>
            </w:r>
          </w:p>
        </w:tc>
        <w:tc>
          <w:tcPr>
            <w:tcW w:w="1000" w:type="pct"/>
            <w:tcBorders>
              <w:tl2br w:val="nil"/>
              <w:tr2bl w:val="nil"/>
            </w:tcBorders>
            <w:tcMar>
              <w:top w:w="15" w:type="dxa"/>
              <w:left w:w="15" w:type="dxa"/>
              <w:right w:w="15" w:type="dxa"/>
            </w:tcMar>
            <w:vAlign w:val="center"/>
          </w:tcPr>
          <w:p w14:paraId="61ABF8B3">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i w:val="0"/>
                <w:iCs w:val="0"/>
                <w:color w:val="auto"/>
                <w:kern w:val="0"/>
                <w:sz w:val="21"/>
                <w:szCs w:val="21"/>
                <w:highlight w:val="none"/>
                <w:u w:val="none"/>
                <w:lang w:val="en-US" w:eastAsia="zh-CN" w:bidi="ar"/>
              </w:rPr>
              <w:t>41°14′35.0880″</w:t>
            </w:r>
          </w:p>
        </w:tc>
        <w:tc>
          <w:tcPr>
            <w:tcW w:w="503" w:type="pct"/>
            <w:tcBorders>
              <w:tl2br w:val="nil"/>
              <w:tr2bl w:val="nil"/>
            </w:tcBorders>
            <w:tcMar>
              <w:top w:w="15" w:type="dxa"/>
              <w:left w:w="15" w:type="dxa"/>
              <w:right w:w="15" w:type="dxa"/>
            </w:tcMar>
            <w:vAlign w:val="center"/>
          </w:tcPr>
          <w:p w14:paraId="7DA5FDF5">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591.90</w:t>
            </w:r>
          </w:p>
        </w:tc>
        <w:tc>
          <w:tcPr>
            <w:tcW w:w="405" w:type="pct"/>
            <w:tcBorders>
              <w:tl2br w:val="nil"/>
              <w:tr2bl w:val="nil"/>
            </w:tcBorders>
            <w:tcMar>
              <w:top w:w="15" w:type="dxa"/>
              <w:left w:w="15" w:type="dxa"/>
              <w:right w:w="15" w:type="dxa"/>
            </w:tcMar>
            <w:vAlign w:val="center"/>
          </w:tcPr>
          <w:p w14:paraId="12BAB4AC">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7.00</w:t>
            </w:r>
          </w:p>
        </w:tc>
        <w:tc>
          <w:tcPr>
            <w:tcW w:w="418" w:type="pct"/>
            <w:tcBorders>
              <w:tl2br w:val="nil"/>
              <w:tr2bl w:val="nil"/>
            </w:tcBorders>
            <w:tcMar>
              <w:top w:w="15" w:type="dxa"/>
              <w:left w:w="15" w:type="dxa"/>
              <w:right w:w="15" w:type="dxa"/>
            </w:tcMar>
            <w:vAlign w:val="center"/>
          </w:tcPr>
          <w:p w14:paraId="10FDE137">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7.62</w:t>
            </w:r>
          </w:p>
        </w:tc>
        <w:tc>
          <w:tcPr>
            <w:tcW w:w="333" w:type="pct"/>
            <w:tcBorders>
              <w:tl2br w:val="nil"/>
              <w:tr2bl w:val="nil"/>
            </w:tcBorders>
            <w:tcMar>
              <w:top w:w="15" w:type="dxa"/>
              <w:left w:w="15" w:type="dxa"/>
              <w:right w:w="15" w:type="dxa"/>
            </w:tcMar>
            <w:vAlign w:val="center"/>
          </w:tcPr>
          <w:p w14:paraId="1CDF90CE">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10.70</w:t>
            </w:r>
          </w:p>
        </w:tc>
        <w:tc>
          <w:tcPr>
            <w:tcW w:w="369" w:type="pct"/>
            <w:tcBorders>
              <w:tl2br w:val="nil"/>
              <w:tr2bl w:val="nil"/>
            </w:tcBorders>
            <w:tcMar>
              <w:top w:w="15" w:type="dxa"/>
              <w:left w:w="15" w:type="dxa"/>
              <w:right w:w="15" w:type="dxa"/>
            </w:tcMar>
            <w:vAlign w:val="center"/>
          </w:tcPr>
          <w:p w14:paraId="2FD9CFB8">
            <w:pPr>
              <w:widowControl/>
              <w:adjustRightInd w:val="0"/>
              <w:snapToGrid w:val="0"/>
              <w:spacing w:line="240" w:lineRule="auto"/>
              <w:ind w:firstLine="0" w:firstLineChars="0"/>
              <w:jc w:val="center"/>
              <w:textAlignment w:val="center"/>
              <w:rPr>
                <w:rFonts w:hint="default"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生活</w:t>
            </w:r>
          </w:p>
        </w:tc>
      </w:tr>
      <w:tr w14:paraId="216E3F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tcMar>
              <w:top w:w="15" w:type="dxa"/>
              <w:left w:w="15" w:type="dxa"/>
              <w:right w:w="15" w:type="dxa"/>
            </w:tcMar>
            <w:vAlign w:val="center"/>
          </w:tcPr>
          <w:p w14:paraId="6499968A">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eastAsia="zh-CN"/>
              </w:rPr>
              <w:t>Sj</w:t>
            </w:r>
            <w:r>
              <w:rPr>
                <w:rFonts w:hint="default" w:ascii="Times New Roman" w:hAnsi="Times New Roman" w:eastAsia="宋体" w:cs="Times New Roman"/>
                <w:color w:val="auto"/>
                <w:kern w:val="0"/>
                <w:sz w:val="21"/>
                <w:szCs w:val="21"/>
                <w:highlight w:val="none"/>
              </w:rPr>
              <w:t>1</w:t>
            </w:r>
            <w:r>
              <w:rPr>
                <w:rFonts w:hint="eastAsia" w:cs="Times New Roman"/>
                <w:color w:val="auto"/>
                <w:kern w:val="0"/>
                <w:sz w:val="21"/>
                <w:szCs w:val="21"/>
                <w:highlight w:val="none"/>
                <w:lang w:val="en-US" w:eastAsia="zh-CN"/>
              </w:rPr>
              <w:t>2</w:t>
            </w:r>
          </w:p>
        </w:tc>
        <w:tc>
          <w:tcPr>
            <w:tcW w:w="516" w:type="pct"/>
            <w:vMerge w:val="restart"/>
            <w:tcBorders>
              <w:tl2br w:val="nil"/>
              <w:tr2bl w:val="nil"/>
            </w:tcBorders>
            <w:tcMar>
              <w:top w:w="15" w:type="dxa"/>
              <w:left w:w="15" w:type="dxa"/>
              <w:right w:w="15" w:type="dxa"/>
            </w:tcMar>
            <w:vAlign w:val="center"/>
          </w:tcPr>
          <w:p w14:paraId="02860DAC">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韩三沟门村</w:t>
            </w:r>
          </w:p>
        </w:tc>
        <w:tc>
          <w:tcPr>
            <w:tcW w:w="1105" w:type="pct"/>
            <w:tcBorders>
              <w:tl2br w:val="nil"/>
              <w:tr2bl w:val="nil"/>
            </w:tcBorders>
            <w:tcMar>
              <w:top w:w="15" w:type="dxa"/>
              <w:left w:w="15" w:type="dxa"/>
              <w:right w:w="15" w:type="dxa"/>
            </w:tcMar>
            <w:vAlign w:val="center"/>
          </w:tcPr>
          <w:p w14:paraId="7B89561B">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E117°49′55.95600″</w:t>
            </w:r>
          </w:p>
        </w:tc>
        <w:tc>
          <w:tcPr>
            <w:tcW w:w="1000" w:type="pct"/>
            <w:tcBorders>
              <w:tl2br w:val="nil"/>
              <w:tr2bl w:val="nil"/>
            </w:tcBorders>
            <w:tcMar>
              <w:top w:w="15" w:type="dxa"/>
              <w:left w:w="15" w:type="dxa"/>
              <w:right w:w="15" w:type="dxa"/>
            </w:tcMar>
            <w:vAlign w:val="center"/>
          </w:tcPr>
          <w:p w14:paraId="2FCE1923">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color w:val="auto"/>
                <w:kern w:val="0"/>
                <w:sz w:val="21"/>
                <w:szCs w:val="21"/>
                <w:highlight w:val="none"/>
                <w:lang w:val="en-US" w:eastAsia="zh-CN"/>
              </w:rPr>
              <w:t>41°15′8.13240″</w:t>
            </w:r>
          </w:p>
        </w:tc>
        <w:tc>
          <w:tcPr>
            <w:tcW w:w="503" w:type="pct"/>
            <w:tcBorders>
              <w:tl2br w:val="nil"/>
              <w:tr2bl w:val="nil"/>
            </w:tcBorders>
            <w:tcMar>
              <w:top w:w="15" w:type="dxa"/>
              <w:left w:w="15" w:type="dxa"/>
              <w:right w:w="15" w:type="dxa"/>
            </w:tcMar>
            <w:vAlign w:val="center"/>
          </w:tcPr>
          <w:p w14:paraId="0D08565C">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582.61</w:t>
            </w:r>
          </w:p>
        </w:tc>
        <w:tc>
          <w:tcPr>
            <w:tcW w:w="405" w:type="pct"/>
            <w:tcBorders>
              <w:tl2br w:val="nil"/>
              <w:tr2bl w:val="nil"/>
            </w:tcBorders>
            <w:tcMar>
              <w:top w:w="15" w:type="dxa"/>
              <w:left w:w="15" w:type="dxa"/>
              <w:right w:w="15" w:type="dxa"/>
            </w:tcMar>
            <w:vAlign w:val="center"/>
          </w:tcPr>
          <w:p w14:paraId="7F4592DC">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4.36</w:t>
            </w:r>
          </w:p>
        </w:tc>
        <w:tc>
          <w:tcPr>
            <w:tcW w:w="418" w:type="pct"/>
            <w:tcBorders>
              <w:tl2br w:val="nil"/>
              <w:tr2bl w:val="nil"/>
            </w:tcBorders>
            <w:tcMar>
              <w:top w:w="15" w:type="dxa"/>
              <w:left w:w="15" w:type="dxa"/>
              <w:right w:w="15" w:type="dxa"/>
            </w:tcMar>
            <w:vAlign w:val="center"/>
          </w:tcPr>
          <w:p w14:paraId="0979F129">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4.92</w:t>
            </w:r>
          </w:p>
        </w:tc>
        <w:tc>
          <w:tcPr>
            <w:tcW w:w="333" w:type="pct"/>
            <w:tcBorders>
              <w:tl2br w:val="nil"/>
              <w:tr2bl w:val="nil"/>
            </w:tcBorders>
            <w:tcMar>
              <w:top w:w="15" w:type="dxa"/>
              <w:left w:w="15" w:type="dxa"/>
              <w:right w:w="15" w:type="dxa"/>
            </w:tcMar>
            <w:vAlign w:val="center"/>
          </w:tcPr>
          <w:p w14:paraId="521CEAAD">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8.0</w:t>
            </w:r>
          </w:p>
        </w:tc>
        <w:tc>
          <w:tcPr>
            <w:tcW w:w="369" w:type="pct"/>
            <w:tcBorders>
              <w:tl2br w:val="nil"/>
              <w:tr2bl w:val="nil"/>
            </w:tcBorders>
            <w:tcMar>
              <w:top w:w="15" w:type="dxa"/>
              <w:left w:w="15" w:type="dxa"/>
              <w:right w:w="15" w:type="dxa"/>
            </w:tcMar>
            <w:vAlign w:val="center"/>
          </w:tcPr>
          <w:p w14:paraId="761DD923">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生活</w:t>
            </w:r>
          </w:p>
        </w:tc>
      </w:tr>
      <w:tr w14:paraId="6212F8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tcMar>
              <w:top w:w="15" w:type="dxa"/>
              <w:left w:w="15" w:type="dxa"/>
              <w:right w:w="15" w:type="dxa"/>
            </w:tcMar>
            <w:vAlign w:val="center"/>
          </w:tcPr>
          <w:p w14:paraId="5DD66C79">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eastAsia="zh-CN"/>
              </w:rPr>
              <w:t>Sj</w:t>
            </w:r>
            <w:r>
              <w:rPr>
                <w:rFonts w:hint="default" w:ascii="Times New Roman" w:hAnsi="Times New Roman" w:eastAsia="宋体" w:cs="Times New Roman"/>
                <w:color w:val="auto"/>
                <w:kern w:val="0"/>
                <w:sz w:val="21"/>
                <w:szCs w:val="21"/>
                <w:highlight w:val="none"/>
              </w:rPr>
              <w:t>1</w:t>
            </w:r>
            <w:r>
              <w:rPr>
                <w:rFonts w:hint="eastAsia" w:cs="Times New Roman"/>
                <w:color w:val="auto"/>
                <w:kern w:val="0"/>
                <w:sz w:val="21"/>
                <w:szCs w:val="21"/>
                <w:highlight w:val="none"/>
                <w:lang w:val="en-US" w:eastAsia="zh-CN"/>
              </w:rPr>
              <w:t>3</w:t>
            </w:r>
          </w:p>
        </w:tc>
        <w:tc>
          <w:tcPr>
            <w:tcW w:w="516" w:type="pct"/>
            <w:vMerge w:val="continue"/>
            <w:tcBorders>
              <w:tl2br w:val="nil"/>
              <w:tr2bl w:val="nil"/>
            </w:tcBorders>
            <w:tcMar>
              <w:top w:w="15" w:type="dxa"/>
              <w:left w:w="15" w:type="dxa"/>
              <w:right w:w="15" w:type="dxa"/>
            </w:tcMar>
            <w:vAlign w:val="center"/>
          </w:tcPr>
          <w:p w14:paraId="180FFDCC">
            <w:pPr>
              <w:pStyle w:val="161"/>
              <w:bidi w:val="0"/>
              <w:rPr>
                <w:rFonts w:hint="default" w:ascii="Times New Roman" w:hAnsi="Times New Roman" w:cs="Times New Roman"/>
                <w:color w:val="auto"/>
                <w:sz w:val="21"/>
                <w:szCs w:val="21"/>
                <w:highlight w:val="none"/>
                <w:lang w:val="en-US" w:eastAsia="zh-CN"/>
              </w:rPr>
            </w:pPr>
          </w:p>
        </w:tc>
        <w:tc>
          <w:tcPr>
            <w:tcW w:w="1105" w:type="pct"/>
            <w:tcBorders>
              <w:tl2br w:val="nil"/>
              <w:tr2bl w:val="nil"/>
            </w:tcBorders>
            <w:tcMar>
              <w:top w:w="15" w:type="dxa"/>
              <w:left w:w="15" w:type="dxa"/>
              <w:right w:w="15" w:type="dxa"/>
            </w:tcMar>
            <w:vAlign w:val="center"/>
          </w:tcPr>
          <w:p w14:paraId="03F0787A">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E117°49′59.59920″</w:t>
            </w:r>
          </w:p>
        </w:tc>
        <w:tc>
          <w:tcPr>
            <w:tcW w:w="1000" w:type="pct"/>
            <w:tcBorders>
              <w:tl2br w:val="nil"/>
              <w:tr2bl w:val="nil"/>
            </w:tcBorders>
            <w:tcMar>
              <w:top w:w="15" w:type="dxa"/>
              <w:left w:w="15" w:type="dxa"/>
              <w:right w:w="15" w:type="dxa"/>
            </w:tcMar>
            <w:vAlign w:val="center"/>
          </w:tcPr>
          <w:p w14:paraId="6C6EAD81">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color w:val="auto"/>
                <w:kern w:val="0"/>
                <w:sz w:val="21"/>
                <w:szCs w:val="21"/>
                <w:highlight w:val="none"/>
                <w:lang w:val="en-US" w:eastAsia="zh-CN"/>
              </w:rPr>
              <w:t>41°15′7.65000″</w:t>
            </w:r>
          </w:p>
        </w:tc>
        <w:tc>
          <w:tcPr>
            <w:tcW w:w="503" w:type="pct"/>
            <w:tcBorders>
              <w:tl2br w:val="nil"/>
              <w:tr2bl w:val="nil"/>
            </w:tcBorders>
            <w:tcMar>
              <w:top w:w="15" w:type="dxa"/>
              <w:left w:w="15" w:type="dxa"/>
              <w:right w:w="15" w:type="dxa"/>
            </w:tcMar>
            <w:vAlign w:val="center"/>
          </w:tcPr>
          <w:p w14:paraId="2ADCE178">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581.67</w:t>
            </w:r>
          </w:p>
        </w:tc>
        <w:tc>
          <w:tcPr>
            <w:tcW w:w="405" w:type="pct"/>
            <w:tcBorders>
              <w:tl2br w:val="nil"/>
              <w:tr2bl w:val="nil"/>
            </w:tcBorders>
            <w:tcMar>
              <w:top w:w="15" w:type="dxa"/>
              <w:left w:w="15" w:type="dxa"/>
              <w:right w:w="15" w:type="dxa"/>
            </w:tcMar>
            <w:vAlign w:val="center"/>
          </w:tcPr>
          <w:p w14:paraId="6448496C">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3.84</w:t>
            </w:r>
          </w:p>
        </w:tc>
        <w:tc>
          <w:tcPr>
            <w:tcW w:w="418" w:type="pct"/>
            <w:tcBorders>
              <w:tl2br w:val="nil"/>
              <w:tr2bl w:val="nil"/>
            </w:tcBorders>
            <w:tcMar>
              <w:top w:w="15" w:type="dxa"/>
              <w:left w:w="15" w:type="dxa"/>
              <w:right w:w="15" w:type="dxa"/>
            </w:tcMar>
            <w:vAlign w:val="center"/>
          </w:tcPr>
          <w:p w14:paraId="5335AF0C">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4.26</w:t>
            </w:r>
          </w:p>
        </w:tc>
        <w:tc>
          <w:tcPr>
            <w:tcW w:w="333" w:type="pct"/>
            <w:tcBorders>
              <w:tl2br w:val="nil"/>
              <w:tr2bl w:val="nil"/>
            </w:tcBorders>
            <w:tcMar>
              <w:top w:w="15" w:type="dxa"/>
              <w:left w:w="15" w:type="dxa"/>
              <w:right w:w="15" w:type="dxa"/>
            </w:tcMar>
            <w:vAlign w:val="center"/>
          </w:tcPr>
          <w:p w14:paraId="078B8AF8">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15.0</w:t>
            </w:r>
          </w:p>
        </w:tc>
        <w:tc>
          <w:tcPr>
            <w:tcW w:w="369" w:type="pct"/>
            <w:tcBorders>
              <w:tl2br w:val="nil"/>
              <w:tr2bl w:val="nil"/>
            </w:tcBorders>
            <w:tcMar>
              <w:top w:w="15" w:type="dxa"/>
              <w:left w:w="15" w:type="dxa"/>
              <w:right w:w="15" w:type="dxa"/>
            </w:tcMar>
            <w:vAlign w:val="center"/>
          </w:tcPr>
          <w:p w14:paraId="4552A50E">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生活</w:t>
            </w:r>
          </w:p>
        </w:tc>
      </w:tr>
      <w:tr w14:paraId="69E14B6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trPr>
        <w:tc>
          <w:tcPr>
            <w:tcW w:w="346" w:type="pct"/>
            <w:tcBorders>
              <w:tl2br w:val="nil"/>
              <w:tr2bl w:val="nil"/>
            </w:tcBorders>
            <w:tcMar>
              <w:top w:w="15" w:type="dxa"/>
              <w:left w:w="15" w:type="dxa"/>
              <w:right w:w="15" w:type="dxa"/>
            </w:tcMar>
            <w:vAlign w:val="center"/>
          </w:tcPr>
          <w:p w14:paraId="319A762E">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eastAsia="zh-CN"/>
              </w:rPr>
              <w:t>Sj</w:t>
            </w:r>
            <w:r>
              <w:rPr>
                <w:rFonts w:hint="default" w:ascii="Times New Roman" w:hAnsi="Times New Roman" w:eastAsia="宋体" w:cs="Times New Roman"/>
                <w:color w:val="auto"/>
                <w:kern w:val="0"/>
                <w:sz w:val="21"/>
                <w:szCs w:val="21"/>
                <w:highlight w:val="none"/>
              </w:rPr>
              <w:t>1</w:t>
            </w:r>
            <w:r>
              <w:rPr>
                <w:rFonts w:hint="eastAsia" w:cs="Times New Roman"/>
                <w:color w:val="auto"/>
                <w:kern w:val="0"/>
                <w:sz w:val="21"/>
                <w:szCs w:val="21"/>
                <w:highlight w:val="none"/>
                <w:lang w:val="en-US" w:eastAsia="zh-CN"/>
              </w:rPr>
              <w:t>4</w:t>
            </w:r>
          </w:p>
        </w:tc>
        <w:tc>
          <w:tcPr>
            <w:tcW w:w="516" w:type="pct"/>
            <w:tcBorders>
              <w:tl2br w:val="nil"/>
              <w:tr2bl w:val="nil"/>
            </w:tcBorders>
            <w:tcMar>
              <w:top w:w="15" w:type="dxa"/>
              <w:left w:w="15" w:type="dxa"/>
              <w:right w:w="15" w:type="dxa"/>
            </w:tcMar>
            <w:vAlign w:val="center"/>
          </w:tcPr>
          <w:p w14:paraId="212B23B1">
            <w:pPr>
              <w:pStyle w:val="161"/>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韩麻营镇</w:t>
            </w:r>
          </w:p>
        </w:tc>
        <w:tc>
          <w:tcPr>
            <w:tcW w:w="1105" w:type="pct"/>
            <w:tcBorders>
              <w:tl2br w:val="nil"/>
              <w:tr2bl w:val="nil"/>
            </w:tcBorders>
            <w:tcMar>
              <w:top w:w="15" w:type="dxa"/>
              <w:left w:w="15" w:type="dxa"/>
              <w:right w:w="15" w:type="dxa"/>
            </w:tcMar>
            <w:vAlign w:val="center"/>
          </w:tcPr>
          <w:p w14:paraId="1CA01D9D">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E117°51′28.01160″</w:t>
            </w:r>
          </w:p>
        </w:tc>
        <w:tc>
          <w:tcPr>
            <w:tcW w:w="1000" w:type="pct"/>
            <w:tcBorders>
              <w:tl2br w:val="nil"/>
              <w:tr2bl w:val="nil"/>
            </w:tcBorders>
            <w:tcMar>
              <w:top w:w="15" w:type="dxa"/>
              <w:left w:w="15" w:type="dxa"/>
              <w:right w:w="15" w:type="dxa"/>
            </w:tcMar>
            <w:vAlign w:val="center"/>
          </w:tcPr>
          <w:p w14:paraId="14307B07">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eastAsia" w:ascii="Times New Roman" w:hAnsi="Times New Roman" w:cs="Times New Roman"/>
                <w:i w:val="0"/>
                <w:iCs w:val="0"/>
                <w:color w:val="auto"/>
                <w:kern w:val="0"/>
                <w:sz w:val="21"/>
                <w:szCs w:val="21"/>
                <w:highlight w:val="none"/>
                <w:u w:val="none"/>
                <w:lang w:val="en-US" w:eastAsia="zh-CN" w:bidi="ar"/>
              </w:rPr>
              <w:t xml:space="preserve"> </w:t>
            </w:r>
            <w:r>
              <w:rPr>
                <w:rFonts w:hint="default" w:ascii="Times New Roman" w:hAnsi="Times New Roman" w:eastAsia="宋体" w:cs="Times New Roman"/>
                <w:color w:val="auto"/>
                <w:kern w:val="0"/>
                <w:sz w:val="21"/>
                <w:szCs w:val="21"/>
                <w:highlight w:val="none"/>
                <w:lang w:val="en-US" w:eastAsia="zh-CN"/>
              </w:rPr>
              <w:t>41°15′28.65600″</w:t>
            </w:r>
          </w:p>
        </w:tc>
        <w:tc>
          <w:tcPr>
            <w:tcW w:w="503" w:type="pct"/>
            <w:tcBorders>
              <w:tl2br w:val="nil"/>
              <w:tr2bl w:val="nil"/>
            </w:tcBorders>
            <w:tcMar>
              <w:top w:w="15" w:type="dxa"/>
              <w:left w:w="15" w:type="dxa"/>
              <w:right w:w="15" w:type="dxa"/>
            </w:tcMar>
            <w:vAlign w:val="center"/>
          </w:tcPr>
          <w:p w14:paraId="0A02585F">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550.07</w:t>
            </w:r>
          </w:p>
        </w:tc>
        <w:tc>
          <w:tcPr>
            <w:tcW w:w="405" w:type="pct"/>
            <w:tcBorders>
              <w:tl2br w:val="nil"/>
              <w:tr2bl w:val="nil"/>
            </w:tcBorders>
            <w:tcMar>
              <w:top w:w="15" w:type="dxa"/>
              <w:left w:w="15" w:type="dxa"/>
              <w:right w:w="15" w:type="dxa"/>
            </w:tcMar>
            <w:vAlign w:val="center"/>
          </w:tcPr>
          <w:p w14:paraId="6D7427A1">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4.26</w:t>
            </w:r>
          </w:p>
        </w:tc>
        <w:tc>
          <w:tcPr>
            <w:tcW w:w="418" w:type="pct"/>
            <w:tcBorders>
              <w:tl2br w:val="nil"/>
              <w:tr2bl w:val="nil"/>
            </w:tcBorders>
            <w:tcMar>
              <w:top w:w="15" w:type="dxa"/>
              <w:left w:w="15" w:type="dxa"/>
              <w:right w:w="15" w:type="dxa"/>
            </w:tcMar>
            <w:vAlign w:val="center"/>
          </w:tcPr>
          <w:p w14:paraId="089D6213">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4.95</w:t>
            </w:r>
          </w:p>
        </w:tc>
        <w:tc>
          <w:tcPr>
            <w:tcW w:w="333" w:type="pct"/>
            <w:tcBorders>
              <w:tl2br w:val="nil"/>
              <w:tr2bl w:val="nil"/>
            </w:tcBorders>
            <w:tcMar>
              <w:top w:w="15" w:type="dxa"/>
              <w:left w:w="15" w:type="dxa"/>
              <w:right w:w="15" w:type="dxa"/>
            </w:tcMar>
            <w:vAlign w:val="center"/>
          </w:tcPr>
          <w:p w14:paraId="0A8B9C4F">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9.0</w:t>
            </w:r>
          </w:p>
        </w:tc>
        <w:tc>
          <w:tcPr>
            <w:tcW w:w="369" w:type="pct"/>
            <w:tcBorders>
              <w:tl2br w:val="nil"/>
              <w:tr2bl w:val="nil"/>
            </w:tcBorders>
            <w:tcMar>
              <w:top w:w="15" w:type="dxa"/>
              <w:left w:w="15" w:type="dxa"/>
              <w:right w:w="15" w:type="dxa"/>
            </w:tcMar>
            <w:vAlign w:val="center"/>
          </w:tcPr>
          <w:p w14:paraId="39D45578">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生活</w:t>
            </w:r>
          </w:p>
        </w:tc>
      </w:tr>
    </w:tbl>
    <w:p w14:paraId="5D9E5B59">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ascii="Times New Roman"/>
          <w:sz w:val="24"/>
          <w:szCs w:val="32"/>
          <w:highlight w:val="none"/>
        </w:rPr>
      </w:pPr>
      <w:r>
        <w:rPr>
          <w:rFonts w:hint="eastAsia"/>
          <w:b/>
          <w:sz w:val="24"/>
          <w:szCs w:val="32"/>
          <w:highlight w:val="none"/>
          <w:lang w:val="en-US" w:eastAsia="zh-CN"/>
        </w:rPr>
        <w:t>7</w:t>
      </w:r>
      <w:r>
        <w:rPr>
          <w:rFonts w:ascii="Times New Roman" w:eastAsia="宋体"/>
          <w:b/>
          <w:sz w:val="24"/>
          <w:szCs w:val="32"/>
          <w:highlight w:val="none"/>
        </w:rPr>
        <w:t>、抽水试验</w:t>
      </w:r>
    </w:p>
    <w:p w14:paraId="1356F0B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抽水试验</w:t>
      </w:r>
      <w:r>
        <w:rPr>
          <w:rFonts w:hint="default" w:ascii="Times New Roman" w:hAnsi="Times New Roman" w:cs="Times New Roman"/>
          <w:sz w:val="24"/>
          <w:szCs w:val="24"/>
          <w:highlight w:val="none"/>
        </w:rPr>
        <w:t>野外工作在</w:t>
      </w:r>
      <w:r>
        <w:rPr>
          <w:rFonts w:hint="eastAsia" w:cs="Times New Roman"/>
          <w:sz w:val="24"/>
          <w:szCs w:val="24"/>
          <w:highlight w:val="none"/>
          <w:lang w:val="en-US" w:eastAsia="zh-CN"/>
        </w:rPr>
        <w:t>东北沟尾矿库下游</w:t>
      </w:r>
      <w:r>
        <w:rPr>
          <w:rFonts w:hint="default" w:ascii="Times New Roman" w:hAnsi="Times New Roman" w:cs="Times New Roman"/>
          <w:sz w:val="24"/>
          <w:szCs w:val="24"/>
          <w:highlight w:val="none"/>
        </w:rPr>
        <w:t>进行了</w:t>
      </w:r>
      <w:r>
        <w:rPr>
          <w:rFonts w:hint="default"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组</w:t>
      </w:r>
      <w:r>
        <w:rPr>
          <w:rFonts w:hint="default" w:ascii="Times New Roman" w:hAnsi="Times New Roman" w:cs="Times New Roman"/>
          <w:sz w:val="24"/>
          <w:szCs w:val="24"/>
          <w:highlight w:val="none"/>
          <w:lang w:val="en-US" w:eastAsia="zh-CN"/>
        </w:rPr>
        <w:t>单井</w:t>
      </w:r>
      <w:r>
        <w:rPr>
          <w:rFonts w:hint="default" w:ascii="Times New Roman" w:hAnsi="Times New Roman" w:cs="Times New Roman"/>
          <w:sz w:val="24"/>
          <w:szCs w:val="24"/>
          <w:highlight w:val="none"/>
        </w:rPr>
        <w:t>抽水试验。抽水期间电压、水量平稳，观测频率先密后疏，取得了可靠的观测资料。</w:t>
      </w:r>
    </w:p>
    <w:p w14:paraId="1CDEC3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eastAsia="宋体"/>
          <w:sz w:val="24"/>
          <w:szCs w:val="32"/>
          <w:highlight w:val="none"/>
          <w:lang w:val="en-US" w:eastAsia="zh-CN"/>
        </w:rPr>
      </w:pPr>
      <w:r>
        <w:rPr>
          <w:rFonts w:hint="default" w:ascii="Times New Roman" w:hAnsi="Times New Roman" w:cs="Times New Roman"/>
          <w:color w:val="auto"/>
          <w:sz w:val="24"/>
          <w:szCs w:val="24"/>
          <w:highlight w:val="none"/>
          <w:lang w:val="en-US" w:eastAsia="zh-CN"/>
        </w:rPr>
        <w:t>利用潜水稳定流计算法进行水文地质参数计算，计算公式为：</w:t>
      </w:r>
      <w:bookmarkStart w:id="304" w:name="_Toc334708153"/>
      <w:bookmarkStart w:id="305" w:name="_Toc21874"/>
      <w:bookmarkStart w:id="306" w:name="_Toc19240"/>
    </w:p>
    <w:p w14:paraId="355FD090">
      <w:pPr>
        <w:adjustRightInd/>
        <w:snapToGrid/>
        <w:spacing w:line="360" w:lineRule="auto"/>
        <w:ind w:firstLine="480" w:firstLineChars="200"/>
        <w:rPr>
          <w:rFonts w:hint="default" w:ascii="Times New Roman" w:hAnsi="Times New Roman" w:eastAsia="宋体" w:cs="Times New Roman"/>
          <w:bCs/>
          <w:color w:val="000000"/>
          <w:sz w:val="24"/>
          <w:szCs w:val="22"/>
          <w:highlight w:val="none"/>
        </w:rPr>
      </w:pPr>
      <w:bookmarkStart w:id="307" w:name="_Toc27207"/>
      <w:bookmarkStart w:id="308" w:name="_Toc23857"/>
      <w:bookmarkStart w:id="309" w:name="_Toc334708154"/>
      <w:r>
        <w:rPr>
          <w:rFonts w:hint="default" w:ascii="Times New Roman" w:hAnsi="Times New Roman" w:eastAsia="宋体" w:cs="Times New Roman"/>
          <w:bCs/>
          <w:color w:val="000000"/>
          <w:sz w:val="24"/>
          <w:szCs w:val="22"/>
          <w:highlight w:val="none"/>
        </w:rPr>
        <w:drawing>
          <wp:anchor distT="0" distB="0" distL="114300" distR="114300" simplePos="0" relativeHeight="251665408" behindDoc="0" locked="0" layoutInCell="1" allowOverlap="1">
            <wp:simplePos x="0" y="0"/>
            <wp:positionH relativeFrom="column">
              <wp:posOffset>2769870</wp:posOffset>
            </wp:positionH>
            <wp:positionV relativeFrom="paragraph">
              <wp:posOffset>170815</wp:posOffset>
            </wp:positionV>
            <wp:extent cx="1143000" cy="307975"/>
            <wp:effectExtent l="0" t="0" r="0" b="12700"/>
            <wp:wrapNone/>
            <wp:docPr id="27"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38"/>
                    <pic:cNvPicPr>
                      <a:picLocks noChangeAspect="1"/>
                    </pic:cNvPicPr>
                  </pic:nvPicPr>
                  <pic:blipFill>
                    <a:blip r:embed="rId32"/>
                    <a:stretch>
                      <a:fillRect/>
                    </a:stretch>
                  </pic:blipFill>
                  <pic:spPr>
                    <a:xfrm>
                      <a:off x="0" y="0"/>
                      <a:ext cx="1143000" cy="307975"/>
                    </a:xfrm>
                    <a:prstGeom prst="rect">
                      <a:avLst/>
                    </a:prstGeom>
                    <a:noFill/>
                    <a:ln>
                      <a:noFill/>
                    </a:ln>
                  </pic:spPr>
                </pic:pic>
              </a:graphicData>
            </a:graphic>
          </wp:anchor>
        </w:drawing>
      </w:r>
      <w:r>
        <w:rPr>
          <w:rFonts w:hint="default" w:ascii="Times New Roman" w:hAnsi="Times New Roman" w:eastAsia="宋体" w:cs="Times New Roman"/>
          <w:bCs/>
          <w:color w:val="000000"/>
          <w:sz w:val="24"/>
          <w:szCs w:val="22"/>
          <w:highlight w:val="none"/>
        </w:rPr>
        <w:drawing>
          <wp:anchor distT="0" distB="0" distL="114300" distR="114300" simplePos="0" relativeHeight="251666432" behindDoc="0" locked="0" layoutInCell="1" allowOverlap="1">
            <wp:simplePos x="0" y="0"/>
            <wp:positionH relativeFrom="column">
              <wp:posOffset>708660</wp:posOffset>
            </wp:positionH>
            <wp:positionV relativeFrom="paragraph">
              <wp:posOffset>99695</wp:posOffset>
            </wp:positionV>
            <wp:extent cx="1828800" cy="472440"/>
            <wp:effectExtent l="0" t="0" r="0" b="0"/>
            <wp:wrapNone/>
            <wp:docPr id="26"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37"/>
                    <pic:cNvPicPr>
                      <a:picLocks noChangeAspect="1"/>
                    </pic:cNvPicPr>
                  </pic:nvPicPr>
                  <pic:blipFill>
                    <a:blip r:embed="rId33"/>
                    <a:stretch>
                      <a:fillRect/>
                    </a:stretch>
                  </pic:blipFill>
                  <pic:spPr>
                    <a:xfrm>
                      <a:off x="0" y="0"/>
                      <a:ext cx="1828800" cy="472440"/>
                    </a:xfrm>
                    <a:prstGeom prst="rect">
                      <a:avLst/>
                    </a:prstGeom>
                    <a:noFill/>
                    <a:ln>
                      <a:noFill/>
                    </a:ln>
                  </pic:spPr>
                </pic:pic>
              </a:graphicData>
            </a:graphic>
          </wp:anchor>
        </w:drawing>
      </w:r>
    </w:p>
    <w:p w14:paraId="4E0B6C02">
      <w:pPr>
        <w:adjustRightInd/>
        <w:snapToGrid/>
        <w:spacing w:line="360" w:lineRule="auto"/>
        <w:ind w:firstLine="480" w:firstLineChars="200"/>
        <w:rPr>
          <w:rFonts w:hint="default" w:ascii="Times New Roman" w:hAnsi="Times New Roman" w:eastAsia="宋体" w:cs="Times New Roman"/>
          <w:bCs/>
          <w:color w:val="000000"/>
          <w:sz w:val="24"/>
          <w:szCs w:val="22"/>
          <w:highlight w:val="none"/>
        </w:rPr>
      </w:pPr>
    </w:p>
    <w:p w14:paraId="01262ECE">
      <w:pPr>
        <w:bidi w:val="0"/>
        <w:spacing w:line="240" w:lineRule="auto"/>
        <w:rPr>
          <w:rFonts w:hint="default" w:ascii="Times New Roman" w:hAnsi="Times New Roman" w:cs="Times New Roman"/>
          <w:highlight w:val="none"/>
        </w:rPr>
      </w:pPr>
    </w:p>
    <w:p w14:paraId="7CDB81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式中：Q—抽水流量（</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vertAlign w:val="superscript"/>
          <w:lang w:eastAsia="zh-CN"/>
        </w:rPr>
        <w:t>3</w:t>
      </w:r>
      <w:r>
        <w:rPr>
          <w:rFonts w:hint="default" w:ascii="Times New Roman" w:hAnsi="Times New Roman" w:cs="Times New Roman"/>
          <w:sz w:val="24"/>
          <w:szCs w:val="24"/>
          <w:highlight w:val="none"/>
        </w:rPr>
        <w:t>/d）；</w:t>
      </w:r>
    </w:p>
    <w:p w14:paraId="663D6BE0">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R—抽水影响半径（m）；</w:t>
      </w:r>
    </w:p>
    <w:p w14:paraId="06567849">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K—含水层渗透系数（m/d）；</w:t>
      </w:r>
    </w:p>
    <w:p w14:paraId="1AE05648">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H</w:t>
      </w:r>
      <w:r>
        <w:rPr>
          <w:rFonts w:hint="default" w:ascii="Times New Roman" w:hAnsi="Times New Roman" w:cs="Times New Roman"/>
          <w:sz w:val="24"/>
          <w:szCs w:val="24"/>
          <w:highlight w:val="none"/>
          <w:vertAlign w:val="subscript"/>
        </w:rPr>
        <w:t>0</w:t>
      </w:r>
      <w:r>
        <w:rPr>
          <w:rFonts w:hint="default" w:ascii="Times New Roman" w:hAnsi="Times New Roman" w:cs="Times New Roman"/>
          <w:sz w:val="24"/>
          <w:szCs w:val="24"/>
          <w:highlight w:val="none"/>
        </w:rPr>
        <w:t>—潜水含水层厚度（m）；</w:t>
      </w:r>
    </w:p>
    <w:p w14:paraId="3352D1D6">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r</w:t>
      </w:r>
      <w:r>
        <w:rPr>
          <w:rFonts w:hint="default" w:ascii="Times New Roman" w:hAnsi="Times New Roman" w:cs="Times New Roman"/>
          <w:sz w:val="24"/>
          <w:szCs w:val="24"/>
          <w:highlight w:val="none"/>
          <w:vertAlign w:val="subscript"/>
        </w:rPr>
        <w:t>w</w:t>
      </w:r>
      <w:r>
        <w:rPr>
          <w:rFonts w:hint="default" w:ascii="Times New Roman" w:hAnsi="Times New Roman" w:cs="Times New Roman"/>
          <w:sz w:val="24"/>
          <w:szCs w:val="24"/>
          <w:highlight w:val="none"/>
        </w:rPr>
        <w:t>—抽水井半径（m）；</w:t>
      </w:r>
    </w:p>
    <w:p w14:paraId="685391D9">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S</w:t>
      </w:r>
      <w:r>
        <w:rPr>
          <w:rFonts w:hint="default" w:ascii="Times New Roman" w:hAnsi="Times New Roman" w:cs="Times New Roman"/>
          <w:sz w:val="24"/>
          <w:szCs w:val="24"/>
          <w:highlight w:val="none"/>
          <w:vertAlign w:val="subscript"/>
        </w:rPr>
        <w:t>w</w:t>
      </w:r>
      <w:r>
        <w:rPr>
          <w:rFonts w:hint="default" w:ascii="Times New Roman" w:hAnsi="Times New Roman" w:cs="Times New Roman"/>
          <w:sz w:val="24"/>
          <w:szCs w:val="24"/>
          <w:highlight w:val="none"/>
        </w:rPr>
        <w:t>—抽水孔水位降深（m）。</w:t>
      </w:r>
    </w:p>
    <w:p w14:paraId="3EEF0F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sz w:val="24"/>
          <w:szCs w:val="24"/>
          <w:highlight w:val="none"/>
          <w:lang w:eastAsia="zh-CN"/>
        </w:rPr>
      </w:pPr>
      <w:r>
        <w:rPr>
          <w:rFonts w:hint="default" w:ascii="Times New Roman" w:hAnsi="Times New Roman" w:cs="Times New Roman"/>
          <w:sz w:val="24"/>
          <w:szCs w:val="24"/>
          <w:highlight w:val="none"/>
          <w:lang w:val="en-US" w:eastAsia="zh-CN"/>
        </w:rPr>
        <w:t>利用完整井稳定流求参公式，分别求得影响半径R和含水层渗透系数K。抽水试验求参结果见下表</w:t>
      </w:r>
      <w:r>
        <w:rPr>
          <w:rFonts w:hint="eastAsia" w:ascii="Times New Roman"/>
          <w:sz w:val="24"/>
          <w:szCs w:val="24"/>
          <w:highlight w:val="none"/>
          <w:lang w:eastAsia="zh-CN"/>
        </w:rPr>
        <w:t>。</w:t>
      </w:r>
    </w:p>
    <w:p w14:paraId="321F541F">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sz w:val="21"/>
          <w:szCs w:val="21"/>
          <w:highlight w:val="none"/>
        </w:rPr>
      </w:pPr>
      <w:r>
        <w:rPr>
          <w:rFonts w:ascii="Times New Roman" w:eastAsia="宋体"/>
          <w:b/>
          <w:sz w:val="21"/>
          <w:szCs w:val="21"/>
          <w:highlight w:val="none"/>
        </w:rPr>
        <w:t>稳定流参数计算结果表</w:t>
      </w:r>
    </w:p>
    <w:tbl>
      <w:tblPr>
        <w:tblStyle w:val="5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15"/>
        <w:gridCol w:w="1000"/>
        <w:gridCol w:w="867"/>
        <w:gridCol w:w="1215"/>
        <w:gridCol w:w="1120"/>
        <w:gridCol w:w="1106"/>
        <w:gridCol w:w="1133"/>
        <w:gridCol w:w="1372"/>
      </w:tblGrid>
      <w:tr w14:paraId="37516B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19" w:type="pct"/>
            <w:vMerge w:val="restart"/>
            <w:vAlign w:val="center"/>
          </w:tcPr>
          <w:p w14:paraId="48B9B25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井孔编号</w:t>
            </w:r>
          </w:p>
        </w:tc>
        <w:tc>
          <w:tcPr>
            <w:tcW w:w="586" w:type="pct"/>
            <w:vMerge w:val="restart"/>
            <w:vAlign w:val="center"/>
          </w:tcPr>
          <w:p w14:paraId="66A9668A">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涌水量Q(m</w:t>
            </w:r>
            <w:r>
              <w:rPr>
                <w:sz w:val="21"/>
                <w:szCs w:val="21"/>
                <w:highlight w:val="none"/>
                <w:vertAlign w:val="superscript"/>
              </w:rPr>
              <w:t>3</w:t>
            </w:r>
            <w:r>
              <w:rPr>
                <w:sz w:val="21"/>
                <w:szCs w:val="21"/>
                <w:highlight w:val="none"/>
              </w:rPr>
              <w:t>/d)</w:t>
            </w:r>
          </w:p>
        </w:tc>
        <w:tc>
          <w:tcPr>
            <w:tcW w:w="508" w:type="pct"/>
            <w:vMerge w:val="restart"/>
            <w:vAlign w:val="center"/>
          </w:tcPr>
          <w:p w14:paraId="4A19EB27">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降深S(m)</w:t>
            </w:r>
          </w:p>
        </w:tc>
        <w:tc>
          <w:tcPr>
            <w:tcW w:w="1368" w:type="pct"/>
            <w:gridSpan w:val="2"/>
            <w:vAlign w:val="center"/>
          </w:tcPr>
          <w:p w14:paraId="73CB5150">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含水层厚度</w:t>
            </w:r>
          </w:p>
        </w:tc>
        <w:tc>
          <w:tcPr>
            <w:tcW w:w="648" w:type="pct"/>
            <w:vMerge w:val="restart"/>
            <w:tcBorders>
              <w:right w:val="single" w:color="auto" w:sz="4" w:space="0"/>
            </w:tcBorders>
            <w:vAlign w:val="center"/>
          </w:tcPr>
          <w:p w14:paraId="172F2C4A">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含水层岩性</w:t>
            </w:r>
          </w:p>
        </w:tc>
        <w:tc>
          <w:tcPr>
            <w:tcW w:w="664" w:type="pct"/>
            <w:vMerge w:val="restart"/>
            <w:tcBorders>
              <w:left w:val="single" w:color="auto" w:sz="4" w:space="0"/>
            </w:tcBorders>
            <w:vAlign w:val="center"/>
          </w:tcPr>
          <w:p w14:paraId="613D123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井孔</w:t>
            </w:r>
          </w:p>
          <w:p w14:paraId="0991674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半径r(m)</w:t>
            </w:r>
          </w:p>
        </w:tc>
        <w:tc>
          <w:tcPr>
            <w:tcW w:w="804" w:type="pct"/>
            <w:vMerge w:val="restart"/>
            <w:vAlign w:val="center"/>
          </w:tcPr>
          <w:p w14:paraId="65E93A75">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渗透系数</w:t>
            </w:r>
          </w:p>
          <w:p w14:paraId="54C234E3">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K(m/d)</w:t>
            </w:r>
          </w:p>
        </w:tc>
      </w:tr>
      <w:tr w14:paraId="2DA4B3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3AE0B80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p>
        </w:tc>
        <w:tc>
          <w:tcPr>
            <w:tcW w:w="586" w:type="pct"/>
            <w:vMerge w:val="continue"/>
            <w:vAlign w:val="center"/>
          </w:tcPr>
          <w:p w14:paraId="6700F9E3">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p>
        </w:tc>
        <w:tc>
          <w:tcPr>
            <w:tcW w:w="508" w:type="pct"/>
            <w:vMerge w:val="continue"/>
            <w:vAlign w:val="center"/>
          </w:tcPr>
          <w:p w14:paraId="56999826">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p>
        </w:tc>
        <w:tc>
          <w:tcPr>
            <w:tcW w:w="712" w:type="pct"/>
            <w:vAlign w:val="center"/>
          </w:tcPr>
          <w:p w14:paraId="693675A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抽水H(m)</w:t>
            </w:r>
          </w:p>
        </w:tc>
        <w:tc>
          <w:tcPr>
            <w:tcW w:w="656" w:type="pct"/>
            <w:vAlign w:val="center"/>
          </w:tcPr>
          <w:p w14:paraId="18E9C08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sz w:val="21"/>
                <w:szCs w:val="21"/>
                <w:highlight w:val="none"/>
              </w:rPr>
              <w:t>自然h(m)</w:t>
            </w:r>
          </w:p>
        </w:tc>
        <w:tc>
          <w:tcPr>
            <w:tcW w:w="648" w:type="pct"/>
            <w:vMerge w:val="continue"/>
            <w:tcBorders>
              <w:right w:val="single" w:color="auto" w:sz="4" w:space="0"/>
            </w:tcBorders>
            <w:vAlign w:val="center"/>
          </w:tcPr>
          <w:p w14:paraId="147168BF">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p>
        </w:tc>
        <w:tc>
          <w:tcPr>
            <w:tcW w:w="664" w:type="pct"/>
            <w:vMerge w:val="continue"/>
            <w:tcBorders>
              <w:left w:val="single" w:color="auto" w:sz="4" w:space="0"/>
            </w:tcBorders>
            <w:vAlign w:val="center"/>
          </w:tcPr>
          <w:p w14:paraId="27E1591F">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p>
        </w:tc>
        <w:tc>
          <w:tcPr>
            <w:tcW w:w="804" w:type="pct"/>
            <w:vMerge w:val="continue"/>
            <w:vAlign w:val="center"/>
          </w:tcPr>
          <w:p w14:paraId="1D036E8A">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p>
        </w:tc>
      </w:tr>
      <w:tr w14:paraId="0722EF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19" w:type="pct"/>
            <w:vMerge w:val="restart"/>
            <w:vAlign w:val="center"/>
          </w:tcPr>
          <w:p w14:paraId="1340121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Sj01</w:t>
            </w:r>
          </w:p>
        </w:tc>
        <w:tc>
          <w:tcPr>
            <w:tcW w:w="586" w:type="pct"/>
            <w:vAlign w:val="center"/>
          </w:tcPr>
          <w:p w14:paraId="1B43AAE2">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300</w:t>
            </w:r>
          </w:p>
        </w:tc>
        <w:tc>
          <w:tcPr>
            <w:tcW w:w="508" w:type="pct"/>
            <w:vAlign w:val="center"/>
          </w:tcPr>
          <w:p w14:paraId="51435A6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1.00</w:t>
            </w:r>
          </w:p>
        </w:tc>
        <w:tc>
          <w:tcPr>
            <w:tcW w:w="712" w:type="pct"/>
            <w:vAlign w:val="center"/>
          </w:tcPr>
          <w:p w14:paraId="7432D81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5.50</w:t>
            </w:r>
          </w:p>
        </w:tc>
        <w:tc>
          <w:tcPr>
            <w:tcW w:w="656" w:type="pct"/>
            <w:vAlign w:val="center"/>
          </w:tcPr>
          <w:p w14:paraId="354DC89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4.50</w:t>
            </w:r>
          </w:p>
        </w:tc>
        <w:tc>
          <w:tcPr>
            <w:tcW w:w="648" w:type="pct"/>
            <w:tcBorders>
              <w:right w:val="single" w:color="auto" w:sz="4" w:space="0"/>
            </w:tcBorders>
            <w:vAlign w:val="center"/>
          </w:tcPr>
          <w:p w14:paraId="50685FB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砂砾石层</w:t>
            </w:r>
          </w:p>
        </w:tc>
        <w:tc>
          <w:tcPr>
            <w:tcW w:w="664" w:type="pct"/>
            <w:tcBorders>
              <w:left w:val="single" w:color="auto" w:sz="4" w:space="0"/>
            </w:tcBorders>
            <w:vAlign w:val="center"/>
          </w:tcPr>
          <w:p w14:paraId="2DC96B9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0.45</w:t>
            </w:r>
          </w:p>
        </w:tc>
        <w:tc>
          <w:tcPr>
            <w:tcW w:w="804" w:type="pct"/>
            <w:vAlign w:val="center"/>
          </w:tcPr>
          <w:p w14:paraId="0556002E">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40.02</w:t>
            </w:r>
          </w:p>
        </w:tc>
      </w:tr>
      <w:tr w14:paraId="2E1C6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08D9492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p>
        </w:tc>
        <w:tc>
          <w:tcPr>
            <w:tcW w:w="586" w:type="pct"/>
            <w:vAlign w:val="center"/>
          </w:tcPr>
          <w:p w14:paraId="18DD7CA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500</w:t>
            </w:r>
          </w:p>
        </w:tc>
        <w:tc>
          <w:tcPr>
            <w:tcW w:w="508" w:type="pct"/>
            <w:vAlign w:val="center"/>
          </w:tcPr>
          <w:p w14:paraId="7B368056">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1.78</w:t>
            </w:r>
          </w:p>
        </w:tc>
        <w:tc>
          <w:tcPr>
            <w:tcW w:w="712" w:type="pct"/>
            <w:vAlign w:val="center"/>
          </w:tcPr>
          <w:p w14:paraId="15A5CF7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6.28</w:t>
            </w:r>
          </w:p>
        </w:tc>
        <w:tc>
          <w:tcPr>
            <w:tcW w:w="656" w:type="pct"/>
            <w:vAlign w:val="center"/>
          </w:tcPr>
          <w:p w14:paraId="324318B8">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4.50</w:t>
            </w:r>
          </w:p>
        </w:tc>
        <w:tc>
          <w:tcPr>
            <w:tcW w:w="648" w:type="pct"/>
            <w:tcBorders>
              <w:right w:val="single" w:color="auto" w:sz="4" w:space="0"/>
            </w:tcBorders>
            <w:vAlign w:val="center"/>
          </w:tcPr>
          <w:p w14:paraId="595FDADA">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砂砾石层</w:t>
            </w:r>
          </w:p>
        </w:tc>
        <w:tc>
          <w:tcPr>
            <w:tcW w:w="664" w:type="pct"/>
            <w:tcBorders>
              <w:left w:val="single" w:color="auto" w:sz="4" w:space="0"/>
            </w:tcBorders>
            <w:vAlign w:val="center"/>
          </w:tcPr>
          <w:p w14:paraId="1ABA282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0.45</w:t>
            </w:r>
          </w:p>
        </w:tc>
        <w:tc>
          <w:tcPr>
            <w:tcW w:w="804" w:type="pct"/>
            <w:vAlign w:val="center"/>
          </w:tcPr>
          <w:p w14:paraId="36CFC353">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sz w:val="21"/>
                <w:szCs w:val="21"/>
                <w:highlight w:val="none"/>
              </w:rPr>
            </w:pPr>
            <w:r>
              <w:rPr>
                <w:rFonts w:hint="eastAsia"/>
                <w:sz w:val="21"/>
                <w:szCs w:val="21"/>
                <w:highlight w:val="none"/>
              </w:rPr>
              <w:t>40.10</w:t>
            </w:r>
          </w:p>
        </w:tc>
      </w:tr>
    </w:tbl>
    <w:p w14:paraId="1A522E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eastAsia="宋体"/>
          <w:sz w:val="24"/>
          <w:szCs w:val="24"/>
          <w:highlight w:val="none"/>
          <w:lang w:eastAsia="zh-CN"/>
        </w:rPr>
      </w:pPr>
      <w:r>
        <w:rPr>
          <w:rFonts w:hint="eastAsia" w:ascii="Times New Roman" w:eastAsia="宋体"/>
          <w:sz w:val="24"/>
          <w:szCs w:val="24"/>
          <w:highlight w:val="none"/>
        </w:rPr>
        <w:t>根据计算结果选取平均值作为勘查区第四系含水层的渗透系数，则渗透系数建议值为40.06m/d</w:t>
      </w:r>
      <w:r>
        <w:rPr>
          <w:rFonts w:hint="eastAsia"/>
          <w:sz w:val="24"/>
          <w:szCs w:val="24"/>
          <w:highlight w:val="none"/>
          <w:lang w:eastAsia="zh-CN"/>
        </w:rPr>
        <w:t>。</w:t>
      </w:r>
    </w:p>
    <w:bookmarkEnd w:id="307"/>
    <w:bookmarkEnd w:id="308"/>
    <w:bookmarkEnd w:id="309"/>
    <w:p w14:paraId="4F92CA7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sz w:val="24"/>
          <w:szCs w:val="24"/>
          <w:highlight w:val="none"/>
        </w:rPr>
      </w:pPr>
      <w:r>
        <w:rPr>
          <w:rFonts w:hint="eastAsia"/>
          <w:b/>
          <w:sz w:val="24"/>
          <w:szCs w:val="24"/>
          <w:highlight w:val="none"/>
          <w:lang w:val="en-US" w:eastAsia="zh-CN"/>
        </w:rPr>
        <w:t>8</w:t>
      </w:r>
      <w:r>
        <w:rPr>
          <w:rFonts w:ascii="Times New Roman" w:eastAsia="宋体"/>
          <w:b/>
          <w:sz w:val="24"/>
          <w:szCs w:val="24"/>
          <w:highlight w:val="none"/>
        </w:rPr>
        <w:t>、渗水试验</w:t>
      </w:r>
    </w:p>
    <w:p w14:paraId="35F267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渗水试验的目的是测定包气带渗透性能及防污性能，是一种在野外现场测定包气带土层垂向渗透系数的简易方法。</w:t>
      </w:r>
    </w:p>
    <w:p w14:paraId="17645C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为了解调查范围内包气带岩性的垂向渗透性、判断包气带的防污性能，于尾矿库</w:t>
      </w:r>
      <w:r>
        <w:rPr>
          <w:rFonts w:hint="default" w:ascii="Times New Roman" w:hAnsi="Times New Roman" w:cs="Times New Roman"/>
          <w:color w:val="auto"/>
          <w:sz w:val="24"/>
          <w:szCs w:val="24"/>
          <w:highlight w:val="none"/>
          <w:lang w:val="en-US" w:eastAsia="zh-CN"/>
        </w:rPr>
        <w:t>下游</w:t>
      </w:r>
      <w:r>
        <w:rPr>
          <w:rFonts w:hint="default" w:ascii="Times New Roman" w:hAnsi="Times New Roman" w:cs="Times New Roman"/>
          <w:color w:val="auto"/>
          <w:sz w:val="24"/>
          <w:szCs w:val="24"/>
          <w:highlight w:val="none"/>
        </w:rPr>
        <w:t>进行了渗水试验。</w:t>
      </w:r>
    </w:p>
    <w:p w14:paraId="582611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次野外现场采用双环渗水试验，土层中开挖一个半径0.3m，深0.5m的圆柱形试坑，分别将直径为0.5m和0.25m的铁圈插入地下土层内，试验时向内、外两环同时注入清水，并保持内外环的水位基本一致。由于外环渗透场的约束作用使内环的水只能垂向渗入，因而排除了侧向渗流的误差。当向内环单位时间注入水量稳定时，则根据达西渗透定律计算包气带地层饱和渗透系数Kz。</w:t>
      </w:r>
    </w:p>
    <w:p w14:paraId="3315A4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渗水达到地下水位时，渗水量趋于稳定，取地下水面为基准面，这时根据达西定律：</w:t>
      </w:r>
    </w:p>
    <w:p w14:paraId="314BFA4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center"/>
        <w:textAlignment w:val="auto"/>
        <w:rPr>
          <w:rFonts w:hint="default" w:ascii="Times New Roman" w:hAnsi="Times New Roman" w:cs="Times New Roman"/>
          <w:sz w:val="24"/>
          <w:szCs w:val="24"/>
          <w:highlight w:val="none"/>
        </w:rPr>
      </w:pPr>
      <w:r>
        <w:rPr>
          <w:rFonts w:hint="default" w:ascii="Times New Roman" w:hAnsi="Times New Roman" w:eastAsia="宋体" w:cs="Times New Roman"/>
          <w:bCs/>
          <w:color w:val="000000"/>
          <w:sz w:val="24"/>
          <w:szCs w:val="24"/>
          <w:highlight w:val="none"/>
        </w:rPr>
        <w:object>
          <v:shape id="_x0000_i1027" o:spt="75" type="#_x0000_t75" style="height:30pt;width:90pt;" o:ole="t" filled="f" o:preferrelative="t" stroked="f" coordsize="21600,21600">
            <v:path/>
            <v:fill on="f" focussize="0,0"/>
            <v:stroke on="f" joinstyle="miter"/>
            <v:imagedata r:id="rId35" o:title=""/>
            <o:lock v:ext="edit" aspectratio="t"/>
            <w10:wrap type="none"/>
            <w10:anchorlock/>
          </v:shape>
          <o:OLEObject Type="Embed" ProgID="Equation.DSMT4" ShapeID="_x0000_i1027" DrawAspect="Content" ObjectID="_1468075727" r:id="rId34">
            <o:LockedField>false</o:LockedField>
          </o:OLEObject>
        </w:object>
      </w:r>
    </w:p>
    <w:p w14:paraId="069E8D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当水层厚度较小时，h0可以忽略不计，所以V=K。渗水达到稳定时，下渗速度为：</w:t>
      </w:r>
    </w:p>
    <w:p w14:paraId="14E6F95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center"/>
        <w:textAlignment w:val="auto"/>
        <w:rPr>
          <w:rFonts w:hint="default" w:ascii="Times New Roman" w:hAnsi="Times New Roman" w:cs="Times New Roman"/>
          <w:sz w:val="24"/>
          <w:szCs w:val="24"/>
          <w:highlight w:val="none"/>
        </w:rPr>
      </w:pPr>
      <w:r>
        <w:rPr>
          <w:rFonts w:hint="default" w:ascii="Times New Roman" w:hAnsi="Times New Roman" w:eastAsia="宋体" w:cs="Times New Roman"/>
          <w:bCs/>
          <w:color w:val="000000"/>
          <w:sz w:val="24"/>
          <w:szCs w:val="24"/>
          <w:highlight w:val="none"/>
        </w:rPr>
        <w:object>
          <v:shape id="_x0000_i1028" o:spt="75" type="#_x0000_t75" style="height:30pt;width:36pt;" o:ole="t" filled="f" o:preferrelative="t" stroked="f" coordsize="21600,21600">
            <v:path/>
            <v:fill on="f" focussize="0,0"/>
            <v:stroke on="f" joinstyle="miter"/>
            <v:imagedata r:id="rId37" o:title=""/>
            <o:lock v:ext="edit" aspectratio="t"/>
            <w10:wrap type="none"/>
            <w10:anchorlock/>
          </v:shape>
          <o:OLEObject Type="Embed" ProgID="Equation.DSMT4" ShapeID="_x0000_i1028" DrawAspect="Content" ObjectID="_1468075728" r:id="rId36">
            <o:LockedField>false</o:LockedField>
          </o:OLEObject>
        </w:object>
      </w:r>
    </w:p>
    <w:p w14:paraId="7F7349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式中：V—下渗速度；</w:t>
      </w:r>
    </w:p>
    <w:p w14:paraId="4FD21B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Q—内环渗入流量；</w:t>
      </w:r>
    </w:p>
    <w:p w14:paraId="40597E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W—内环面积。</w:t>
      </w:r>
    </w:p>
    <w:p w14:paraId="366C14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4"/>
          <w:highlight w:val="none"/>
          <w:lang w:eastAsia="zh-CN"/>
        </w:rPr>
      </w:pPr>
      <w:r>
        <w:rPr>
          <w:rFonts w:hint="default" w:ascii="Times New Roman" w:hAnsi="Times New Roman" w:cs="Times New Roman"/>
          <w:sz w:val="24"/>
          <w:szCs w:val="24"/>
          <w:highlight w:val="none"/>
        </w:rPr>
        <w:t>双环渗水试验的计算结果见</w:t>
      </w:r>
      <w:r>
        <w:rPr>
          <w:rFonts w:hint="default" w:ascii="Times New Roman" w:hAnsi="Times New Roman" w:cs="Times New Roman"/>
          <w:sz w:val="24"/>
          <w:szCs w:val="24"/>
          <w:highlight w:val="none"/>
          <w:lang w:val="en-US" w:eastAsia="zh-CN"/>
        </w:rPr>
        <w:t>下</w:t>
      </w:r>
      <w:r>
        <w:rPr>
          <w:rFonts w:hint="default" w:ascii="Times New Roman" w:hAnsi="Times New Roman" w:cs="Times New Roman"/>
          <w:sz w:val="24"/>
          <w:szCs w:val="24"/>
          <w:highlight w:val="none"/>
        </w:rPr>
        <w:t>表，渗透曲线见</w:t>
      </w:r>
      <w:r>
        <w:rPr>
          <w:rFonts w:hint="default" w:ascii="Times New Roman" w:hAnsi="Times New Roman" w:cs="Times New Roman"/>
          <w:sz w:val="24"/>
          <w:szCs w:val="24"/>
          <w:highlight w:val="none"/>
          <w:lang w:val="en-US" w:eastAsia="zh-CN"/>
        </w:rPr>
        <w:t>下</w:t>
      </w:r>
      <w:r>
        <w:rPr>
          <w:rFonts w:hint="default" w:ascii="Times New Roman" w:hAnsi="Times New Roman" w:cs="Times New Roman"/>
          <w:sz w:val="24"/>
          <w:szCs w:val="24"/>
          <w:highlight w:val="none"/>
        </w:rPr>
        <w:t>图</w:t>
      </w:r>
      <w:r>
        <w:rPr>
          <w:rFonts w:hint="eastAsia" w:ascii="Times New Roman" w:hAnsi="Times New Roman" w:cs="Times New Roman"/>
          <w:sz w:val="24"/>
          <w:szCs w:val="24"/>
          <w:highlight w:val="none"/>
          <w:lang w:eastAsia="zh-CN"/>
        </w:rPr>
        <w:t>。</w:t>
      </w:r>
    </w:p>
    <w:p w14:paraId="18A0486E">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cs="Times New Roman"/>
          <w:b/>
          <w:bCs/>
          <w:sz w:val="21"/>
          <w:szCs w:val="21"/>
          <w:highlight w:val="none"/>
          <w:lang w:eastAsia="zh-CN"/>
        </w:rPr>
      </w:pPr>
      <w:r>
        <w:rPr>
          <w:rFonts w:hint="eastAsia" w:ascii="Times New Roman" w:hAnsi="Times New Roman" w:cs="Times New Roman"/>
          <w:b/>
          <w:bCs/>
          <w:sz w:val="21"/>
          <w:szCs w:val="21"/>
          <w:highlight w:val="none"/>
          <w:lang w:eastAsia="zh-CN"/>
        </w:rPr>
        <w:t>双环渗水试验成果表</w:t>
      </w:r>
    </w:p>
    <w:tbl>
      <w:tblPr>
        <w:tblStyle w:val="58"/>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17"/>
        <w:gridCol w:w="709"/>
        <w:gridCol w:w="1135"/>
        <w:gridCol w:w="971"/>
        <w:gridCol w:w="1265"/>
        <w:gridCol w:w="1156"/>
        <w:gridCol w:w="1549"/>
        <w:gridCol w:w="1226"/>
      </w:tblGrid>
      <w:tr w14:paraId="489D512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03" w:type="pct"/>
            <w:tcBorders>
              <w:tl2br w:val="nil"/>
              <w:tr2bl w:val="nil"/>
            </w:tcBorders>
            <w:vAlign w:val="center"/>
          </w:tcPr>
          <w:p w14:paraId="6CA6AA22">
            <w:pPr>
              <w:spacing w:line="240" w:lineRule="auto"/>
              <w:ind w:firstLine="0" w:firstLineChars="0"/>
              <w:jc w:val="center"/>
              <w:rPr>
                <w:b/>
                <w:bCs/>
                <w:kern w:val="0"/>
                <w:sz w:val="21"/>
                <w:szCs w:val="21"/>
                <w:highlight w:val="none"/>
              </w:rPr>
            </w:pPr>
            <w:r>
              <w:rPr>
                <w:b/>
                <w:bCs/>
                <w:kern w:val="0"/>
                <w:sz w:val="21"/>
                <w:szCs w:val="21"/>
                <w:highlight w:val="none"/>
              </w:rPr>
              <w:t>编号</w:t>
            </w:r>
          </w:p>
        </w:tc>
        <w:tc>
          <w:tcPr>
            <w:tcW w:w="415" w:type="pct"/>
            <w:tcBorders>
              <w:tl2br w:val="nil"/>
              <w:tr2bl w:val="nil"/>
            </w:tcBorders>
            <w:vAlign w:val="center"/>
          </w:tcPr>
          <w:p w14:paraId="50AB6B3C">
            <w:pPr>
              <w:spacing w:line="240" w:lineRule="auto"/>
              <w:ind w:firstLine="0" w:firstLineChars="0"/>
              <w:jc w:val="center"/>
              <w:rPr>
                <w:b/>
                <w:bCs/>
                <w:kern w:val="0"/>
                <w:sz w:val="21"/>
                <w:szCs w:val="21"/>
                <w:highlight w:val="none"/>
              </w:rPr>
            </w:pPr>
            <w:r>
              <w:rPr>
                <w:b/>
                <w:bCs/>
                <w:kern w:val="0"/>
                <w:sz w:val="21"/>
                <w:szCs w:val="21"/>
                <w:highlight w:val="none"/>
              </w:rPr>
              <w:t>岩性</w:t>
            </w:r>
          </w:p>
        </w:tc>
        <w:tc>
          <w:tcPr>
            <w:tcW w:w="665" w:type="pct"/>
            <w:tcBorders>
              <w:tl2br w:val="nil"/>
              <w:tr2bl w:val="nil"/>
            </w:tcBorders>
            <w:vAlign w:val="center"/>
          </w:tcPr>
          <w:p w14:paraId="10B4BE9E">
            <w:pPr>
              <w:spacing w:line="240" w:lineRule="auto"/>
              <w:ind w:firstLine="0" w:firstLineChars="0"/>
              <w:jc w:val="center"/>
              <w:rPr>
                <w:b/>
                <w:bCs/>
                <w:kern w:val="0"/>
                <w:sz w:val="21"/>
                <w:szCs w:val="21"/>
                <w:highlight w:val="none"/>
              </w:rPr>
            </w:pPr>
            <w:r>
              <w:rPr>
                <w:b/>
                <w:bCs/>
                <w:kern w:val="0"/>
                <w:sz w:val="21"/>
                <w:szCs w:val="21"/>
                <w:highlight w:val="none"/>
              </w:rPr>
              <w:t>渗透深度(cm)</w:t>
            </w:r>
          </w:p>
        </w:tc>
        <w:tc>
          <w:tcPr>
            <w:tcW w:w="569" w:type="pct"/>
            <w:tcBorders>
              <w:tl2br w:val="nil"/>
              <w:tr2bl w:val="nil"/>
            </w:tcBorders>
            <w:vAlign w:val="center"/>
          </w:tcPr>
          <w:p w14:paraId="2515F140">
            <w:pPr>
              <w:spacing w:line="240" w:lineRule="auto"/>
              <w:ind w:firstLine="0" w:firstLineChars="0"/>
              <w:jc w:val="center"/>
              <w:rPr>
                <w:b/>
                <w:bCs/>
                <w:kern w:val="0"/>
                <w:sz w:val="21"/>
                <w:szCs w:val="21"/>
                <w:highlight w:val="none"/>
              </w:rPr>
            </w:pPr>
            <w:r>
              <w:rPr>
                <w:b/>
                <w:bCs/>
                <w:kern w:val="0"/>
                <w:sz w:val="21"/>
                <w:szCs w:val="21"/>
                <w:highlight w:val="none"/>
              </w:rPr>
              <w:t>毛细压力（cm）</w:t>
            </w:r>
          </w:p>
        </w:tc>
        <w:tc>
          <w:tcPr>
            <w:tcW w:w="741" w:type="pct"/>
            <w:tcBorders>
              <w:tl2br w:val="nil"/>
              <w:tr2bl w:val="nil"/>
            </w:tcBorders>
            <w:noWrap/>
            <w:vAlign w:val="center"/>
          </w:tcPr>
          <w:p w14:paraId="6BBB3321">
            <w:pPr>
              <w:spacing w:line="240" w:lineRule="auto"/>
              <w:ind w:firstLine="0" w:firstLineChars="0"/>
              <w:jc w:val="center"/>
              <w:rPr>
                <w:b/>
                <w:bCs/>
                <w:kern w:val="0"/>
                <w:sz w:val="21"/>
                <w:szCs w:val="21"/>
                <w:highlight w:val="none"/>
              </w:rPr>
            </w:pPr>
            <w:r>
              <w:rPr>
                <w:b/>
                <w:bCs/>
                <w:kern w:val="0"/>
                <w:sz w:val="21"/>
                <w:szCs w:val="21"/>
                <w:highlight w:val="none"/>
              </w:rPr>
              <w:t>稳定水层高度z(cm)</w:t>
            </w:r>
          </w:p>
        </w:tc>
        <w:tc>
          <w:tcPr>
            <w:tcW w:w="677" w:type="pct"/>
            <w:tcBorders>
              <w:tl2br w:val="nil"/>
              <w:tr2bl w:val="nil"/>
            </w:tcBorders>
            <w:noWrap/>
            <w:vAlign w:val="center"/>
          </w:tcPr>
          <w:p w14:paraId="70B21F22">
            <w:pPr>
              <w:spacing w:line="240" w:lineRule="auto"/>
              <w:ind w:firstLine="0" w:firstLineChars="0"/>
              <w:jc w:val="center"/>
              <w:rPr>
                <w:b/>
                <w:bCs/>
                <w:kern w:val="0"/>
                <w:sz w:val="21"/>
                <w:szCs w:val="21"/>
                <w:highlight w:val="none"/>
              </w:rPr>
            </w:pPr>
            <w:r>
              <w:rPr>
                <w:b/>
                <w:bCs/>
                <w:kern w:val="0"/>
                <w:sz w:val="21"/>
                <w:szCs w:val="21"/>
                <w:highlight w:val="none"/>
              </w:rPr>
              <w:t>渗水面积F(cm</w:t>
            </w:r>
            <w:r>
              <w:rPr>
                <w:b/>
                <w:bCs/>
                <w:kern w:val="0"/>
                <w:sz w:val="21"/>
                <w:szCs w:val="21"/>
                <w:highlight w:val="none"/>
                <w:vertAlign w:val="superscript"/>
              </w:rPr>
              <w:t>2</w:t>
            </w:r>
            <w:r>
              <w:rPr>
                <w:b/>
                <w:bCs/>
                <w:kern w:val="0"/>
                <w:sz w:val="21"/>
                <w:szCs w:val="21"/>
                <w:highlight w:val="none"/>
              </w:rPr>
              <w:t>)</w:t>
            </w:r>
          </w:p>
        </w:tc>
        <w:tc>
          <w:tcPr>
            <w:tcW w:w="908" w:type="pct"/>
            <w:tcBorders>
              <w:tl2br w:val="nil"/>
              <w:tr2bl w:val="nil"/>
            </w:tcBorders>
            <w:noWrap/>
            <w:vAlign w:val="center"/>
          </w:tcPr>
          <w:p w14:paraId="082B7076">
            <w:pPr>
              <w:spacing w:line="240" w:lineRule="auto"/>
              <w:ind w:firstLine="0" w:firstLineChars="0"/>
              <w:jc w:val="center"/>
              <w:rPr>
                <w:b/>
                <w:bCs/>
                <w:kern w:val="0"/>
                <w:sz w:val="21"/>
                <w:szCs w:val="21"/>
                <w:highlight w:val="none"/>
              </w:rPr>
            </w:pPr>
            <w:r>
              <w:rPr>
                <w:b/>
                <w:bCs/>
                <w:kern w:val="0"/>
                <w:sz w:val="21"/>
                <w:szCs w:val="21"/>
                <w:highlight w:val="none"/>
              </w:rPr>
              <w:t>稳定渗入流量Q(cm</w:t>
            </w:r>
            <w:r>
              <w:rPr>
                <w:b/>
                <w:bCs/>
                <w:kern w:val="0"/>
                <w:sz w:val="21"/>
                <w:szCs w:val="21"/>
                <w:highlight w:val="none"/>
                <w:vertAlign w:val="superscript"/>
              </w:rPr>
              <w:t>3</w:t>
            </w:r>
            <w:r>
              <w:rPr>
                <w:b/>
                <w:bCs/>
                <w:kern w:val="0"/>
                <w:sz w:val="21"/>
                <w:szCs w:val="21"/>
                <w:highlight w:val="none"/>
              </w:rPr>
              <w:t>/min)</w:t>
            </w:r>
          </w:p>
        </w:tc>
        <w:tc>
          <w:tcPr>
            <w:tcW w:w="718" w:type="pct"/>
            <w:tcBorders>
              <w:tl2br w:val="nil"/>
              <w:tr2bl w:val="nil"/>
            </w:tcBorders>
            <w:noWrap/>
            <w:vAlign w:val="center"/>
          </w:tcPr>
          <w:p w14:paraId="3E02A965">
            <w:pPr>
              <w:spacing w:line="240" w:lineRule="auto"/>
              <w:ind w:firstLine="0" w:firstLineChars="0"/>
              <w:jc w:val="center"/>
              <w:rPr>
                <w:b/>
                <w:bCs/>
                <w:kern w:val="0"/>
                <w:sz w:val="21"/>
                <w:szCs w:val="21"/>
                <w:highlight w:val="none"/>
              </w:rPr>
            </w:pPr>
            <w:r>
              <w:rPr>
                <w:b/>
                <w:bCs/>
                <w:kern w:val="0"/>
                <w:sz w:val="21"/>
                <w:szCs w:val="21"/>
                <w:highlight w:val="none"/>
              </w:rPr>
              <w:t>渗透系数</w:t>
            </w:r>
          </w:p>
          <w:p w14:paraId="7EFA4839">
            <w:pPr>
              <w:spacing w:line="240" w:lineRule="auto"/>
              <w:ind w:firstLine="0" w:firstLineChars="0"/>
              <w:jc w:val="center"/>
              <w:rPr>
                <w:b/>
                <w:bCs/>
                <w:kern w:val="0"/>
                <w:sz w:val="21"/>
                <w:szCs w:val="21"/>
                <w:highlight w:val="none"/>
              </w:rPr>
            </w:pPr>
            <w:r>
              <w:rPr>
                <w:b/>
                <w:bCs/>
                <w:kern w:val="0"/>
                <w:sz w:val="21"/>
                <w:szCs w:val="21"/>
                <w:highlight w:val="none"/>
              </w:rPr>
              <w:t>k(cm/min)</w:t>
            </w:r>
          </w:p>
        </w:tc>
      </w:tr>
      <w:tr w14:paraId="01DF1E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03" w:type="pct"/>
            <w:tcBorders>
              <w:tl2br w:val="nil"/>
              <w:tr2bl w:val="nil"/>
            </w:tcBorders>
            <w:vAlign w:val="center"/>
          </w:tcPr>
          <w:p w14:paraId="5C06A1F0">
            <w:pPr>
              <w:spacing w:line="240" w:lineRule="auto"/>
              <w:ind w:firstLine="0" w:firstLineChars="0"/>
              <w:jc w:val="center"/>
              <w:rPr>
                <w:kern w:val="0"/>
                <w:sz w:val="21"/>
                <w:szCs w:val="21"/>
                <w:highlight w:val="none"/>
              </w:rPr>
            </w:pPr>
            <w:r>
              <w:rPr>
                <w:rFonts w:hint="eastAsia"/>
                <w:kern w:val="0"/>
                <w:sz w:val="21"/>
                <w:szCs w:val="21"/>
                <w:highlight w:val="none"/>
              </w:rPr>
              <w:t>S</w:t>
            </w:r>
            <w:r>
              <w:rPr>
                <w:kern w:val="0"/>
                <w:sz w:val="21"/>
                <w:szCs w:val="21"/>
                <w:highlight w:val="none"/>
              </w:rPr>
              <w:t>1</w:t>
            </w:r>
          </w:p>
        </w:tc>
        <w:tc>
          <w:tcPr>
            <w:tcW w:w="415" w:type="pct"/>
            <w:tcBorders>
              <w:tl2br w:val="nil"/>
              <w:tr2bl w:val="nil"/>
            </w:tcBorders>
            <w:vAlign w:val="center"/>
          </w:tcPr>
          <w:p w14:paraId="6B974701">
            <w:pPr>
              <w:spacing w:line="240" w:lineRule="auto"/>
              <w:ind w:firstLine="0" w:firstLineChars="0"/>
              <w:jc w:val="center"/>
              <w:rPr>
                <w:kern w:val="0"/>
                <w:sz w:val="21"/>
                <w:szCs w:val="21"/>
                <w:highlight w:val="none"/>
              </w:rPr>
            </w:pPr>
            <w:r>
              <w:rPr>
                <w:kern w:val="0"/>
                <w:sz w:val="21"/>
                <w:szCs w:val="21"/>
                <w:highlight w:val="none"/>
              </w:rPr>
              <w:t>粉质黏土</w:t>
            </w:r>
          </w:p>
        </w:tc>
        <w:tc>
          <w:tcPr>
            <w:tcW w:w="665" w:type="pct"/>
            <w:tcBorders>
              <w:tl2br w:val="nil"/>
              <w:tr2bl w:val="nil"/>
            </w:tcBorders>
            <w:vAlign w:val="center"/>
          </w:tcPr>
          <w:p w14:paraId="7F497F99">
            <w:pPr>
              <w:spacing w:line="240" w:lineRule="auto"/>
              <w:ind w:firstLine="0" w:firstLineChars="0"/>
              <w:jc w:val="center"/>
              <w:rPr>
                <w:kern w:val="0"/>
                <w:sz w:val="21"/>
                <w:szCs w:val="21"/>
                <w:highlight w:val="none"/>
              </w:rPr>
            </w:pPr>
            <w:r>
              <w:rPr>
                <w:rFonts w:hint="eastAsia"/>
                <w:kern w:val="0"/>
                <w:sz w:val="21"/>
                <w:szCs w:val="21"/>
                <w:highlight w:val="none"/>
              </w:rPr>
              <w:t>4.10</w:t>
            </w:r>
          </w:p>
        </w:tc>
        <w:tc>
          <w:tcPr>
            <w:tcW w:w="569" w:type="pct"/>
            <w:tcBorders>
              <w:tl2br w:val="nil"/>
              <w:tr2bl w:val="nil"/>
            </w:tcBorders>
            <w:vAlign w:val="center"/>
          </w:tcPr>
          <w:p w14:paraId="7F674BF8">
            <w:pPr>
              <w:spacing w:line="240" w:lineRule="auto"/>
              <w:ind w:firstLine="0" w:firstLineChars="0"/>
              <w:jc w:val="center"/>
              <w:rPr>
                <w:kern w:val="0"/>
                <w:sz w:val="21"/>
                <w:szCs w:val="21"/>
                <w:highlight w:val="none"/>
              </w:rPr>
            </w:pPr>
            <w:r>
              <w:rPr>
                <w:rFonts w:hint="eastAsia"/>
                <w:kern w:val="0"/>
                <w:sz w:val="21"/>
                <w:szCs w:val="21"/>
                <w:highlight w:val="none"/>
              </w:rPr>
              <w:t>80</w:t>
            </w:r>
          </w:p>
        </w:tc>
        <w:tc>
          <w:tcPr>
            <w:tcW w:w="741" w:type="pct"/>
            <w:tcBorders>
              <w:tl2br w:val="nil"/>
              <w:tr2bl w:val="nil"/>
            </w:tcBorders>
            <w:noWrap/>
            <w:vAlign w:val="center"/>
          </w:tcPr>
          <w:p w14:paraId="525C03FD">
            <w:pPr>
              <w:spacing w:line="240" w:lineRule="auto"/>
              <w:ind w:firstLine="0" w:firstLineChars="0"/>
              <w:jc w:val="center"/>
              <w:rPr>
                <w:kern w:val="0"/>
                <w:sz w:val="21"/>
                <w:szCs w:val="21"/>
                <w:highlight w:val="none"/>
              </w:rPr>
            </w:pPr>
            <w:r>
              <w:rPr>
                <w:kern w:val="0"/>
                <w:sz w:val="21"/>
                <w:szCs w:val="21"/>
                <w:highlight w:val="none"/>
              </w:rPr>
              <w:t>10</w:t>
            </w:r>
          </w:p>
        </w:tc>
        <w:tc>
          <w:tcPr>
            <w:tcW w:w="677" w:type="pct"/>
            <w:tcBorders>
              <w:tl2br w:val="nil"/>
              <w:tr2bl w:val="nil"/>
            </w:tcBorders>
            <w:noWrap/>
            <w:vAlign w:val="center"/>
          </w:tcPr>
          <w:p w14:paraId="55B97A05">
            <w:pPr>
              <w:spacing w:line="240" w:lineRule="auto"/>
              <w:ind w:firstLine="0" w:firstLineChars="0"/>
              <w:jc w:val="center"/>
              <w:rPr>
                <w:kern w:val="0"/>
                <w:sz w:val="21"/>
                <w:szCs w:val="21"/>
                <w:highlight w:val="none"/>
              </w:rPr>
            </w:pPr>
            <w:r>
              <w:rPr>
                <w:kern w:val="0"/>
                <w:sz w:val="21"/>
                <w:szCs w:val="21"/>
                <w:highlight w:val="none"/>
              </w:rPr>
              <w:t>492.19</w:t>
            </w:r>
          </w:p>
        </w:tc>
        <w:tc>
          <w:tcPr>
            <w:tcW w:w="908" w:type="pct"/>
            <w:tcBorders>
              <w:tl2br w:val="nil"/>
              <w:tr2bl w:val="nil"/>
            </w:tcBorders>
            <w:noWrap/>
            <w:vAlign w:val="center"/>
          </w:tcPr>
          <w:p w14:paraId="5E48AF11">
            <w:pPr>
              <w:spacing w:line="240" w:lineRule="auto"/>
              <w:ind w:firstLine="0" w:firstLineChars="0"/>
              <w:jc w:val="center"/>
              <w:rPr>
                <w:kern w:val="0"/>
                <w:sz w:val="21"/>
                <w:szCs w:val="21"/>
                <w:highlight w:val="none"/>
              </w:rPr>
            </w:pPr>
            <w:r>
              <w:rPr>
                <w:kern w:val="0"/>
                <w:sz w:val="21"/>
                <w:szCs w:val="21"/>
                <w:highlight w:val="none"/>
              </w:rPr>
              <w:t>1</w:t>
            </w:r>
            <w:r>
              <w:rPr>
                <w:rFonts w:hint="eastAsia"/>
                <w:kern w:val="0"/>
                <w:sz w:val="21"/>
                <w:szCs w:val="21"/>
                <w:highlight w:val="none"/>
              </w:rPr>
              <w:t>1.50</w:t>
            </w:r>
          </w:p>
        </w:tc>
        <w:tc>
          <w:tcPr>
            <w:tcW w:w="718" w:type="pct"/>
            <w:tcBorders>
              <w:tl2br w:val="nil"/>
              <w:tr2bl w:val="nil"/>
            </w:tcBorders>
            <w:noWrap/>
            <w:vAlign w:val="center"/>
          </w:tcPr>
          <w:p w14:paraId="486975EB">
            <w:pPr>
              <w:spacing w:line="240" w:lineRule="auto"/>
              <w:ind w:firstLine="0" w:firstLineChars="0"/>
              <w:jc w:val="center"/>
              <w:rPr>
                <w:kern w:val="0"/>
                <w:sz w:val="21"/>
                <w:szCs w:val="21"/>
                <w:highlight w:val="none"/>
              </w:rPr>
            </w:pPr>
            <w:r>
              <w:rPr>
                <w:rFonts w:hint="eastAsia"/>
                <w:kern w:val="0"/>
                <w:sz w:val="21"/>
                <w:szCs w:val="21"/>
                <w:highlight w:val="none"/>
              </w:rPr>
              <w:t>0.001</w:t>
            </w:r>
          </w:p>
        </w:tc>
      </w:tr>
      <w:bookmarkEnd w:id="304"/>
      <w:bookmarkEnd w:id="305"/>
      <w:bookmarkEnd w:id="306"/>
    </w:tbl>
    <w:p w14:paraId="454F13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24"/>
          <w:highlight w:val="none"/>
          <w:lang w:eastAsia="zh-CN"/>
        </w:rPr>
      </w:pPr>
      <w:bookmarkStart w:id="310" w:name="_Toc19112"/>
      <w:r>
        <w:rPr>
          <w:rFonts w:hint="default" w:ascii="Times New Roman" w:hAnsi="Times New Roman" w:cs="Times New Roman"/>
          <w:sz w:val="24"/>
          <w:szCs w:val="24"/>
          <w:highlight w:val="none"/>
        </w:rPr>
        <w:t>根据试验结果表明调查区范围内包气带渗透系数</w:t>
      </w:r>
      <w:r>
        <w:rPr>
          <w:rFonts w:hint="eastAsia" w:cs="Times New Roman"/>
          <w:sz w:val="24"/>
          <w:szCs w:val="24"/>
          <w:highlight w:val="none"/>
          <w:lang w:val="en-US" w:eastAsia="zh-CN"/>
        </w:rPr>
        <w:t>0.001</w:t>
      </w:r>
      <w:r>
        <w:rPr>
          <w:rFonts w:hint="default" w:ascii="Times New Roman" w:hAnsi="Times New Roman" w:cs="Times New Roman"/>
          <w:sz w:val="24"/>
          <w:szCs w:val="24"/>
          <w:highlight w:val="none"/>
        </w:rPr>
        <w:t>cm/s，防污性能一般</w:t>
      </w:r>
      <w:r>
        <w:rPr>
          <w:rFonts w:hint="eastAsia" w:ascii="Times New Roman" w:hAnsi="Times New Roman" w:cs="Times New Roman"/>
          <w:sz w:val="24"/>
          <w:szCs w:val="24"/>
          <w:highlight w:val="none"/>
          <w:lang w:eastAsia="zh-CN"/>
        </w:rPr>
        <w:t>。</w:t>
      </w:r>
    </w:p>
    <w:p w14:paraId="525C779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sz w:val="24"/>
          <w:szCs w:val="24"/>
          <w:highlight w:val="none"/>
        </w:rPr>
      </w:pPr>
      <w:r>
        <w:rPr>
          <w:rFonts w:hint="eastAsia"/>
          <w:b/>
          <w:sz w:val="24"/>
          <w:szCs w:val="24"/>
          <w:highlight w:val="none"/>
          <w:lang w:val="en-US" w:eastAsia="zh-CN"/>
        </w:rPr>
        <w:t>9</w:t>
      </w:r>
      <w:r>
        <w:rPr>
          <w:rFonts w:ascii="Times New Roman" w:eastAsia="宋体"/>
          <w:b/>
          <w:sz w:val="24"/>
          <w:szCs w:val="24"/>
          <w:highlight w:val="none"/>
        </w:rPr>
        <w:t>、天然水力坡度的确定</w:t>
      </w:r>
    </w:p>
    <w:p w14:paraId="4BC3090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在本次地下水位统测的基础上绘制了勘查区第四系含水层等水位线图，在地下水流方向上任取两点的地下水位标高差除以该两点的距离，即得I值。为了较少计算误差，本次采用多段计算取平均值的方法，计算公式如下：</w:t>
      </w:r>
    </w:p>
    <w:p w14:paraId="1BB6057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I=（h</w:t>
      </w:r>
      <w:r>
        <w:rPr>
          <w:rFonts w:ascii="Times New Roman" w:eastAsia="宋体"/>
          <w:sz w:val="24"/>
          <w:szCs w:val="24"/>
          <w:highlight w:val="none"/>
          <w:vertAlign w:val="subscript"/>
        </w:rPr>
        <w:t>1</w:t>
      </w:r>
      <w:r>
        <w:rPr>
          <w:rFonts w:ascii="Times New Roman" w:eastAsia="宋体"/>
          <w:sz w:val="24"/>
          <w:szCs w:val="24"/>
          <w:highlight w:val="none"/>
        </w:rPr>
        <w:t>-h</w:t>
      </w:r>
      <w:r>
        <w:rPr>
          <w:rFonts w:ascii="Times New Roman" w:eastAsia="宋体"/>
          <w:sz w:val="24"/>
          <w:szCs w:val="24"/>
          <w:highlight w:val="none"/>
          <w:vertAlign w:val="subscript"/>
        </w:rPr>
        <w:t>2</w:t>
      </w:r>
      <w:r>
        <w:rPr>
          <w:rFonts w:ascii="Times New Roman" w:eastAsia="宋体"/>
          <w:sz w:val="24"/>
          <w:szCs w:val="24"/>
          <w:highlight w:val="none"/>
        </w:rPr>
        <w:t>）/L</w:t>
      </w:r>
    </w:p>
    <w:p w14:paraId="233A34F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h</w:t>
      </w:r>
      <w:r>
        <w:rPr>
          <w:rFonts w:ascii="Times New Roman" w:eastAsia="宋体"/>
          <w:sz w:val="24"/>
          <w:szCs w:val="24"/>
          <w:highlight w:val="none"/>
          <w:vertAlign w:val="subscript"/>
        </w:rPr>
        <w:t>1</w:t>
      </w:r>
      <w:r>
        <w:rPr>
          <w:rFonts w:ascii="Times New Roman" w:eastAsia="宋体"/>
          <w:sz w:val="24"/>
          <w:szCs w:val="24"/>
          <w:highlight w:val="none"/>
        </w:rPr>
        <w:t>：上游计算点水位；</w:t>
      </w:r>
    </w:p>
    <w:p w14:paraId="28A53AC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h</w:t>
      </w:r>
      <w:r>
        <w:rPr>
          <w:rFonts w:ascii="Times New Roman" w:eastAsia="宋体"/>
          <w:sz w:val="24"/>
          <w:szCs w:val="24"/>
          <w:highlight w:val="none"/>
          <w:vertAlign w:val="subscript"/>
        </w:rPr>
        <w:t>2</w:t>
      </w:r>
      <w:r>
        <w:rPr>
          <w:rFonts w:ascii="Times New Roman" w:eastAsia="宋体"/>
          <w:sz w:val="24"/>
          <w:szCs w:val="24"/>
          <w:highlight w:val="none"/>
        </w:rPr>
        <w:t>：下游计算点水位；</w:t>
      </w:r>
    </w:p>
    <w:p w14:paraId="086643A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L：计算点间距。</w:t>
      </w:r>
    </w:p>
    <w:p w14:paraId="2BFBB57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根据计算结果确定拟建场地所在沟谷天然水力坡度平均值为I=</w:t>
      </w:r>
      <w:r>
        <w:rPr>
          <w:rFonts w:ascii="Times New Roman" w:eastAsia="宋体"/>
          <w:b/>
          <w:bCs/>
          <w:sz w:val="24"/>
          <w:szCs w:val="24"/>
          <w:highlight w:val="none"/>
        </w:rPr>
        <w:t>0.0</w:t>
      </w:r>
      <w:r>
        <w:rPr>
          <w:rFonts w:hint="eastAsia"/>
          <w:b/>
          <w:bCs/>
          <w:sz w:val="24"/>
          <w:szCs w:val="24"/>
          <w:highlight w:val="none"/>
          <w:lang w:val="en-US" w:eastAsia="zh-CN"/>
        </w:rPr>
        <w:t>4</w:t>
      </w:r>
      <w:r>
        <w:rPr>
          <w:rFonts w:ascii="Times New Roman" w:eastAsia="宋体"/>
          <w:sz w:val="24"/>
          <w:szCs w:val="24"/>
          <w:highlight w:val="none"/>
        </w:rPr>
        <w:t>。</w:t>
      </w:r>
    </w:p>
    <w:p w14:paraId="33499F2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b/>
          <w:sz w:val="24"/>
          <w:szCs w:val="24"/>
          <w:highlight w:val="none"/>
        </w:rPr>
      </w:pPr>
      <w:bookmarkStart w:id="311" w:name="_Toc505447186"/>
      <w:bookmarkStart w:id="312" w:name="_Toc334708156"/>
      <w:bookmarkStart w:id="313" w:name="_Toc512715808"/>
      <w:bookmarkStart w:id="314" w:name="_Toc17007"/>
      <w:r>
        <w:rPr>
          <w:rFonts w:hint="eastAsia"/>
          <w:b/>
          <w:sz w:val="24"/>
          <w:szCs w:val="24"/>
          <w:highlight w:val="none"/>
          <w:lang w:val="en-US" w:eastAsia="zh-CN"/>
        </w:rPr>
        <w:t>10</w:t>
      </w:r>
      <w:r>
        <w:rPr>
          <w:rFonts w:ascii="Times New Roman" w:eastAsia="宋体"/>
          <w:b/>
          <w:sz w:val="24"/>
          <w:szCs w:val="24"/>
          <w:highlight w:val="none"/>
        </w:rPr>
        <w:t>、有效孔隙度的确定</w:t>
      </w:r>
      <w:bookmarkEnd w:id="311"/>
      <w:bookmarkEnd w:id="312"/>
      <w:bookmarkEnd w:id="313"/>
      <w:bookmarkEnd w:id="314"/>
    </w:p>
    <w:p w14:paraId="10C173F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eastAsia="宋体"/>
          <w:sz w:val="24"/>
          <w:szCs w:val="24"/>
          <w:highlight w:val="none"/>
          <w:lang w:eastAsia="zh-CN"/>
        </w:rPr>
      </w:pPr>
      <w:bookmarkStart w:id="315" w:name="_Toc26547"/>
      <w:bookmarkStart w:id="316" w:name="_Toc512715809"/>
      <w:bookmarkStart w:id="317" w:name="_Toc505447187"/>
      <w:bookmarkStart w:id="318" w:name="_Toc20386"/>
      <w:bookmarkStart w:id="319" w:name="_Toc334708155"/>
      <w:r>
        <w:rPr>
          <w:rFonts w:hint="eastAsia" w:ascii="Times New Roman" w:eastAsia="宋体"/>
          <w:sz w:val="24"/>
          <w:szCs w:val="24"/>
          <w:highlight w:val="none"/>
        </w:rPr>
        <w:t>尾矿砂孔隙度经验值为33%，砂砾石孔隙度经验值为30%</w:t>
      </w:r>
      <w:r>
        <w:rPr>
          <w:rFonts w:hint="eastAsia"/>
          <w:sz w:val="24"/>
          <w:szCs w:val="24"/>
          <w:highlight w:val="none"/>
          <w:lang w:eastAsia="zh-CN"/>
        </w:rPr>
        <w:t>，强风化花岗岩孔隙度经验值为20%。</w:t>
      </w:r>
    </w:p>
    <w:p w14:paraId="5EE4CF9E">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ascii="Times New Roman"/>
          <w:sz w:val="24"/>
          <w:szCs w:val="24"/>
          <w:highlight w:val="none"/>
        </w:rPr>
      </w:pPr>
      <w:r>
        <w:rPr>
          <w:rFonts w:hint="eastAsia"/>
          <w:b/>
          <w:sz w:val="24"/>
          <w:szCs w:val="24"/>
          <w:highlight w:val="none"/>
          <w:lang w:val="en-US" w:eastAsia="zh-CN"/>
        </w:rPr>
        <w:t>11</w:t>
      </w:r>
      <w:r>
        <w:rPr>
          <w:rFonts w:ascii="Times New Roman" w:eastAsia="宋体"/>
          <w:b/>
          <w:sz w:val="24"/>
          <w:szCs w:val="24"/>
          <w:highlight w:val="none"/>
        </w:rPr>
        <w:t>、给水度的确定</w:t>
      </w:r>
      <w:bookmarkEnd w:id="315"/>
      <w:bookmarkEnd w:id="316"/>
      <w:bookmarkEnd w:id="317"/>
      <w:bookmarkEnd w:id="318"/>
      <w:bookmarkEnd w:id="319"/>
    </w:p>
    <w:p w14:paraId="573358B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highlight w:val="none"/>
          <w:lang w:eastAsia="zh-CN"/>
        </w:rPr>
      </w:pPr>
      <w:r>
        <w:rPr>
          <w:rFonts w:hint="eastAsia" w:ascii="Times New Roman" w:eastAsia="宋体"/>
          <w:sz w:val="24"/>
          <w:szCs w:val="24"/>
          <w:highlight w:val="none"/>
        </w:rPr>
        <w:t>尾矿砂给水度经验值为0.12</w:t>
      </w:r>
      <w:r>
        <w:rPr>
          <w:rFonts w:hint="eastAsia"/>
          <w:sz w:val="24"/>
          <w:szCs w:val="24"/>
          <w:highlight w:val="none"/>
          <w:lang w:eastAsia="zh-CN"/>
        </w:rPr>
        <w:t>，砂砾石给水度经验值为0.30，强风化花岗岩给水度经验值为0.15。</w:t>
      </w:r>
    </w:p>
    <w:p w14:paraId="5DD19488">
      <w:pPr>
        <w:pStyle w:val="7"/>
        <w:adjustRightInd w:val="0"/>
        <w:snapToGrid w:val="0"/>
        <w:spacing w:before="0" w:after="0" w:line="360" w:lineRule="auto"/>
        <w:rPr>
          <w:rFonts w:ascii="Times New Roman" w:hAnsi="Times New Roman" w:eastAsia="宋体"/>
          <w:sz w:val="24"/>
          <w:szCs w:val="24"/>
          <w:highlight w:val="none"/>
        </w:rPr>
      </w:pPr>
      <w:r>
        <w:rPr>
          <w:rFonts w:hint="eastAsia" w:ascii="Times New Roman" w:hAnsi="Times New Roman" w:eastAsia="宋体"/>
          <w:sz w:val="24"/>
          <w:szCs w:val="24"/>
          <w:highlight w:val="none"/>
          <w:lang w:val="en-US" w:eastAsia="zh-CN"/>
        </w:rPr>
        <w:t>水文地质条件</w:t>
      </w:r>
      <w:r>
        <w:rPr>
          <w:rFonts w:ascii="Times New Roman" w:hAnsi="Times New Roman" w:eastAsia="宋体"/>
          <w:sz w:val="24"/>
          <w:szCs w:val="24"/>
          <w:highlight w:val="none"/>
        </w:rPr>
        <w:t>概化</w:t>
      </w:r>
    </w:p>
    <w:p w14:paraId="50E5EB01">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eastAsia"/>
          <w:b/>
          <w:bCs/>
          <w:sz w:val="24"/>
          <w:szCs w:val="24"/>
          <w:highlight w:val="none"/>
          <w:lang w:eastAsia="zh-CN"/>
        </w:rPr>
      </w:pPr>
      <w:r>
        <w:rPr>
          <w:rFonts w:hint="eastAsia"/>
          <w:b/>
          <w:bCs/>
          <w:sz w:val="24"/>
          <w:szCs w:val="24"/>
          <w:highlight w:val="none"/>
          <w:lang w:eastAsia="zh-CN"/>
        </w:rPr>
        <w:t>（</w:t>
      </w:r>
      <w:r>
        <w:rPr>
          <w:rFonts w:hint="eastAsia"/>
          <w:b/>
          <w:bCs/>
          <w:sz w:val="24"/>
          <w:szCs w:val="24"/>
          <w:highlight w:val="none"/>
          <w:lang w:val="en-US" w:eastAsia="zh-CN"/>
        </w:rPr>
        <w:t>1</w:t>
      </w:r>
      <w:r>
        <w:rPr>
          <w:rFonts w:hint="eastAsia"/>
          <w:b/>
          <w:bCs/>
          <w:sz w:val="24"/>
          <w:szCs w:val="24"/>
          <w:highlight w:val="none"/>
          <w:lang w:eastAsia="zh-CN"/>
        </w:rPr>
        <w:t>）地下水模拟区域概化</w:t>
      </w:r>
    </w:p>
    <w:p w14:paraId="6DF8736C">
      <w:pPr>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eastAsia="宋体"/>
          <w:sz w:val="24"/>
          <w:szCs w:val="24"/>
          <w:highlight w:val="none"/>
          <w:lang w:val="en-US" w:eastAsia="zh-CN"/>
        </w:rPr>
      </w:pPr>
      <w:r>
        <w:rPr>
          <w:rFonts w:ascii="Times New Roman" w:eastAsia="宋体"/>
          <w:sz w:val="24"/>
          <w:szCs w:val="24"/>
          <w:highlight w:val="none"/>
        </w:rPr>
        <w:t>根据《环境影响评价技术导则-地下水环境》（HJ610-2016）有关调查范围的规</w:t>
      </w:r>
      <w:r>
        <w:rPr>
          <w:rFonts w:hint="eastAsia" w:ascii="宋体" w:hAnsi="宋体" w:eastAsia="宋体" w:cs="宋体"/>
          <w:sz w:val="24"/>
          <w:szCs w:val="24"/>
          <w:highlight w:val="none"/>
        </w:rPr>
        <w:t>定：“以能说明地下水环境的基本状况为原则，并能满足环境影响预测和评价要求”。</w:t>
      </w:r>
      <w:r>
        <w:rPr>
          <w:rFonts w:ascii="Times New Roman" w:eastAsia="宋体"/>
          <w:sz w:val="24"/>
          <w:szCs w:val="24"/>
          <w:highlight w:val="none"/>
        </w:rPr>
        <w:t>经过现场调查、分析项目所在区域环境水文地质条件确定，最终确定地下水评价范围如下：</w:t>
      </w:r>
      <w:r>
        <w:rPr>
          <w:rFonts w:hint="eastAsia"/>
          <w:sz w:val="24"/>
          <w:szCs w:val="24"/>
          <w:highlight w:val="none"/>
          <w:lang w:eastAsia="zh-CN"/>
        </w:rPr>
        <w:t>北侧、南侧、西侧</w:t>
      </w:r>
      <w:r>
        <w:rPr>
          <w:rFonts w:hint="eastAsia" w:ascii="Times New Roman" w:eastAsia="宋体"/>
          <w:sz w:val="24"/>
          <w:szCs w:val="24"/>
          <w:highlight w:val="none"/>
        </w:rPr>
        <w:t>以山脊为零流量边界，</w:t>
      </w:r>
      <w:r>
        <w:rPr>
          <w:rFonts w:hint="eastAsia"/>
          <w:sz w:val="24"/>
          <w:szCs w:val="24"/>
          <w:highlight w:val="none"/>
          <w:lang w:eastAsia="zh-CN"/>
        </w:rPr>
        <w:t>东侧以兴隆河为定水头边界</w:t>
      </w:r>
      <w:r>
        <w:rPr>
          <w:rFonts w:ascii="Times New Roman" w:eastAsia="宋体"/>
          <w:snapToGrid w:val="0"/>
          <w:sz w:val="24"/>
          <w:szCs w:val="24"/>
          <w:highlight w:val="none"/>
        </w:rPr>
        <w:t>，</w:t>
      </w:r>
      <w:r>
        <w:rPr>
          <w:rFonts w:ascii="Times New Roman" w:eastAsia="宋体"/>
          <w:sz w:val="24"/>
          <w:szCs w:val="24"/>
          <w:highlight w:val="none"/>
        </w:rPr>
        <w:t>评价面积为</w:t>
      </w:r>
      <w:r>
        <w:rPr>
          <w:rFonts w:hint="eastAsia"/>
          <w:sz w:val="24"/>
          <w:szCs w:val="24"/>
          <w:highlight w:val="none"/>
          <w:lang w:val="en-US" w:eastAsia="zh-CN"/>
        </w:rPr>
        <w:t>4.38k</w:t>
      </w:r>
      <w:r>
        <w:rPr>
          <w:rFonts w:ascii="Times New Roman" w:eastAsia="宋体"/>
          <w:sz w:val="24"/>
          <w:szCs w:val="24"/>
          <w:highlight w:val="none"/>
        </w:rPr>
        <w:t>m</w:t>
      </w:r>
      <w:r>
        <w:rPr>
          <w:rFonts w:ascii="Times New Roman" w:eastAsia="宋体"/>
          <w:sz w:val="24"/>
          <w:szCs w:val="24"/>
          <w:highlight w:val="none"/>
          <w:vertAlign w:val="superscript"/>
        </w:rPr>
        <w:t>2</w:t>
      </w:r>
      <w:r>
        <w:rPr>
          <w:rFonts w:hint="eastAsia"/>
          <w:sz w:val="24"/>
          <w:szCs w:val="24"/>
          <w:highlight w:val="none"/>
          <w:lang w:eastAsia="zh-CN"/>
        </w:rPr>
        <w:t>，</w:t>
      </w:r>
      <w:r>
        <w:rPr>
          <w:rFonts w:hint="eastAsia"/>
          <w:sz w:val="24"/>
          <w:szCs w:val="24"/>
          <w:highlight w:val="none"/>
          <w:lang w:val="en-US" w:eastAsia="zh-CN"/>
        </w:rPr>
        <w:t>详见下图</w:t>
      </w:r>
      <w:r>
        <w:rPr>
          <w:rFonts w:ascii="Times New Roman" w:eastAsia="宋体"/>
          <w:sz w:val="24"/>
          <w:szCs w:val="24"/>
          <w:highlight w:val="none"/>
        </w:rPr>
        <w:t>。</w:t>
      </w:r>
    </w:p>
    <w:p w14:paraId="479B6164">
      <w:pPr>
        <w:adjustRightInd w:val="0"/>
        <w:snapToGrid w:val="0"/>
        <w:jc w:val="center"/>
        <w:rPr>
          <w:rFonts w:hint="eastAsia" w:ascii="Times New Roman" w:eastAsia="宋体"/>
          <w:b/>
          <w:sz w:val="21"/>
          <w:highlight w:val="none"/>
          <w:lang w:eastAsia="zh-CN"/>
        </w:rPr>
      </w:pPr>
      <w:r>
        <w:rPr>
          <w:highlight w:val="none"/>
        </w:rPr>
        <w:drawing>
          <wp:inline distT="0" distB="0" distL="114300" distR="114300">
            <wp:extent cx="5275580" cy="2910205"/>
            <wp:effectExtent l="0" t="0" r="12700" b="63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38"/>
                    <a:stretch>
                      <a:fillRect/>
                    </a:stretch>
                  </pic:blipFill>
                  <pic:spPr>
                    <a:xfrm>
                      <a:off x="0" y="0"/>
                      <a:ext cx="5275580" cy="2910205"/>
                    </a:xfrm>
                    <a:prstGeom prst="rect">
                      <a:avLst/>
                    </a:prstGeom>
                    <a:noFill/>
                    <a:ln>
                      <a:noFill/>
                    </a:ln>
                  </pic:spPr>
                </pic:pic>
              </a:graphicData>
            </a:graphic>
          </wp:inline>
        </w:drawing>
      </w:r>
    </w:p>
    <w:p w14:paraId="0A7DAEA5">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hint="eastAsia"/>
          <w:b/>
          <w:sz w:val="21"/>
          <w:highlight w:val="none"/>
          <w:lang w:val="en-US" w:eastAsia="zh-CN"/>
        </w:rPr>
        <w:t>项目地下水评价</w:t>
      </w:r>
      <w:r>
        <w:rPr>
          <w:rFonts w:ascii="Times New Roman" w:eastAsia="宋体"/>
          <w:b/>
          <w:sz w:val="21"/>
          <w:highlight w:val="none"/>
        </w:rPr>
        <w:t>范围图</w:t>
      </w:r>
    </w:p>
    <w:p w14:paraId="2C41E06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b/>
          <w:bCs/>
          <w:sz w:val="24"/>
          <w:szCs w:val="24"/>
          <w:highlight w:val="none"/>
        </w:rPr>
      </w:pPr>
      <w:r>
        <w:rPr>
          <w:rFonts w:hint="eastAsia"/>
          <w:b/>
          <w:bCs/>
          <w:sz w:val="24"/>
          <w:szCs w:val="24"/>
          <w:highlight w:val="none"/>
          <w:lang w:eastAsia="zh-CN"/>
        </w:rPr>
        <w:t>（</w:t>
      </w:r>
      <w:r>
        <w:rPr>
          <w:rFonts w:hint="eastAsia"/>
          <w:b/>
          <w:bCs/>
          <w:sz w:val="24"/>
          <w:szCs w:val="24"/>
          <w:highlight w:val="none"/>
          <w:lang w:val="en-US" w:eastAsia="zh-CN"/>
        </w:rPr>
        <w:t>2</w:t>
      </w:r>
      <w:r>
        <w:rPr>
          <w:rFonts w:hint="eastAsia"/>
          <w:b/>
          <w:bCs/>
          <w:sz w:val="24"/>
          <w:szCs w:val="24"/>
          <w:highlight w:val="none"/>
          <w:lang w:eastAsia="zh-CN"/>
        </w:rPr>
        <w:t>）</w:t>
      </w:r>
      <w:r>
        <w:rPr>
          <w:rFonts w:ascii="Times New Roman" w:eastAsia="宋体"/>
          <w:b/>
          <w:bCs/>
          <w:sz w:val="24"/>
          <w:szCs w:val="24"/>
          <w:highlight w:val="none"/>
        </w:rPr>
        <w:t>含水层概化</w:t>
      </w:r>
    </w:p>
    <w:p w14:paraId="3DA8E80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bCs/>
          <w:sz w:val="24"/>
          <w:szCs w:val="24"/>
          <w:highlight w:val="none"/>
          <w:lang w:eastAsia="zh-CN"/>
        </w:rPr>
      </w:pPr>
      <w:r>
        <w:rPr>
          <w:rFonts w:hint="default" w:ascii="Times New Roman" w:hAnsi="Times New Roman" w:eastAsia="宋体" w:cs="Times New Roman"/>
          <w:bCs/>
          <w:color w:val="auto"/>
          <w:sz w:val="24"/>
          <w:szCs w:val="24"/>
          <w:highlight w:val="none"/>
        </w:rPr>
        <w:t>根据该项目水文地质调查报告，调查区内含水层主要划分成第四系松散孔隙水、风化带网状基岩裂隙水两个含水岩组，两含水组之间不存在稳定发育的隔水层，水力联系密切。因此本评价将这两大类含水组一并作为含水层考虑，在模型中概化为单一含水层</w:t>
      </w:r>
      <w:r>
        <w:rPr>
          <w:rFonts w:hint="default" w:ascii="Times New Roman" w:hAnsi="Times New Roman" w:eastAsia="宋体" w:cs="Times New Roman"/>
          <w:color w:val="auto"/>
          <w:sz w:val="24"/>
          <w:szCs w:val="24"/>
          <w:highlight w:val="none"/>
        </w:rPr>
        <w:t>。</w:t>
      </w:r>
    </w:p>
    <w:p w14:paraId="260EB23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b/>
          <w:bCs/>
          <w:sz w:val="24"/>
          <w:szCs w:val="24"/>
          <w:highlight w:val="none"/>
        </w:rPr>
      </w:pPr>
      <w:r>
        <w:rPr>
          <w:rFonts w:hint="eastAsia"/>
          <w:b/>
          <w:bCs/>
          <w:sz w:val="24"/>
          <w:szCs w:val="24"/>
          <w:highlight w:val="none"/>
          <w:lang w:eastAsia="zh-CN"/>
        </w:rPr>
        <w:t>（</w:t>
      </w:r>
      <w:r>
        <w:rPr>
          <w:rFonts w:hint="eastAsia"/>
          <w:b/>
          <w:bCs/>
          <w:sz w:val="24"/>
          <w:szCs w:val="24"/>
          <w:highlight w:val="none"/>
          <w:lang w:val="en-US" w:eastAsia="zh-CN"/>
        </w:rPr>
        <w:t>3</w:t>
      </w:r>
      <w:r>
        <w:rPr>
          <w:rFonts w:hint="eastAsia"/>
          <w:b/>
          <w:bCs/>
          <w:sz w:val="24"/>
          <w:szCs w:val="24"/>
          <w:highlight w:val="none"/>
          <w:lang w:eastAsia="zh-CN"/>
        </w:rPr>
        <w:t>）</w:t>
      </w:r>
      <w:r>
        <w:rPr>
          <w:rFonts w:ascii="Times New Roman" w:eastAsia="宋体"/>
          <w:b/>
          <w:bCs/>
          <w:sz w:val="24"/>
          <w:szCs w:val="24"/>
          <w:highlight w:val="none"/>
        </w:rPr>
        <w:t>边界条件概化</w:t>
      </w:r>
    </w:p>
    <w:p w14:paraId="069FC178">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ascii="Times New Roman"/>
          <w:bCs/>
          <w:sz w:val="24"/>
          <w:szCs w:val="24"/>
          <w:highlight w:val="none"/>
        </w:rPr>
      </w:pPr>
      <w:r>
        <w:rPr>
          <w:rFonts w:ascii="Times New Roman"/>
          <w:bCs/>
          <w:sz w:val="24"/>
          <w:szCs w:val="24"/>
          <w:highlight w:val="none"/>
        </w:rPr>
        <w:t>侧向边界：</w:t>
      </w:r>
      <w:r>
        <w:rPr>
          <w:rFonts w:ascii="Times New Roman" w:eastAsia="宋体"/>
          <w:sz w:val="24"/>
          <w:szCs w:val="24"/>
          <w:highlight w:val="none"/>
        </w:rPr>
        <w:t>项目所处水文地质单元</w:t>
      </w:r>
      <w:r>
        <w:rPr>
          <w:rFonts w:hint="eastAsia"/>
          <w:sz w:val="24"/>
          <w:szCs w:val="24"/>
          <w:highlight w:val="none"/>
          <w:lang w:eastAsia="zh-CN"/>
        </w:rPr>
        <w:t>北侧、南侧、西侧</w:t>
      </w:r>
      <w:r>
        <w:rPr>
          <w:rFonts w:ascii="Times New Roman" w:eastAsia="宋体"/>
          <w:sz w:val="24"/>
          <w:szCs w:val="24"/>
          <w:highlight w:val="none"/>
        </w:rPr>
        <w:t>以两侧自然山体山脊线为界，概化为零流量边界</w:t>
      </w:r>
      <w:r>
        <w:rPr>
          <w:rFonts w:hint="eastAsia"/>
          <w:sz w:val="24"/>
          <w:szCs w:val="24"/>
          <w:highlight w:val="none"/>
          <w:lang w:eastAsia="zh-CN"/>
        </w:rPr>
        <w:t>；</w:t>
      </w:r>
      <w:r>
        <w:rPr>
          <w:rFonts w:hint="eastAsia"/>
          <w:sz w:val="24"/>
          <w:szCs w:val="24"/>
          <w:highlight w:val="none"/>
          <w:lang w:val="en-US" w:eastAsia="zh-CN"/>
        </w:rPr>
        <w:t>南侧</w:t>
      </w:r>
      <w:r>
        <w:rPr>
          <w:rFonts w:ascii="Times New Roman" w:eastAsia="宋体"/>
          <w:sz w:val="24"/>
          <w:szCs w:val="24"/>
          <w:highlight w:val="none"/>
        </w:rPr>
        <w:t>边界为</w:t>
      </w:r>
      <w:r>
        <w:rPr>
          <w:rFonts w:hint="eastAsia"/>
          <w:sz w:val="24"/>
          <w:szCs w:val="24"/>
          <w:highlight w:val="none"/>
          <w:lang w:val="en-US" w:eastAsia="zh-CN"/>
        </w:rPr>
        <w:t>兴隆河</w:t>
      </w:r>
      <w:r>
        <w:rPr>
          <w:rFonts w:ascii="Times New Roman" w:eastAsia="宋体"/>
          <w:sz w:val="24"/>
          <w:szCs w:val="24"/>
          <w:highlight w:val="none"/>
        </w:rPr>
        <w:t>，概化为定水头边界。</w:t>
      </w:r>
    </w:p>
    <w:p w14:paraId="29F4D527">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ascii="Times New Roman"/>
          <w:sz w:val="24"/>
          <w:szCs w:val="24"/>
          <w:highlight w:val="none"/>
        </w:rPr>
      </w:pPr>
      <w:r>
        <w:rPr>
          <w:rFonts w:ascii="Times New Roman"/>
          <w:bCs/>
          <w:sz w:val="24"/>
          <w:szCs w:val="24"/>
          <w:highlight w:val="none"/>
        </w:rPr>
        <w:t>垂向边界：模型上边界取</w:t>
      </w:r>
      <w:r>
        <w:rPr>
          <w:rFonts w:ascii="Times New Roman"/>
          <w:sz w:val="24"/>
          <w:szCs w:val="24"/>
          <w:highlight w:val="none"/>
        </w:rPr>
        <w:t>浅层水自由水面，整个系统通过这个边界主要接受大气降水的入渗补给及境外地下水的侧向补给。</w:t>
      </w:r>
    </w:p>
    <w:p w14:paraId="3F7A182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eastAsia="宋体"/>
          <w:sz w:val="24"/>
          <w:szCs w:val="24"/>
          <w:highlight w:val="none"/>
        </w:rPr>
      </w:pPr>
      <w:r>
        <w:rPr>
          <w:rFonts w:ascii="Times New Roman"/>
          <w:bCs/>
          <w:sz w:val="24"/>
          <w:szCs w:val="24"/>
          <w:highlight w:val="none"/>
        </w:rPr>
        <w:t>下边界：模型下边界</w:t>
      </w:r>
      <w:r>
        <w:rPr>
          <w:rFonts w:ascii="Times New Roman"/>
          <w:sz w:val="24"/>
          <w:szCs w:val="24"/>
          <w:highlight w:val="none"/>
        </w:rPr>
        <w:t>含水层以下基岩风化裂隙带下部</w:t>
      </w:r>
      <w:r>
        <w:rPr>
          <w:rFonts w:ascii="Times New Roman"/>
          <w:bCs/>
          <w:sz w:val="24"/>
          <w:szCs w:val="24"/>
          <w:highlight w:val="none"/>
        </w:rPr>
        <w:t>为边界，作为隔水层，概化为隔水底板。</w:t>
      </w:r>
    </w:p>
    <w:p w14:paraId="442BCF3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b/>
          <w:bCs/>
          <w:sz w:val="24"/>
          <w:szCs w:val="24"/>
          <w:highlight w:val="none"/>
        </w:rPr>
      </w:pPr>
      <w:r>
        <w:rPr>
          <w:rFonts w:hint="eastAsia"/>
          <w:b/>
          <w:bCs/>
          <w:sz w:val="24"/>
          <w:szCs w:val="24"/>
          <w:highlight w:val="none"/>
          <w:lang w:eastAsia="zh-CN"/>
        </w:rPr>
        <w:t>（</w:t>
      </w:r>
      <w:r>
        <w:rPr>
          <w:rFonts w:hint="eastAsia"/>
          <w:b/>
          <w:bCs/>
          <w:sz w:val="24"/>
          <w:szCs w:val="24"/>
          <w:highlight w:val="none"/>
          <w:lang w:val="en-US" w:eastAsia="zh-CN"/>
        </w:rPr>
        <w:t>4</w:t>
      </w:r>
      <w:r>
        <w:rPr>
          <w:rFonts w:hint="eastAsia"/>
          <w:b/>
          <w:bCs/>
          <w:sz w:val="24"/>
          <w:szCs w:val="24"/>
          <w:highlight w:val="none"/>
          <w:lang w:eastAsia="zh-CN"/>
        </w:rPr>
        <w:t>）</w:t>
      </w:r>
      <w:r>
        <w:rPr>
          <w:rFonts w:ascii="Times New Roman" w:eastAsia="宋体"/>
          <w:b/>
          <w:bCs/>
          <w:sz w:val="24"/>
          <w:szCs w:val="24"/>
          <w:highlight w:val="none"/>
        </w:rPr>
        <w:t>水力特征概化</w:t>
      </w:r>
    </w:p>
    <w:p w14:paraId="1ACFD62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eastAsia="宋体"/>
          <w:sz w:val="24"/>
          <w:szCs w:val="24"/>
          <w:highlight w:val="none"/>
        </w:rPr>
      </w:pPr>
      <w:r>
        <w:rPr>
          <w:rFonts w:ascii="Times New Roman" w:hAnsi="Times New Roman" w:eastAsia="宋体" w:cs="Times New Roman"/>
          <w:sz w:val="24"/>
          <w:szCs w:val="24"/>
          <w:highlight w:val="none"/>
        </w:rPr>
        <w:t>从空间上看，模拟区地下水流整体上以水平运动为主、垂向运动为辅，根据评价区水文地质条件可知，区域地下水流向基本符合地形走向，但总体水力坡度变化不大，地下水系统符合质量守恒定律和能量守恒定律；在常温常压下地下水运动符合达西定律</w:t>
      </w:r>
      <w:r>
        <w:rPr>
          <w:rFonts w:hint="eastAsia" w:ascii="Times New Roman" w:hAnsi="Times New Roman" w:cs="Times New Roman"/>
          <w:sz w:val="24"/>
          <w:szCs w:val="24"/>
          <w:highlight w:val="none"/>
          <w:lang w:eastAsia="zh-CN"/>
        </w:rPr>
        <w:t>。</w:t>
      </w:r>
    </w:p>
    <w:p w14:paraId="397AB758">
      <w:pPr>
        <w:pStyle w:val="7"/>
        <w:adjustRightInd w:val="0"/>
        <w:snapToGrid w:val="0"/>
        <w:spacing w:before="0" w:after="0" w:line="360" w:lineRule="auto"/>
        <w:rPr>
          <w:rFonts w:ascii="Times New Roman" w:hAnsi="Times New Roman" w:eastAsia="宋体"/>
          <w:sz w:val="24"/>
          <w:szCs w:val="24"/>
          <w:highlight w:val="none"/>
        </w:rPr>
      </w:pPr>
      <w:r>
        <w:rPr>
          <w:rFonts w:ascii="Times New Roman" w:hAnsi="Times New Roman" w:eastAsia="宋体"/>
          <w:sz w:val="24"/>
          <w:szCs w:val="24"/>
          <w:highlight w:val="none"/>
        </w:rPr>
        <w:t>污染源概化</w:t>
      </w:r>
    </w:p>
    <w:p w14:paraId="2328F1A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sz w:val="24"/>
          <w:szCs w:val="24"/>
          <w:highlight w:val="none"/>
        </w:rPr>
      </w:pPr>
      <w:r>
        <w:rPr>
          <w:rFonts w:ascii="Times New Roman" w:eastAsia="宋体"/>
          <w:b/>
          <w:bCs/>
          <w:sz w:val="24"/>
          <w:szCs w:val="24"/>
          <w:highlight w:val="none"/>
        </w:rPr>
        <w:t>（1）情景设置</w:t>
      </w:r>
    </w:p>
    <w:p w14:paraId="492BE7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eastAsia="宋体"/>
          <w:sz w:val="24"/>
          <w:szCs w:val="24"/>
          <w:highlight w:val="none"/>
          <w:lang w:val="en-US" w:eastAsia="zh-CN"/>
        </w:rPr>
      </w:pPr>
      <w:r>
        <w:rPr>
          <w:color w:val="auto"/>
          <w:sz w:val="24"/>
          <w:szCs w:val="24"/>
          <w:highlight w:val="none"/>
        </w:rPr>
        <w:t>本项目贮存的废石为一般工业固体废物，废石处置场所为</w:t>
      </w:r>
      <w:r>
        <w:rPr>
          <w:color w:val="auto"/>
          <w:sz w:val="24"/>
          <w:szCs w:val="24"/>
          <w:highlight w:val="none"/>
        </w:rPr>
        <w:fldChar w:fldCharType="begin"/>
      </w:r>
      <w:r>
        <w:rPr>
          <w:color w:val="auto"/>
          <w:sz w:val="24"/>
          <w:szCs w:val="24"/>
          <w:highlight w:val="none"/>
        </w:rPr>
        <w:instrText xml:space="preserve"> = 1 \* ROMAN </w:instrText>
      </w:r>
      <w:r>
        <w:rPr>
          <w:color w:val="auto"/>
          <w:sz w:val="24"/>
          <w:szCs w:val="24"/>
          <w:highlight w:val="none"/>
        </w:rPr>
        <w:fldChar w:fldCharType="separate"/>
      </w:r>
      <w:r>
        <w:rPr>
          <w:color w:val="auto"/>
          <w:sz w:val="24"/>
          <w:szCs w:val="24"/>
          <w:highlight w:val="none"/>
        </w:rPr>
        <w:t>I</w:t>
      </w:r>
      <w:r>
        <w:rPr>
          <w:color w:val="auto"/>
          <w:sz w:val="24"/>
          <w:szCs w:val="24"/>
          <w:highlight w:val="none"/>
        </w:rPr>
        <w:fldChar w:fldCharType="end"/>
      </w:r>
      <w:r>
        <w:rPr>
          <w:color w:val="auto"/>
          <w:sz w:val="24"/>
          <w:szCs w:val="24"/>
          <w:highlight w:val="none"/>
        </w:rPr>
        <w:t>类场，不存在《环境影响评价技术导则-地下水环境》（HJ610-2016）中</w:t>
      </w:r>
      <w:r>
        <w:rPr>
          <w:rFonts w:hint="eastAsia" w:ascii="宋体" w:hAnsi="宋体" w:eastAsia="宋体" w:cs="宋体"/>
          <w:color w:val="auto"/>
          <w:sz w:val="24"/>
          <w:szCs w:val="24"/>
          <w:highlight w:val="none"/>
        </w:rPr>
        <w:t>的“非正常状况”</w:t>
      </w:r>
      <w:r>
        <w:rPr>
          <w:color w:val="auto"/>
          <w:sz w:val="24"/>
          <w:szCs w:val="24"/>
          <w:highlight w:val="none"/>
        </w:rPr>
        <w:t>，项目仅考虑正常状况下对</w:t>
      </w:r>
      <w:r>
        <w:rPr>
          <w:rFonts w:hint="eastAsia"/>
          <w:color w:val="auto"/>
          <w:sz w:val="24"/>
          <w:szCs w:val="24"/>
          <w:highlight w:val="none"/>
          <w:lang w:eastAsia="zh-CN"/>
        </w:rPr>
        <w:t>地</w:t>
      </w:r>
      <w:r>
        <w:rPr>
          <w:color w:val="auto"/>
          <w:sz w:val="24"/>
          <w:szCs w:val="24"/>
          <w:highlight w:val="none"/>
        </w:rPr>
        <w:t>下水环境影响预测与评价</w:t>
      </w:r>
      <w:r>
        <w:rPr>
          <w:rFonts w:hint="eastAsia"/>
          <w:sz w:val="24"/>
          <w:szCs w:val="24"/>
          <w:highlight w:val="none"/>
        </w:rPr>
        <w:t>。</w:t>
      </w:r>
      <w:r>
        <w:rPr>
          <w:rFonts w:hint="eastAsia"/>
          <w:sz w:val="24"/>
          <w:szCs w:val="24"/>
          <w:highlight w:val="none"/>
          <w:lang w:val="en-US" w:eastAsia="zh-CN"/>
        </w:rPr>
        <w:t>项目所在位置</w:t>
      </w:r>
      <w:r>
        <w:rPr>
          <w:rFonts w:hint="eastAsia"/>
          <w:color w:val="auto"/>
          <w:sz w:val="24"/>
          <w:szCs w:val="24"/>
          <w:highlight w:val="none"/>
          <w:lang w:val="en-US" w:eastAsia="zh-CN"/>
        </w:rPr>
        <w:t>东北沟尾矿库</w:t>
      </w:r>
      <w:r>
        <w:rPr>
          <w:rFonts w:hint="eastAsia" w:ascii="Times New Roman"/>
          <w:color w:val="auto"/>
          <w:sz w:val="24"/>
          <w:szCs w:val="24"/>
          <w:highlight w:val="none"/>
          <w:lang w:val="en-US" w:eastAsia="zh-CN"/>
        </w:rPr>
        <w:t>已于</w:t>
      </w:r>
      <w:r>
        <w:rPr>
          <w:rFonts w:hint="eastAsia" w:cs="Times New Roman"/>
          <w:color w:val="auto"/>
          <w:sz w:val="24"/>
          <w:szCs w:val="24"/>
          <w:highlight w:val="none"/>
          <w:lang w:val="en-US" w:eastAsia="zh-CN"/>
        </w:rPr>
        <w:t>2023年2月17日</w:t>
      </w:r>
      <w:r>
        <w:rPr>
          <w:rFonts w:hint="default" w:ascii="Times New Roman" w:hAnsi="Times New Roman" w:cs="Times New Roman"/>
          <w:color w:val="auto"/>
          <w:sz w:val="24"/>
          <w:szCs w:val="24"/>
          <w:highlight w:val="none"/>
          <w:lang w:val="en-US" w:eastAsia="zh-CN"/>
        </w:rPr>
        <w:t>闭库销号，不再进行排尾作业</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下游选厂已运行多年，</w:t>
      </w:r>
      <w:r>
        <w:rPr>
          <w:rFonts w:hint="eastAsia" w:ascii="Times New Roman" w:hAnsi="Times New Roman" w:cs="Times New Roman"/>
          <w:color w:val="auto"/>
          <w:sz w:val="24"/>
          <w:szCs w:val="24"/>
          <w:highlight w:val="none"/>
          <w:lang w:val="en-US" w:eastAsia="zh-CN"/>
        </w:rPr>
        <w:t>下游</w:t>
      </w:r>
      <w:r>
        <w:rPr>
          <w:rFonts w:hint="eastAsia"/>
          <w:sz w:val="24"/>
          <w:szCs w:val="24"/>
          <w:highlight w:val="none"/>
          <w:lang w:val="en-US" w:eastAsia="zh-CN"/>
        </w:rPr>
        <w:t>最近保护目标东兴村地下水环境监测结果作为背景值，本次评价不再对尾矿库、选厂进行</w:t>
      </w:r>
      <w:r>
        <w:rPr>
          <w:rFonts w:hint="eastAsia"/>
          <w:color w:val="auto"/>
          <w:sz w:val="24"/>
          <w:szCs w:val="24"/>
          <w:highlight w:val="none"/>
          <w:lang w:eastAsia="zh-CN"/>
        </w:rPr>
        <w:t>地</w:t>
      </w:r>
      <w:r>
        <w:rPr>
          <w:color w:val="auto"/>
          <w:sz w:val="24"/>
          <w:szCs w:val="24"/>
          <w:highlight w:val="none"/>
        </w:rPr>
        <w:t>下水环境影响</w:t>
      </w:r>
      <w:r>
        <w:rPr>
          <w:rFonts w:hint="eastAsia"/>
          <w:sz w:val="24"/>
          <w:szCs w:val="24"/>
          <w:highlight w:val="none"/>
          <w:lang w:val="en-US" w:eastAsia="zh-CN"/>
        </w:rPr>
        <w:t>预测。</w:t>
      </w:r>
    </w:p>
    <w:p w14:paraId="448F13F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eastAsia="宋体"/>
          <w:b/>
          <w:bCs/>
          <w:sz w:val="24"/>
          <w:szCs w:val="24"/>
          <w:highlight w:val="none"/>
          <w:lang w:val="en-US" w:eastAsia="zh-CN"/>
        </w:rPr>
      </w:pPr>
      <w:r>
        <w:rPr>
          <w:rFonts w:hint="eastAsia" w:ascii="Times New Roman"/>
          <w:b/>
          <w:bCs/>
          <w:sz w:val="24"/>
          <w:szCs w:val="24"/>
          <w:highlight w:val="none"/>
          <w:lang w:eastAsia="zh-CN"/>
        </w:rPr>
        <w:t>（</w:t>
      </w:r>
      <w:r>
        <w:rPr>
          <w:rFonts w:hint="eastAsia" w:ascii="Times New Roman"/>
          <w:b/>
          <w:bCs/>
          <w:sz w:val="24"/>
          <w:szCs w:val="24"/>
          <w:highlight w:val="none"/>
          <w:lang w:val="en-US" w:eastAsia="zh-CN"/>
        </w:rPr>
        <w:t>2</w:t>
      </w:r>
      <w:r>
        <w:rPr>
          <w:rFonts w:hint="eastAsia" w:ascii="Times New Roman"/>
          <w:b/>
          <w:bCs/>
          <w:sz w:val="24"/>
          <w:szCs w:val="24"/>
          <w:highlight w:val="none"/>
          <w:lang w:eastAsia="zh-CN"/>
        </w:rPr>
        <w:t>）</w:t>
      </w:r>
      <w:r>
        <w:rPr>
          <w:rFonts w:hint="eastAsia" w:ascii="Times New Roman"/>
          <w:b/>
          <w:bCs/>
          <w:sz w:val="24"/>
          <w:szCs w:val="24"/>
          <w:highlight w:val="none"/>
          <w:lang w:val="en-US" w:eastAsia="zh-CN"/>
        </w:rPr>
        <w:t>预测因子筛选</w:t>
      </w:r>
    </w:p>
    <w:p w14:paraId="69621972">
      <w:pPr>
        <w:adjustRightInd w:val="0"/>
        <w:spacing w:line="360" w:lineRule="auto"/>
        <w:ind w:firstLine="480" w:firstLineChars="200"/>
        <w:rPr>
          <w:rFonts w:hint="eastAsia"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本项目排土场堆存</w:t>
      </w:r>
      <w:r>
        <w:rPr>
          <w:rFonts w:hint="eastAsia" w:cs="Times New Roman"/>
          <w:color w:val="000000"/>
          <w:sz w:val="24"/>
          <w:highlight w:val="none"/>
          <w:lang w:val="en-US" w:eastAsia="zh-CN"/>
        </w:rPr>
        <w:t>废石来源为</w:t>
      </w:r>
      <w:r>
        <w:rPr>
          <w:rFonts w:hint="eastAsia" w:cs="Times New Roman"/>
          <w:snapToGrid w:val="0"/>
          <w:kern w:val="0"/>
          <w:sz w:val="24"/>
          <w:szCs w:val="24"/>
          <w:highlight w:val="none"/>
          <w:lang w:val="en-US" w:eastAsia="zh-CN"/>
        </w:rPr>
        <w:t>承德天宝矿业集团大昌矿业有限公司</w:t>
      </w:r>
      <w:r>
        <w:rPr>
          <w:rFonts w:hint="eastAsia"/>
          <w:bCs/>
          <w:sz w:val="24"/>
          <w:szCs w:val="24"/>
          <w:highlight w:val="none"/>
          <w:lang w:val="en-US" w:eastAsia="zh-CN"/>
        </w:rPr>
        <w:t>采区废石、选厂废石。</w:t>
      </w:r>
      <w:r>
        <w:rPr>
          <w:rFonts w:hint="eastAsia" w:cs="Times New Roman"/>
          <w:sz w:val="24"/>
          <w:szCs w:val="24"/>
          <w:highlight w:val="none"/>
          <w:lang w:eastAsia="zh-CN"/>
        </w:rPr>
        <w:t>2025年3月6日，辽宁卓信检验检测有限公司</w:t>
      </w:r>
      <w:r>
        <w:rPr>
          <w:rFonts w:hint="default" w:ascii="Times New Roman" w:hAnsi="Times New Roman" w:cs="Times New Roman"/>
          <w:sz w:val="24"/>
          <w:szCs w:val="24"/>
          <w:highlight w:val="none"/>
          <w:lang w:eastAsia="zh-CN"/>
        </w:rPr>
        <w:t>于对</w:t>
      </w:r>
      <w:r>
        <w:rPr>
          <w:rFonts w:hint="eastAsia" w:ascii="Times New Roman" w:hAnsi="Times New Roman" w:cs="Times New Roman"/>
          <w:sz w:val="24"/>
          <w:szCs w:val="24"/>
          <w:highlight w:val="none"/>
          <w:lang w:val="en-US" w:eastAsia="zh-CN"/>
        </w:rPr>
        <w:t>本项目堆存</w:t>
      </w:r>
      <w:r>
        <w:rPr>
          <w:rFonts w:hint="default" w:ascii="Times New Roman" w:hAnsi="Times New Roman" w:cs="Times New Roman"/>
          <w:sz w:val="24"/>
          <w:szCs w:val="24"/>
          <w:highlight w:val="none"/>
          <w:lang w:eastAsia="zh-CN"/>
        </w:rPr>
        <w:t>废石</w:t>
      </w:r>
      <w:r>
        <w:rPr>
          <w:rFonts w:hint="eastAsia" w:cs="Times New Roman"/>
          <w:sz w:val="24"/>
          <w:szCs w:val="24"/>
          <w:highlight w:val="none"/>
          <w:lang w:val="en-US" w:eastAsia="zh-CN"/>
        </w:rPr>
        <w:t>进行</w:t>
      </w:r>
      <w:r>
        <w:rPr>
          <w:rFonts w:hint="eastAsia" w:ascii="Times New Roman" w:hAnsi="Times New Roman" w:cs="Times New Roman"/>
          <w:color w:val="000000"/>
          <w:sz w:val="24"/>
          <w:highlight w:val="none"/>
          <w:lang w:val="en-US" w:eastAsia="zh-CN"/>
        </w:rPr>
        <w:t>浸溶实验</w:t>
      </w:r>
      <w:r>
        <w:rPr>
          <w:rFonts w:hint="eastAsia" w:cs="Times New Roman"/>
          <w:color w:val="000000"/>
          <w:sz w:val="24"/>
          <w:highlight w:val="none"/>
          <w:lang w:val="en-US" w:eastAsia="zh-CN"/>
        </w:rPr>
        <w:t>检测</w:t>
      </w:r>
      <w:r>
        <w:rPr>
          <w:rFonts w:hint="eastAsia" w:cs="Times New Roman"/>
          <w:sz w:val="24"/>
          <w:szCs w:val="24"/>
          <w:highlight w:val="none"/>
          <w:lang w:val="en-US" w:eastAsia="zh-CN"/>
        </w:rPr>
        <w:t>，根据</w:t>
      </w:r>
      <w:r>
        <w:rPr>
          <w:rFonts w:hint="eastAsia" w:cs="Times New Roman"/>
          <w:sz w:val="24"/>
          <w:szCs w:val="24"/>
          <w:highlight w:val="none"/>
          <w:lang w:eastAsia="zh-CN"/>
        </w:rPr>
        <w:t>《承德天宝矿业集团大昌矿业有限公司东北沟排土场建设项目浸溶试验</w:t>
      </w:r>
      <w:r>
        <w:rPr>
          <w:rFonts w:hint="eastAsia" w:cs="Times New Roman"/>
          <w:sz w:val="24"/>
          <w:szCs w:val="24"/>
          <w:highlight w:val="none"/>
          <w:lang w:val="en-US" w:eastAsia="zh-CN"/>
        </w:rPr>
        <w:t>检测报告</w:t>
      </w:r>
      <w:r>
        <w:rPr>
          <w:rFonts w:hint="eastAsia" w:cs="Times New Roman"/>
          <w:sz w:val="24"/>
          <w:szCs w:val="24"/>
          <w:highlight w:val="none"/>
          <w:lang w:eastAsia="zh-CN"/>
        </w:rPr>
        <w:t>》（ZXLN（T）202503029）</w:t>
      </w:r>
      <w:r>
        <w:rPr>
          <w:rFonts w:hint="default" w:ascii="Times New Roman" w:hAnsi="Times New Roman" w:cs="Times New Roman"/>
          <w:sz w:val="24"/>
          <w:szCs w:val="24"/>
          <w:highlight w:val="none"/>
          <w:lang w:eastAsia="zh-CN"/>
        </w:rPr>
        <w:t>，</w:t>
      </w:r>
      <w:r>
        <w:rPr>
          <w:rFonts w:hint="eastAsia" w:ascii="Times New Roman" w:hAnsi="Times New Roman" w:cs="Times New Roman"/>
          <w:color w:val="000000"/>
          <w:sz w:val="24"/>
          <w:highlight w:val="none"/>
          <w:lang w:val="en-US" w:eastAsia="zh-CN"/>
        </w:rPr>
        <w:t>废石浸溶实验成分及特征因子标准指数一览表如下</w:t>
      </w:r>
      <w:r>
        <w:rPr>
          <w:rFonts w:hint="eastAsia" w:cs="Times New Roman"/>
          <w:color w:val="000000"/>
          <w:sz w:val="24"/>
          <w:highlight w:val="none"/>
          <w:lang w:val="en-US" w:eastAsia="zh-CN"/>
        </w:rPr>
        <w:t>：</w:t>
      </w:r>
    </w:p>
    <w:p w14:paraId="07EF0A1C">
      <w:pPr>
        <w:numPr>
          <w:ilvl w:val="0"/>
          <w:numId w:val="20"/>
        </w:numPr>
        <w:adjustRightInd w:val="0"/>
        <w:snapToGrid w:val="0"/>
        <w:jc w:val="center"/>
        <w:rPr>
          <w:rFonts w:ascii="Times New Roman"/>
          <w:b/>
          <w:bCs/>
          <w:snapToGrid w:val="0"/>
          <w:sz w:val="21"/>
          <w:szCs w:val="21"/>
          <w:highlight w:val="none"/>
        </w:rPr>
      </w:pPr>
      <w:r>
        <w:rPr>
          <w:rFonts w:ascii="Times New Roman" w:eastAsia="宋体"/>
          <w:b/>
          <w:bCs/>
          <w:snapToGrid w:val="0"/>
          <w:sz w:val="21"/>
          <w:szCs w:val="21"/>
          <w:highlight w:val="none"/>
        </w:rPr>
        <w:t>废石浸溶实验成分及特征因子标准指数一览表</w:t>
      </w:r>
    </w:p>
    <w:tbl>
      <w:tblPr>
        <w:tblStyle w:val="5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15" w:type="dxa"/>
          <w:left w:w="15" w:type="dxa"/>
          <w:bottom w:w="15" w:type="dxa"/>
          <w:right w:w="15" w:type="dxa"/>
        </w:tblCellMar>
      </w:tblPr>
      <w:tblGrid>
        <w:gridCol w:w="2272"/>
        <w:gridCol w:w="1569"/>
        <w:gridCol w:w="1427"/>
        <w:gridCol w:w="1710"/>
        <w:gridCol w:w="1364"/>
      </w:tblGrid>
      <w:tr w14:paraId="164546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vMerge w:val="restart"/>
            <w:tcBorders>
              <w:tl2br w:val="nil"/>
              <w:tr2bl w:val="nil"/>
            </w:tcBorders>
            <w:vAlign w:val="center"/>
          </w:tcPr>
          <w:p w14:paraId="065FB64C">
            <w:pPr>
              <w:tabs>
                <w:tab w:val="left" w:pos="1255"/>
              </w:tabs>
              <w:adjustRightInd w:val="0"/>
              <w:snapToGrid w:val="0"/>
              <w:spacing w:line="260" w:lineRule="exact"/>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项目</w:t>
            </w:r>
          </w:p>
        </w:tc>
        <w:tc>
          <w:tcPr>
            <w:tcW w:w="940" w:type="pct"/>
            <w:vMerge w:val="restart"/>
            <w:tcBorders>
              <w:tl2br w:val="nil"/>
              <w:tr2bl w:val="nil"/>
            </w:tcBorders>
            <w:vAlign w:val="center"/>
          </w:tcPr>
          <w:p w14:paraId="77CEBD48">
            <w:pPr>
              <w:tabs>
                <w:tab w:val="left" w:pos="1255"/>
              </w:tabs>
              <w:adjustRightInd w:val="0"/>
              <w:snapToGrid w:val="0"/>
              <w:spacing w:line="260" w:lineRule="exact"/>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sz w:val="21"/>
                <w:szCs w:val="21"/>
                <w:highlight w:val="none"/>
              </w:rPr>
              <w:t>单位</w:t>
            </w:r>
          </w:p>
        </w:tc>
        <w:tc>
          <w:tcPr>
            <w:tcW w:w="855" w:type="pct"/>
            <w:vMerge w:val="restart"/>
            <w:tcBorders>
              <w:tl2br w:val="nil"/>
              <w:tr2bl w:val="nil"/>
            </w:tcBorders>
            <w:vAlign w:val="center"/>
          </w:tcPr>
          <w:p w14:paraId="4492CCC4">
            <w:pPr>
              <w:tabs>
                <w:tab w:val="left" w:pos="1255"/>
              </w:tabs>
              <w:adjustRightInd w:val="0"/>
              <w:snapToGrid w:val="0"/>
              <w:spacing w:line="260" w:lineRule="exact"/>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标准值</w:t>
            </w:r>
          </w:p>
        </w:tc>
        <w:tc>
          <w:tcPr>
            <w:tcW w:w="1842" w:type="pct"/>
            <w:gridSpan w:val="2"/>
            <w:tcBorders>
              <w:tl2br w:val="nil"/>
              <w:tr2bl w:val="nil"/>
            </w:tcBorders>
            <w:vAlign w:val="center"/>
          </w:tcPr>
          <w:p w14:paraId="0AF37D59">
            <w:pPr>
              <w:tabs>
                <w:tab w:val="left" w:pos="1255"/>
              </w:tabs>
              <w:adjustRightInd w:val="0"/>
              <w:snapToGrid w:val="0"/>
              <w:spacing w:line="260" w:lineRule="exact"/>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废石</w:t>
            </w:r>
          </w:p>
        </w:tc>
      </w:tr>
      <w:tr w14:paraId="79F85C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vMerge w:val="continue"/>
            <w:tcBorders>
              <w:tl2br w:val="nil"/>
              <w:tr2bl w:val="nil"/>
            </w:tcBorders>
            <w:vAlign w:val="center"/>
          </w:tcPr>
          <w:p w14:paraId="56ECA812">
            <w:pPr>
              <w:tabs>
                <w:tab w:val="left" w:pos="1255"/>
              </w:tabs>
              <w:adjustRightInd w:val="0"/>
              <w:snapToGrid w:val="0"/>
              <w:spacing w:line="260" w:lineRule="exact"/>
              <w:jc w:val="center"/>
              <w:rPr>
                <w:rFonts w:hint="default" w:ascii="Times New Roman" w:hAnsi="Times New Roman" w:cs="Times New Roman"/>
                <w:b/>
                <w:bCs/>
                <w:sz w:val="21"/>
                <w:szCs w:val="21"/>
                <w:highlight w:val="none"/>
              </w:rPr>
            </w:pPr>
          </w:p>
        </w:tc>
        <w:tc>
          <w:tcPr>
            <w:tcW w:w="940" w:type="pct"/>
            <w:vMerge w:val="continue"/>
            <w:tcBorders>
              <w:tl2br w:val="nil"/>
              <w:tr2bl w:val="nil"/>
            </w:tcBorders>
            <w:vAlign w:val="center"/>
          </w:tcPr>
          <w:p w14:paraId="6F55BEBB">
            <w:pPr>
              <w:tabs>
                <w:tab w:val="left" w:pos="1255"/>
              </w:tabs>
              <w:adjustRightInd w:val="0"/>
              <w:snapToGrid w:val="0"/>
              <w:spacing w:line="260" w:lineRule="exact"/>
              <w:jc w:val="center"/>
              <w:rPr>
                <w:rFonts w:hint="default" w:ascii="Times New Roman" w:hAnsi="Times New Roman" w:eastAsia="宋体" w:cs="Times New Roman"/>
                <w:b/>
                <w:bCs/>
                <w:kern w:val="2"/>
                <w:sz w:val="21"/>
                <w:szCs w:val="21"/>
                <w:highlight w:val="none"/>
                <w:lang w:val="en-US" w:eastAsia="zh-CN" w:bidi="ar-SA"/>
              </w:rPr>
            </w:pPr>
          </w:p>
        </w:tc>
        <w:tc>
          <w:tcPr>
            <w:tcW w:w="855" w:type="pct"/>
            <w:vMerge w:val="continue"/>
            <w:tcBorders>
              <w:tl2br w:val="nil"/>
              <w:tr2bl w:val="nil"/>
            </w:tcBorders>
            <w:vAlign w:val="center"/>
          </w:tcPr>
          <w:p w14:paraId="71038FAE">
            <w:pPr>
              <w:tabs>
                <w:tab w:val="left" w:pos="1255"/>
              </w:tabs>
              <w:adjustRightInd w:val="0"/>
              <w:snapToGrid w:val="0"/>
              <w:spacing w:line="260" w:lineRule="exact"/>
              <w:jc w:val="center"/>
              <w:rPr>
                <w:rFonts w:hint="default" w:ascii="Times New Roman" w:hAnsi="Times New Roman" w:cs="Times New Roman"/>
                <w:b/>
                <w:bCs/>
                <w:sz w:val="21"/>
                <w:szCs w:val="21"/>
                <w:highlight w:val="none"/>
              </w:rPr>
            </w:pPr>
          </w:p>
        </w:tc>
        <w:tc>
          <w:tcPr>
            <w:tcW w:w="1024" w:type="pct"/>
            <w:tcBorders>
              <w:tl2br w:val="nil"/>
              <w:tr2bl w:val="nil"/>
            </w:tcBorders>
            <w:vAlign w:val="center"/>
          </w:tcPr>
          <w:p w14:paraId="004E2C03">
            <w:pPr>
              <w:tabs>
                <w:tab w:val="left" w:pos="1255"/>
              </w:tabs>
              <w:adjustRightInd w:val="0"/>
              <w:snapToGrid w:val="0"/>
              <w:spacing w:line="260" w:lineRule="exact"/>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监测值</w:t>
            </w:r>
          </w:p>
        </w:tc>
        <w:tc>
          <w:tcPr>
            <w:tcW w:w="817" w:type="pct"/>
            <w:tcBorders>
              <w:tl2br w:val="nil"/>
              <w:tr2bl w:val="nil"/>
            </w:tcBorders>
            <w:vAlign w:val="center"/>
          </w:tcPr>
          <w:p w14:paraId="6790C82C">
            <w:pPr>
              <w:tabs>
                <w:tab w:val="left" w:pos="1255"/>
              </w:tabs>
              <w:adjustRightInd w:val="0"/>
              <w:snapToGrid w:val="0"/>
              <w:spacing w:line="260" w:lineRule="exact"/>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标准指数</w:t>
            </w:r>
          </w:p>
        </w:tc>
      </w:tr>
      <w:tr w14:paraId="18F664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1D03B527">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色</w:t>
            </w:r>
          </w:p>
        </w:tc>
        <w:tc>
          <w:tcPr>
            <w:tcW w:w="940" w:type="pct"/>
            <w:tcBorders>
              <w:tl2br w:val="nil"/>
              <w:tr2bl w:val="nil"/>
            </w:tcBorders>
            <w:vAlign w:val="center"/>
          </w:tcPr>
          <w:p w14:paraId="1754D613">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bCs/>
                <w:color w:val="000000"/>
                <w:sz w:val="21"/>
                <w:szCs w:val="21"/>
                <w:highlight w:val="none"/>
              </w:rPr>
              <w:t>铂钴色度</w:t>
            </w:r>
          </w:p>
        </w:tc>
        <w:tc>
          <w:tcPr>
            <w:tcW w:w="855" w:type="pct"/>
            <w:tcBorders>
              <w:tl2br w:val="nil"/>
              <w:tr2bl w:val="nil"/>
            </w:tcBorders>
            <w:vAlign w:val="center"/>
          </w:tcPr>
          <w:p w14:paraId="796A896C">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1024" w:type="pct"/>
            <w:tcBorders>
              <w:tl2br w:val="nil"/>
              <w:tr2bl w:val="nil"/>
            </w:tcBorders>
            <w:vAlign w:val="center"/>
          </w:tcPr>
          <w:p w14:paraId="0D6A05A2">
            <w:pPr>
              <w:tabs>
                <w:tab w:val="left" w:pos="1255"/>
              </w:tabs>
              <w:adjustRightInd w:val="0"/>
              <w:snapToGrid w:val="0"/>
              <w:spacing w:line="260" w:lineRule="exact"/>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5</w:t>
            </w:r>
          </w:p>
        </w:tc>
        <w:tc>
          <w:tcPr>
            <w:tcW w:w="817" w:type="pct"/>
            <w:tcBorders>
              <w:tl2br w:val="nil"/>
              <w:tr2bl w:val="nil"/>
            </w:tcBorders>
            <w:vAlign w:val="center"/>
          </w:tcPr>
          <w:p w14:paraId="159FEC77">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2F5E51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61695457">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嗅和味</w:t>
            </w:r>
          </w:p>
        </w:tc>
        <w:tc>
          <w:tcPr>
            <w:tcW w:w="940" w:type="pct"/>
            <w:tcBorders>
              <w:tl2br w:val="nil"/>
              <w:tr2bl w:val="nil"/>
            </w:tcBorders>
            <w:vAlign w:val="center"/>
          </w:tcPr>
          <w:p w14:paraId="0C73998D">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无量纲</w:t>
            </w:r>
          </w:p>
        </w:tc>
        <w:tc>
          <w:tcPr>
            <w:tcW w:w="855" w:type="pct"/>
            <w:tcBorders>
              <w:tl2br w:val="nil"/>
              <w:tr2bl w:val="nil"/>
            </w:tcBorders>
            <w:vAlign w:val="center"/>
          </w:tcPr>
          <w:p w14:paraId="352CA434">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w:t>
            </w:r>
          </w:p>
        </w:tc>
        <w:tc>
          <w:tcPr>
            <w:tcW w:w="1024" w:type="pct"/>
            <w:tcBorders>
              <w:tl2br w:val="nil"/>
              <w:tr2bl w:val="nil"/>
            </w:tcBorders>
            <w:vAlign w:val="center"/>
          </w:tcPr>
          <w:p w14:paraId="063CBE68">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无</w:t>
            </w:r>
          </w:p>
        </w:tc>
        <w:tc>
          <w:tcPr>
            <w:tcW w:w="817" w:type="pct"/>
            <w:tcBorders>
              <w:tl2br w:val="nil"/>
              <w:tr2bl w:val="nil"/>
            </w:tcBorders>
            <w:vAlign w:val="center"/>
          </w:tcPr>
          <w:p w14:paraId="75E15306">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15EF70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6D03514A">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浑浊度</w:t>
            </w:r>
          </w:p>
        </w:tc>
        <w:tc>
          <w:tcPr>
            <w:tcW w:w="940" w:type="pct"/>
            <w:tcBorders>
              <w:tl2br w:val="nil"/>
              <w:tr2bl w:val="nil"/>
            </w:tcBorders>
            <w:vAlign w:val="center"/>
          </w:tcPr>
          <w:p w14:paraId="538500FC">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bCs/>
                <w:color w:val="000000"/>
                <w:sz w:val="21"/>
                <w:szCs w:val="21"/>
                <w:highlight w:val="none"/>
              </w:rPr>
              <w:t>NTU</w:t>
            </w:r>
            <w:r>
              <w:rPr>
                <w:rFonts w:hint="default" w:ascii="Times New Roman" w:hAnsi="Times New Roman" w:cs="Times New Roman"/>
                <w:bCs/>
                <w:color w:val="000000"/>
                <w:sz w:val="21"/>
                <w:szCs w:val="21"/>
                <w:highlight w:val="none"/>
                <w:vertAlign w:val="superscript"/>
              </w:rPr>
              <w:t>a</w:t>
            </w:r>
          </w:p>
        </w:tc>
        <w:tc>
          <w:tcPr>
            <w:tcW w:w="855" w:type="pct"/>
            <w:tcBorders>
              <w:tl2br w:val="nil"/>
              <w:tr2bl w:val="nil"/>
            </w:tcBorders>
            <w:vAlign w:val="center"/>
          </w:tcPr>
          <w:p w14:paraId="5F0FC02C">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1024" w:type="pct"/>
            <w:tcBorders>
              <w:tl2br w:val="nil"/>
              <w:tr2bl w:val="nil"/>
            </w:tcBorders>
            <w:vAlign w:val="center"/>
          </w:tcPr>
          <w:p w14:paraId="1E32E936">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0.3</w:t>
            </w:r>
            <w:r>
              <w:rPr>
                <w:rFonts w:hint="default" w:ascii="Times New Roman" w:hAnsi="Times New Roman" w:eastAsia="宋体" w:cs="Times New Roman"/>
                <w:b w:val="0"/>
                <w:bCs w:val="0"/>
                <w:sz w:val="21"/>
                <w:szCs w:val="21"/>
                <w:highlight w:val="none"/>
                <w:lang w:val="en-US" w:eastAsia="zh-CN"/>
              </w:rPr>
              <w:t>L</w:t>
            </w:r>
          </w:p>
        </w:tc>
        <w:tc>
          <w:tcPr>
            <w:tcW w:w="817" w:type="pct"/>
            <w:tcBorders>
              <w:tl2br w:val="nil"/>
              <w:tr2bl w:val="nil"/>
            </w:tcBorders>
            <w:vAlign w:val="center"/>
          </w:tcPr>
          <w:p w14:paraId="3A8B873A">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5D1141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0BA05016">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肉眼可见</w:t>
            </w:r>
          </w:p>
        </w:tc>
        <w:tc>
          <w:tcPr>
            <w:tcW w:w="940" w:type="pct"/>
            <w:tcBorders>
              <w:tl2br w:val="nil"/>
              <w:tr2bl w:val="nil"/>
            </w:tcBorders>
            <w:vAlign w:val="center"/>
          </w:tcPr>
          <w:p w14:paraId="406FA518">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无量纲</w:t>
            </w:r>
          </w:p>
        </w:tc>
        <w:tc>
          <w:tcPr>
            <w:tcW w:w="855" w:type="pct"/>
            <w:tcBorders>
              <w:tl2br w:val="nil"/>
              <w:tr2bl w:val="nil"/>
            </w:tcBorders>
            <w:vAlign w:val="center"/>
          </w:tcPr>
          <w:p w14:paraId="3A696483">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w:t>
            </w:r>
          </w:p>
        </w:tc>
        <w:tc>
          <w:tcPr>
            <w:tcW w:w="1024" w:type="pct"/>
            <w:tcBorders>
              <w:tl2br w:val="nil"/>
              <w:tr2bl w:val="nil"/>
            </w:tcBorders>
            <w:vAlign w:val="center"/>
          </w:tcPr>
          <w:p w14:paraId="4697D288">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无</w:t>
            </w:r>
          </w:p>
        </w:tc>
        <w:tc>
          <w:tcPr>
            <w:tcW w:w="817" w:type="pct"/>
            <w:tcBorders>
              <w:tl2br w:val="nil"/>
              <w:tr2bl w:val="nil"/>
            </w:tcBorders>
            <w:vAlign w:val="center"/>
          </w:tcPr>
          <w:p w14:paraId="767F6492">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7D2FA3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518817D0">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pH</w:t>
            </w:r>
          </w:p>
        </w:tc>
        <w:tc>
          <w:tcPr>
            <w:tcW w:w="940" w:type="pct"/>
            <w:tcBorders>
              <w:tl2br w:val="nil"/>
              <w:tr2bl w:val="nil"/>
            </w:tcBorders>
            <w:vAlign w:val="center"/>
          </w:tcPr>
          <w:p w14:paraId="1D9269D8">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无量纲</w:t>
            </w:r>
          </w:p>
        </w:tc>
        <w:tc>
          <w:tcPr>
            <w:tcW w:w="855" w:type="pct"/>
            <w:tcBorders>
              <w:tl2br w:val="nil"/>
              <w:tr2bl w:val="nil"/>
            </w:tcBorders>
            <w:vAlign w:val="center"/>
          </w:tcPr>
          <w:p w14:paraId="29105A6C">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6.5-8.5</w:t>
            </w:r>
          </w:p>
        </w:tc>
        <w:tc>
          <w:tcPr>
            <w:tcW w:w="1024" w:type="pct"/>
            <w:tcBorders>
              <w:tl2br w:val="nil"/>
              <w:tr2bl w:val="nil"/>
            </w:tcBorders>
            <w:vAlign w:val="center"/>
          </w:tcPr>
          <w:p w14:paraId="0739A459">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7.7</w:t>
            </w:r>
          </w:p>
        </w:tc>
        <w:tc>
          <w:tcPr>
            <w:tcW w:w="817" w:type="pct"/>
            <w:tcBorders>
              <w:tl2br w:val="nil"/>
              <w:tr2bl w:val="nil"/>
            </w:tcBorders>
            <w:vAlign w:val="center"/>
          </w:tcPr>
          <w:p w14:paraId="29C6BF3D">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w:t>
            </w:r>
          </w:p>
        </w:tc>
      </w:tr>
      <w:tr w14:paraId="2FBDA8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3B16E208">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总硬度</w:t>
            </w:r>
          </w:p>
        </w:tc>
        <w:tc>
          <w:tcPr>
            <w:tcW w:w="940" w:type="pct"/>
            <w:tcBorders>
              <w:tl2br w:val="nil"/>
              <w:tr2bl w:val="nil"/>
            </w:tcBorders>
            <w:vAlign w:val="center"/>
          </w:tcPr>
          <w:p w14:paraId="4317E33A">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42581C98">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450</w:t>
            </w:r>
          </w:p>
        </w:tc>
        <w:tc>
          <w:tcPr>
            <w:tcW w:w="1024" w:type="pct"/>
            <w:tcBorders>
              <w:tl2br w:val="nil"/>
              <w:tr2bl w:val="nil"/>
            </w:tcBorders>
            <w:vAlign w:val="center"/>
          </w:tcPr>
          <w:p w14:paraId="47774A51">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247</w:t>
            </w:r>
          </w:p>
        </w:tc>
        <w:tc>
          <w:tcPr>
            <w:tcW w:w="1364" w:type="dxa"/>
            <w:tcBorders>
              <w:tl2br w:val="nil"/>
              <w:tr2bl w:val="nil"/>
            </w:tcBorders>
            <w:vAlign w:val="center"/>
          </w:tcPr>
          <w:p w14:paraId="466C8B76">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0.549</w:t>
            </w:r>
          </w:p>
        </w:tc>
      </w:tr>
      <w:tr w14:paraId="458A52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3C96AE95">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溶解性总固体</w:t>
            </w:r>
          </w:p>
        </w:tc>
        <w:tc>
          <w:tcPr>
            <w:tcW w:w="940" w:type="pct"/>
            <w:tcBorders>
              <w:tl2br w:val="nil"/>
              <w:tr2bl w:val="nil"/>
            </w:tcBorders>
            <w:vAlign w:val="center"/>
          </w:tcPr>
          <w:p w14:paraId="6EEB1F76">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7B5B6620">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1000</w:t>
            </w:r>
          </w:p>
        </w:tc>
        <w:tc>
          <w:tcPr>
            <w:tcW w:w="1024" w:type="pct"/>
            <w:tcBorders>
              <w:tl2br w:val="nil"/>
              <w:tr2bl w:val="nil"/>
            </w:tcBorders>
            <w:vAlign w:val="center"/>
          </w:tcPr>
          <w:p w14:paraId="5EF77743">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343</w:t>
            </w:r>
          </w:p>
        </w:tc>
        <w:tc>
          <w:tcPr>
            <w:tcW w:w="1364" w:type="dxa"/>
            <w:tcBorders>
              <w:tl2br w:val="nil"/>
              <w:tr2bl w:val="nil"/>
            </w:tcBorders>
            <w:vAlign w:val="center"/>
          </w:tcPr>
          <w:p w14:paraId="6C3D78F6">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0.343</w:t>
            </w:r>
          </w:p>
        </w:tc>
      </w:tr>
      <w:tr w14:paraId="510C73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65EEB6C2">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硫酸盐</w:t>
            </w:r>
          </w:p>
        </w:tc>
        <w:tc>
          <w:tcPr>
            <w:tcW w:w="940" w:type="pct"/>
            <w:tcBorders>
              <w:tl2br w:val="nil"/>
              <w:tr2bl w:val="nil"/>
            </w:tcBorders>
            <w:vAlign w:val="center"/>
          </w:tcPr>
          <w:p w14:paraId="56B79D24">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3A6117A1">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250</w:t>
            </w:r>
          </w:p>
        </w:tc>
        <w:tc>
          <w:tcPr>
            <w:tcW w:w="1024" w:type="pct"/>
            <w:tcBorders>
              <w:tl2br w:val="nil"/>
              <w:tr2bl w:val="nil"/>
            </w:tcBorders>
            <w:vAlign w:val="center"/>
          </w:tcPr>
          <w:p w14:paraId="6D3AD519">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131</w:t>
            </w:r>
          </w:p>
        </w:tc>
        <w:tc>
          <w:tcPr>
            <w:tcW w:w="1364" w:type="dxa"/>
            <w:tcBorders>
              <w:tl2br w:val="nil"/>
              <w:tr2bl w:val="nil"/>
            </w:tcBorders>
            <w:vAlign w:val="center"/>
          </w:tcPr>
          <w:p w14:paraId="38091F87">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0.524</w:t>
            </w:r>
          </w:p>
        </w:tc>
      </w:tr>
      <w:tr w14:paraId="4A53EF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6525B749">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氯化物</w:t>
            </w:r>
          </w:p>
        </w:tc>
        <w:tc>
          <w:tcPr>
            <w:tcW w:w="940" w:type="pct"/>
            <w:tcBorders>
              <w:tl2br w:val="nil"/>
              <w:tr2bl w:val="nil"/>
            </w:tcBorders>
            <w:vAlign w:val="center"/>
          </w:tcPr>
          <w:p w14:paraId="5F593C2F">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02CC49C1">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250</w:t>
            </w:r>
          </w:p>
        </w:tc>
        <w:tc>
          <w:tcPr>
            <w:tcW w:w="1024" w:type="pct"/>
            <w:tcBorders>
              <w:tl2br w:val="nil"/>
              <w:tr2bl w:val="nil"/>
            </w:tcBorders>
            <w:vAlign w:val="center"/>
          </w:tcPr>
          <w:p w14:paraId="7B94694A">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57.4</w:t>
            </w:r>
          </w:p>
        </w:tc>
        <w:tc>
          <w:tcPr>
            <w:tcW w:w="1364" w:type="dxa"/>
            <w:tcBorders>
              <w:tl2br w:val="nil"/>
              <w:tr2bl w:val="nil"/>
            </w:tcBorders>
            <w:vAlign w:val="center"/>
          </w:tcPr>
          <w:p w14:paraId="6AD865DB">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0.230</w:t>
            </w:r>
          </w:p>
        </w:tc>
      </w:tr>
      <w:tr w14:paraId="3241DC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0228078C">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铁</w:t>
            </w:r>
          </w:p>
        </w:tc>
        <w:tc>
          <w:tcPr>
            <w:tcW w:w="940" w:type="pct"/>
            <w:tcBorders>
              <w:tl2br w:val="nil"/>
              <w:tr2bl w:val="nil"/>
            </w:tcBorders>
            <w:vAlign w:val="center"/>
          </w:tcPr>
          <w:p w14:paraId="513ADBF8">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77028852">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0.3</w:t>
            </w:r>
          </w:p>
        </w:tc>
        <w:tc>
          <w:tcPr>
            <w:tcW w:w="1024" w:type="pct"/>
            <w:tcBorders>
              <w:tl2br w:val="nil"/>
              <w:tr2bl w:val="nil"/>
            </w:tcBorders>
            <w:vAlign w:val="center"/>
          </w:tcPr>
          <w:p w14:paraId="7BD34B78">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rPr>
              <w:t>0.</w:t>
            </w:r>
            <w:r>
              <w:rPr>
                <w:rFonts w:hint="eastAsia" w:cs="Times New Roman"/>
                <w:b w:val="0"/>
                <w:bCs w:val="0"/>
                <w:sz w:val="21"/>
                <w:szCs w:val="21"/>
                <w:highlight w:val="none"/>
                <w:lang w:val="en-US" w:eastAsia="zh-CN"/>
              </w:rPr>
              <w:t>13</w:t>
            </w:r>
          </w:p>
        </w:tc>
        <w:tc>
          <w:tcPr>
            <w:tcW w:w="817" w:type="pct"/>
            <w:tcBorders>
              <w:tl2br w:val="nil"/>
              <w:tr2bl w:val="nil"/>
            </w:tcBorders>
            <w:vAlign w:val="center"/>
          </w:tcPr>
          <w:p w14:paraId="7369F108">
            <w:pPr>
              <w:keepNext w:val="0"/>
              <w:keepLines w:val="0"/>
              <w:widowControl/>
              <w:suppressLineNumbers w:val="0"/>
              <w:jc w:val="center"/>
              <w:textAlignment w:val="center"/>
              <w:rPr>
                <w:rFonts w:hint="default" w:ascii="Times New Roman" w:hAnsi="Times New Roman" w:eastAsia="等线" w:cs="Times New Roman"/>
                <w:b w:val="0"/>
                <w:bCs w:val="0"/>
                <w:color w:val="000000"/>
                <w:sz w:val="21"/>
                <w:szCs w:val="21"/>
                <w:highlight w:val="none"/>
                <w:lang w:val="en-US" w:eastAsia="zh-CN"/>
              </w:rPr>
            </w:pPr>
            <w:r>
              <w:rPr>
                <w:rFonts w:hint="eastAsia" w:eastAsia="等线" w:cs="Times New Roman"/>
                <w:b w:val="0"/>
                <w:bCs w:val="0"/>
                <w:color w:val="000000"/>
                <w:sz w:val="21"/>
                <w:szCs w:val="21"/>
                <w:highlight w:val="none"/>
                <w:lang w:val="en-US" w:eastAsia="zh-CN"/>
              </w:rPr>
              <w:t>0.433</w:t>
            </w:r>
          </w:p>
        </w:tc>
      </w:tr>
      <w:tr w14:paraId="414C9C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1DE0C59C">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锰</w:t>
            </w:r>
          </w:p>
        </w:tc>
        <w:tc>
          <w:tcPr>
            <w:tcW w:w="940" w:type="pct"/>
            <w:tcBorders>
              <w:tl2br w:val="nil"/>
              <w:tr2bl w:val="nil"/>
            </w:tcBorders>
            <w:vAlign w:val="center"/>
          </w:tcPr>
          <w:p w14:paraId="3C4ECE9C">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48F6AFA5">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0.1</w:t>
            </w:r>
          </w:p>
        </w:tc>
        <w:tc>
          <w:tcPr>
            <w:tcW w:w="1024" w:type="pct"/>
            <w:tcBorders>
              <w:tl2br w:val="nil"/>
              <w:tr2bl w:val="nil"/>
            </w:tcBorders>
            <w:vAlign w:val="center"/>
          </w:tcPr>
          <w:p w14:paraId="71A95B59">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0.01L</w:t>
            </w:r>
          </w:p>
        </w:tc>
        <w:tc>
          <w:tcPr>
            <w:tcW w:w="817" w:type="pct"/>
            <w:tcBorders>
              <w:tl2br w:val="nil"/>
              <w:tr2bl w:val="nil"/>
            </w:tcBorders>
            <w:vAlign w:val="center"/>
          </w:tcPr>
          <w:p w14:paraId="2F202E2B">
            <w:pPr>
              <w:keepNext w:val="0"/>
              <w:keepLines w:val="0"/>
              <w:widowControl/>
              <w:suppressLineNumbers w:val="0"/>
              <w:jc w:val="center"/>
              <w:textAlignment w:val="center"/>
              <w:rPr>
                <w:rFonts w:hint="eastAsia" w:ascii="Times New Roman" w:hAnsi="Times New Roman" w:eastAsia="等线" w:cs="Times New Roman"/>
                <w:b w:val="0"/>
                <w:bCs w:val="0"/>
                <w:color w:val="000000"/>
                <w:sz w:val="21"/>
                <w:szCs w:val="21"/>
                <w:highlight w:val="none"/>
                <w:lang w:val="en-US" w:eastAsia="zh-CN"/>
              </w:rPr>
            </w:pPr>
            <w:r>
              <w:rPr>
                <w:rFonts w:hint="eastAsia" w:eastAsia="等线" w:cs="Times New Roman"/>
                <w:b w:val="0"/>
                <w:bCs w:val="0"/>
                <w:color w:val="000000"/>
                <w:sz w:val="21"/>
                <w:szCs w:val="21"/>
                <w:highlight w:val="none"/>
                <w:lang w:val="en-US" w:eastAsia="zh-CN"/>
              </w:rPr>
              <w:t>/</w:t>
            </w:r>
          </w:p>
        </w:tc>
      </w:tr>
      <w:tr w14:paraId="7CED49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551D7002">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铜</w:t>
            </w:r>
          </w:p>
        </w:tc>
        <w:tc>
          <w:tcPr>
            <w:tcW w:w="940" w:type="pct"/>
            <w:tcBorders>
              <w:tl2br w:val="nil"/>
              <w:tr2bl w:val="nil"/>
            </w:tcBorders>
            <w:vAlign w:val="center"/>
          </w:tcPr>
          <w:p w14:paraId="00659011">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199681CF">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1.0</w:t>
            </w:r>
          </w:p>
        </w:tc>
        <w:tc>
          <w:tcPr>
            <w:tcW w:w="1024" w:type="pct"/>
            <w:tcBorders>
              <w:tl2br w:val="nil"/>
              <w:tr2bl w:val="nil"/>
            </w:tcBorders>
            <w:vAlign w:val="center"/>
          </w:tcPr>
          <w:p w14:paraId="6395BB19">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0.05L</w:t>
            </w:r>
          </w:p>
        </w:tc>
        <w:tc>
          <w:tcPr>
            <w:tcW w:w="817" w:type="pct"/>
            <w:tcBorders>
              <w:tl2br w:val="nil"/>
              <w:tr2bl w:val="nil"/>
            </w:tcBorders>
            <w:vAlign w:val="center"/>
          </w:tcPr>
          <w:p w14:paraId="2DD02EB4">
            <w:pPr>
              <w:jc w:val="center"/>
              <w:rPr>
                <w:rFonts w:hint="default" w:ascii="Times New Roman" w:hAnsi="Times New Roman" w:eastAsia="等线" w:cs="Times New Roman"/>
                <w:b w:val="0"/>
                <w:bCs w:val="0"/>
                <w:color w:val="000000"/>
                <w:sz w:val="21"/>
                <w:szCs w:val="21"/>
                <w:highlight w:val="none"/>
              </w:rPr>
            </w:pPr>
            <w:r>
              <w:rPr>
                <w:rFonts w:hint="default" w:ascii="Times New Roman" w:hAnsi="Times New Roman" w:eastAsia="等线" w:cs="Times New Roman"/>
                <w:b w:val="0"/>
                <w:bCs w:val="0"/>
                <w:color w:val="000000"/>
                <w:sz w:val="21"/>
                <w:szCs w:val="21"/>
                <w:highlight w:val="none"/>
              </w:rPr>
              <w:t>/</w:t>
            </w:r>
          </w:p>
        </w:tc>
      </w:tr>
      <w:tr w14:paraId="43DE42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76FF8E7E">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锌</w:t>
            </w:r>
          </w:p>
        </w:tc>
        <w:tc>
          <w:tcPr>
            <w:tcW w:w="940" w:type="pct"/>
            <w:tcBorders>
              <w:tl2br w:val="nil"/>
              <w:tr2bl w:val="nil"/>
            </w:tcBorders>
            <w:vAlign w:val="center"/>
          </w:tcPr>
          <w:p w14:paraId="0EBE38B0">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65ECB75E">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1.0</w:t>
            </w:r>
          </w:p>
        </w:tc>
        <w:tc>
          <w:tcPr>
            <w:tcW w:w="1024" w:type="pct"/>
            <w:tcBorders>
              <w:tl2br w:val="nil"/>
              <w:tr2bl w:val="nil"/>
            </w:tcBorders>
            <w:vAlign w:val="center"/>
          </w:tcPr>
          <w:p w14:paraId="0C52BB08">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0.05L</w:t>
            </w:r>
          </w:p>
        </w:tc>
        <w:tc>
          <w:tcPr>
            <w:tcW w:w="817" w:type="pct"/>
            <w:tcBorders>
              <w:tl2br w:val="nil"/>
              <w:tr2bl w:val="nil"/>
            </w:tcBorders>
            <w:vAlign w:val="center"/>
          </w:tcPr>
          <w:p w14:paraId="4D4A3440">
            <w:pPr>
              <w:jc w:val="center"/>
              <w:rPr>
                <w:rFonts w:hint="default" w:ascii="Times New Roman" w:hAnsi="Times New Roman" w:eastAsia="等线" w:cs="Times New Roman"/>
                <w:b w:val="0"/>
                <w:bCs w:val="0"/>
                <w:color w:val="000000"/>
                <w:sz w:val="21"/>
                <w:szCs w:val="21"/>
                <w:highlight w:val="none"/>
              </w:rPr>
            </w:pPr>
            <w:r>
              <w:rPr>
                <w:rFonts w:hint="default" w:ascii="Times New Roman" w:hAnsi="Times New Roman" w:eastAsia="等线" w:cs="Times New Roman"/>
                <w:b w:val="0"/>
                <w:bCs w:val="0"/>
                <w:color w:val="000000"/>
                <w:sz w:val="21"/>
                <w:szCs w:val="21"/>
                <w:highlight w:val="none"/>
              </w:rPr>
              <w:t>/</w:t>
            </w:r>
          </w:p>
        </w:tc>
      </w:tr>
      <w:tr w14:paraId="70E659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568D3662">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铝</w:t>
            </w:r>
          </w:p>
        </w:tc>
        <w:tc>
          <w:tcPr>
            <w:tcW w:w="940" w:type="pct"/>
            <w:tcBorders>
              <w:tl2br w:val="nil"/>
              <w:tr2bl w:val="nil"/>
            </w:tcBorders>
            <w:vAlign w:val="center"/>
          </w:tcPr>
          <w:p w14:paraId="12530CD0">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6F2D688F">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0.2</w:t>
            </w:r>
          </w:p>
        </w:tc>
        <w:tc>
          <w:tcPr>
            <w:tcW w:w="1024" w:type="pct"/>
            <w:tcBorders>
              <w:tl2br w:val="nil"/>
              <w:tr2bl w:val="nil"/>
            </w:tcBorders>
            <w:vAlign w:val="center"/>
          </w:tcPr>
          <w:p w14:paraId="3543624A">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0.008L</w:t>
            </w:r>
          </w:p>
        </w:tc>
        <w:tc>
          <w:tcPr>
            <w:tcW w:w="817" w:type="pct"/>
            <w:tcBorders>
              <w:tl2br w:val="nil"/>
              <w:tr2bl w:val="nil"/>
            </w:tcBorders>
            <w:vAlign w:val="center"/>
          </w:tcPr>
          <w:p w14:paraId="4CCDC20B">
            <w:pPr>
              <w:jc w:val="center"/>
              <w:rPr>
                <w:rFonts w:hint="default" w:ascii="Times New Roman" w:hAnsi="Times New Roman" w:eastAsia="等线" w:cs="Times New Roman"/>
                <w:b w:val="0"/>
                <w:bCs w:val="0"/>
                <w:color w:val="000000"/>
                <w:sz w:val="21"/>
                <w:szCs w:val="21"/>
                <w:highlight w:val="none"/>
              </w:rPr>
            </w:pPr>
            <w:r>
              <w:rPr>
                <w:rFonts w:hint="default" w:ascii="Times New Roman" w:hAnsi="Times New Roman" w:eastAsia="等线" w:cs="Times New Roman"/>
                <w:b w:val="0"/>
                <w:bCs w:val="0"/>
                <w:color w:val="000000"/>
                <w:sz w:val="21"/>
                <w:szCs w:val="21"/>
                <w:highlight w:val="none"/>
              </w:rPr>
              <w:t>/</w:t>
            </w:r>
          </w:p>
        </w:tc>
      </w:tr>
      <w:tr w14:paraId="5981CD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2DA19894">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挥发性酚类</w:t>
            </w:r>
          </w:p>
        </w:tc>
        <w:tc>
          <w:tcPr>
            <w:tcW w:w="940" w:type="pct"/>
            <w:tcBorders>
              <w:tl2br w:val="nil"/>
              <w:tr2bl w:val="nil"/>
            </w:tcBorders>
            <w:vAlign w:val="center"/>
          </w:tcPr>
          <w:p w14:paraId="3B2162EB">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75920059">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0.002</w:t>
            </w:r>
          </w:p>
        </w:tc>
        <w:tc>
          <w:tcPr>
            <w:tcW w:w="1024" w:type="pct"/>
            <w:tcBorders>
              <w:tl2br w:val="nil"/>
              <w:tr2bl w:val="nil"/>
            </w:tcBorders>
            <w:vAlign w:val="center"/>
          </w:tcPr>
          <w:p w14:paraId="183EE836">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0.0003L</w:t>
            </w:r>
          </w:p>
        </w:tc>
        <w:tc>
          <w:tcPr>
            <w:tcW w:w="817" w:type="pct"/>
            <w:tcBorders>
              <w:tl2br w:val="nil"/>
              <w:tr2bl w:val="nil"/>
            </w:tcBorders>
            <w:vAlign w:val="center"/>
          </w:tcPr>
          <w:p w14:paraId="393DD866">
            <w:pPr>
              <w:jc w:val="center"/>
              <w:rPr>
                <w:rFonts w:hint="default" w:ascii="Times New Roman" w:hAnsi="Times New Roman" w:eastAsia="等线" w:cs="Times New Roman"/>
                <w:b w:val="0"/>
                <w:bCs w:val="0"/>
                <w:color w:val="000000"/>
                <w:sz w:val="21"/>
                <w:szCs w:val="21"/>
                <w:highlight w:val="none"/>
              </w:rPr>
            </w:pPr>
            <w:r>
              <w:rPr>
                <w:rFonts w:hint="default" w:ascii="Times New Roman" w:hAnsi="Times New Roman" w:eastAsia="等线" w:cs="Times New Roman"/>
                <w:b w:val="0"/>
                <w:bCs w:val="0"/>
                <w:color w:val="000000"/>
                <w:sz w:val="21"/>
                <w:szCs w:val="21"/>
                <w:highlight w:val="none"/>
              </w:rPr>
              <w:t>/</w:t>
            </w:r>
          </w:p>
        </w:tc>
      </w:tr>
      <w:tr w14:paraId="7E20F7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53AF7C0E">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阴离子表面活性剂</w:t>
            </w:r>
          </w:p>
        </w:tc>
        <w:tc>
          <w:tcPr>
            <w:tcW w:w="940" w:type="pct"/>
            <w:tcBorders>
              <w:tl2br w:val="nil"/>
              <w:tr2bl w:val="nil"/>
            </w:tcBorders>
            <w:vAlign w:val="center"/>
          </w:tcPr>
          <w:p w14:paraId="60DAB315">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380F2513">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0.3</w:t>
            </w:r>
          </w:p>
        </w:tc>
        <w:tc>
          <w:tcPr>
            <w:tcW w:w="1024" w:type="pct"/>
            <w:tcBorders>
              <w:tl2br w:val="nil"/>
              <w:tr2bl w:val="nil"/>
            </w:tcBorders>
            <w:vAlign w:val="center"/>
          </w:tcPr>
          <w:p w14:paraId="45BC83AD">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0.050L</w:t>
            </w:r>
          </w:p>
        </w:tc>
        <w:tc>
          <w:tcPr>
            <w:tcW w:w="817" w:type="pct"/>
            <w:tcBorders>
              <w:tl2br w:val="nil"/>
              <w:tr2bl w:val="nil"/>
            </w:tcBorders>
            <w:vAlign w:val="center"/>
          </w:tcPr>
          <w:p w14:paraId="05530F09">
            <w:pPr>
              <w:jc w:val="center"/>
              <w:rPr>
                <w:rFonts w:hint="default" w:ascii="Times New Roman" w:hAnsi="Times New Roman" w:eastAsia="等线" w:cs="Times New Roman"/>
                <w:b w:val="0"/>
                <w:bCs w:val="0"/>
                <w:color w:val="000000"/>
                <w:sz w:val="21"/>
                <w:szCs w:val="21"/>
                <w:highlight w:val="none"/>
              </w:rPr>
            </w:pPr>
            <w:r>
              <w:rPr>
                <w:rFonts w:hint="default" w:ascii="Times New Roman" w:hAnsi="Times New Roman" w:eastAsia="等线" w:cs="Times New Roman"/>
                <w:b w:val="0"/>
                <w:bCs w:val="0"/>
                <w:color w:val="000000"/>
                <w:sz w:val="21"/>
                <w:szCs w:val="21"/>
                <w:highlight w:val="none"/>
              </w:rPr>
              <w:t>/</w:t>
            </w:r>
          </w:p>
        </w:tc>
      </w:tr>
      <w:tr w14:paraId="79E5B3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46C1ACE1">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耗氧量</w:t>
            </w:r>
          </w:p>
        </w:tc>
        <w:tc>
          <w:tcPr>
            <w:tcW w:w="940" w:type="pct"/>
            <w:tcBorders>
              <w:tl2br w:val="nil"/>
              <w:tr2bl w:val="nil"/>
            </w:tcBorders>
            <w:vAlign w:val="center"/>
          </w:tcPr>
          <w:p w14:paraId="1FE97718">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6D6A0A44">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3.0</w:t>
            </w:r>
          </w:p>
        </w:tc>
        <w:tc>
          <w:tcPr>
            <w:tcW w:w="1024" w:type="pct"/>
            <w:tcBorders>
              <w:tl2br w:val="nil"/>
              <w:tr2bl w:val="nil"/>
            </w:tcBorders>
            <w:vAlign w:val="center"/>
          </w:tcPr>
          <w:p w14:paraId="05A90EFA">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rPr>
            </w:pPr>
            <w:r>
              <w:rPr>
                <w:rFonts w:hint="eastAsia" w:ascii="Times New Roman" w:hAnsi="Times New Roman" w:eastAsia="宋体" w:cs="Times New Roman"/>
                <w:b w:val="0"/>
                <w:bCs w:val="0"/>
                <w:sz w:val="21"/>
                <w:szCs w:val="21"/>
                <w:highlight w:val="none"/>
                <w:lang w:val="en-US" w:eastAsia="zh-CN"/>
              </w:rPr>
              <w:t>1</w:t>
            </w:r>
            <w:r>
              <w:rPr>
                <w:rFonts w:hint="eastAsia" w:cs="Times New Roman"/>
                <w:b w:val="0"/>
                <w:bCs w:val="0"/>
                <w:sz w:val="21"/>
                <w:szCs w:val="21"/>
                <w:highlight w:val="none"/>
                <w:lang w:val="en-US" w:eastAsia="zh-CN"/>
              </w:rPr>
              <w:t>.78</w:t>
            </w:r>
          </w:p>
        </w:tc>
        <w:tc>
          <w:tcPr>
            <w:tcW w:w="817" w:type="pct"/>
            <w:tcBorders>
              <w:tl2br w:val="nil"/>
              <w:tr2bl w:val="nil"/>
            </w:tcBorders>
            <w:vAlign w:val="center"/>
          </w:tcPr>
          <w:p w14:paraId="3A88A42B">
            <w:pPr>
              <w:keepNext w:val="0"/>
              <w:keepLines w:val="0"/>
              <w:widowControl/>
              <w:suppressLineNumbers w:val="0"/>
              <w:jc w:val="center"/>
              <w:textAlignment w:val="center"/>
              <w:rPr>
                <w:rFonts w:hint="default" w:ascii="Times New Roman" w:hAnsi="Times New Roman" w:eastAsia="等线" w:cs="Times New Roman"/>
                <w:b w:val="0"/>
                <w:bCs w:val="0"/>
                <w:color w:val="000000"/>
                <w:sz w:val="21"/>
                <w:szCs w:val="21"/>
                <w:highlight w:val="none"/>
                <w:lang w:val="en-US" w:eastAsia="zh-CN"/>
              </w:rPr>
            </w:pPr>
            <w:r>
              <w:rPr>
                <w:rFonts w:hint="eastAsia" w:eastAsia="等线" w:cs="Times New Roman"/>
                <w:b w:val="0"/>
                <w:bCs w:val="0"/>
                <w:color w:val="000000"/>
                <w:sz w:val="21"/>
                <w:szCs w:val="21"/>
                <w:highlight w:val="none"/>
                <w:lang w:val="en-US" w:eastAsia="zh-CN"/>
              </w:rPr>
              <w:t>0.593</w:t>
            </w:r>
          </w:p>
        </w:tc>
      </w:tr>
      <w:tr w14:paraId="171D13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1F6B28DA">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氨氮</w:t>
            </w:r>
          </w:p>
        </w:tc>
        <w:tc>
          <w:tcPr>
            <w:tcW w:w="940" w:type="pct"/>
            <w:tcBorders>
              <w:tl2br w:val="nil"/>
              <w:tr2bl w:val="nil"/>
            </w:tcBorders>
            <w:vAlign w:val="center"/>
          </w:tcPr>
          <w:p w14:paraId="099D5DEE">
            <w:pPr>
              <w:tabs>
                <w:tab w:val="left" w:pos="1255"/>
              </w:tabs>
              <w:adjustRightInd w:val="0"/>
              <w:snapToGrid w:val="0"/>
              <w:spacing w:line="26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cs="Times New Roman"/>
                <w:b w:val="0"/>
                <w:bCs w:val="0"/>
                <w:sz w:val="21"/>
                <w:szCs w:val="21"/>
                <w:highlight w:val="none"/>
              </w:rPr>
              <w:t>mg/L</w:t>
            </w:r>
          </w:p>
        </w:tc>
        <w:tc>
          <w:tcPr>
            <w:tcW w:w="855" w:type="pct"/>
            <w:tcBorders>
              <w:tl2br w:val="nil"/>
              <w:tr2bl w:val="nil"/>
            </w:tcBorders>
            <w:vAlign w:val="center"/>
          </w:tcPr>
          <w:p w14:paraId="6F892FB0">
            <w:pPr>
              <w:tabs>
                <w:tab w:val="left" w:pos="1255"/>
              </w:tabs>
              <w:adjustRightInd w:val="0"/>
              <w:snapToGrid w:val="0"/>
              <w:spacing w:line="260" w:lineRule="exact"/>
              <w:jc w:val="center"/>
              <w:rPr>
                <w:rFonts w:hint="default" w:ascii="Times New Roman" w:hAnsi="Times New Roman" w:cs="Times New Roman"/>
                <w:b w:val="0"/>
                <w:bCs w:val="0"/>
                <w:sz w:val="21"/>
                <w:szCs w:val="21"/>
                <w:highlight w:val="none"/>
              </w:rPr>
            </w:pPr>
            <w:r>
              <w:rPr>
                <w:rFonts w:hint="default" w:ascii="Times New Roman" w:hAnsi="Times New Roman" w:cs="Times New Roman"/>
                <w:b w:val="0"/>
                <w:bCs w:val="0"/>
                <w:sz w:val="21"/>
                <w:szCs w:val="21"/>
                <w:highlight w:val="none"/>
              </w:rPr>
              <w:t>0.5</w:t>
            </w:r>
          </w:p>
        </w:tc>
        <w:tc>
          <w:tcPr>
            <w:tcW w:w="1024" w:type="pct"/>
            <w:tcBorders>
              <w:tl2br w:val="nil"/>
              <w:tr2bl w:val="nil"/>
            </w:tcBorders>
            <w:vAlign w:val="center"/>
          </w:tcPr>
          <w:p w14:paraId="50E5A774">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0.092</w:t>
            </w:r>
          </w:p>
        </w:tc>
        <w:tc>
          <w:tcPr>
            <w:tcW w:w="817" w:type="pct"/>
            <w:tcBorders>
              <w:tl2br w:val="nil"/>
              <w:tr2bl w:val="nil"/>
            </w:tcBorders>
            <w:vAlign w:val="center"/>
          </w:tcPr>
          <w:p w14:paraId="3250480A">
            <w:pPr>
              <w:keepNext w:val="0"/>
              <w:keepLines w:val="0"/>
              <w:widowControl/>
              <w:suppressLineNumbers w:val="0"/>
              <w:jc w:val="center"/>
              <w:textAlignment w:val="center"/>
              <w:rPr>
                <w:rFonts w:hint="default" w:ascii="Times New Roman" w:hAnsi="Times New Roman" w:eastAsia="等线" w:cs="Times New Roman"/>
                <w:b w:val="0"/>
                <w:bCs w:val="0"/>
                <w:color w:val="000000"/>
                <w:sz w:val="21"/>
                <w:szCs w:val="21"/>
                <w:highlight w:val="none"/>
                <w:lang w:val="en-US" w:eastAsia="zh-CN"/>
              </w:rPr>
            </w:pPr>
            <w:r>
              <w:rPr>
                <w:rFonts w:hint="eastAsia" w:eastAsia="等线" w:cs="Times New Roman"/>
                <w:b w:val="0"/>
                <w:bCs w:val="0"/>
                <w:color w:val="000000"/>
                <w:sz w:val="21"/>
                <w:szCs w:val="21"/>
                <w:highlight w:val="none"/>
                <w:lang w:val="en-US" w:eastAsia="zh-CN"/>
              </w:rPr>
              <w:t>0.184</w:t>
            </w:r>
          </w:p>
        </w:tc>
      </w:tr>
      <w:tr w14:paraId="2EF625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36C805F6">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硫化物</w:t>
            </w:r>
          </w:p>
        </w:tc>
        <w:tc>
          <w:tcPr>
            <w:tcW w:w="940" w:type="pct"/>
            <w:tcBorders>
              <w:tl2br w:val="nil"/>
              <w:tr2bl w:val="nil"/>
            </w:tcBorders>
            <w:vAlign w:val="center"/>
          </w:tcPr>
          <w:p w14:paraId="5C926FFA">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79EA8161">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0.02</w:t>
            </w:r>
          </w:p>
        </w:tc>
        <w:tc>
          <w:tcPr>
            <w:tcW w:w="1024" w:type="pct"/>
            <w:tcBorders>
              <w:tl2br w:val="nil"/>
              <w:tr2bl w:val="nil"/>
            </w:tcBorders>
            <w:vAlign w:val="center"/>
          </w:tcPr>
          <w:p w14:paraId="23357FD9">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0.003L</w:t>
            </w:r>
          </w:p>
        </w:tc>
        <w:tc>
          <w:tcPr>
            <w:tcW w:w="817" w:type="pct"/>
            <w:tcBorders>
              <w:tl2br w:val="nil"/>
              <w:tr2bl w:val="nil"/>
            </w:tcBorders>
            <w:vAlign w:val="center"/>
          </w:tcPr>
          <w:p w14:paraId="30C1553A">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3EB2F1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5AED33B2">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钠</w:t>
            </w:r>
          </w:p>
        </w:tc>
        <w:tc>
          <w:tcPr>
            <w:tcW w:w="940" w:type="pct"/>
            <w:tcBorders>
              <w:tl2br w:val="nil"/>
              <w:tr2bl w:val="nil"/>
            </w:tcBorders>
            <w:vAlign w:val="center"/>
          </w:tcPr>
          <w:p w14:paraId="4DE0D53C">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2923F52D">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200</w:t>
            </w:r>
          </w:p>
        </w:tc>
        <w:tc>
          <w:tcPr>
            <w:tcW w:w="1024" w:type="pct"/>
            <w:tcBorders>
              <w:tl2br w:val="nil"/>
              <w:tr2bl w:val="nil"/>
            </w:tcBorders>
            <w:vAlign w:val="center"/>
          </w:tcPr>
          <w:p w14:paraId="5DEC8B2C">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27.6</w:t>
            </w:r>
          </w:p>
        </w:tc>
        <w:tc>
          <w:tcPr>
            <w:tcW w:w="817" w:type="pct"/>
            <w:tcBorders>
              <w:tl2br w:val="nil"/>
              <w:tr2bl w:val="nil"/>
            </w:tcBorders>
            <w:vAlign w:val="center"/>
          </w:tcPr>
          <w:p w14:paraId="52DC9255">
            <w:pPr>
              <w:jc w:val="center"/>
              <w:rPr>
                <w:rFonts w:hint="default" w:ascii="Times New Roman" w:hAnsi="Times New Roman" w:eastAsia="等线" w:cs="Times New Roman"/>
                <w:color w:val="000000"/>
                <w:sz w:val="21"/>
                <w:szCs w:val="21"/>
                <w:highlight w:val="none"/>
                <w:lang w:val="en-US" w:eastAsia="zh-CN"/>
              </w:rPr>
            </w:pPr>
            <w:r>
              <w:rPr>
                <w:rFonts w:hint="eastAsia" w:eastAsia="等线" w:cs="Times New Roman"/>
                <w:color w:val="000000"/>
                <w:sz w:val="21"/>
                <w:szCs w:val="21"/>
                <w:highlight w:val="none"/>
                <w:lang w:val="en-US" w:eastAsia="zh-CN"/>
              </w:rPr>
              <w:t>0.138</w:t>
            </w:r>
          </w:p>
        </w:tc>
      </w:tr>
      <w:tr w14:paraId="61F482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0809F5E8">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总大肠菌群</w:t>
            </w:r>
          </w:p>
        </w:tc>
        <w:tc>
          <w:tcPr>
            <w:tcW w:w="940" w:type="pct"/>
            <w:tcBorders>
              <w:tl2br w:val="nil"/>
              <w:tr2bl w:val="nil"/>
            </w:tcBorders>
            <w:vAlign w:val="center"/>
          </w:tcPr>
          <w:p w14:paraId="74034A38">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CFU/100mL</w:t>
            </w:r>
          </w:p>
        </w:tc>
        <w:tc>
          <w:tcPr>
            <w:tcW w:w="855" w:type="pct"/>
            <w:tcBorders>
              <w:tl2br w:val="nil"/>
              <w:tr2bl w:val="nil"/>
            </w:tcBorders>
            <w:vAlign w:val="center"/>
          </w:tcPr>
          <w:p w14:paraId="30C80B47">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3.0</w:t>
            </w:r>
          </w:p>
        </w:tc>
        <w:tc>
          <w:tcPr>
            <w:tcW w:w="1024" w:type="pct"/>
            <w:tcBorders>
              <w:tl2br w:val="nil"/>
              <w:tr2bl w:val="nil"/>
            </w:tcBorders>
            <w:vAlign w:val="center"/>
          </w:tcPr>
          <w:p w14:paraId="4AEF97E3">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未检出</w:t>
            </w:r>
          </w:p>
        </w:tc>
        <w:tc>
          <w:tcPr>
            <w:tcW w:w="817" w:type="pct"/>
            <w:tcBorders>
              <w:tl2br w:val="nil"/>
              <w:tr2bl w:val="nil"/>
            </w:tcBorders>
            <w:vAlign w:val="center"/>
          </w:tcPr>
          <w:p w14:paraId="4AD7756E">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55196A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676A2A58">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菌落总数</w:t>
            </w:r>
          </w:p>
        </w:tc>
        <w:tc>
          <w:tcPr>
            <w:tcW w:w="940" w:type="pct"/>
            <w:tcBorders>
              <w:tl2br w:val="nil"/>
              <w:tr2bl w:val="nil"/>
            </w:tcBorders>
            <w:vAlign w:val="center"/>
          </w:tcPr>
          <w:p w14:paraId="13AAC54E">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CFU/100mL</w:t>
            </w:r>
          </w:p>
        </w:tc>
        <w:tc>
          <w:tcPr>
            <w:tcW w:w="855" w:type="pct"/>
            <w:tcBorders>
              <w:tl2br w:val="nil"/>
              <w:tr2bl w:val="nil"/>
            </w:tcBorders>
            <w:vAlign w:val="center"/>
          </w:tcPr>
          <w:p w14:paraId="5C2397DD">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100</w:t>
            </w:r>
          </w:p>
        </w:tc>
        <w:tc>
          <w:tcPr>
            <w:tcW w:w="1024" w:type="pct"/>
            <w:tcBorders>
              <w:tl2br w:val="nil"/>
              <w:tr2bl w:val="nil"/>
            </w:tcBorders>
            <w:vAlign w:val="center"/>
          </w:tcPr>
          <w:p w14:paraId="7F194C13">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55</w:t>
            </w:r>
          </w:p>
        </w:tc>
        <w:tc>
          <w:tcPr>
            <w:tcW w:w="817" w:type="pct"/>
            <w:tcBorders>
              <w:tl2br w:val="nil"/>
              <w:tr2bl w:val="nil"/>
            </w:tcBorders>
            <w:vAlign w:val="center"/>
          </w:tcPr>
          <w:p w14:paraId="1338B46C">
            <w:pPr>
              <w:jc w:val="center"/>
              <w:rPr>
                <w:rFonts w:hint="default" w:ascii="Times New Roman" w:hAnsi="Times New Roman" w:eastAsia="等线" w:cs="Times New Roman"/>
                <w:color w:val="000000"/>
                <w:sz w:val="21"/>
                <w:szCs w:val="21"/>
                <w:highlight w:val="none"/>
                <w:lang w:val="en-US" w:eastAsia="zh-CN"/>
              </w:rPr>
            </w:pPr>
            <w:r>
              <w:rPr>
                <w:rFonts w:hint="default" w:ascii="Times New Roman" w:hAnsi="Times New Roman" w:eastAsia="等线" w:cs="Times New Roman"/>
                <w:color w:val="000000"/>
                <w:sz w:val="21"/>
                <w:szCs w:val="21"/>
                <w:highlight w:val="none"/>
                <w:lang w:val="en-US" w:eastAsia="zh-CN"/>
              </w:rPr>
              <w:t>0.5</w:t>
            </w:r>
            <w:r>
              <w:rPr>
                <w:rFonts w:hint="eastAsia" w:eastAsia="等线" w:cs="Times New Roman"/>
                <w:color w:val="000000"/>
                <w:sz w:val="21"/>
                <w:szCs w:val="21"/>
                <w:highlight w:val="none"/>
                <w:lang w:val="en-US" w:eastAsia="zh-CN"/>
              </w:rPr>
              <w:t>5</w:t>
            </w:r>
          </w:p>
        </w:tc>
      </w:tr>
      <w:tr w14:paraId="1D573C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357B4936">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亚硝酸盐（以N计）</w:t>
            </w:r>
          </w:p>
        </w:tc>
        <w:tc>
          <w:tcPr>
            <w:tcW w:w="940" w:type="pct"/>
            <w:tcBorders>
              <w:tl2br w:val="nil"/>
              <w:tr2bl w:val="nil"/>
            </w:tcBorders>
            <w:vAlign w:val="center"/>
          </w:tcPr>
          <w:p w14:paraId="799E52EB">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3719DA7F">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p>
        </w:tc>
        <w:tc>
          <w:tcPr>
            <w:tcW w:w="1024" w:type="pct"/>
            <w:tcBorders>
              <w:tl2br w:val="nil"/>
              <w:tr2bl w:val="nil"/>
            </w:tcBorders>
            <w:vAlign w:val="center"/>
          </w:tcPr>
          <w:p w14:paraId="686D7133">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0.003L</w:t>
            </w:r>
          </w:p>
        </w:tc>
        <w:tc>
          <w:tcPr>
            <w:tcW w:w="817" w:type="pct"/>
            <w:tcBorders>
              <w:tl2br w:val="nil"/>
              <w:tr2bl w:val="nil"/>
            </w:tcBorders>
            <w:vAlign w:val="center"/>
          </w:tcPr>
          <w:p w14:paraId="22006F3F">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45693F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7DCEE0D8">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硝酸盐（以N计）</w:t>
            </w:r>
          </w:p>
        </w:tc>
        <w:tc>
          <w:tcPr>
            <w:tcW w:w="940" w:type="pct"/>
            <w:tcBorders>
              <w:tl2br w:val="nil"/>
              <w:tr2bl w:val="nil"/>
            </w:tcBorders>
            <w:vAlign w:val="center"/>
          </w:tcPr>
          <w:p w14:paraId="30B65E26">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74223C4E">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w:t>
            </w:r>
          </w:p>
        </w:tc>
        <w:tc>
          <w:tcPr>
            <w:tcW w:w="1024" w:type="pct"/>
            <w:tcBorders>
              <w:tl2br w:val="nil"/>
              <w:tr2bl w:val="nil"/>
            </w:tcBorders>
            <w:vAlign w:val="center"/>
          </w:tcPr>
          <w:p w14:paraId="2C33DB37">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10.5</w:t>
            </w:r>
          </w:p>
        </w:tc>
        <w:tc>
          <w:tcPr>
            <w:tcW w:w="817" w:type="pct"/>
            <w:tcBorders>
              <w:tl2br w:val="nil"/>
              <w:tr2bl w:val="nil"/>
            </w:tcBorders>
            <w:vAlign w:val="center"/>
          </w:tcPr>
          <w:p w14:paraId="47B72EF2">
            <w:pPr>
              <w:jc w:val="center"/>
              <w:rPr>
                <w:rFonts w:hint="default" w:ascii="Times New Roman" w:hAnsi="Times New Roman" w:eastAsia="等线" w:cs="Times New Roman"/>
                <w:color w:val="000000"/>
                <w:sz w:val="21"/>
                <w:szCs w:val="21"/>
                <w:highlight w:val="none"/>
                <w:lang w:val="en-US" w:eastAsia="zh-CN"/>
              </w:rPr>
            </w:pPr>
            <w:r>
              <w:rPr>
                <w:rFonts w:hint="eastAsia" w:eastAsia="等线" w:cs="Times New Roman"/>
                <w:color w:val="000000"/>
                <w:sz w:val="21"/>
                <w:szCs w:val="21"/>
                <w:highlight w:val="none"/>
                <w:lang w:val="en-US" w:eastAsia="zh-CN"/>
              </w:rPr>
              <w:t>0.525</w:t>
            </w:r>
          </w:p>
        </w:tc>
      </w:tr>
      <w:tr w14:paraId="11544C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28F6686A">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氰化物</w:t>
            </w:r>
          </w:p>
        </w:tc>
        <w:tc>
          <w:tcPr>
            <w:tcW w:w="940" w:type="pct"/>
            <w:tcBorders>
              <w:tl2br w:val="nil"/>
              <w:tr2bl w:val="nil"/>
            </w:tcBorders>
            <w:vAlign w:val="center"/>
          </w:tcPr>
          <w:p w14:paraId="1CB36A25">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1565106B">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0.05</w:t>
            </w:r>
          </w:p>
        </w:tc>
        <w:tc>
          <w:tcPr>
            <w:tcW w:w="1024" w:type="pct"/>
            <w:tcBorders>
              <w:tl2br w:val="nil"/>
              <w:tr2bl w:val="nil"/>
            </w:tcBorders>
            <w:vAlign w:val="center"/>
          </w:tcPr>
          <w:p w14:paraId="37EDDB0C">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0.002L</w:t>
            </w:r>
          </w:p>
        </w:tc>
        <w:tc>
          <w:tcPr>
            <w:tcW w:w="817" w:type="pct"/>
            <w:tcBorders>
              <w:tl2br w:val="nil"/>
              <w:tr2bl w:val="nil"/>
            </w:tcBorders>
            <w:vAlign w:val="center"/>
          </w:tcPr>
          <w:p w14:paraId="30F1B072">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091492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7AA9278F">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氟化物</w:t>
            </w:r>
          </w:p>
        </w:tc>
        <w:tc>
          <w:tcPr>
            <w:tcW w:w="940" w:type="pct"/>
            <w:tcBorders>
              <w:tl2br w:val="nil"/>
              <w:tr2bl w:val="nil"/>
            </w:tcBorders>
            <w:vAlign w:val="center"/>
          </w:tcPr>
          <w:p w14:paraId="253FDAC6">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086F3502">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p>
        </w:tc>
        <w:tc>
          <w:tcPr>
            <w:tcW w:w="1024" w:type="pct"/>
            <w:tcBorders>
              <w:tl2br w:val="nil"/>
              <w:tr2bl w:val="nil"/>
            </w:tcBorders>
            <w:vAlign w:val="center"/>
          </w:tcPr>
          <w:p w14:paraId="54BE8FE1">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0.29</w:t>
            </w:r>
          </w:p>
        </w:tc>
        <w:tc>
          <w:tcPr>
            <w:tcW w:w="817" w:type="pct"/>
            <w:tcBorders>
              <w:tl2br w:val="nil"/>
              <w:tr2bl w:val="nil"/>
            </w:tcBorders>
            <w:vAlign w:val="center"/>
          </w:tcPr>
          <w:p w14:paraId="4620CE59">
            <w:pPr>
              <w:jc w:val="center"/>
              <w:rPr>
                <w:rFonts w:hint="default" w:ascii="Times New Roman" w:hAnsi="Times New Roman" w:eastAsia="等线" w:cs="Times New Roman"/>
                <w:color w:val="000000"/>
                <w:sz w:val="21"/>
                <w:szCs w:val="21"/>
                <w:highlight w:val="none"/>
                <w:lang w:val="en-US" w:eastAsia="zh-CN"/>
              </w:rPr>
            </w:pPr>
            <w:r>
              <w:rPr>
                <w:rFonts w:hint="eastAsia" w:eastAsia="等线" w:cs="Times New Roman"/>
                <w:color w:val="000000"/>
                <w:sz w:val="21"/>
                <w:szCs w:val="21"/>
                <w:highlight w:val="none"/>
                <w:lang w:val="en-US" w:eastAsia="zh-CN"/>
              </w:rPr>
              <w:t>0.29</w:t>
            </w:r>
          </w:p>
        </w:tc>
      </w:tr>
      <w:tr w14:paraId="2697CC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2A77575B">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碘化物</w:t>
            </w:r>
          </w:p>
        </w:tc>
        <w:tc>
          <w:tcPr>
            <w:tcW w:w="940" w:type="pct"/>
            <w:tcBorders>
              <w:tl2br w:val="nil"/>
              <w:tr2bl w:val="nil"/>
            </w:tcBorders>
            <w:vAlign w:val="center"/>
          </w:tcPr>
          <w:p w14:paraId="4602A0DA">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21D2A2EA">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0.08</w:t>
            </w:r>
          </w:p>
        </w:tc>
        <w:tc>
          <w:tcPr>
            <w:tcW w:w="1024" w:type="pct"/>
            <w:tcBorders>
              <w:tl2br w:val="nil"/>
              <w:tr2bl w:val="nil"/>
            </w:tcBorders>
            <w:vAlign w:val="center"/>
          </w:tcPr>
          <w:p w14:paraId="23528D12">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0.002L</w:t>
            </w:r>
          </w:p>
        </w:tc>
        <w:tc>
          <w:tcPr>
            <w:tcW w:w="817" w:type="pct"/>
            <w:tcBorders>
              <w:tl2br w:val="nil"/>
              <w:tr2bl w:val="nil"/>
            </w:tcBorders>
            <w:vAlign w:val="center"/>
          </w:tcPr>
          <w:p w14:paraId="0BF4EE1E">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74EAF9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5AE0C841">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汞</w:t>
            </w:r>
          </w:p>
        </w:tc>
        <w:tc>
          <w:tcPr>
            <w:tcW w:w="940" w:type="pct"/>
            <w:tcBorders>
              <w:tl2br w:val="nil"/>
              <w:tr2bl w:val="nil"/>
            </w:tcBorders>
            <w:vAlign w:val="center"/>
          </w:tcPr>
          <w:p w14:paraId="2AF54BFE">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55B6544F">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0.001</w:t>
            </w:r>
          </w:p>
        </w:tc>
        <w:tc>
          <w:tcPr>
            <w:tcW w:w="1024" w:type="pct"/>
            <w:tcBorders>
              <w:tl2br w:val="nil"/>
              <w:tr2bl w:val="nil"/>
            </w:tcBorders>
            <w:vAlign w:val="center"/>
          </w:tcPr>
          <w:p w14:paraId="63CFB694">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0.04L</w:t>
            </w:r>
          </w:p>
        </w:tc>
        <w:tc>
          <w:tcPr>
            <w:tcW w:w="817" w:type="pct"/>
            <w:tcBorders>
              <w:tl2br w:val="nil"/>
              <w:tr2bl w:val="nil"/>
            </w:tcBorders>
            <w:vAlign w:val="center"/>
          </w:tcPr>
          <w:p w14:paraId="44923918">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6076E7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7FAE6D37">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砷</w:t>
            </w:r>
          </w:p>
        </w:tc>
        <w:tc>
          <w:tcPr>
            <w:tcW w:w="940" w:type="pct"/>
            <w:tcBorders>
              <w:tl2br w:val="nil"/>
              <w:tr2bl w:val="nil"/>
            </w:tcBorders>
            <w:vAlign w:val="center"/>
          </w:tcPr>
          <w:p w14:paraId="66612846">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5F2B1731">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0.01</w:t>
            </w:r>
          </w:p>
        </w:tc>
        <w:tc>
          <w:tcPr>
            <w:tcW w:w="1024" w:type="pct"/>
            <w:tcBorders>
              <w:tl2br w:val="nil"/>
              <w:tr2bl w:val="nil"/>
            </w:tcBorders>
            <w:vAlign w:val="center"/>
          </w:tcPr>
          <w:p w14:paraId="3C2AC1B4">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0.3L</w:t>
            </w:r>
          </w:p>
        </w:tc>
        <w:tc>
          <w:tcPr>
            <w:tcW w:w="817" w:type="pct"/>
            <w:tcBorders>
              <w:tl2br w:val="nil"/>
              <w:tr2bl w:val="nil"/>
            </w:tcBorders>
            <w:vAlign w:val="center"/>
          </w:tcPr>
          <w:p w14:paraId="0C27EA1B">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2216CC1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31F17DCC">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硒</w:t>
            </w:r>
          </w:p>
        </w:tc>
        <w:tc>
          <w:tcPr>
            <w:tcW w:w="940" w:type="pct"/>
            <w:tcBorders>
              <w:tl2br w:val="nil"/>
              <w:tr2bl w:val="nil"/>
            </w:tcBorders>
            <w:vAlign w:val="center"/>
          </w:tcPr>
          <w:p w14:paraId="179F5753">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0CCD1055">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0.01</w:t>
            </w:r>
          </w:p>
        </w:tc>
        <w:tc>
          <w:tcPr>
            <w:tcW w:w="1024" w:type="pct"/>
            <w:tcBorders>
              <w:tl2br w:val="nil"/>
              <w:tr2bl w:val="nil"/>
            </w:tcBorders>
            <w:vAlign w:val="center"/>
          </w:tcPr>
          <w:p w14:paraId="344BC57C">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0.4L</w:t>
            </w:r>
          </w:p>
        </w:tc>
        <w:tc>
          <w:tcPr>
            <w:tcW w:w="817" w:type="pct"/>
            <w:tcBorders>
              <w:tl2br w:val="nil"/>
              <w:tr2bl w:val="nil"/>
            </w:tcBorders>
            <w:vAlign w:val="center"/>
          </w:tcPr>
          <w:p w14:paraId="1549D5D4">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5A7F0B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26840169">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镉</w:t>
            </w:r>
          </w:p>
        </w:tc>
        <w:tc>
          <w:tcPr>
            <w:tcW w:w="940" w:type="pct"/>
            <w:tcBorders>
              <w:tl2br w:val="nil"/>
              <w:tr2bl w:val="nil"/>
            </w:tcBorders>
            <w:vAlign w:val="center"/>
          </w:tcPr>
          <w:p w14:paraId="352CCC07">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078E7036">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0.005</w:t>
            </w:r>
          </w:p>
        </w:tc>
        <w:tc>
          <w:tcPr>
            <w:tcW w:w="1024" w:type="pct"/>
            <w:tcBorders>
              <w:tl2br w:val="nil"/>
              <w:tr2bl w:val="nil"/>
            </w:tcBorders>
            <w:vAlign w:val="center"/>
          </w:tcPr>
          <w:p w14:paraId="5230FC87">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0.05</w:t>
            </w:r>
            <w:r>
              <w:rPr>
                <w:rFonts w:hint="eastAsia" w:ascii="Times New Roman" w:hAnsi="Times New Roman" w:eastAsia="宋体" w:cs="Times New Roman"/>
                <w:b w:val="0"/>
                <w:bCs w:val="0"/>
                <w:sz w:val="21"/>
                <w:szCs w:val="21"/>
                <w:highlight w:val="none"/>
              </w:rPr>
              <w:t>L</w:t>
            </w:r>
          </w:p>
        </w:tc>
        <w:tc>
          <w:tcPr>
            <w:tcW w:w="817" w:type="pct"/>
            <w:tcBorders>
              <w:tl2br w:val="nil"/>
              <w:tr2bl w:val="nil"/>
            </w:tcBorders>
            <w:vAlign w:val="center"/>
          </w:tcPr>
          <w:p w14:paraId="1FF8AF6E">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6485FE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7B157775">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六价铬</w:t>
            </w:r>
          </w:p>
        </w:tc>
        <w:tc>
          <w:tcPr>
            <w:tcW w:w="940" w:type="pct"/>
            <w:tcBorders>
              <w:tl2br w:val="nil"/>
              <w:tr2bl w:val="nil"/>
            </w:tcBorders>
            <w:vAlign w:val="center"/>
          </w:tcPr>
          <w:p w14:paraId="599FAC86">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37A428C3">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0.05</w:t>
            </w:r>
          </w:p>
        </w:tc>
        <w:tc>
          <w:tcPr>
            <w:tcW w:w="1024" w:type="pct"/>
            <w:tcBorders>
              <w:tl2br w:val="nil"/>
              <w:tr2bl w:val="nil"/>
            </w:tcBorders>
            <w:vAlign w:val="center"/>
          </w:tcPr>
          <w:p w14:paraId="2B91C208">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rPr>
              <w:t>0.004L</w:t>
            </w:r>
          </w:p>
        </w:tc>
        <w:tc>
          <w:tcPr>
            <w:tcW w:w="817" w:type="pct"/>
            <w:tcBorders>
              <w:tl2br w:val="nil"/>
              <w:tr2bl w:val="nil"/>
            </w:tcBorders>
            <w:vAlign w:val="center"/>
          </w:tcPr>
          <w:p w14:paraId="57AF9228">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1AD0872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6D790CD9">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铅</w:t>
            </w:r>
          </w:p>
        </w:tc>
        <w:tc>
          <w:tcPr>
            <w:tcW w:w="940" w:type="pct"/>
            <w:tcBorders>
              <w:tl2br w:val="nil"/>
              <w:tr2bl w:val="nil"/>
            </w:tcBorders>
            <w:vAlign w:val="center"/>
          </w:tcPr>
          <w:p w14:paraId="64913369">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29D15825">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0.01</w:t>
            </w:r>
          </w:p>
        </w:tc>
        <w:tc>
          <w:tcPr>
            <w:tcW w:w="1024" w:type="pct"/>
            <w:tcBorders>
              <w:tl2br w:val="nil"/>
              <w:tr2bl w:val="nil"/>
            </w:tcBorders>
            <w:vAlign w:val="center"/>
          </w:tcPr>
          <w:p w14:paraId="3E18D832">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0.09</w:t>
            </w:r>
            <w:r>
              <w:rPr>
                <w:rFonts w:hint="eastAsia" w:ascii="Times New Roman" w:hAnsi="Times New Roman" w:eastAsia="宋体" w:cs="Times New Roman"/>
                <w:b w:val="0"/>
                <w:bCs w:val="0"/>
                <w:sz w:val="21"/>
                <w:szCs w:val="21"/>
                <w:highlight w:val="none"/>
              </w:rPr>
              <w:t>L</w:t>
            </w:r>
          </w:p>
        </w:tc>
        <w:tc>
          <w:tcPr>
            <w:tcW w:w="817" w:type="pct"/>
            <w:tcBorders>
              <w:tl2br w:val="nil"/>
              <w:tr2bl w:val="nil"/>
            </w:tcBorders>
            <w:vAlign w:val="center"/>
          </w:tcPr>
          <w:p w14:paraId="629F396A">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37D320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67FF6A13">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bCs/>
                <w:snapToGrid w:val="0"/>
                <w:kern w:val="0"/>
                <w:sz w:val="21"/>
                <w:szCs w:val="21"/>
                <w:highlight w:val="none"/>
              </w:rPr>
              <w:t>三氯甲烷</w:t>
            </w:r>
          </w:p>
        </w:tc>
        <w:tc>
          <w:tcPr>
            <w:tcW w:w="940" w:type="pct"/>
            <w:tcBorders>
              <w:tl2br w:val="nil"/>
              <w:tr2bl w:val="nil"/>
            </w:tcBorders>
            <w:vAlign w:val="center"/>
          </w:tcPr>
          <w:p w14:paraId="358505CC">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μg/L</w:t>
            </w:r>
          </w:p>
        </w:tc>
        <w:tc>
          <w:tcPr>
            <w:tcW w:w="855" w:type="pct"/>
            <w:tcBorders>
              <w:tl2br w:val="nil"/>
              <w:tr2bl w:val="nil"/>
            </w:tcBorders>
            <w:vAlign w:val="center"/>
          </w:tcPr>
          <w:p w14:paraId="6B3C17C0">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60</w:t>
            </w:r>
          </w:p>
        </w:tc>
        <w:tc>
          <w:tcPr>
            <w:tcW w:w="1710" w:type="dxa"/>
            <w:tcBorders>
              <w:tl2br w:val="nil"/>
              <w:tr2bl w:val="nil"/>
            </w:tcBorders>
            <w:vAlign w:val="center"/>
          </w:tcPr>
          <w:p w14:paraId="3D4ABF22">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0.02L</w:t>
            </w:r>
          </w:p>
        </w:tc>
        <w:tc>
          <w:tcPr>
            <w:tcW w:w="817" w:type="pct"/>
            <w:tcBorders>
              <w:tl2br w:val="nil"/>
              <w:tr2bl w:val="nil"/>
            </w:tcBorders>
            <w:vAlign w:val="center"/>
          </w:tcPr>
          <w:p w14:paraId="2A2988AF">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50D4757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0506F090">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bCs/>
                <w:snapToGrid w:val="0"/>
                <w:kern w:val="0"/>
                <w:sz w:val="21"/>
                <w:szCs w:val="21"/>
                <w:highlight w:val="none"/>
              </w:rPr>
              <w:t>四氯化碳</w:t>
            </w:r>
          </w:p>
        </w:tc>
        <w:tc>
          <w:tcPr>
            <w:tcW w:w="940" w:type="pct"/>
            <w:tcBorders>
              <w:tl2br w:val="nil"/>
              <w:tr2bl w:val="nil"/>
            </w:tcBorders>
            <w:vAlign w:val="center"/>
          </w:tcPr>
          <w:p w14:paraId="4B572D17">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μg/L</w:t>
            </w:r>
          </w:p>
        </w:tc>
        <w:tc>
          <w:tcPr>
            <w:tcW w:w="855" w:type="pct"/>
            <w:tcBorders>
              <w:tl2br w:val="nil"/>
              <w:tr2bl w:val="nil"/>
            </w:tcBorders>
            <w:vAlign w:val="center"/>
          </w:tcPr>
          <w:p w14:paraId="7F4A50BB">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w:t>
            </w:r>
          </w:p>
        </w:tc>
        <w:tc>
          <w:tcPr>
            <w:tcW w:w="1710" w:type="dxa"/>
            <w:tcBorders>
              <w:tl2br w:val="nil"/>
              <w:tr2bl w:val="nil"/>
            </w:tcBorders>
            <w:vAlign w:val="center"/>
          </w:tcPr>
          <w:p w14:paraId="53AAA6BA">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0.03L</w:t>
            </w:r>
          </w:p>
        </w:tc>
        <w:tc>
          <w:tcPr>
            <w:tcW w:w="817" w:type="pct"/>
            <w:tcBorders>
              <w:tl2br w:val="nil"/>
              <w:tr2bl w:val="nil"/>
            </w:tcBorders>
            <w:vAlign w:val="center"/>
          </w:tcPr>
          <w:p w14:paraId="6163A335">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7D86834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00E0C598">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bCs/>
                <w:snapToGrid w:val="0"/>
                <w:kern w:val="0"/>
                <w:sz w:val="21"/>
                <w:szCs w:val="21"/>
                <w:highlight w:val="none"/>
              </w:rPr>
              <w:t>苯</w:t>
            </w:r>
          </w:p>
        </w:tc>
        <w:tc>
          <w:tcPr>
            <w:tcW w:w="940" w:type="pct"/>
            <w:tcBorders>
              <w:tl2br w:val="nil"/>
              <w:tr2bl w:val="nil"/>
            </w:tcBorders>
            <w:vAlign w:val="center"/>
          </w:tcPr>
          <w:p w14:paraId="48E2B788">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μg/L</w:t>
            </w:r>
          </w:p>
        </w:tc>
        <w:tc>
          <w:tcPr>
            <w:tcW w:w="855" w:type="pct"/>
            <w:tcBorders>
              <w:tl2br w:val="nil"/>
              <w:tr2bl w:val="nil"/>
            </w:tcBorders>
            <w:vAlign w:val="center"/>
          </w:tcPr>
          <w:p w14:paraId="1AEAA43D">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p>
        </w:tc>
        <w:tc>
          <w:tcPr>
            <w:tcW w:w="1024" w:type="pct"/>
            <w:tcBorders>
              <w:tl2br w:val="nil"/>
              <w:tr2bl w:val="nil"/>
            </w:tcBorders>
            <w:vAlign w:val="center"/>
          </w:tcPr>
          <w:p w14:paraId="4933FA0E">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2L</w:t>
            </w:r>
          </w:p>
        </w:tc>
        <w:tc>
          <w:tcPr>
            <w:tcW w:w="817" w:type="pct"/>
            <w:tcBorders>
              <w:tl2br w:val="nil"/>
              <w:tr2bl w:val="nil"/>
            </w:tcBorders>
            <w:vAlign w:val="center"/>
          </w:tcPr>
          <w:p w14:paraId="5456C1B1">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4FCF01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0B1B295E">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bCs/>
                <w:snapToGrid w:val="0"/>
                <w:kern w:val="0"/>
                <w:sz w:val="21"/>
                <w:szCs w:val="21"/>
                <w:highlight w:val="none"/>
              </w:rPr>
              <w:t>甲苯</w:t>
            </w:r>
          </w:p>
        </w:tc>
        <w:tc>
          <w:tcPr>
            <w:tcW w:w="940" w:type="pct"/>
            <w:tcBorders>
              <w:tl2br w:val="nil"/>
              <w:tr2bl w:val="nil"/>
            </w:tcBorders>
            <w:vAlign w:val="center"/>
          </w:tcPr>
          <w:p w14:paraId="63E09E1C">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μg/L</w:t>
            </w:r>
          </w:p>
        </w:tc>
        <w:tc>
          <w:tcPr>
            <w:tcW w:w="855" w:type="pct"/>
            <w:tcBorders>
              <w:tl2br w:val="nil"/>
              <w:tr2bl w:val="nil"/>
            </w:tcBorders>
            <w:vAlign w:val="center"/>
          </w:tcPr>
          <w:p w14:paraId="0EF880A3">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700</w:t>
            </w:r>
          </w:p>
        </w:tc>
        <w:tc>
          <w:tcPr>
            <w:tcW w:w="1024" w:type="pct"/>
            <w:tcBorders>
              <w:tl2br w:val="nil"/>
              <w:tr2bl w:val="nil"/>
            </w:tcBorders>
            <w:vAlign w:val="center"/>
          </w:tcPr>
          <w:p w14:paraId="56E267C6">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2L</w:t>
            </w:r>
          </w:p>
        </w:tc>
        <w:tc>
          <w:tcPr>
            <w:tcW w:w="817" w:type="pct"/>
            <w:tcBorders>
              <w:tl2br w:val="nil"/>
              <w:tr2bl w:val="nil"/>
            </w:tcBorders>
            <w:vAlign w:val="center"/>
          </w:tcPr>
          <w:p w14:paraId="5C8165A0">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15B79F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vAlign w:val="center"/>
          </w:tcPr>
          <w:p w14:paraId="2B7F31F5">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石油类</w:t>
            </w:r>
          </w:p>
        </w:tc>
        <w:tc>
          <w:tcPr>
            <w:tcW w:w="940" w:type="pct"/>
            <w:tcBorders>
              <w:tl2br w:val="nil"/>
              <w:tr2bl w:val="nil"/>
            </w:tcBorders>
            <w:vAlign w:val="center"/>
          </w:tcPr>
          <w:p w14:paraId="1E110480">
            <w:pPr>
              <w:tabs>
                <w:tab w:val="left" w:pos="1255"/>
              </w:tabs>
              <w:adjustRightInd w:val="0"/>
              <w:snapToGrid w:val="0"/>
              <w:spacing w:line="26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4D2333A9">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0.05</w:t>
            </w:r>
          </w:p>
        </w:tc>
        <w:tc>
          <w:tcPr>
            <w:tcW w:w="1024" w:type="pct"/>
            <w:tcBorders>
              <w:tl2br w:val="nil"/>
              <w:tr2bl w:val="nil"/>
            </w:tcBorders>
            <w:vAlign w:val="center"/>
          </w:tcPr>
          <w:p w14:paraId="34ABB697">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0.01</w:t>
            </w:r>
            <w:r>
              <w:rPr>
                <w:rFonts w:hint="eastAsia" w:ascii="Times New Roman" w:hAnsi="Times New Roman" w:eastAsia="宋体" w:cs="Times New Roman"/>
                <w:b w:val="0"/>
                <w:bCs w:val="0"/>
                <w:sz w:val="21"/>
                <w:szCs w:val="21"/>
                <w:highlight w:val="none"/>
              </w:rPr>
              <w:t>L</w:t>
            </w:r>
          </w:p>
        </w:tc>
        <w:tc>
          <w:tcPr>
            <w:tcW w:w="817" w:type="pct"/>
            <w:tcBorders>
              <w:tl2br w:val="nil"/>
              <w:tr2bl w:val="nil"/>
            </w:tcBorders>
            <w:vAlign w:val="center"/>
          </w:tcPr>
          <w:p w14:paraId="2707E090">
            <w:pPr>
              <w:jc w:val="center"/>
              <w:rPr>
                <w:rFonts w:hint="default" w:ascii="Times New Roman" w:hAnsi="Times New Roman" w:eastAsia="等线" w:cs="Times New Roman"/>
                <w:color w:val="000000"/>
                <w:sz w:val="21"/>
                <w:szCs w:val="21"/>
                <w:highlight w:val="none"/>
              </w:rPr>
            </w:pPr>
            <w:r>
              <w:rPr>
                <w:rFonts w:hint="default" w:ascii="Times New Roman" w:hAnsi="Times New Roman" w:eastAsia="等线" w:cs="Times New Roman"/>
                <w:color w:val="000000"/>
                <w:sz w:val="21"/>
                <w:szCs w:val="21"/>
                <w:highlight w:val="none"/>
              </w:rPr>
              <w:t>/</w:t>
            </w:r>
          </w:p>
        </w:tc>
      </w:tr>
      <w:tr w14:paraId="55C69C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2" w:hRule="atLeast"/>
          <w:jc w:val="center"/>
        </w:trPr>
        <w:tc>
          <w:tcPr>
            <w:tcW w:w="1361" w:type="pct"/>
            <w:tcBorders>
              <w:tl2br w:val="nil"/>
              <w:tr2bl w:val="nil"/>
            </w:tcBorders>
            <w:shd w:val="clear" w:color="auto" w:fill="auto"/>
            <w:vAlign w:val="center"/>
          </w:tcPr>
          <w:p w14:paraId="5F57CEF3">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磷</w:t>
            </w:r>
          </w:p>
        </w:tc>
        <w:tc>
          <w:tcPr>
            <w:tcW w:w="940" w:type="pct"/>
            <w:tcBorders>
              <w:tl2br w:val="nil"/>
              <w:tr2bl w:val="nil"/>
            </w:tcBorders>
            <w:vAlign w:val="center"/>
          </w:tcPr>
          <w:p w14:paraId="1033AB3A">
            <w:pPr>
              <w:tabs>
                <w:tab w:val="left" w:pos="1255"/>
              </w:tabs>
              <w:adjustRightInd w:val="0"/>
              <w:snapToGrid w:val="0"/>
              <w:spacing w:line="2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855" w:type="pct"/>
            <w:tcBorders>
              <w:tl2br w:val="nil"/>
              <w:tr2bl w:val="nil"/>
            </w:tcBorders>
            <w:vAlign w:val="center"/>
          </w:tcPr>
          <w:p w14:paraId="2E328A06">
            <w:pPr>
              <w:tabs>
                <w:tab w:val="left" w:pos="1255"/>
              </w:tabs>
              <w:adjustRightInd w:val="0"/>
              <w:snapToGrid w:val="0"/>
              <w:spacing w:line="26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0.2</w:t>
            </w:r>
          </w:p>
        </w:tc>
        <w:tc>
          <w:tcPr>
            <w:tcW w:w="1024" w:type="pct"/>
            <w:tcBorders>
              <w:tl2br w:val="nil"/>
              <w:tr2bl w:val="nil"/>
            </w:tcBorders>
            <w:vAlign w:val="center"/>
          </w:tcPr>
          <w:p w14:paraId="5F00ABE8">
            <w:pPr>
              <w:tabs>
                <w:tab w:val="left" w:pos="1255"/>
              </w:tabs>
              <w:adjustRightInd w:val="0"/>
              <w:snapToGrid w:val="0"/>
              <w:spacing w:line="260" w:lineRule="exact"/>
              <w:jc w:val="center"/>
              <w:rPr>
                <w:rFonts w:hint="default" w:ascii="Times New Roman" w:hAnsi="Times New Roman" w:eastAsia="宋体"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0.0196L</w:t>
            </w:r>
          </w:p>
        </w:tc>
        <w:tc>
          <w:tcPr>
            <w:tcW w:w="817" w:type="pct"/>
            <w:tcBorders>
              <w:tl2br w:val="nil"/>
              <w:tr2bl w:val="nil"/>
            </w:tcBorders>
            <w:shd w:val="clear" w:color="auto" w:fill="auto"/>
            <w:vAlign w:val="center"/>
          </w:tcPr>
          <w:p w14:paraId="003CE286">
            <w:pPr>
              <w:jc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eastAsia="等线" w:cs="Times New Roman"/>
                <w:color w:val="000000"/>
                <w:sz w:val="21"/>
                <w:szCs w:val="21"/>
                <w:highlight w:val="none"/>
              </w:rPr>
              <w:t>/</w:t>
            </w:r>
          </w:p>
        </w:tc>
      </w:tr>
    </w:tbl>
    <w:p w14:paraId="30D332A3">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ascii="Times New Roman"/>
          <w:kern w:val="2"/>
          <w:sz w:val="24"/>
          <w:szCs w:val="32"/>
          <w:highlight w:val="none"/>
        </w:rPr>
      </w:pPr>
      <w:r>
        <w:rPr>
          <w:rFonts w:ascii="Times New Roman"/>
          <w:kern w:val="2"/>
          <w:sz w:val="24"/>
          <w:szCs w:val="32"/>
          <w:highlight w:val="none"/>
        </w:rPr>
        <w:t>根据《环境影响评价技术导则  地下水环境》（HJ610-2016）的预测因子选取要求，筛选如下：</w:t>
      </w:r>
    </w:p>
    <w:p w14:paraId="279D39A9">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color w:val="auto"/>
          <w:sz w:val="24"/>
          <w:szCs w:val="24"/>
          <w:highlight w:val="none"/>
          <w:lang w:eastAsia="zh-CN"/>
        </w:rPr>
      </w:pPr>
      <w:r>
        <w:rPr>
          <w:rFonts w:hint="eastAsia"/>
          <w:color w:val="auto"/>
          <w:sz w:val="24"/>
          <w:szCs w:val="24"/>
          <w:highlight w:val="none"/>
          <w:lang w:val="en-US" w:eastAsia="zh-CN"/>
        </w:rPr>
        <w:t>①</w:t>
      </w:r>
      <w:r>
        <w:rPr>
          <w:rFonts w:hint="eastAsia"/>
          <w:color w:val="auto"/>
          <w:sz w:val="24"/>
          <w:szCs w:val="24"/>
          <w:highlight w:val="none"/>
        </w:rPr>
        <w:t>按照固废浸出液成分识别出的特征因子按照重金属、持久性有机污染物和其他类别进行分类，并对每一类别中的各项因子采用标准指数法进行排序，分别取标准指数最大的因子作为预测因子</w:t>
      </w:r>
      <w:r>
        <w:rPr>
          <w:rFonts w:hint="eastAsia"/>
          <w:color w:val="auto"/>
          <w:sz w:val="24"/>
          <w:szCs w:val="24"/>
          <w:highlight w:val="none"/>
          <w:lang w:eastAsia="zh-CN"/>
        </w:rPr>
        <w:t>。重金属中</w:t>
      </w:r>
      <w:r>
        <w:rPr>
          <w:rFonts w:ascii="Times New Roman" w:eastAsia="宋体"/>
          <w:sz w:val="24"/>
          <w:szCs w:val="24"/>
          <w:highlight w:val="none"/>
        </w:rPr>
        <w:t>Fe</w:t>
      </w:r>
      <w:r>
        <w:rPr>
          <w:rFonts w:hint="eastAsia"/>
          <w:color w:val="auto"/>
          <w:sz w:val="24"/>
          <w:szCs w:val="24"/>
          <w:highlight w:val="none"/>
          <w:lang w:eastAsia="zh-CN"/>
        </w:rPr>
        <w:t>的标准指数最大（</w:t>
      </w:r>
      <w:r>
        <w:rPr>
          <w:rFonts w:hint="eastAsia"/>
          <w:color w:val="auto"/>
          <w:sz w:val="24"/>
          <w:szCs w:val="24"/>
          <w:highlight w:val="none"/>
          <w:lang w:val="en-US" w:eastAsia="zh-CN"/>
        </w:rPr>
        <w:t>0.433</w:t>
      </w:r>
      <w:r>
        <w:rPr>
          <w:rFonts w:hint="eastAsia"/>
          <w:color w:val="auto"/>
          <w:sz w:val="24"/>
          <w:szCs w:val="24"/>
          <w:highlight w:val="none"/>
          <w:lang w:eastAsia="zh-CN"/>
        </w:rPr>
        <w:t>），其他类别</w:t>
      </w:r>
      <w:r>
        <w:rPr>
          <w:rFonts w:hint="eastAsia"/>
          <w:color w:val="auto"/>
          <w:sz w:val="24"/>
          <w:szCs w:val="24"/>
          <w:highlight w:val="none"/>
          <w:lang w:val="en-US" w:eastAsia="zh-CN"/>
        </w:rPr>
        <w:t>选取耗氧量</w:t>
      </w:r>
      <w:r>
        <w:rPr>
          <w:rFonts w:hint="eastAsia"/>
          <w:color w:val="auto"/>
          <w:sz w:val="24"/>
          <w:szCs w:val="24"/>
          <w:highlight w:val="none"/>
          <w:lang w:eastAsia="zh-CN"/>
        </w:rPr>
        <w:t>（</w:t>
      </w:r>
      <w:r>
        <w:rPr>
          <w:rFonts w:hint="eastAsia"/>
          <w:color w:val="auto"/>
          <w:sz w:val="24"/>
          <w:szCs w:val="24"/>
          <w:highlight w:val="none"/>
          <w:lang w:val="en-US" w:eastAsia="zh-CN"/>
        </w:rPr>
        <w:t>0.593</w:t>
      </w:r>
      <w:r>
        <w:rPr>
          <w:rFonts w:hint="eastAsia"/>
          <w:color w:val="auto"/>
          <w:sz w:val="24"/>
          <w:szCs w:val="24"/>
          <w:highlight w:val="none"/>
          <w:lang w:eastAsia="zh-CN"/>
        </w:rPr>
        <w:t>），项目不涉及持久性有机污染物。</w:t>
      </w:r>
    </w:p>
    <w:p w14:paraId="486441D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eastAsia="宋体"/>
          <w:sz w:val="24"/>
          <w:szCs w:val="24"/>
          <w:highlight w:val="none"/>
        </w:rPr>
      </w:pPr>
      <w:r>
        <w:rPr>
          <w:rFonts w:hint="eastAsia" w:ascii="Times New Roman"/>
          <w:sz w:val="24"/>
          <w:szCs w:val="24"/>
          <w:highlight w:val="none"/>
          <w:lang w:val="en-US" w:eastAsia="zh-CN"/>
        </w:rPr>
        <w:t>②</w:t>
      </w:r>
      <w:r>
        <w:rPr>
          <w:rFonts w:hint="eastAsia" w:ascii="Times New Roman" w:eastAsia="宋体"/>
          <w:sz w:val="24"/>
          <w:szCs w:val="24"/>
          <w:highlight w:val="none"/>
        </w:rPr>
        <w:t>污染场地已查明的主要污染物，根据项目地下水质量现状监测结果，无污染物超标。项目区不属于污染场地。</w:t>
      </w:r>
    </w:p>
    <w:p w14:paraId="726089A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color w:val="auto"/>
          <w:sz w:val="24"/>
          <w:szCs w:val="24"/>
          <w:highlight w:val="none"/>
          <w:lang w:eastAsia="zh-CN"/>
        </w:rPr>
      </w:pPr>
      <w:r>
        <w:rPr>
          <w:rFonts w:hint="eastAsia"/>
          <w:sz w:val="24"/>
          <w:szCs w:val="24"/>
          <w:highlight w:val="none"/>
          <w:lang w:val="en-US" w:eastAsia="zh-CN"/>
        </w:rPr>
        <w:t>③</w:t>
      </w:r>
      <w:r>
        <w:rPr>
          <w:rFonts w:hint="eastAsia" w:ascii="Times New Roman" w:eastAsia="宋体"/>
          <w:sz w:val="24"/>
          <w:szCs w:val="24"/>
          <w:highlight w:val="none"/>
        </w:rPr>
        <w:t>国家或地方要求控制的污染物，主要为汞、砷、镉、六价铬、铅，检测结果均低于检出限。</w:t>
      </w:r>
    </w:p>
    <w:p w14:paraId="12C9C16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kern w:val="2"/>
          <w:sz w:val="24"/>
          <w:szCs w:val="32"/>
          <w:highlight w:val="none"/>
        </w:rPr>
      </w:pPr>
      <w:r>
        <w:rPr>
          <w:rFonts w:hint="eastAsia"/>
          <w:sz w:val="24"/>
          <w:szCs w:val="24"/>
          <w:highlight w:val="none"/>
          <w:lang w:val="en-US" w:eastAsia="zh-CN"/>
        </w:rPr>
        <w:t>综上所述，本</w:t>
      </w:r>
      <w:r>
        <w:rPr>
          <w:rFonts w:ascii="Times New Roman" w:eastAsia="宋体"/>
          <w:sz w:val="24"/>
          <w:szCs w:val="24"/>
          <w:highlight w:val="none"/>
        </w:rPr>
        <w:t>项目预测因子为</w:t>
      </w:r>
      <w:r>
        <w:rPr>
          <w:rFonts w:hint="eastAsia"/>
          <w:sz w:val="24"/>
          <w:szCs w:val="24"/>
          <w:highlight w:val="none"/>
          <w:lang w:eastAsia="zh-CN"/>
        </w:rPr>
        <w:t>Fe、耗氧量</w:t>
      </w:r>
      <w:r>
        <w:rPr>
          <w:rFonts w:hint="eastAsia" w:ascii="Times New Roman" w:hAnsi="Times New Roman" w:cs="Times New Roman"/>
          <w:color w:val="000000"/>
          <w:sz w:val="24"/>
          <w:highlight w:val="none"/>
          <w:lang w:val="en-US" w:eastAsia="zh-CN"/>
        </w:rPr>
        <w:t>。</w:t>
      </w:r>
    </w:p>
    <w:p w14:paraId="37B7825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b/>
          <w:bCs/>
          <w:sz w:val="24"/>
          <w:szCs w:val="24"/>
          <w:highlight w:val="none"/>
        </w:rPr>
      </w:pPr>
      <w:r>
        <w:rPr>
          <w:rFonts w:ascii="Times New Roman" w:eastAsia="宋体"/>
          <w:b/>
          <w:bCs/>
          <w:sz w:val="24"/>
          <w:szCs w:val="24"/>
          <w:highlight w:val="none"/>
        </w:rPr>
        <w:t>（</w:t>
      </w:r>
      <w:r>
        <w:rPr>
          <w:rFonts w:hint="eastAsia" w:ascii="Times New Roman"/>
          <w:b/>
          <w:bCs/>
          <w:sz w:val="24"/>
          <w:szCs w:val="24"/>
          <w:highlight w:val="none"/>
          <w:lang w:val="en-US" w:eastAsia="zh-CN"/>
        </w:rPr>
        <w:t>3</w:t>
      </w:r>
      <w:r>
        <w:rPr>
          <w:rFonts w:ascii="Times New Roman" w:eastAsia="宋体"/>
          <w:b/>
          <w:bCs/>
          <w:sz w:val="24"/>
          <w:szCs w:val="24"/>
          <w:highlight w:val="none"/>
        </w:rPr>
        <w:t>）</w:t>
      </w:r>
      <w:r>
        <w:rPr>
          <w:rFonts w:hint="eastAsia" w:ascii="Times New Roman"/>
          <w:b/>
          <w:bCs/>
          <w:sz w:val="24"/>
          <w:szCs w:val="24"/>
          <w:highlight w:val="none"/>
          <w:lang w:val="en-US" w:eastAsia="zh-CN"/>
        </w:rPr>
        <w:t>预测</w:t>
      </w:r>
      <w:r>
        <w:rPr>
          <w:rFonts w:ascii="Times New Roman" w:eastAsia="宋体"/>
          <w:b/>
          <w:bCs/>
          <w:sz w:val="24"/>
          <w:szCs w:val="24"/>
          <w:highlight w:val="none"/>
        </w:rPr>
        <w:t>源强确定</w:t>
      </w:r>
    </w:p>
    <w:p w14:paraId="169073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highlight w:val="none"/>
          <w:lang w:eastAsia="zh-CN"/>
        </w:rPr>
      </w:pPr>
      <w:r>
        <w:rPr>
          <w:rFonts w:ascii="Times New Roman" w:eastAsia="宋体"/>
          <w:sz w:val="24"/>
          <w:szCs w:val="24"/>
          <w:highlight w:val="none"/>
        </w:rPr>
        <w:t>正常状况下，由于雨水通过排土场垂直渗透进入包气带，进入包气带的污染物在物理、化学和生物作用下经吸附、转化、迁移和分解后输入地下水，对地下水环境造成影响</w:t>
      </w:r>
      <w:r>
        <w:rPr>
          <w:rFonts w:hint="eastAsia"/>
          <w:sz w:val="24"/>
          <w:szCs w:val="24"/>
          <w:highlight w:val="none"/>
          <w:lang w:eastAsia="zh-CN"/>
        </w:rPr>
        <w:t>。</w:t>
      </w:r>
    </w:p>
    <w:p w14:paraId="7C8B2D8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highlight w:val="none"/>
          <w:lang w:eastAsia="zh-CN"/>
        </w:rPr>
      </w:pPr>
      <w:r>
        <w:rPr>
          <w:rFonts w:ascii="Times New Roman" w:eastAsia="宋体"/>
          <w:sz w:val="24"/>
          <w:szCs w:val="24"/>
          <w:highlight w:val="none"/>
        </w:rPr>
        <w:t>本项目预测因子为</w:t>
      </w:r>
      <w:r>
        <w:rPr>
          <w:rFonts w:hint="eastAsia"/>
          <w:sz w:val="24"/>
          <w:szCs w:val="24"/>
          <w:highlight w:val="none"/>
          <w:lang w:eastAsia="zh-CN"/>
        </w:rPr>
        <w:t>Fe、耗氧量</w:t>
      </w:r>
      <w:r>
        <w:rPr>
          <w:rFonts w:ascii="Times New Roman" w:eastAsia="宋体"/>
          <w:sz w:val="24"/>
          <w:szCs w:val="24"/>
          <w:highlight w:val="none"/>
        </w:rPr>
        <w:t>，预测因子源强为浸溶实验中的浓度。预测因子的背景值及源强见下表</w:t>
      </w:r>
      <w:r>
        <w:rPr>
          <w:rFonts w:hint="eastAsia"/>
          <w:sz w:val="24"/>
          <w:szCs w:val="24"/>
          <w:highlight w:val="none"/>
          <w:lang w:eastAsia="zh-CN"/>
        </w:rPr>
        <w:t>。</w:t>
      </w:r>
    </w:p>
    <w:p w14:paraId="60642189">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sz w:val="21"/>
          <w:szCs w:val="21"/>
          <w:highlight w:val="none"/>
        </w:rPr>
      </w:pPr>
      <w:r>
        <w:rPr>
          <w:rFonts w:ascii="Times New Roman" w:eastAsia="宋体"/>
          <w:b/>
          <w:sz w:val="21"/>
          <w:szCs w:val="21"/>
          <w:highlight w:val="none"/>
        </w:rPr>
        <w:t>评价因子源强一览表</w:t>
      </w:r>
    </w:p>
    <w:tbl>
      <w:tblPr>
        <w:tblStyle w:val="58"/>
        <w:tblW w:w="90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2"/>
        <w:gridCol w:w="2020"/>
        <w:gridCol w:w="2352"/>
        <w:gridCol w:w="2899"/>
      </w:tblGrid>
      <w:tr w14:paraId="70A7C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2" w:type="dxa"/>
            <w:tcBorders>
              <w:top w:val="single" w:color="auto" w:sz="2" w:space="0"/>
              <w:left w:val="single" w:color="auto" w:sz="2" w:space="0"/>
              <w:bottom w:val="single" w:color="auto" w:sz="2" w:space="0"/>
              <w:right w:val="single" w:color="auto" w:sz="2" w:space="0"/>
            </w:tcBorders>
            <w:noWrap w:val="0"/>
            <w:vAlign w:val="center"/>
          </w:tcPr>
          <w:p w14:paraId="7F09AB43">
            <w:pPr>
              <w:pStyle w:val="171"/>
              <w:adjustRightInd w:val="0"/>
              <w:snapToGrid w:val="0"/>
              <w:jc w:val="center"/>
              <w:rPr>
                <w:rFonts w:ascii="Times New Roman"/>
                <w:b/>
                <w:bCs/>
                <w:szCs w:val="21"/>
                <w:highlight w:val="none"/>
              </w:rPr>
            </w:pPr>
            <w:r>
              <w:rPr>
                <w:rFonts w:ascii="Times New Roman" w:eastAsia="宋体"/>
                <w:b/>
                <w:bCs/>
                <w:szCs w:val="21"/>
                <w:highlight w:val="none"/>
              </w:rPr>
              <w:t>污染源</w:t>
            </w:r>
          </w:p>
        </w:tc>
        <w:tc>
          <w:tcPr>
            <w:tcW w:w="2020" w:type="dxa"/>
            <w:tcBorders>
              <w:top w:val="single" w:color="auto" w:sz="2" w:space="0"/>
              <w:left w:val="single" w:color="auto" w:sz="2" w:space="0"/>
              <w:bottom w:val="single" w:color="auto" w:sz="2" w:space="0"/>
              <w:right w:val="single" w:color="auto" w:sz="2" w:space="0"/>
            </w:tcBorders>
            <w:noWrap w:val="0"/>
            <w:vAlign w:val="center"/>
          </w:tcPr>
          <w:p w14:paraId="3123576A">
            <w:pPr>
              <w:pStyle w:val="171"/>
              <w:adjustRightInd w:val="0"/>
              <w:snapToGrid w:val="0"/>
              <w:jc w:val="center"/>
              <w:rPr>
                <w:rFonts w:ascii="Times New Roman"/>
                <w:b/>
                <w:bCs/>
                <w:szCs w:val="21"/>
                <w:highlight w:val="none"/>
              </w:rPr>
            </w:pPr>
            <w:r>
              <w:rPr>
                <w:rFonts w:ascii="Times New Roman" w:eastAsia="宋体"/>
                <w:b/>
                <w:bCs/>
                <w:szCs w:val="21"/>
                <w:highlight w:val="none"/>
              </w:rPr>
              <w:t>污染物</w:t>
            </w:r>
          </w:p>
        </w:tc>
        <w:tc>
          <w:tcPr>
            <w:tcW w:w="2352" w:type="dxa"/>
            <w:tcBorders>
              <w:top w:val="single" w:color="auto" w:sz="2" w:space="0"/>
              <w:left w:val="single" w:color="auto" w:sz="2" w:space="0"/>
              <w:bottom w:val="single" w:color="auto" w:sz="2" w:space="0"/>
              <w:right w:val="single" w:color="auto" w:sz="2" w:space="0"/>
            </w:tcBorders>
            <w:noWrap w:val="0"/>
            <w:vAlign w:val="center"/>
          </w:tcPr>
          <w:p w14:paraId="6C112739">
            <w:pPr>
              <w:pStyle w:val="171"/>
              <w:adjustRightInd w:val="0"/>
              <w:snapToGrid w:val="0"/>
              <w:jc w:val="center"/>
              <w:rPr>
                <w:rFonts w:ascii="Times New Roman"/>
                <w:b/>
                <w:bCs/>
                <w:szCs w:val="21"/>
                <w:highlight w:val="none"/>
              </w:rPr>
            </w:pPr>
            <w:r>
              <w:rPr>
                <w:rFonts w:ascii="Times New Roman" w:eastAsia="宋体"/>
                <w:b/>
                <w:bCs/>
                <w:szCs w:val="21"/>
                <w:highlight w:val="none"/>
              </w:rPr>
              <w:t>背景值（mg/L）</w:t>
            </w:r>
          </w:p>
        </w:tc>
        <w:tc>
          <w:tcPr>
            <w:tcW w:w="2899" w:type="dxa"/>
            <w:tcBorders>
              <w:top w:val="single" w:color="auto" w:sz="2" w:space="0"/>
              <w:left w:val="single" w:color="auto" w:sz="2" w:space="0"/>
              <w:bottom w:val="single" w:color="auto" w:sz="2" w:space="0"/>
              <w:right w:val="single" w:color="auto" w:sz="2" w:space="0"/>
            </w:tcBorders>
            <w:noWrap w:val="0"/>
            <w:vAlign w:val="center"/>
          </w:tcPr>
          <w:p w14:paraId="5DCD8005">
            <w:pPr>
              <w:pStyle w:val="171"/>
              <w:adjustRightInd w:val="0"/>
              <w:snapToGrid w:val="0"/>
              <w:jc w:val="center"/>
              <w:rPr>
                <w:rFonts w:ascii="Times New Roman"/>
                <w:b/>
                <w:bCs/>
                <w:szCs w:val="21"/>
                <w:highlight w:val="none"/>
              </w:rPr>
            </w:pPr>
            <w:r>
              <w:rPr>
                <w:rFonts w:ascii="Times New Roman" w:eastAsia="宋体"/>
                <w:b/>
                <w:bCs/>
                <w:szCs w:val="21"/>
                <w:highlight w:val="none"/>
              </w:rPr>
              <w:t>源强（mg/L）</w:t>
            </w:r>
          </w:p>
        </w:tc>
      </w:tr>
      <w:tr w14:paraId="2CDFA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2" w:type="dxa"/>
            <w:vMerge w:val="restart"/>
            <w:tcBorders>
              <w:top w:val="single" w:color="auto" w:sz="2" w:space="0"/>
              <w:left w:val="single" w:color="auto" w:sz="2" w:space="0"/>
              <w:bottom w:val="single" w:color="auto" w:sz="2" w:space="0"/>
              <w:right w:val="single" w:color="auto" w:sz="2" w:space="0"/>
            </w:tcBorders>
            <w:noWrap w:val="0"/>
            <w:vAlign w:val="center"/>
          </w:tcPr>
          <w:p w14:paraId="7BA26724">
            <w:pPr>
              <w:pStyle w:val="171"/>
              <w:adjustRightInd w:val="0"/>
              <w:snapToGrid w:val="0"/>
              <w:jc w:val="center"/>
              <w:rPr>
                <w:rFonts w:ascii="Times New Roman"/>
                <w:szCs w:val="21"/>
                <w:highlight w:val="none"/>
              </w:rPr>
            </w:pPr>
            <w:r>
              <w:rPr>
                <w:rFonts w:ascii="Times New Roman" w:eastAsia="宋体"/>
                <w:szCs w:val="21"/>
                <w:highlight w:val="none"/>
              </w:rPr>
              <w:t>排土场</w:t>
            </w:r>
          </w:p>
        </w:tc>
        <w:tc>
          <w:tcPr>
            <w:tcW w:w="2020" w:type="dxa"/>
            <w:tcBorders>
              <w:top w:val="single" w:color="auto" w:sz="2" w:space="0"/>
              <w:left w:val="single" w:color="auto" w:sz="2" w:space="0"/>
              <w:bottom w:val="single" w:color="auto" w:sz="2" w:space="0"/>
              <w:right w:val="single" w:color="auto" w:sz="2" w:space="0"/>
            </w:tcBorders>
            <w:noWrap w:val="0"/>
            <w:vAlign w:val="center"/>
          </w:tcPr>
          <w:p w14:paraId="6505E426">
            <w:pPr>
              <w:pStyle w:val="171"/>
              <w:adjustRightInd w:val="0"/>
              <w:snapToGrid w:val="0"/>
              <w:jc w:val="center"/>
              <w:rPr>
                <w:rFonts w:ascii="Times New Roman"/>
                <w:szCs w:val="21"/>
                <w:highlight w:val="none"/>
              </w:rPr>
            </w:pPr>
            <w:r>
              <w:rPr>
                <w:rFonts w:ascii="Times New Roman" w:eastAsia="宋体"/>
                <w:szCs w:val="21"/>
                <w:highlight w:val="none"/>
              </w:rPr>
              <w:t>Fe</w:t>
            </w:r>
          </w:p>
        </w:tc>
        <w:tc>
          <w:tcPr>
            <w:tcW w:w="2352" w:type="dxa"/>
            <w:tcBorders>
              <w:top w:val="single" w:color="auto" w:sz="2" w:space="0"/>
              <w:left w:val="single" w:color="auto" w:sz="2" w:space="0"/>
              <w:bottom w:val="single" w:color="auto" w:sz="2" w:space="0"/>
              <w:right w:val="single" w:color="auto" w:sz="2" w:space="0"/>
            </w:tcBorders>
            <w:noWrap w:val="0"/>
            <w:vAlign w:val="center"/>
          </w:tcPr>
          <w:p w14:paraId="0F7ECC9C">
            <w:pPr>
              <w:pStyle w:val="171"/>
              <w:adjustRightInd w:val="0"/>
              <w:snapToGrid w:val="0"/>
              <w:jc w:val="center"/>
              <w:rPr>
                <w:rFonts w:hint="default" w:ascii="Times New Roman" w:eastAsia="宋体"/>
                <w:szCs w:val="21"/>
                <w:highlight w:val="none"/>
                <w:lang w:val="en-US" w:eastAsia="zh-CN"/>
              </w:rPr>
            </w:pPr>
            <w:r>
              <w:rPr>
                <w:rFonts w:hint="eastAsia"/>
                <w:szCs w:val="21"/>
                <w:highlight w:val="none"/>
                <w:lang w:val="en-US" w:eastAsia="zh-CN"/>
              </w:rPr>
              <w:t>0.14</w:t>
            </w:r>
          </w:p>
        </w:tc>
        <w:tc>
          <w:tcPr>
            <w:tcW w:w="2899" w:type="dxa"/>
            <w:tcBorders>
              <w:top w:val="single" w:color="auto" w:sz="2" w:space="0"/>
              <w:left w:val="single" w:color="auto" w:sz="2" w:space="0"/>
              <w:bottom w:val="single" w:color="auto" w:sz="2" w:space="0"/>
              <w:right w:val="single" w:color="auto" w:sz="2" w:space="0"/>
            </w:tcBorders>
            <w:noWrap w:val="0"/>
            <w:vAlign w:val="center"/>
          </w:tcPr>
          <w:p w14:paraId="043E2034">
            <w:pPr>
              <w:pStyle w:val="171"/>
              <w:adjustRightInd w:val="0"/>
              <w:snapToGrid w:val="0"/>
              <w:jc w:val="center"/>
              <w:rPr>
                <w:rFonts w:hint="default" w:ascii="Times New Roman" w:eastAsia="宋体"/>
                <w:szCs w:val="21"/>
                <w:highlight w:val="none"/>
                <w:lang w:val="en-US" w:eastAsia="zh-CN"/>
              </w:rPr>
            </w:pPr>
            <w:r>
              <w:rPr>
                <w:rFonts w:hint="eastAsia"/>
                <w:szCs w:val="21"/>
                <w:highlight w:val="none"/>
                <w:lang w:val="en-US" w:eastAsia="zh-CN"/>
              </w:rPr>
              <w:t>0.13</w:t>
            </w:r>
          </w:p>
        </w:tc>
      </w:tr>
      <w:tr w14:paraId="610E4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2" w:type="dxa"/>
            <w:vMerge w:val="continue"/>
            <w:tcBorders>
              <w:top w:val="single" w:color="auto" w:sz="2" w:space="0"/>
              <w:left w:val="single" w:color="auto" w:sz="2" w:space="0"/>
              <w:bottom w:val="single" w:color="auto" w:sz="2" w:space="0"/>
              <w:right w:val="single" w:color="auto" w:sz="2" w:space="0"/>
            </w:tcBorders>
            <w:noWrap w:val="0"/>
            <w:vAlign w:val="center"/>
          </w:tcPr>
          <w:p w14:paraId="3A047D6D">
            <w:pPr>
              <w:pStyle w:val="171"/>
              <w:adjustRightInd w:val="0"/>
              <w:snapToGrid w:val="0"/>
              <w:jc w:val="center"/>
              <w:rPr>
                <w:rFonts w:ascii="Times New Roman"/>
                <w:szCs w:val="21"/>
                <w:highlight w:val="none"/>
              </w:rPr>
            </w:pPr>
          </w:p>
        </w:tc>
        <w:tc>
          <w:tcPr>
            <w:tcW w:w="2020" w:type="dxa"/>
            <w:tcBorders>
              <w:top w:val="single" w:color="auto" w:sz="2" w:space="0"/>
              <w:left w:val="single" w:color="auto" w:sz="2" w:space="0"/>
              <w:bottom w:val="single" w:color="auto" w:sz="2" w:space="0"/>
              <w:right w:val="single" w:color="auto" w:sz="2" w:space="0"/>
            </w:tcBorders>
            <w:noWrap w:val="0"/>
            <w:vAlign w:val="center"/>
          </w:tcPr>
          <w:p w14:paraId="0F0F8DD7">
            <w:pPr>
              <w:pStyle w:val="171"/>
              <w:adjustRightInd w:val="0"/>
              <w:snapToGrid w:val="0"/>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耗氧量</w:t>
            </w:r>
          </w:p>
        </w:tc>
        <w:tc>
          <w:tcPr>
            <w:tcW w:w="2352" w:type="dxa"/>
            <w:tcBorders>
              <w:top w:val="single" w:color="auto" w:sz="2" w:space="0"/>
              <w:left w:val="single" w:color="auto" w:sz="2" w:space="0"/>
              <w:bottom w:val="single" w:color="auto" w:sz="2" w:space="0"/>
              <w:right w:val="single" w:color="auto" w:sz="2" w:space="0"/>
            </w:tcBorders>
            <w:noWrap w:val="0"/>
            <w:vAlign w:val="center"/>
          </w:tcPr>
          <w:p w14:paraId="4E93ECFC">
            <w:pPr>
              <w:pStyle w:val="171"/>
              <w:adjustRightInd w:val="0"/>
              <w:snapToGrid w:val="0"/>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1.26</w:t>
            </w:r>
          </w:p>
        </w:tc>
        <w:tc>
          <w:tcPr>
            <w:tcW w:w="2899" w:type="dxa"/>
            <w:tcBorders>
              <w:top w:val="single" w:color="auto" w:sz="2" w:space="0"/>
              <w:left w:val="single" w:color="auto" w:sz="2" w:space="0"/>
              <w:bottom w:val="single" w:color="auto" w:sz="2" w:space="0"/>
              <w:right w:val="single" w:color="auto" w:sz="2" w:space="0"/>
            </w:tcBorders>
            <w:noWrap w:val="0"/>
            <w:vAlign w:val="center"/>
          </w:tcPr>
          <w:p w14:paraId="16A2FA12">
            <w:pPr>
              <w:pStyle w:val="171"/>
              <w:adjustRightInd w:val="0"/>
              <w:snapToGrid w:val="0"/>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1.78</w:t>
            </w:r>
          </w:p>
        </w:tc>
      </w:tr>
      <w:bookmarkEnd w:id="310"/>
    </w:tbl>
    <w:p w14:paraId="66A52362">
      <w:pPr>
        <w:pStyle w:val="7"/>
        <w:adjustRightInd w:val="0"/>
        <w:snapToGrid w:val="0"/>
        <w:spacing w:before="0" w:after="0" w:line="360" w:lineRule="auto"/>
        <w:rPr>
          <w:rFonts w:ascii="Times New Roman" w:hAnsi="Times New Roman" w:eastAsia="宋体"/>
          <w:sz w:val="24"/>
          <w:szCs w:val="24"/>
          <w:highlight w:val="none"/>
        </w:rPr>
      </w:pPr>
      <w:r>
        <w:rPr>
          <w:rFonts w:hint="eastAsia" w:ascii="Times New Roman" w:hAnsi="Times New Roman" w:eastAsia="宋体"/>
          <w:sz w:val="24"/>
          <w:szCs w:val="24"/>
          <w:highlight w:val="none"/>
          <w:lang w:val="en-US" w:eastAsia="zh-CN"/>
        </w:rPr>
        <w:t>预测</w:t>
      </w:r>
      <w:r>
        <w:rPr>
          <w:rFonts w:ascii="Times New Roman" w:hAnsi="Times New Roman" w:eastAsia="宋体"/>
          <w:sz w:val="24"/>
          <w:szCs w:val="24"/>
          <w:highlight w:val="none"/>
        </w:rPr>
        <w:t>模型</w:t>
      </w:r>
      <w:r>
        <w:rPr>
          <w:rFonts w:hint="eastAsia" w:ascii="Times New Roman" w:hAnsi="Times New Roman" w:eastAsia="宋体"/>
          <w:sz w:val="24"/>
          <w:szCs w:val="24"/>
          <w:highlight w:val="none"/>
          <w:lang w:val="en-US" w:eastAsia="zh-CN"/>
        </w:rPr>
        <w:t>选取</w:t>
      </w:r>
    </w:p>
    <w:p w14:paraId="59996302">
      <w:pPr>
        <w:keepNext w:val="0"/>
        <w:keepLines w:val="0"/>
        <w:pageBreakBefore w:val="0"/>
        <w:widowControl w:val="0"/>
        <w:kinsoku/>
        <w:wordWrap/>
        <w:overflowPunct/>
        <w:topLinePunct w:val="0"/>
        <w:autoSpaceDE/>
        <w:autoSpaceDN/>
        <w:bidi w:val="0"/>
        <w:spacing w:line="360" w:lineRule="auto"/>
        <w:ind w:left="0" w:firstLine="482" w:firstLineChars="200"/>
        <w:textAlignment w:val="auto"/>
        <w:rPr>
          <w:rFonts w:ascii="Times New Roman"/>
          <w:b/>
          <w:bCs/>
          <w:sz w:val="24"/>
          <w:szCs w:val="24"/>
          <w:highlight w:val="none"/>
        </w:rPr>
      </w:pPr>
      <w:r>
        <w:rPr>
          <w:rFonts w:ascii="Times New Roman"/>
          <w:b/>
          <w:bCs/>
          <w:sz w:val="24"/>
          <w:szCs w:val="24"/>
          <w:highlight w:val="none"/>
        </w:rPr>
        <w:t>（1）水流模型</w:t>
      </w:r>
    </w:p>
    <w:p w14:paraId="2875784D">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通过对水文地质概念模型的分析，依据渗流连续性方程和达西定律，建立模拟区地下水系统水文地质概念模型相对应的非稳定流数学模型：</w:t>
      </w:r>
    </w:p>
    <w:p w14:paraId="4C365EE9">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drawing>
          <wp:inline distT="0" distB="0" distL="114300" distR="114300">
            <wp:extent cx="3161665" cy="447675"/>
            <wp:effectExtent l="0" t="0" r="8255" b="9525"/>
            <wp:docPr id="155" name="图片 7" descr="说明: C:\Users\ZHANGY~1\AppData\Local\Temp\ksohtml\wps479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7" descr="说明: C:\Users\ZHANGY~1\AppData\Local\Temp\ksohtml\wps479D.tmp.png"/>
                    <pic:cNvPicPr>
                      <a:picLocks noChangeAspect="1"/>
                    </pic:cNvPicPr>
                  </pic:nvPicPr>
                  <pic:blipFill>
                    <a:blip r:embed="rId39"/>
                    <a:stretch>
                      <a:fillRect/>
                    </a:stretch>
                  </pic:blipFill>
                  <pic:spPr>
                    <a:xfrm>
                      <a:off x="0" y="0"/>
                      <a:ext cx="3161665" cy="447675"/>
                    </a:xfrm>
                    <a:prstGeom prst="rect">
                      <a:avLst/>
                    </a:prstGeom>
                    <a:noFill/>
                    <a:ln>
                      <a:noFill/>
                    </a:ln>
                  </pic:spPr>
                </pic:pic>
              </a:graphicData>
            </a:graphic>
          </wp:inline>
        </w:drawing>
      </w:r>
    </w:p>
    <w:p w14:paraId="3DA4EC19">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drawing>
          <wp:inline distT="0" distB="0" distL="114300" distR="114300">
            <wp:extent cx="1114425" cy="228600"/>
            <wp:effectExtent l="0" t="0" r="13335" b="0"/>
            <wp:docPr id="136" name="图片 8" descr="说明: C:\Users\ZHANGY~1\AppData\Local\Temp\ksohtml\wps479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 descr="说明: C:\Users\ZHANGY~1\AppData\Local\Temp\ksohtml\wps479E.tmp.png"/>
                    <pic:cNvPicPr>
                      <a:picLocks noChangeAspect="1"/>
                    </pic:cNvPicPr>
                  </pic:nvPicPr>
                  <pic:blipFill>
                    <a:blip r:embed="rId40"/>
                    <a:stretch>
                      <a:fillRect/>
                    </a:stretch>
                  </pic:blipFill>
                  <pic:spPr>
                    <a:xfrm>
                      <a:off x="0" y="0"/>
                      <a:ext cx="1114425" cy="228600"/>
                    </a:xfrm>
                    <a:prstGeom prst="rect">
                      <a:avLst/>
                    </a:prstGeom>
                    <a:noFill/>
                    <a:ln>
                      <a:noFill/>
                    </a:ln>
                  </pic:spPr>
                </pic:pic>
              </a:graphicData>
            </a:graphic>
          </wp:inline>
        </w:drawing>
      </w:r>
      <w:r>
        <w:rPr>
          <w:rFonts w:ascii="Times New Roman"/>
          <w:sz w:val="24"/>
          <w:szCs w:val="24"/>
          <w:highlight w:val="none"/>
        </w:rPr>
        <w:t>，</w:t>
      </w:r>
      <w:r>
        <w:rPr>
          <w:rFonts w:ascii="Times New Roman"/>
          <w:sz w:val="24"/>
          <w:szCs w:val="24"/>
          <w:highlight w:val="none"/>
        </w:rPr>
        <w:drawing>
          <wp:inline distT="0" distB="0" distL="114300" distR="114300">
            <wp:extent cx="666750" cy="228600"/>
            <wp:effectExtent l="0" t="0" r="3810" b="0"/>
            <wp:docPr id="135" name="图片 9" descr="说明: C:\Users\ZHANGY~1\AppData\Local\Temp\ksohtml\wps47A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 descr="说明: C:\Users\ZHANGY~1\AppData\Local\Temp\ksohtml\wps47AF.tmp.png"/>
                    <pic:cNvPicPr>
                      <a:picLocks noChangeAspect="1"/>
                    </pic:cNvPicPr>
                  </pic:nvPicPr>
                  <pic:blipFill>
                    <a:blip r:embed="rId41"/>
                    <a:stretch>
                      <a:fillRect/>
                    </a:stretch>
                  </pic:blipFill>
                  <pic:spPr>
                    <a:xfrm>
                      <a:off x="0" y="0"/>
                      <a:ext cx="666750" cy="228600"/>
                    </a:xfrm>
                    <a:prstGeom prst="rect">
                      <a:avLst/>
                    </a:prstGeom>
                    <a:noFill/>
                    <a:ln>
                      <a:noFill/>
                    </a:ln>
                  </pic:spPr>
                </pic:pic>
              </a:graphicData>
            </a:graphic>
          </wp:inline>
        </w:drawing>
      </w:r>
    </w:p>
    <w:p w14:paraId="3E02B75B">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drawing>
          <wp:inline distT="0" distB="0" distL="114300" distR="114300">
            <wp:extent cx="1209675" cy="361950"/>
            <wp:effectExtent l="0" t="0" r="0" b="3810"/>
            <wp:docPr id="145" name="图片 10" descr="说明: C:\Users\ZHANGY~1\AppData\Local\Temp\ksohtml\wps47B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 descr="说明: C:\Users\ZHANGY~1\AppData\Local\Temp\ksohtml\wps47B0.tmp.png"/>
                    <pic:cNvPicPr>
                      <a:picLocks noChangeAspect="1"/>
                    </pic:cNvPicPr>
                  </pic:nvPicPr>
                  <pic:blipFill>
                    <a:blip r:embed="rId42"/>
                    <a:stretch>
                      <a:fillRect/>
                    </a:stretch>
                  </pic:blipFill>
                  <pic:spPr>
                    <a:xfrm>
                      <a:off x="0" y="0"/>
                      <a:ext cx="1209675" cy="361950"/>
                    </a:xfrm>
                    <a:prstGeom prst="rect">
                      <a:avLst/>
                    </a:prstGeom>
                    <a:noFill/>
                    <a:ln>
                      <a:noFill/>
                    </a:ln>
                  </pic:spPr>
                </pic:pic>
              </a:graphicData>
            </a:graphic>
          </wp:inline>
        </w:drawing>
      </w:r>
      <w:r>
        <w:rPr>
          <w:rFonts w:ascii="Times New Roman"/>
          <w:sz w:val="24"/>
          <w:szCs w:val="24"/>
          <w:highlight w:val="none"/>
        </w:rPr>
        <w:t>，</w:t>
      </w:r>
      <w:r>
        <w:rPr>
          <w:rFonts w:ascii="Times New Roman"/>
          <w:sz w:val="24"/>
          <w:szCs w:val="24"/>
          <w:highlight w:val="none"/>
        </w:rPr>
        <w:drawing>
          <wp:inline distT="0" distB="0" distL="114300" distR="114300">
            <wp:extent cx="685800" cy="209550"/>
            <wp:effectExtent l="0" t="0" r="0" b="3175"/>
            <wp:docPr id="146" name="图片 11" descr="说明: C:\Users\ZHANGY~1\AppData\Local\Temp\ksohtml\wps47B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 descr="说明: C:\Users\ZHANGY~1\AppData\Local\Temp\ksohtml\wps47B1.tmp.png"/>
                    <pic:cNvPicPr>
                      <a:picLocks noChangeAspect="1"/>
                    </pic:cNvPicPr>
                  </pic:nvPicPr>
                  <pic:blipFill>
                    <a:blip r:embed="rId43"/>
                    <a:stretch>
                      <a:fillRect/>
                    </a:stretch>
                  </pic:blipFill>
                  <pic:spPr>
                    <a:xfrm>
                      <a:off x="0" y="0"/>
                      <a:ext cx="685800" cy="209550"/>
                    </a:xfrm>
                    <a:prstGeom prst="rect">
                      <a:avLst/>
                    </a:prstGeom>
                    <a:noFill/>
                    <a:ln>
                      <a:noFill/>
                    </a:ln>
                  </pic:spPr>
                </pic:pic>
              </a:graphicData>
            </a:graphic>
          </wp:inline>
        </w:drawing>
      </w:r>
    </w:p>
    <w:p w14:paraId="62A8B0BD">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drawing>
          <wp:inline distT="0" distB="0" distL="114300" distR="114300">
            <wp:extent cx="1209675" cy="238125"/>
            <wp:effectExtent l="0" t="0" r="9525" b="4445"/>
            <wp:docPr id="129" name="图片 12" descr="说明: C:\Users\ZHANGY~1\AppData\Local\Temp\ksohtml\wps47C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descr="说明: C:\Users\ZHANGY~1\AppData\Local\Temp\ksohtml\wps47C1.tmp.png"/>
                    <pic:cNvPicPr>
                      <a:picLocks noChangeAspect="1"/>
                    </pic:cNvPicPr>
                  </pic:nvPicPr>
                  <pic:blipFill>
                    <a:blip r:embed="rId44"/>
                    <a:stretch>
                      <a:fillRect/>
                    </a:stretch>
                  </pic:blipFill>
                  <pic:spPr>
                    <a:xfrm>
                      <a:off x="0" y="0"/>
                      <a:ext cx="1209675" cy="238125"/>
                    </a:xfrm>
                    <a:prstGeom prst="rect">
                      <a:avLst/>
                    </a:prstGeom>
                    <a:noFill/>
                    <a:ln>
                      <a:noFill/>
                    </a:ln>
                  </pic:spPr>
                </pic:pic>
              </a:graphicData>
            </a:graphic>
          </wp:inline>
        </w:drawing>
      </w:r>
      <w:r>
        <w:rPr>
          <w:rFonts w:ascii="Times New Roman"/>
          <w:sz w:val="24"/>
          <w:szCs w:val="24"/>
          <w:highlight w:val="none"/>
        </w:rPr>
        <w:t>，</w:t>
      </w:r>
      <w:r>
        <w:rPr>
          <w:rFonts w:ascii="Times New Roman"/>
          <w:sz w:val="24"/>
          <w:szCs w:val="24"/>
          <w:highlight w:val="none"/>
        </w:rPr>
        <w:drawing>
          <wp:inline distT="0" distB="0" distL="114300" distR="114300">
            <wp:extent cx="876300" cy="238125"/>
            <wp:effectExtent l="0" t="0" r="7620" b="0"/>
            <wp:docPr id="147" name="图片 13" descr="说明: C:\Users\ZHANGY~1\AppData\Local\Temp\ksohtml\wps47C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3" descr="说明: C:\Users\ZHANGY~1\AppData\Local\Temp\ksohtml\wps47C2.tmp.png"/>
                    <pic:cNvPicPr>
                      <a:picLocks noChangeAspect="1"/>
                    </pic:cNvPicPr>
                  </pic:nvPicPr>
                  <pic:blipFill>
                    <a:blip r:embed="rId45"/>
                    <a:stretch>
                      <a:fillRect/>
                    </a:stretch>
                  </pic:blipFill>
                  <pic:spPr>
                    <a:xfrm>
                      <a:off x="0" y="0"/>
                      <a:ext cx="876300" cy="238125"/>
                    </a:xfrm>
                    <a:prstGeom prst="rect">
                      <a:avLst/>
                    </a:prstGeom>
                    <a:noFill/>
                    <a:ln>
                      <a:noFill/>
                    </a:ln>
                  </pic:spPr>
                </pic:pic>
              </a:graphicData>
            </a:graphic>
          </wp:inline>
        </w:drawing>
      </w:r>
    </w:p>
    <w:p w14:paraId="59BCE006">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式中，Ω：地下水渗流区域，量纲：L2；</w:t>
      </w:r>
    </w:p>
    <w:p w14:paraId="07FB3D4A">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H0：初始地下水位，量纲：L；</w:t>
      </w:r>
    </w:p>
    <w:p w14:paraId="579B9ACE">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H1：指定水位，量纲：L；</w:t>
      </w:r>
    </w:p>
    <w:p w14:paraId="68729702">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S1：第一类边界；</w:t>
      </w:r>
    </w:p>
    <w:p w14:paraId="7E6A36DA">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S2：第二类边界；</w:t>
      </w:r>
    </w:p>
    <w:p w14:paraId="728D0759">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μs：单位储水系数，量纲：L-1；</w:t>
      </w:r>
    </w:p>
    <w:p w14:paraId="3C6D7A78">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Kxx，Kyy，Kzz：分别为x、y、z主方向的渗透系数：LT-1；</w:t>
      </w:r>
    </w:p>
    <w:p w14:paraId="4F0A9D46">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w：源汇项，包括蒸发，降雨入渗补给，井的抽水量：T-1；</w:t>
      </w:r>
    </w:p>
    <w:p w14:paraId="085B9851">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q(x，y，z，t)：表示在边界不同位置上不同时间的流量：L3T-1；</w:t>
      </w:r>
    </w:p>
    <w:p w14:paraId="60D228CC">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drawing>
          <wp:inline distT="0" distB="0" distL="114300" distR="114300">
            <wp:extent cx="190500" cy="342900"/>
            <wp:effectExtent l="0" t="0" r="7620" b="6985"/>
            <wp:docPr id="156" name="图片 14" descr="说明: C:\Users\ZHANGY~1\AppData\Local\Temp\ksohtml\wps47C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 descr="说明: C:\Users\ZHANGY~1\AppData\Local\Temp\ksohtml\wps47C3.tmp.png"/>
                    <pic:cNvPicPr>
                      <a:picLocks noChangeAspect="1"/>
                    </pic:cNvPicPr>
                  </pic:nvPicPr>
                  <pic:blipFill>
                    <a:blip r:embed="rId46"/>
                    <a:stretch>
                      <a:fillRect/>
                    </a:stretch>
                  </pic:blipFill>
                  <pic:spPr>
                    <a:xfrm>
                      <a:off x="0" y="0"/>
                      <a:ext cx="190500" cy="342900"/>
                    </a:xfrm>
                    <a:prstGeom prst="rect">
                      <a:avLst/>
                    </a:prstGeom>
                    <a:noFill/>
                    <a:ln>
                      <a:noFill/>
                    </a:ln>
                  </pic:spPr>
                </pic:pic>
              </a:graphicData>
            </a:graphic>
          </wp:inline>
        </w:drawing>
      </w:r>
      <w:r>
        <w:rPr>
          <w:rFonts w:ascii="Times New Roman"/>
          <w:sz w:val="24"/>
          <w:szCs w:val="24"/>
          <w:highlight w:val="none"/>
        </w:rPr>
        <w:t>：表示水力梯度在边界法线上的分量。</w:t>
      </w:r>
    </w:p>
    <w:p w14:paraId="1F9EF312">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上述数学控制方程的求解采用GMS软件下的MODFLOW模块进行计算，在众多模拟软件中，地下水流动及物质迁移模拟软件系统MODFLOW具有独到的特点，它是迄今为止功能最为齐全的地下水模拟软件包之一，可用于复杂三维非稳定水流和污染物运移的模拟。</w:t>
      </w:r>
    </w:p>
    <w:p w14:paraId="5A57AD05">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sz w:val="24"/>
          <w:szCs w:val="24"/>
          <w:highlight w:val="none"/>
        </w:rPr>
        <w:t>MODFLOW模块基于有限单元方法，携带了模拟地下水流每一个阶段所需的工具，如边界概化、建模、后处理、调参、可视化等。该软件具有基于交互式图形输入输出和地理信息系统（ArcGIS）数据接口，能自动产生空间多种有限单元网格，可以进行空间参数区域化，内部采用了多种快速、精确的数值计算法，如时间步长的自动优选法。对于非承压含水层采用了变动上边界的办法（BASD）以适应变化的潜水水位。</w:t>
      </w:r>
    </w:p>
    <w:p w14:paraId="1487E05E">
      <w:pPr>
        <w:keepNext w:val="0"/>
        <w:keepLines w:val="0"/>
        <w:pageBreakBefore w:val="0"/>
        <w:widowControl w:val="0"/>
        <w:kinsoku/>
        <w:wordWrap/>
        <w:overflowPunct/>
        <w:topLinePunct w:val="0"/>
        <w:autoSpaceDE/>
        <w:autoSpaceDN/>
        <w:bidi w:val="0"/>
        <w:spacing w:line="360" w:lineRule="auto"/>
        <w:ind w:left="0" w:firstLine="482" w:firstLineChars="200"/>
        <w:textAlignment w:val="auto"/>
        <w:rPr>
          <w:rFonts w:ascii="Times New Roman"/>
          <w:b/>
          <w:bCs/>
          <w:sz w:val="24"/>
          <w:szCs w:val="24"/>
          <w:highlight w:val="none"/>
        </w:rPr>
      </w:pPr>
      <w:r>
        <w:rPr>
          <w:rFonts w:ascii="Times New Roman"/>
          <w:b/>
          <w:bCs/>
          <w:sz w:val="24"/>
          <w:szCs w:val="24"/>
          <w:highlight w:val="none"/>
        </w:rPr>
        <w:t>（2）水质模型</w:t>
      </w:r>
    </w:p>
    <w:p w14:paraId="535D09E3">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t>水是溶质运移的载体，地下水溶质运移数值模拟应在地下水流场模拟基础上进行，上述已建立地下水水流模型，现建立地下水溶质运移模型。</w:t>
      </w:r>
    </w:p>
    <w:p w14:paraId="60769392">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2621280" cy="504825"/>
            <wp:effectExtent l="0" t="0" r="0" b="13335"/>
            <wp:docPr id="1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5"/>
                    <pic:cNvPicPr>
                      <a:picLocks noChangeAspect="1"/>
                    </pic:cNvPicPr>
                  </pic:nvPicPr>
                  <pic:blipFill>
                    <a:blip r:embed="rId47"/>
                    <a:stretch>
                      <a:fillRect/>
                    </a:stretch>
                  </pic:blipFill>
                  <pic:spPr>
                    <a:xfrm>
                      <a:off x="0" y="0"/>
                      <a:ext cx="2621280" cy="504825"/>
                    </a:xfrm>
                    <a:prstGeom prst="rect">
                      <a:avLst/>
                    </a:prstGeom>
                    <a:noFill/>
                    <a:ln>
                      <a:noFill/>
                    </a:ln>
                  </pic:spPr>
                </pic:pic>
              </a:graphicData>
            </a:graphic>
          </wp:inline>
        </w:drawing>
      </w:r>
    </w:p>
    <w:p w14:paraId="3DFDEB45">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t>式中：</w:t>
      </w:r>
    </w:p>
    <w:p w14:paraId="13B3CACC">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982980" cy="464820"/>
            <wp:effectExtent l="0" t="0" r="0" b="6985"/>
            <wp:docPr id="1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6"/>
                    <pic:cNvPicPr>
                      <a:picLocks noChangeAspect="1"/>
                    </pic:cNvPicPr>
                  </pic:nvPicPr>
                  <pic:blipFill>
                    <a:blip r:embed="rId48"/>
                    <a:stretch>
                      <a:fillRect/>
                    </a:stretch>
                  </pic:blipFill>
                  <pic:spPr>
                    <a:xfrm>
                      <a:off x="0" y="0"/>
                      <a:ext cx="982980" cy="464820"/>
                    </a:xfrm>
                    <a:prstGeom prst="rect">
                      <a:avLst/>
                    </a:prstGeom>
                    <a:noFill/>
                    <a:ln>
                      <a:noFill/>
                    </a:ln>
                  </pic:spPr>
                </pic:pic>
              </a:graphicData>
            </a:graphic>
          </wp:inline>
        </w:drawing>
      </w:r>
    </w:p>
    <w:p w14:paraId="4781863D">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313690" cy="231775"/>
            <wp:effectExtent l="0" t="0" r="0" b="13335"/>
            <wp:docPr id="1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7"/>
                    <pic:cNvPicPr>
                      <a:picLocks noChangeAspect="1"/>
                    </pic:cNvPicPr>
                  </pic:nvPicPr>
                  <pic:blipFill>
                    <a:blip r:embed="rId49"/>
                    <a:stretch>
                      <a:fillRect/>
                    </a:stretch>
                  </pic:blipFill>
                  <pic:spPr>
                    <a:xfrm>
                      <a:off x="0" y="0"/>
                      <a:ext cx="313690" cy="231775"/>
                    </a:xfrm>
                    <a:prstGeom prst="rect">
                      <a:avLst/>
                    </a:prstGeom>
                    <a:noFill/>
                    <a:ln>
                      <a:noFill/>
                    </a:ln>
                  </pic:spPr>
                </pic:pic>
              </a:graphicData>
            </a:graphic>
          </wp:inline>
        </w:drawing>
      </w:r>
      <w:r>
        <w:rPr>
          <w:rFonts w:ascii="Times New Roman"/>
          <w:kern w:val="2"/>
          <w:sz w:val="24"/>
          <w:szCs w:val="32"/>
          <w:highlight w:val="none"/>
        </w:rPr>
        <w:t>-含水层的弥散度</w:t>
      </w:r>
    </w:p>
    <w:p w14:paraId="2358B343">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368300" cy="231775"/>
            <wp:effectExtent l="0" t="0" r="12700" b="12700"/>
            <wp:docPr id="1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8"/>
                    <pic:cNvPicPr>
                      <a:picLocks noChangeAspect="1"/>
                    </pic:cNvPicPr>
                  </pic:nvPicPr>
                  <pic:blipFill>
                    <a:blip r:embed="rId50"/>
                    <a:stretch>
                      <a:fillRect/>
                    </a:stretch>
                  </pic:blipFill>
                  <pic:spPr>
                    <a:xfrm>
                      <a:off x="0" y="0"/>
                      <a:ext cx="368300" cy="231775"/>
                    </a:xfrm>
                    <a:prstGeom prst="rect">
                      <a:avLst/>
                    </a:prstGeom>
                    <a:noFill/>
                    <a:ln>
                      <a:noFill/>
                    </a:ln>
                  </pic:spPr>
                </pic:pic>
              </a:graphicData>
            </a:graphic>
          </wp:inline>
        </w:drawing>
      </w:r>
      <w:r>
        <w:rPr>
          <w:rFonts w:ascii="Times New Roman"/>
          <w:kern w:val="2"/>
          <w:sz w:val="24"/>
          <w:szCs w:val="32"/>
          <w:highlight w:val="none"/>
        </w:rPr>
        <w:t>-分别为m和n方向上的速度分量</w:t>
      </w:r>
    </w:p>
    <w:p w14:paraId="2517A759">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218440" cy="259080"/>
            <wp:effectExtent l="0" t="0" r="10160" b="0"/>
            <wp:docPr id="1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9"/>
                    <pic:cNvPicPr>
                      <a:picLocks noChangeAspect="1"/>
                    </pic:cNvPicPr>
                  </pic:nvPicPr>
                  <pic:blipFill>
                    <a:blip r:embed="rId51"/>
                    <a:stretch>
                      <a:fillRect/>
                    </a:stretch>
                  </pic:blipFill>
                  <pic:spPr>
                    <a:xfrm>
                      <a:off x="0" y="0"/>
                      <a:ext cx="218440" cy="259080"/>
                    </a:xfrm>
                    <a:prstGeom prst="rect">
                      <a:avLst/>
                    </a:prstGeom>
                    <a:noFill/>
                    <a:ln>
                      <a:noFill/>
                    </a:ln>
                  </pic:spPr>
                </pic:pic>
              </a:graphicData>
            </a:graphic>
          </wp:inline>
        </w:drawing>
      </w:r>
      <w:r>
        <w:rPr>
          <w:rFonts w:ascii="Times New Roman"/>
          <w:kern w:val="2"/>
          <w:sz w:val="24"/>
          <w:szCs w:val="32"/>
          <w:highlight w:val="none"/>
        </w:rPr>
        <w:t>-速度模</w:t>
      </w:r>
    </w:p>
    <w:p w14:paraId="116297AA">
      <w:pPr>
        <w:keepNext w:val="0"/>
        <w:keepLines w:val="0"/>
        <w:pageBreakBefore w:val="0"/>
        <w:widowControl w:val="0"/>
        <w:tabs>
          <w:tab w:val="left" w:pos="420"/>
        </w:tabs>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t>c-污染物浓度（mg/L）；</w:t>
      </w:r>
    </w:p>
    <w:p w14:paraId="0F30B37C">
      <w:pPr>
        <w:keepNext w:val="0"/>
        <w:keepLines w:val="0"/>
        <w:pageBreakBefore w:val="0"/>
        <w:widowControl w:val="0"/>
        <w:kinsoku/>
        <w:wordWrap/>
        <w:overflowPunct/>
        <w:topLinePunct w:val="0"/>
        <w:autoSpaceDE/>
        <w:autoSpaceDN/>
        <w:bidi w:val="0"/>
        <w:spacing w:line="360" w:lineRule="auto"/>
        <w:ind w:left="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163830" cy="231775"/>
            <wp:effectExtent l="0" t="0" r="0" b="13335"/>
            <wp:docPr id="1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0"/>
                    <pic:cNvPicPr>
                      <a:picLocks noChangeAspect="1"/>
                    </pic:cNvPicPr>
                  </pic:nvPicPr>
                  <pic:blipFill>
                    <a:blip r:embed="rId52"/>
                    <a:stretch>
                      <a:fillRect/>
                    </a:stretch>
                  </pic:blipFill>
                  <pic:spPr>
                    <a:xfrm>
                      <a:off x="0" y="0"/>
                      <a:ext cx="163830" cy="231775"/>
                    </a:xfrm>
                    <a:prstGeom prst="rect">
                      <a:avLst/>
                    </a:prstGeom>
                    <a:noFill/>
                    <a:ln>
                      <a:noFill/>
                    </a:ln>
                  </pic:spPr>
                </pic:pic>
              </a:graphicData>
            </a:graphic>
          </wp:inline>
        </w:drawing>
      </w:r>
      <w:r>
        <w:rPr>
          <w:rFonts w:ascii="Times New Roman"/>
          <w:kern w:val="2"/>
          <w:sz w:val="24"/>
          <w:szCs w:val="32"/>
          <w:highlight w:val="none"/>
        </w:rPr>
        <w:t>-有效孔隙度</w:t>
      </w:r>
    </w:p>
    <w:p w14:paraId="65FA6270">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163830" cy="177165"/>
            <wp:effectExtent l="0" t="0" r="0" b="0"/>
            <wp:docPr id="1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1"/>
                    <pic:cNvPicPr>
                      <a:picLocks noChangeAspect="1"/>
                    </pic:cNvPicPr>
                  </pic:nvPicPr>
                  <pic:blipFill>
                    <a:blip r:embed="rId53"/>
                    <a:stretch>
                      <a:fillRect/>
                    </a:stretch>
                  </pic:blipFill>
                  <pic:spPr>
                    <a:xfrm>
                      <a:off x="0" y="0"/>
                      <a:ext cx="163830" cy="177165"/>
                    </a:xfrm>
                    <a:prstGeom prst="rect">
                      <a:avLst/>
                    </a:prstGeom>
                    <a:noFill/>
                    <a:ln>
                      <a:noFill/>
                    </a:ln>
                  </pic:spPr>
                </pic:pic>
              </a:graphicData>
            </a:graphic>
          </wp:inline>
        </w:drawing>
      </w:r>
      <w:r>
        <w:rPr>
          <w:rFonts w:ascii="Times New Roman"/>
          <w:kern w:val="2"/>
          <w:sz w:val="24"/>
          <w:szCs w:val="32"/>
          <w:highlight w:val="none"/>
        </w:rPr>
        <w:t>-模拟污染质的源汇浓度（mg/L）</w:t>
      </w:r>
    </w:p>
    <w:p w14:paraId="258A8E78">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177165" cy="177165"/>
            <wp:effectExtent l="0" t="0" r="5080" b="0"/>
            <wp:docPr id="1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2"/>
                    <pic:cNvPicPr>
                      <a:picLocks noChangeAspect="1"/>
                    </pic:cNvPicPr>
                  </pic:nvPicPr>
                  <pic:blipFill>
                    <a:blip r:embed="rId54"/>
                    <a:stretch>
                      <a:fillRect/>
                    </a:stretch>
                  </pic:blipFill>
                  <pic:spPr>
                    <a:xfrm>
                      <a:off x="0" y="0"/>
                      <a:ext cx="177165" cy="177165"/>
                    </a:xfrm>
                    <a:prstGeom prst="rect">
                      <a:avLst/>
                    </a:prstGeom>
                    <a:noFill/>
                    <a:ln>
                      <a:noFill/>
                    </a:ln>
                  </pic:spPr>
                </pic:pic>
              </a:graphicData>
            </a:graphic>
          </wp:inline>
        </w:drawing>
      </w:r>
      <w:r>
        <w:rPr>
          <w:rFonts w:ascii="Times New Roman"/>
          <w:kern w:val="2"/>
          <w:sz w:val="24"/>
          <w:szCs w:val="32"/>
          <w:highlight w:val="none"/>
        </w:rPr>
        <w:t>-源汇单位面积上的通量</w:t>
      </w:r>
    </w:p>
    <w:p w14:paraId="10A51CBD">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kern w:val="2"/>
          <w:sz w:val="24"/>
          <w:szCs w:val="32"/>
          <w:highlight w:val="none"/>
        </w:rPr>
      </w:pPr>
      <w:r>
        <w:rPr>
          <w:rFonts w:ascii="Times New Roman"/>
          <w:kern w:val="2"/>
          <w:sz w:val="24"/>
          <w:szCs w:val="32"/>
          <w:highlight w:val="none"/>
        </w:rPr>
        <w:drawing>
          <wp:inline distT="0" distB="0" distL="114300" distR="114300">
            <wp:extent cx="163830" cy="231775"/>
            <wp:effectExtent l="0" t="0" r="0" b="12700"/>
            <wp:docPr id="1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3"/>
                    <pic:cNvPicPr>
                      <a:picLocks noChangeAspect="1"/>
                    </pic:cNvPicPr>
                  </pic:nvPicPr>
                  <pic:blipFill>
                    <a:blip r:embed="rId55"/>
                    <a:stretch>
                      <a:fillRect/>
                    </a:stretch>
                  </pic:blipFill>
                  <pic:spPr>
                    <a:xfrm>
                      <a:off x="0" y="0"/>
                      <a:ext cx="163830" cy="231775"/>
                    </a:xfrm>
                    <a:prstGeom prst="rect">
                      <a:avLst/>
                    </a:prstGeom>
                    <a:noFill/>
                    <a:ln>
                      <a:noFill/>
                    </a:ln>
                  </pic:spPr>
                </pic:pic>
              </a:graphicData>
            </a:graphic>
          </wp:inline>
        </w:drawing>
      </w:r>
      <w:r>
        <w:rPr>
          <w:rFonts w:ascii="Times New Roman"/>
          <w:kern w:val="2"/>
          <w:sz w:val="24"/>
          <w:szCs w:val="32"/>
          <w:highlight w:val="none"/>
        </w:rPr>
        <w:t>-渗流速度（m/d）</w:t>
      </w:r>
    </w:p>
    <w:p w14:paraId="2F2E16C1">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Times New Roman"/>
          <w:sz w:val="24"/>
          <w:szCs w:val="24"/>
          <w:highlight w:val="none"/>
        </w:rPr>
      </w:pPr>
      <w:r>
        <w:rPr>
          <w:rFonts w:ascii="Times New Roman"/>
          <w:kern w:val="2"/>
          <w:sz w:val="24"/>
          <w:szCs w:val="32"/>
          <w:highlight w:val="none"/>
        </w:rPr>
        <w:t>上述数学控制方程的求解采用GMS软件下的MT3DMS模块进行计算。</w:t>
      </w:r>
      <w:r>
        <w:rPr>
          <w:rFonts w:ascii="Times New Roman"/>
          <w:sz w:val="24"/>
          <w:szCs w:val="24"/>
          <w:highlight w:val="none"/>
        </w:rPr>
        <w:t>MT3DMS是应用最为广泛的三维溶质运移数值模拟软件。与其它软件相比，MT3DMS具有一系列优点，MT3DMS的程序设计也是采用模块化结构，即由一个主程序和若干个相对独立的子程序包组成，各个子程序包又由不同的模块组成，供主程序随时调用。目前，MT3DMS中有基本运移（Basic transport package, BTN）、对流（Advection package, ADV）、弥散（Dispersion package, DSP）、源汇混合（Sink/source mixing package, SSM）、化学反应（Chemical reaction package, RCT）、广义共轭梯度求解（Generalized conjugate-gradient solver package, GCG）、运移过程观测（Transport observation package, TOB）、水流模型接口（Flow model interface package, FMI）和公共实用（Utility package, UTL）等9个子程序包。运用MT3DMS软件不但能模拟地下水中污染物的对流、弥散，而且能够同时模拟多种污染物组分在地下水中的运移过程以及它们各自的变化反应过程（不包括各种组分之间的化学反应），包括平衡控制的等温吸附过程、非平衡吸附过程、放射性衰变或简单生物降解过程。</w:t>
      </w:r>
    </w:p>
    <w:p w14:paraId="62EEB469">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Style w:val="62"/>
          <w:rFonts w:hint="eastAsia"/>
          <w:sz w:val="24"/>
          <w:szCs w:val="24"/>
          <w:highlight w:val="none"/>
          <w:lang w:eastAsia="zh-CN"/>
        </w:rPr>
      </w:pPr>
      <w:r>
        <w:rPr>
          <w:rFonts w:ascii="Times New Roman"/>
          <w:sz w:val="24"/>
          <w:szCs w:val="24"/>
          <w:highlight w:val="none"/>
        </w:rPr>
        <w:t>本次</w:t>
      </w:r>
      <w:r>
        <w:rPr>
          <w:rFonts w:hint="eastAsia" w:ascii="Times New Roman"/>
          <w:sz w:val="24"/>
          <w:szCs w:val="24"/>
          <w:highlight w:val="none"/>
          <w:lang w:val="en-US" w:eastAsia="zh-CN"/>
        </w:rPr>
        <w:t>排土场</w:t>
      </w:r>
      <w:r>
        <w:rPr>
          <w:rFonts w:ascii="Times New Roman"/>
          <w:sz w:val="24"/>
          <w:szCs w:val="24"/>
          <w:highlight w:val="none"/>
        </w:rPr>
        <w:t>区域有地下水评价预测模型选取GMS软件中的MODFLOW和MT3DMS模块进行预测分析。</w:t>
      </w:r>
    </w:p>
    <w:p w14:paraId="21ED7DA8">
      <w:pPr>
        <w:pStyle w:val="7"/>
        <w:adjustRightInd w:val="0"/>
        <w:snapToGrid w:val="0"/>
        <w:spacing w:before="0" w:after="0" w:line="360" w:lineRule="auto"/>
        <w:rPr>
          <w:rFonts w:ascii="Times New Roman" w:hAnsi="Times New Roman" w:eastAsia="宋体"/>
          <w:sz w:val="24"/>
          <w:szCs w:val="24"/>
          <w:highlight w:val="none"/>
        </w:rPr>
      </w:pPr>
      <w:r>
        <w:rPr>
          <w:rFonts w:hint="eastAsia" w:ascii="Times New Roman" w:hAnsi="Times New Roman" w:eastAsia="宋体"/>
          <w:sz w:val="24"/>
          <w:szCs w:val="24"/>
          <w:highlight w:val="none"/>
        </w:rPr>
        <w:t>评价区源汇项计算</w:t>
      </w:r>
    </w:p>
    <w:p w14:paraId="3DA26F0E">
      <w:pPr>
        <w:keepNext w:val="0"/>
        <w:keepLines w:val="0"/>
        <w:pageBreakBefore w:val="0"/>
        <w:widowControl w:val="0"/>
        <w:kinsoku/>
        <w:wordWrap/>
        <w:overflowPunct/>
        <w:topLinePunct w:val="0"/>
        <w:autoSpaceDE/>
        <w:autoSpaceDN/>
        <w:bidi w:val="0"/>
        <w:adjustRightInd/>
        <w:snapToGrid/>
        <w:spacing w:line="360" w:lineRule="auto"/>
        <w:ind w:firstLine="539"/>
        <w:textAlignment w:val="auto"/>
        <w:rPr>
          <w:rFonts w:ascii="Times New Roman"/>
          <w:b/>
          <w:bCs/>
          <w:spacing w:val="5"/>
          <w:kern w:val="2"/>
          <w:sz w:val="24"/>
          <w:szCs w:val="24"/>
          <w:highlight w:val="none"/>
        </w:rPr>
      </w:pPr>
      <w:r>
        <w:rPr>
          <w:rFonts w:hint="default" w:ascii="Times New Roman" w:hAnsi="Times New Roman" w:eastAsia="宋体" w:cs="Times New Roman"/>
          <w:color w:val="auto"/>
          <w:kern w:val="2"/>
          <w:sz w:val="24"/>
          <w:szCs w:val="24"/>
          <w:highlight w:val="none"/>
        </w:rPr>
        <w:t>①面状源汇项：项目评价区面状源汇项主要为大气降水的面状入渗补给。</w:t>
      </w:r>
    </w:p>
    <w:p w14:paraId="0B81BED7">
      <w:pPr>
        <w:keepNext w:val="0"/>
        <w:keepLines w:val="0"/>
        <w:pageBreakBefore w:val="0"/>
        <w:widowControl w:val="0"/>
        <w:kinsoku/>
        <w:wordWrap/>
        <w:overflowPunct/>
        <w:topLinePunct w:val="0"/>
        <w:autoSpaceDE/>
        <w:autoSpaceDN/>
        <w:bidi w:val="0"/>
        <w:adjustRightInd/>
        <w:snapToGrid/>
        <w:spacing w:line="360" w:lineRule="auto"/>
        <w:ind w:firstLine="539"/>
        <w:textAlignment w:val="auto"/>
        <w:rPr>
          <w:rFonts w:hint="eastAsia"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rPr>
        <w:t>一般情况地下水的补给来源主要为大气降水的面状入渗补给和地下水侧向径流补给，本项目位于山区，项目评价区以项目所处水文地质单元边界为侧向边界，即评价区</w:t>
      </w:r>
      <w:r>
        <w:rPr>
          <w:rFonts w:hint="eastAsia" w:cs="Times New Roman"/>
          <w:color w:val="auto"/>
          <w:kern w:val="2"/>
          <w:sz w:val="24"/>
          <w:szCs w:val="24"/>
          <w:highlight w:val="none"/>
          <w:lang w:eastAsia="zh-CN"/>
        </w:rPr>
        <w:t>北侧、南侧、西侧</w:t>
      </w:r>
      <w:r>
        <w:rPr>
          <w:rFonts w:hint="default" w:ascii="Times New Roman" w:hAnsi="Times New Roman" w:eastAsia="宋体" w:cs="Times New Roman"/>
          <w:color w:val="auto"/>
          <w:kern w:val="2"/>
          <w:sz w:val="24"/>
          <w:szCs w:val="24"/>
          <w:highlight w:val="none"/>
        </w:rPr>
        <w:t>以自然山体山脊线为界，地下水侧向径流补给为0，</w:t>
      </w:r>
      <w:r>
        <w:rPr>
          <w:rFonts w:hint="eastAsia" w:cs="Times New Roman"/>
          <w:color w:val="auto"/>
          <w:kern w:val="2"/>
          <w:sz w:val="24"/>
          <w:szCs w:val="24"/>
          <w:highlight w:val="none"/>
          <w:lang w:val="en-US" w:eastAsia="zh-CN"/>
        </w:rPr>
        <w:t>东</w:t>
      </w:r>
      <w:r>
        <w:rPr>
          <w:rFonts w:hint="default" w:ascii="Times New Roman" w:hAnsi="Times New Roman" w:eastAsia="宋体" w:cs="Times New Roman"/>
          <w:color w:val="auto"/>
          <w:kern w:val="2"/>
          <w:sz w:val="24"/>
          <w:szCs w:val="24"/>
          <w:highlight w:val="none"/>
        </w:rPr>
        <w:t>侧边界为</w:t>
      </w:r>
      <w:r>
        <w:rPr>
          <w:rFonts w:hint="eastAsia" w:cs="Times New Roman"/>
          <w:color w:val="auto"/>
          <w:kern w:val="2"/>
          <w:sz w:val="24"/>
          <w:szCs w:val="24"/>
          <w:highlight w:val="none"/>
          <w:lang w:val="en-US" w:eastAsia="zh-CN"/>
        </w:rPr>
        <w:t>兴隆河</w:t>
      </w:r>
      <w:r>
        <w:rPr>
          <w:rFonts w:hint="default" w:ascii="Times New Roman" w:hAnsi="Times New Roman" w:eastAsia="宋体" w:cs="Times New Roman"/>
          <w:color w:val="auto"/>
          <w:kern w:val="2"/>
          <w:sz w:val="24"/>
          <w:szCs w:val="24"/>
          <w:highlight w:val="none"/>
        </w:rPr>
        <w:t>，地下水流动方向为</w:t>
      </w:r>
      <w:r>
        <w:rPr>
          <w:rFonts w:hint="eastAsia" w:cs="Times New Roman"/>
          <w:color w:val="auto"/>
          <w:kern w:val="2"/>
          <w:sz w:val="24"/>
          <w:szCs w:val="24"/>
          <w:highlight w:val="none"/>
          <w:lang w:val="en-US" w:eastAsia="zh-CN"/>
        </w:rPr>
        <w:t>西南</w:t>
      </w:r>
      <w:r>
        <w:rPr>
          <w:rFonts w:hint="default" w:ascii="Times New Roman" w:hAnsi="Times New Roman" w:eastAsia="宋体" w:cs="Times New Roman"/>
          <w:color w:val="auto"/>
          <w:kern w:val="2"/>
          <w:sz w:val="24"/>
          <w:szCs w:val="24"/>
          <w:highlight w:val="none"/>
        </w:rPr>
        <w:t>流向</w:t>
      </w:r>
      <w:r>
        <w:rPr>
          <w:rFonts w:hint="eastAsia" w:cs="Times New Roman"/>
          <w:color w:val="auto"/>
          <w:kern w:val="2"/>
          <w:sz w:val="24"/>
          <w:szCs w:val="24"/>
          <w:highlight w:val="none"/>
          <w:lang w:val="en-US" w:eastAsia="zh-CN"/>
        </w:rPr>
        <w:t>东北</w:t>
      </w:r>
      <w:r>
        <w:rPr>
          <w:rFonts w:hint="default" w:ascii="Times New Roman" w:hAnsi="Times New Roman" w:eastAsia="宋体" w:cs="Times New Roman"/>
          <w:color w:val="auto"/>
          <w:kern w:val="2"/>
          <w:sz w:val="24"/>
          <w:szCs w:val="24"/>
          <w:highlight w:val="none"/>
        </w:rPr>
        <w:t>，最终汇入</w:t>
      </w:r>
      <w:r>
        <w:rPr>
          <w:rFonts w:hint="eastAsia" w:cs="Times New Roman"/>
          <w:color w:val="auto"/>
          <w:kern w:val="2"/>
          <w:sz w:val="24"/>
          <w:szCs w:val="24"/>
          <w:highlight w:val="none"/>
          <w:lang w:val="en-US" w:eastAsia="zh-CN"/>
        </w:rPr>
        <w:t>兴隆河</w:t>
      </w:r>
      <w:r>
        <w:rPr>
          <w:rFonts w:hint="default" w:ascii="Times New Roman" w:hAnsi="Times New Roman" w:eastAsia="宋体" w:cs="Times New Roman"/>
          <w:color w:val="auto"/>
          <w:kern w:val="2"/>
          <w:sz w:val="24"/>
          <w:szCs w:val="24"/>
          <w:highlight w:val="none"/>
        </w:rPr>
        <w:t>。因此，本项目评价区地下水的补给来源主要为大气降水的面状入渗补给，考虑评价区包气带岩性、潜水位埋深、地形、植被等因素的不同，补给系数根据经验值得出，补给系数为0.0055m/d</w:t>
      </w:r>
      <w:r>
        <w:rPr>
          <w:rFonts w:hint="eastAsia" w:cs="Times New Roman"/>
          <w:color w:val="auto"/>
          <w:kern w:val="2"/>
          <w:sz w:val="24"/>
          <w:szCs w:val="24"/>
          <w:highlight w:val="none"/>
          <w:lang w:eastAsia="zh-CN"/>
        </w:rPr>
        <w:t>。</w:t>
      </w:r>
    </w:p>
    <w:p w14:paraId="58955159">
      <w:pPr>
        <w:keepNext w:val="0"/>
        <w:keepLines w:val="0"/>
        <w:pageBreakBefore w:val="0"/>
        <w:widowControl w:val="0"/>
        <w:kinsoku/>
        <w:wordWrap/>
        <w:overflowPunct/>
        <w:topLinePunct w:val="0"/>
        <w:autoSpaceDE/>
        <w:autoSpaceDN/>
        <w:bidi w:val="0"/>
        <w:adjustRightInd/>
        <w:snapToGrid/>
        <w:spacing w:line="360" w:lineRule="auto"/>
        <w:ind w:firstLine="539"/>
        <w:textAlignment w:val="auto"/>
        <w:rPr>
          <w:rFonts w:hint="eastAsia" w:cs="Times New Roman"/>
          <w:color w:val="auto"/>
          <w:kern w:val="2"/>
          <w:sz w:val="24"/>
          <w:szCs w:val="24"/>
          <w:highlight w:val="none"/>
          <w:lang w:eastAsia="zh-CN"/>
        </w:rPr>
      </w:pPr>
      <w:r>
        <w:rPr>
          <w:rFonts w:hint="eastAsia" w:cs="Times New Roman"/>
          <w:color w:val="auto"/>
          <w:kern w:val="2"/>
          <w:sz w:val="24"/>
          <w:szCs w:val="24"/>
          <w:highlight w:val="none"/>
          <w:lang w:eastAsia="zh-CN"/>
        </w:rPr>
        <w:t>②线状源汇项：本项目评价区线状源汇项主要为河流。</w:t>
      </w:r>
    </w:p>
    <w:p w14:paraId="037194E8">
      <w:pPr>
        <w:keepNext w:val="0"/>
        <w:keepLines w:val="0"/>
        <w:pageBreakBefore w:val="0"/>
        <w:widowControl w:val="0"/>
        <w:kinsoku/>
        <w:wordWrap/>
        <w:overflowPunct/>
        <w:topLinePunct w:val="0"/>
        <w:autoSpaceDE/>
        <w:autoSpaceDN/>
        <w:bidi w:val="0"/>
        <w:adjustRightInd/>
        <w:snapToGrid/>
        <w:spacing w:line="360" w:lineRule="auto"/>
        <w:ind w:firstLine="539"/>
        <w:textAlignment w:val="auto"/>
        <w:rPr>
          <w:rFonts w:hint="eastAsia" w:ascii="Times New Roman" w:hAnsi="Times New Roman" w:eastAsia="宋体" w:cs="Times New Roman"/>
          <w:color w:val="auto"/>
          <w:kern w:val="2"/>
          <w:sz w:val="24"/>
          <w:szCs w:val="24"/>
          <w:highlight w:val="none"/>
          <w:lang w:eastAsia="zh-CN"/>
        </w:rPr>
      </w:pPr>
      <w:r>
        <w:rPr>
          <w:rFonts w:hint="eastAsia" w:cs="Times New Roman"/>
          <w:color w:val="auto"/>
          <w:kern w:val="2"/>
          <w:sz w:val="24"/>
          <w:szCs w:val="24"/>
          <w:highlight w:val="none"/>
          <w:lang w:eastAsia="zh-CN"/>
        </w:rPr>
        <w:t>本项目所处水文地质单元</w:t>
      </w:r>
      <w:r>
        <w:rPr>
          <w:rFonts w:hint="eastAsia" w:cs="Times New Roman"/>
          <w:color w:val="auto"/>
          <w:kern w:val="2"/>
          <w:sz w:val="24"/>
          <w:szCs w:val="24"/>
          <w:highlight w:val="none"/>
          <w:lang w:val="en-US" w:eastAsia="zh-CN"/>
        </w:rPr>
        <w:t>东</w:t>
      </w:r>
      <w:r>
        <w:rPr>
          <w:rFonts w:hint="eastAsia" w:cs="Times New Roman"/>
          <w:color w:val="auto"/>
          <w:kern w:val="2"/>
          <w:sz w:val="24"/>
          <w:szCs w:val="24"/>
          <w:highlight w:val="none"/>
          <w:lang w:eastAsia="zh-CN"/>
        </w:rPr>
        <w:t>侧边界为</w:t>
      </w:r>
      <w:r>
        <w:rPr>
          <w:rFonts w:hint="eastAsia" w:cs="Times New Roman"/>
          <w:color w:val="auto"/>
          <w:kern w:val="2"/>
          <w:sz w:val="24"/>
          <w:szCs w:val="24"/>
          <w:highlight w:val="none"/>
          <w:lang w:val="en-US" w:eastAsia="zh-CN"/>
        </w:rPr>
        <w:t>兴隆河</w:t>
      </w:r>
      <w:r>
        <w:rPr>
          <w:rFonts w:hint="eastAsia" w:cs="Times New Roman"/>
          <w:color w:val="auto"/>
          <w:kern w:val="2"/>
          <w:sz w:val="24"/>
          <w:szCs w:val="24"/>
          <w:highlight w:val="none"/>
          <w:lang w:eastAsia="zh-CN"/>
        </w:rPr>
        <w:t>，概化为定水头边界，定水头边界两端河流水位为地下水初始水位。</w:t>
      </w:r>
    </w:p>
    <w:p w14:paraId="62F6ABAD">
      <w:pPr>
        <w:pStyle w:val="7"/>
        <w:adjustRightInd w:val="0"/>
        <w:snapToGrid w:val="0"/>
        <w:spacing w:before="0" w:after="0" w:line="360" w:lineRule="auto"/>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eastAsia="zh-CN"/>
        </w:rPr>
        <w:t>地下水流场模拟</w:t>
      </w:r>
    </w:p>
    <w:p w14:paraId="7320102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（1）区域网格剖分</w:t>
      </w:r>
    </w:p>
    <w:p w14:paraId="4D3C04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据水文地质条件概化的结果，对项目地下水评价范围进行网格剖分，</w:t>
      </w:r>
      <w:r>
        <w:rPr>
          <w:rFonts w:hint="eastAsia"/>
          <w:sz w:val="24"/>
          <w:szCs w:val="24"/>
          <w:highlight w:val="none"/>
          <w:lang w:val="en-US" w:eastAsia="zh-CN"/>
        </w:rPr>
        <w:t>见</w:t>
      </w:r>
      <w:r>
        <w:rPr>
          <w:rFonts w:ascii="Times New Roman" w:eastAsia="宋体"/>
          <w:sz w:val="24"/>
          <w:szCs w:val="24"/>
          <w:highlight w:val="none"/>
        </w:rPr>
        <w:t>下图：</w:t>
      </w:r>
    </w:p>
    <w:p w14:paraId="27190A56">
      <w:pPr>
        <w:adjustRightInd w:val="0"/>
        <w:snapToGrid w:val="0"/>
        <w:jc w:val="center"/>
        <w:rPr>
          <w:rFonts w:hint="eastAsia" w:ascii="Times New Roman" w:eastAsia="宋体"/>
          <w:highlight w:val="none"/>
          <w:lang w:eastAsia="zh-CN"/>
        </w:rPr>
      </w:pPr>
      <w:r>
        <w:rPr>
          <w:highlight w:val="none"/>
        </w:rPr>
        <w:drawing>
          <wp:inline distT="0" distB="0" distL="114300" distR="114300">
            <wp:extent cx="5273675" cy="2939415"/>
            <wp:effectExtent l="0" t="0" r="3175" b="13335"/>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56"/>
                    <a:stretch>
                      <a:fillRect/>
                    </a:stretch>
                  </pic:blipFill>
                  <pic:spPr>
                    <a:xfrm>
                      <a:off x="0" y="0"/>
                      <a:ext cx="5273675" cy="2939415"/>
                    </a:xfrm>
                    <a:prstGeom prst="rect">
                      <a:avLst/>
                    </a:prstGeom>
                    <a:noFill/>
                    <a:ln>
                      <a:noFill/>
                    </a:ln>
                  </pic:spPr>
                </pic:pic>
              </a:graphicData>
            </a:graphic>
          </wp:inline>
        </w:drawing>
      </w:r>
    </w:p>
    <w:p w14:paraId="2E7BDC94">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ascii="Times New Roman" w:eastAsia="宋体"/>
          <w:b/>
          <w:sz w:val="21"/>
          <w:highlight w:val="none"/>
        </w:rPr>
        <w:t>模拟区网格剖分图</w:t>
      </w:r>
    </w:p>
    <w:p w14:paraId="06FBD0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（2）参数分区</w:t>
      </w:r>
    </w:p>
    <w:p w14:paraId="25E3AA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渗透系数及给水度等参数，通过收集以往的工作资料获取。考虑模拟区内不同含水介质的类型，将模拟区浅层含水层根据渗透性分为</w:t>
      </w:r>
      <w:r>
        <w:rPr>
          <w:rFonts w:hint="eastAsia" w:ascii="Times New Roman" w:eastAsia="宋体"/>
          <w:sz w:val="24"/>
          <w:szCs w:val="24"/>
          <w:highlight w:val="none"/>
          <w:lang w:val="en-US" w:eastAsia="zh-CN"/>
        </w:rPr>
        <w:t>2</w:t>
      </w:r>
      <w:r>
        <w:rPr>
          <w:rFonts w:ascii="Times New Roman" w:eastAsia="宋体"/>
          <w:sz w:val="24"/>
          <w:szCs w:val="24"/>
          <w:highlight w:val="none"/>
        </w:rPr>
        <w:t>个区，分区编号1</w:t>
      </w:r>
      <w:r>
        <w:rPr>
          <w:rFonts w:hint="eastAsia" w:ascii="Times New Roman" w:eastAsia="宋体"/>
          <w:sz w:val="24"/>
          <w:szCs w:val="24"/>
          <w:highlight w:val="none"/>
          <w:lang w:eastAsia="zh-CN"/>
        </w:rPr>
        <w:t>、</w:t>
      </w:r>
      <w:r>
        <w:rPr>
          <w:rFonts w:ascii="Times New Roman" w:eastAsia="宋体"/>
          <w:sz w:val="24"/>
          <w:szCs w:val="24"/>
          <w:highlight w:val="none"/>
        </w:rPr>
        <w:t>2，分区示意图见下图所示。</w:t>
      </w:r>
      <w:r>
        <w:rPr>
          <w:rFonts w:hint="eastAsia" w:ascii="Times New Roman" w:eastAsia="宋体"/>
          <w:sz w:val="24"/>
          <w:szCs w:val="24"/>
          <w:highlight w:val="none"/>
          <w:lang w:val="en-US" w:eastAsia="zh-CN"/>
        </w:rPr>
        <w:t>根据</w:t>
      </w:r>
      <w:r>
        <w:rPr>
          <w:rFonts w:hint="eastAsia"/>
          <w:sz w:val="24"/>
          <w:szCs w:val="24"/>
          <w:highlight w:val="none"/>
          <w:lang w:val="en-US" w:eastAsia="zh-CN"/>
        </w:rPr>
        <w:t>抽水实验结果，</w:t>
      </w:r>
      <w:r>
        <w:rPr>
          <w:rFonts w:hint="eastAsia" w:ascii="Times New Roman" w:eastAsia="宋体"/>
          <w:sz w:val="24"/>
          <w:szCs w:val="24"/>
          <w:highlight w:val="none"/>
          <w:lang w:val="en-US" w:eastAsia="zh-CN"/>
        </w:rPr>
        <w:t>确定</w:t>
      </w:r>
      <w:r>
        <w:rPr>
          <w:rFonts w:ascii="Times New Roman" w:eastAsia="宋体"/>
          <w:sz w:val="24"/>
          <w:szCs w:val="24"/>
          <w:highlight w:val="none"/>
        </w:rPr>
        <w:t>1号水平渗透系数为</w:t>
      </w:r>
      <w:r>
        <w:rPr>
          <w:rFonts w:hint="eastAsia"/>
          <w:sz w:val="24"/>
          <w:szCs w:val="24"/>
          <w:highlight w:val="none"/>
          <w:lang w:val="en-US" w:eastAsia="zh-CN"/>
        </w:rPr>
        <w:t>40.06m/d；</w:t>
      </w:r>
      <w:r>
        <w:rPr>
          <w:rFonts w:hint="eastAsia" w:ascii="Times New Roman" w:eastAsia="宋体"/>
          <w:sz w:val="24"/>
          <w:szCs w:val="24"/>
          <w:highlight w:val="none"/>
          <w:lang w:val="en-US" w:eastAsia="zh-CN"/>
        </w:rPr>
        <w:t>根据经验值</w:t>
      </w:r>
      <w:r>
        <w:rPr>
          <w:rFonts w:hint="eastAsia"/>
          <w:sz w:val="24"/>
          <w:szCs w:val="24"/>
          <w:highlight w:val="none"/>
          <w:lang w:val="en-US" w:eastAsia="zh-CN"/>
        </w:rPr>
        <w:t>确定</w:t>
      </w:r>
      <w:r>
        <w:rPr>
          <w:rFonts w:ascii="Times New Roman" w:eastAsia="宋体"/>
          <w:sz w:val="24"/>
          <w:szCs w:val="24"/>
          <w:highlight w:val="none"/>
        </w:rPr>
        <w:t>2号水平渗透系数为</w:t>
      </w:r>
      <w:r>
        <w:rPr>
          <w:rFonts w:hint="eastAsia"/>
          <w:sz w:val="24"/>
          <w:szCs w:val="24"/>
          <w:highlight w:val="none"/>
          <w:lang w:val="en-US" w:eastAsia="zh-CN"/>
        </w:rPr>
        <w:t>0.085</w:t>
      </w:r>
      <w:r>
        <w:rPr>
          <w:rFonts w:ascii="Times New Roman" w:eastAsia="宋体"/>
          <w:sz w:val="24"/>
          <w:szCs w:val="24"/>
          <w:highlight w:val="none"/>
        </w:rPr>
        <w:t>m/d，水平与竖直渗透系数比值为4。</w:t>
      </w:r>
    </w:p>
    <w:p w14:paraId="7E93BFEC">
      <w:pPr>
        <w:pStyle w:val="57"/>
        <w:adjustRightInd w:val="0"/>
        <w:snapToGrid w:val="0"/>
        <w:spacing w:after="0" w:line="240" w:lineRule="auto"/>
        <w:ind w:left="0" w:leftChars="0" w:firstLine="0" w:firstLineChars="0"/>
        <w:jc w:val="center"/>
        <w:rPr>
          <w:rFonts w:ascii="Times New Roman"/>
          <w:highlight w:val="none"/>
        </w:rPr>
      </w:pPr>
      <w:r>
        <w:rPr>
          <w:sz w:val="24"/>
          <w:highlight w:val="none"/>
        </w:rPr>
        <mc:AlternateContent>
          <mc:Choice Requires="wps">
            <w:drawing>
              <wp:anchor distT="0" distB="0" distL="114300" distR="114300" simplePos="0" relativeHeight="251664384" behindDoc="0" locked="0" layoutInCell="1" allowOverlap="1">
                <wp:simplePos x="0" y="0"/>
                <wp:positionH relativeFrom="column">
                  <wp:posOffset>1990725</wp:posOffset>
                </wp:positionH>
                <wp:positionV relativeFrom="paragraph">
                  <wp:posOffset>1628775</wp:posOffset>
                </wp:positionV>
                <wp:extent cx="160020" cy="246380"/>
                <wp:effectExtent l="0" t="0" r="7620" b="12700"/>
                <wp:wrapNone/>
                <wp:docPr id="36" name="文本框 36"/>
                <wp:cNvGraphicFramePr/>
                <a:graphic xmlns:a="http://schemas.openxmlformats.org/drawingml/2006/main">
                  <a:graphicData uri="http://schemas.microsoft.com/office/word/2010/wordprocessingShape">
                    <wps:wsp>
                      <wps:cNvSpPr txBox="1"/>
                      <wps:spPr>
                        <a:xfrm>
                          <a:off x="3837305" y="3385185"/>
                          <a:ext cx="160020" cy="2463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0744D46">
                            <w:pPr>
                              <w:jc w:val="center"/>
                              <w:rPr>
                                <w:rFonts w:hint="eastAsia" w:eastAsia="宋体"/>
                                <w:sz w:val="20"/>
                                <w:szCs w:val="20"/>
                                <w:lang w:val="en-US" w:eastAsia="zh-CN"/>
                              </w:rPr>
                            </w:pPr>
                            <w:r>
                              <w:rPr>
                                <w:rFonts w:hint="eastAsia"/>
                                <w:sz w:val="20"/>
                                <w:szCs w:val="20"/>
                                <w:lang w:val="en-US" w:eastAsia="zh-CN"/>
                              </w:rPr>
                              <w:t>1</w:t>
                            </w:r>
                          </w:p>
                        </w:txbxContent>
                      </wps:txbx>
                      <wps:bodyPr rot="0" spcFirstLastPara="0" vertOverflow="overflow" horzOverflow="overflow" vert="horz" wrap="square" lIns="36000" tIns="36000" rIns="3600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75pt;margin-top:128.25pt;height:19.4pt;width:12.6pt;z-index:251664384;mso-width-relative:page;mso-height-relative:page;" fillcolor="#FFFFFF [3201]" filled="t" stroked="f" coordsize="21600,21600" o:gfxdata="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7IshDbAAAACwEAAA8AAAAAAAAAAQAgAAAAIgAAAGRycy9kb3ducmV2LnhtbFBLAQIUABQAAAAI&#10;AIdO4kBWHKHDXAIAAJwEAAAOAAAAAAAAAAEAIAAAACoBAABkcnMvZTJvRG9jLnhtbFBLBQYAAAAA&#10;BgAGAFkBAAD4BQAAAAA=&#10;">
                <v:fill on="t" focussize="0,0"/>
                <v:stroke on="f" weight="0.5pt"/>
                <v:imagedata o:title=""/>
                <o:lock v:ext="edit" aspectratio="f"/>
                <v:textbox inset="1mm,1mm,1mm,1.27mm">
                  <w:txbxContent>
                    <w:p w14:paraId="60744D46">
                      <w:pPr>
                        <w:jc w:val="center"/>
                        <w:rPr>
                          <w:rFonts w:hint="eastAsia" w:eastAsia="宋体"/>
                          <w:sz w:val="20"/>
                          <w:szCs w:val="20"/>
                          <w:lang w:val="en-US" w:eastAsia="zh-CN"/>
                        </w:rPr>
                      </w:pPr>
                      <w:r>
                        <w:rPr>
                          <w:rFonts w:hint="eastAsia"/>
                          <w:sz w:val="20"/>
                          <w:szCs w:val="20"/>
                          <w:lang w:val="en-US" w:eastAsia="zh-CN"/>
                        </w:rPr>
                        <w:t>1</w:t>
                      </w:r>
                    </w:p>
                  </w:txbxContent>
                </v:textbox>
              </v:shape>
            </w:pict>
          </mc:Fallback>
        </mc:AlternateContent>
      </w:r>
      <w:r>
        <w:rPr>
          <w:sz w:val="24"/>
          <w:highlight w:val="none"/>
        </w:rPr>
        <w:drawing>
          <wp:inline distT="0" distB="0" distL="114300" distR="114300">
            <wp:extent cx="5274310" cy="2903220"/>
            <wp:effectExtent l="0" t="0" r="13970" b="7620"/>
            <wp:docPr id="22" name="图片 22" descr="分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分区"/>
                    <pic:cNvPicPr>
                      <a:picLocks noChangeAspect="1"/>
                    </pic:cNvPicPr>
                  </pic:nvPicPr>
                  <pic:blipFill>
                    <a:blip r:embed="rId57"/>
                    <a:stretch>
                      <a:fillRect/>
                    </a:stretch>
                  </pic:blipFill>
                  <pic:spPr>
                    <a:xfrm>
                      <a:off x="0" y="0"/>
                      <a:ext cx="5274310" cy="2903220"/>
                    </a:xfrm>
                    <a:prstGeom prst="rect">
                      <a:avLst/>
                    </a:prstGeom>
                  </pic:spPr>
                </pic:pic>
              </a:graphicData>
            </a:graphic>
          </wp:inline>
        </w:drawing>
      </w:r>
      <w:r>
        <w:rPr>
          <w:sz w:val="24"/>
          <w:highlight w:val="none"/>
        </w:rPr>
        <mc:AlternateContent>
          <mc:Choice Requires="wps">
            <w:drawing>
              <wp:anchor distT="0" distB="0" distL="114300" distR="114300" simplePos="0" relativeHeight="251670528" behindDoc="0" locked="0" layoutInCell="1" allowOverlap="1">
                <wp:simplePos x="0" y="0"/>
                <wp:positionH relativeFrom="column">
                  <wp:posOffset>243840</wp:posOffset>
                </wp:positionH>
                <wp:positionV relativeFrom="paragraph">
                  <wp:posOffset>1917700</wp:posOffset>
                </wp:positionV>
                <wp:extent cx="160020" cy="273685"/>
                <wp:effectExtent l="0" t="0" r="7620" b="635"/>
                <wp:wrapNone/>
                <wp:docPr id="25" name="文本框 25"/>
                <wp:cNvGraphicFramePr/>
                <a:graphic xmlns:a="http://schemas.openxmlformats.org/drawingml/2006/main">
                  <a:graphicData uri="http://schemas.microsoft.com/office/word/2010/wordprocessingShape">
                    <wps:wsp>
                      <wps:cNvSpPr txBox="1"/>
                      <wps:spPr>
                        <a:xfrm>
                          <a:off x="0" y="0"/>
                          <a:ext cx="160020" cy="2736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4CC5640">
                            <w:pPr>
                              <w:jc w:val="center"/>
                              <w:rPr>
                                <w:rFonts w:hint="default" w:eastAsia="宋体"/>
                                <w:sz w:val="20"/>
                                <w:szCs w:val="20"/>
                                <w:lang w:val="en-US" w:eastAsia="zh-CN"/>
                              </w:rPr>
                            </w:pPr>
                            <w:r>
                              <w:rPr>
                                <w:rFonts w:hint="eastAsia"/>
                                <w:sz w:val="20"/>
                                <w:szCs w:val="20"/>
                                <w:lang w:val="en-US" w:eastAsia="zh-CN"/>
                              </w:rPr>
                              <w:t>2</w:t>
                            </w:r>
                          </w:p>
                        </w:txbxContent>
                      </wps:txbx>
                      <wps:bodyPr rot="0" spcFirstLastPara="0" vertOverflow="overflow" horzOverflow="overflow" vert="horz" wrap="square" lIns="36000" tIns="36000" rIns="3600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pt;margin-top:151pt;height:21.55pt;width:12.6pt;z-index:251670528;mso-width-relative:page;mso-height-relative:page;" fillcolor="#FFFFFF [3201]" filled="t" stroked="f" coordsize="21600,21600" o:gfxdata="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VybSZ2gAAAAkBAAAP&#10;AAAAAAAAAAEAIAAAACIAAABkcnMvZG93bnJldi54bWxQSwECFAAUAAAACACHTuJA1LmJLU8CAACQ&#10;BAAADgAAAAAAAAABACAAAAApAQAAZHJzL2Uyb0RvYy54bWxQSwUGAAAAAAYABgBZAQAA6gUAAAAA&#10;">
                <v:fill on="t" focussize="0,0"/>
                <v:stroke on="f" weight="0.5pt"/>
                <v:imagedata o:title=""/>
                <o:lock v:ext="edit" aspectratio="f"/>
                <v:textbox inset="1mm,1mm,1mm,1.27mm">
                  <w:txbxContent>
                    <w:p w14:paraId="24CC5640">
                      <w:pPr>
                        <w:jc w:val="center"/>
                        <w:rPr>
                          <w:rFonts w:hint="default" w:eastAsia="宋体"/>
                          <w:sz w:val="20"/>
                          <w:szCs w:val="20"/>
                          <w:lang w:val="en-US" w:eastAsia="zh-CN"/>
                        </w:rPr>
                      </w:pPr>
                      <w:r>
                        <w:rPr>
                          <w:rFonts w:hint="eastAsia"/>
                          <w:sz w:val="20"/>
                          <w:szCs w:val="20"/>
                          <w:lang w:val="en-US" w:eastAsia="zh-CN"/>
                        </w:rPr>
                        <w:t>2</w:t>
                      </w:r>
                    </w:p>
                  </w:txbxContent>
                </v:textbox>
              </v:shape>
            </w:pict>
          </mc:Fallback>
        </mc:AlternateContent>
      </w:r>
      <w:r>
        <w:rPr>
          <w:sz w:val="24"/>
          <w:highlight w:val="none"/>
        </w:rPr>
        <mc:AlternateContent>
          <mc:Choice Requires="wps">
            <w:drawing>
              <wp:anchor distT="0" distB="0" distL="114300" distR="114300" simplePos="0" relativeHeight="251663360" behindDoc="0" locked="0" layoutInCell="1" allowOverlap="1">
                <wp:simplePos x="0" y="0"/>
                <wp:positionH relativeFrom="column">
                  <wp:posOffset>3313430</wp:posOffset>
                </wp:positionH>
                <wp:positionV relativeFrom="paragraph">
                  <wp:posOffset>650240</wp:posOffset>
                </wp:positionV>
                <wp:extent cx="393065" cy="276225"/>
                <wp:effectExtent l="0" t="0" r="0" b="0"/>
                <wp:wrapNone/>
                <wp:docPr id="49" name="任意多边形 49"/>
                <wp:cNvGraphicFramePr/>
                <a:graphic xmlns:a="http://schemas.openxmlformats.org/drawingml/2006/main">
                  <a:graphicData uri="http://schemas.microsoft.com/office/word/2010/wordprocessingShape">
                    <wps:wsp>
                      <wps:cNvSpPr/>
                      <wps:spPr>
                        <a:xfrm>
                          <a:off x="0" y="0"/>
                          <a:ext cx="393065" cy="276225"/>
                        </a:xfrm>
                        <a:custGeom>
                          <a:avLst/>
                          <a:gdLst/>
                          <a:ahLst/>
                          <a:cxnLst/>
                          <a:pathLst>
                            <a:path w="619" h="435">
                              <a:moveTo>
                                <a:pt x="0" y="0"/>
                              </a:moveTo>
                              <a:cubicBezTo>
                                <a:pt x="19" y="15"/>
                                <a:pt x="63" y="53"/>
                                <a:pt x="104" y="80"/>
                              </a:cubicBezTo>
                              <a:cubicBezTo>
                                <a:pt x="145" y="107"/>
                                <a:pt x="166" y="107"/>
                                <a:pt x="207" y="135"/>
                              </a:cubicBezTo>
                              <a:cubicBezTo>
                                <a:pt x="248" y="163"/>
                                <a:pt x="269" y="188"/>
                                <a:pt x="311" y="222"/>
                              </a:cubicBezTo>
                              <a:cubicBezTo>
                                <a:pt x="353" y="256"/>
                                <a:pt x="373" y="285"/>
                                <a:pt x="415" y="307"/>
                              </a:cubicBezTo>
                              <a:cubicBezTo>
                                <a:pt x="457" y="329"/>
                                <a:pt x="478" y="304"/>
                                <a:pt x="519" y="330"/>
                              </a:cubicBezTo>
                              <a:cubicBezTo>
                                <a:pt x="560" y="356"/>
                                <a:pt x="601" y="414"/>
                                <a:pt x="619" y="435"/>
                              </a:cubicBezTo>
                            </a:path>
                          </a:pathLst>
                        </a:custGeom>
                        <a:noFill/>
                        <a:ln>
                          <a:noFill/>
                        </a:ln>
                      </wps:spPr>
                      <wps:bodyPr upright="1"/>
                    </wps:wsp>
                  </a:graphicData>
                </a:graphic>
              </wp:anchor>
            </w:drawing>
          </mc:Choice>
          <mc:Fallback>
            <w:pict>
              <v:shape id="_x0000_s1026" o:spid="_x0000_s1026" o:spt="100" style="position:absolute;left:0pt;margin-left:260.9pt;margin-top:51.2pt;height:21.75pt;width:30.95pt;z-index:251663360;mso-width-relative:page;mso-height-relative:page;" filled="f" stroked="f" coordsize="619,435" o:gfxdata="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eXMFf2gAAAAsBAAAPAAAAAAAA&#10;AAEAIAAAACIAAABkcnMvZG93bnJldi54bWxQSwECFAAUAAAACACHTuJAPR5NI4ICAAD6BQAADgAA&#10;AAAAAAABACAAAAApAQAAZHJzL2Uyb0RvYy54bWxQSwUGAAAAAAYABgBZAQAAHQYAAAAA&#10;" path="m0,0c19,15,63,53,104,80c145,107,166,107,207,135c248,163,269,188,311,222c353,256,373,285,415,307c457,329,478,304,519,330c560,356,601,414,619,435e">
                <v:fill on="f" focussize="0,0"/>
                <v:stroke on="f"/>
                <v:imagedata o:title=""/>
                <o:lock v:ext="edit" aspectratio="f"/>
              </v:shape>
            </w:pict>
          </mc:Fallback>
        </mc:AlternateContent>
      </w:r>
      <w:r>
        <w:rPr>
          <w:rFonts w:ascii="Times New Roman"/>
          <w:highlight w:val="none"/>
        </w:rPr>
        <mc:AlternateContent>
          <mc:Choice Requires="wps">
            <w:drawing>
              <wp:anchor distT="0" distB="0" distL="114300" distR="114300" simplePos="0" relativeHeight="251662336" behindDoc="0" locked="0" layoutInCell="1" allowOverlap="1">
                <wp:simplePos x="0" y="0"/>
                <wp:positionH relativeFrom="column">
                  <wp:posOffset>4277995</wp:posOffset>
                </wp:positionH>
                <wp:positionV relativeFrom="paragraph">
                  <wp:posOffset>2056130</wp:posOffset>
                </wp:positionV>
                <wp:extent cx="304800" cy="177800"/>
                <wp:effectExtent l="0" t="0" r="0" b="0"/>
                <wp:wrapNone/>
                <wp:docPr id="47" name="圆角矩形标注 47"/>
                <wp:cNvGraphicFramePr/>
                <a:graphic xmlns:a="http://schemas.openxmlformats.org/drawingml/2006/main">
                  <a:graphicData uri="http://schemas.microsoft.com/office/word/2010/wordprocessingShape">
                    <wps:wsp>
                      <wps:cNvSpPr/>
                      <wps:spPr>
                        <a:xfrm>
                          <a:off x="0" y="0"/>
                          <a:ext cx="304800" cy="177800"/>
                        </a:xfrm>
                        <a:prstGeom prst="wedgeRoundRectCallout">
                          <a:avLst>
                            <a:gd name="adj1" fmla="val -28333"/>
                            <a:gd name="adj2" fmla="val 31069"/>
                            <a:gd name="adj3" fmla="val 16667"/>
                          </a:avLst>
                        </a:prstGeom>
                        <a:noFill/>
                        <a:ln>
                          <a:noFill/>
                        </a:ln>
                      </wps:spPr>
                      <wps:txbx>
                        <w:txbxContent>
                          <w:p w14:paraId="66E3B153">
                            <w:pPr>
                              <w:jc w:val="center"/>
                              <w:rPr>
                                <w:rFonts w:hint="eastAsia"/>
                                <w:color w:val="FFFFFF"/>
                              </w:rPr>
                            </w:pPr>
                          </w:p>
                        </w:txbxContent>
                      </wps:txbx>
                      <wps:bodyPr lIns="0" tIns="0" rIns="0" bIns="0" upright="1"/>
                    </wps:wsp>
                  </a:graphicData>
                </a:graphic>
              </wp:anchor>
            </w:drawing>
          </mc:Choice>
          <mc:Fallback>
            <w:pict>
              <v:shape id="_x0000_s1026" o:spid="_x0000_s1026" o:spt="62" type="#_x0000_t62" style="position:absolute;left:0pt;margin-left:336.85pt;margin-top:161.9pt;height:14pt;width:24pt;z-index:251662336;mso-width-relative:page;mso-height-relative:page;" filled="f" stroked="f" coordsize="21600,21600" o:gfxdata="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UUCWo2AAAAAsBAAAPAAAAAAAAAAEAIAAAACIAAABkcnMvZG93&#10;bnJldi54bWxQSwECFAAUAAAACACHTuJAIkeSdAACAAD5AwAADgAAAAAAAAABACAAAAAnAQAAZHJz&#10;L2Uyb0RvYy54bWxQSwUGAAAAAAYABgBZAQAAmQUAAAAA&#10;" adj="4680,17511,14400">
                <v:fill on="f" focussize="0,0"/>
                <v:stroke on="f"/>
                <v:imagedata o:title=""/>
                <o:lock v:ext="edit" aspectratio="f"/>
                <v:textbox inset="0mm,0mm,0mm,0mm">
                  <w:txbxContent>
                    <w:p w14:paraId="66E3B153">
                      <w:pPr>
                        <w:jc w:val="center"/>
                        <w:rPr>
                          <w:rFonts w:hint="eastAsia"/>
                          <w:color w:val="FFFFFF"/>
                        </w:rPr>
                      </w:pPr>
                    </w:p>
                  </w:txbxContent>
                </v:textbox>
              </v:shape>
            </w:pict>
          </mc:Fallback>
        </mc:AlternateContent>
      </w:r>
      <w:r>
        <w:rPr>
          <w:rFonts w:ascii="Times New Roman"/>
          <w:highlight w:val="none"/>
        </w:rPr>
        <mc:AlternateContent>
          <mc:Choice Requires="wps">
            <w:drawing>
              <wp:anchor distT="0" distB="0" distL="114300" distR="114300" simplePos="0" relativeHeight="251660288" behindDoc="0" locked="0" layoutInCell="1" allowOverlap="1">
                <wp:simplePos x="0" y="0"/>
                <wp:positionH relativeFrom="column">
                  <wp:posOffset>4152900</wp:posOffset>
                </wp:positionH>
                <wp:positionV relativeFrom="paragraph">
                  <wp:posOffset>1718945</wp:posOffset>
                </wp:positionV>
                <wp:extent cx="304800" cy="177800"/>
                <wp:effectExtent l="0" t="0" r="0" b="0"/>
                <wp:wrapNone/>
                <wp:docPr id="65" name="圆角矩形标注 65"/>
                <wp:cNvGraphicFramePr/>
                <a:graphic xmlns:a="http://schemas.openxmlformats.org/drawingml/2006/main">
                  <a:graphicData uri="http://schemas.microsoft.com/office/word/2010/wordprocessingShape">
                    <wps:wsp>
                      <wps:cNvSpPr/>
                      <wps:spPr>
                        <a:xfrm>
                          <a:off x="0" y="0"/>
                          <a:ext cx="304800" cy="177800"/>
                        </a:xfrm>
                        <a:prstGeom prst="wedgeRoundRectCallout">
                          <a:avLst>
                            <a:gd name="adj1" fmla="val -28333"/>
                            <a:gd name="adj2" fmla="val 31069"/>
                            <a:gd name="adj3" fmla="val 16667"/>
                          </a:avLst>
                        </a:prstGeom>
                        <a:noFill/>
                        <a:ln>
                          <a:noFill/>
                        </a:ln>
                      </wps:spPr>
                      <wps:txbx>
                        <w:txbxContent>
                          <w:p w14:paraId="5E34B7ED">
                            <w:pPr>
                              <w:rPr>
                                <w:color w:val="FFFFFF"/>
                              </w:rPr>
                            </w:pPr>
                          </w:p>
                        </w:txbxContent>
                      </wps:txbx>
                      <wps:bodyPr lIns="0" tIns="0" rIns="0" bIns="0" upright="1"/>
                    </wps:wsp>
                  </a:graphicData>
                </a:graphic>
              </wp:anchor>
            </w:drawing>
          </mc:Choice>
          <mc:Fallback>
            <w:pict>
              <v:shape id="_x0000_s1026" o:spid="_x0000_s1026" o:spt="62" type="#_x0000_t62" style="position:absolute;left:0pt;margin-left:327pt;margin-top:135.35pt;height:14pt;width:24pt;z-index:251660288;mso-width-relative:page;mso-height-relative:page;" filled="f" stroked="f" coordsize="21600,21600" o:gfxdata="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0JxVdkAAAALAQAADwAAAAAAAAABACAAAAAiAAAAZHJzL2Rv&#10;d25yZXYueG1sUEsBAhQAFAAAAAgAh07iQHQo9I8AAgAA+QMAAA4AAAAAAAAAAQAgAAAAKAEAAGRy&#10;cy9lMm9Eb2MueG1sUEsFBgAAAAAGAAYAWQEAAJoFAAAAAA==&#10;" adj="4680,17511,14400">
                <v:fill on="f" focussize="0,0"/>
                <v:stroke on="f"/>
                <v:imagedata o:title=""/>
                <o:lock v:ext="edit" aspectratio="f"/>
                <v:textbox inset="0mm,0mm,0mm,0mm">
                  <w:txbxContent>
                    <w:p w14:paraId="5E34B7ED">
                      <w:pPr>
                        <w:rPr>
                          <w:color w:val="FFFFFF"/>
                        </w:rPr>
                      </w:pPr>
                    </w:p>
                  </w:txbxContent>
                </v:textbox>
              </v:shape>
            </w:pict>
          </mc:Fallback>
        </mc:AlternateContent>
      </w:r>
      <w:r>
        <w:rPr>
          <w:rFonts w:ascii="Times New Roman"/>
          <w:highlight w:val="none"/>
        </w:rPr>
        <mc:AlternateContent>
          <mc:Choice Requires="wps">
            <w:drawing>
              <wp:anchor distT="0" distB="0" distL="114300" distR="114300" simplePos="0" relativeHeight="251661312" behindDoc="0" locked="0" layoutInCell="1" allowOverlap="1">
                <wp:simplePos x="0" y="0"/>
                <wp:positionH relativeFrom="column">
                  <wp:posOffset>2051050</wp:posOffset>
                </wp:positionH>
                <wp:positionV relativeFrom="paragraph">
                  <wp:posOffset>1332865</wp:posOffset>
                </wp:positionV>
                <wp:extent cx="304800" cy="177800"/>
                <wp:effectExtent l="0" t="0" r="0" b="0"/>
                <wp:wrapNone/>
                <wp:docPr id="54" name="圆角矩形标注 54"/>
                <wp:cNvGraphicFramePr/>
                <a:graphic xmlns:a="http://schemas.openxmlformats.org/drawingml/2006/main">
                  <a:graphicData uri="http://schemas.microsoft.com/office/word/2010/wordprocessingShape">
                    <wps:wsp>
                      <wps:cNvSpPr/>
                      <wps:spPr>
                        <a:xfrm>
                          <a:off x="0" y="0"/>
                          <a:ext cx="304800" cy="177800"/>
                        </a:xfrm>
                        <a:prstGeom prst="wedgeRoundRectCallout">
                          <a:avLst>
                            <a:gd name="adj1" fmla="val 24792"/>
                            <a:gd name="adj2" fmla="val 36787"/>
                            <a:gd name="adj3" fmla="val 16667"/>
                          </a:avLst>
                        </a:prstGeom>
                        <a:noFill/>
                        <a:ln>
                          <a:noFill/>
                        </a:ln>
                      </wps:spPr>
                      <wps:txbx>
                        <w:txbxContent>
                          <w:p w14:paraId="050CABEB">
                            <w:pPr>
                              <w:jc w:val="center"/>
                              <w:rPr>
                                <w:color w:val="FFFFFF"/>
                              </w:rPr>
                            </w:pPr>
                          </w:p>
                        </w:txbxContent>
                      </wps:txbx>
                      <wps:bodyPr lIns="0" tIns="0" rIns="0" bIns="0" upright="1"/>
                    </wps:wsp>
                  </a:graphicData>
                </a:graphic>
              </wp:anchor>
            </w:drawing>
          </mc:Choice>
          <mc:Fallback>
            <w:pict>
              <v:shape id="_x0000_s1026" o:spid="_x0000_s1026" o:spt="62" type="#_x0000_t62" style="position:absolute;left:0pt;margin-left:161.5pt;margin-top:104.95pt;height:14pt;width:24pt;z-index:251661312;mso-width-relative:page;mso-height-relative:page;" filled="f" stroked="f" coordsize="21600,21600" o:gfxdata="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xV/rTZAAAACwEAAA8AAAAAAAAAAQAgAAAAIgAAAGRycy9k&#10;b3ducmV2LnhtbFBLAQIUABQAAAAIAIdO4kCqU2PpAQIAAPgDAAAOAAAAAAAAAAEAIAAAACgBAABk&#10;cnMvZTJvRG9jLnhtbFBLBQYAAAAABgAGAFkBAACbBQAAAAA=&#10;" adj="16155,18746,14400">
                <v:fill on="f" focussize="0,0"/>
                <v:stroke on="f"/>
                <v:imagedata o:title=""/>
                <o:lock v:ext="edit" aspectratio="f"/>
                <v:textbox inset="0mm,0mm,0mm,0mm">
                  <w:txbxContent>
                    <w:p w14:paraId="050CABEB">
                      <w:pPr>
                        <w:jc w:val="center"/>
                        <w:rPr>
                          <w:color w:val="FFFFFF"/>
                        </w:rPr>
                      </w:pPr>
                    </w:p>
                  </w:txbxContent>
                </v:textbox>
              </v:shape>
            </w:pict>
          </mc:Fallback>
        </mc:AlternateContent>
      </w:r>
    </w:p>
    <w:p w14:paraId="235EF7B5">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ascii="Times New Roman" w:eastAsia="宋体"/>
          <w:b/>
          <w:sz w:val="21"/>
          <w:highlight w:val="none"/>
        </w:rPr>
        <w:t>参数分区图</w:t>
      </w:r>
    </w:p>
    <w:p w14:paraId="085C341B">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ascii="Times New Roman"/>
          <w:highlight w:val="none"/>
        </w:rPr>
      </w:pPr>
      <w:r>
        <w:rPr>
          <w:rFonts w:ascii="Times New Roman" w:eastAsia="宋体"/>
          <w:highlight w:val="none"/>
        </w:rPr>
        <w:t>（3）模拟区域地下水流场</w:t>
      </w:r>
    </w:p>
    <w:p w14:paraId="7FE5E18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highlight w:val="none"/>
          <w:lang w:val="en-US" w:eastAsia="zh-CN"/>
        </w:rPr>
      </w:pPr>
      <w:r>
        <w:rPr>
          <w:rFonts w:ascii="Times New Roman" w:eastAsia="宋体"/>
          <w:highlight w:val="none"/>
        </w:rPr>
        <w:t>根据导则要求，结合模拟含水层的岩性特征及相关调查资料，通过采用GMS10.1模拟系统，对地下水流场进行建模，评价范围内模拟等水位线图如下图所示</w:t>
      </w:r>
      <w:r>
        <w:rPr>
          <w:rFonts w:hint="eastAsia"/>
          <w:highlight w:val="none"/>
          <w:lang w:val="en-US" w:eastAsia="zh-CN"/>
        </w:rPr>
        <w:t>：</w:t>
      </w:r>
    </w:p>
    <w:p w14:paraId="7B9088F4">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eastAsia="宋体"/>
          <w:b/>
          <w:sz w:val="21"/>
          <w:highlight w:val="none"/>
          <w:lang w:eastAsia="zh-CN"/>
        </w:rPr>
      </w:pPr>
      <w:r>
        <w:rPr>
          <w:highlight w:val="none"/>
        </w:rPr>
        <w:drawing>
          <wp:anchor distT="0" distB="0" distL="114300" distR="114300" simplePos="0" relativeHeight="251667456" behindDoc="0" locked="0" layoutInCell="1" allowOverlap="1">
            <wp:simplePos x="0" y="0"/>
            <wp:positionH relativeFrom="column">
              <wp:posOffset>40005</wp:posOffset>
            </wp:positionH>
            <wp:positionV relativeFrom="paragraph">
              <wp:posOffset>29210</wp:posOffset>
            </wp:positionV>
            <wp:extent cx="167640" cy="574675"/>
            <wp:effectExtent l="0" t="0" r="3810" b="15875"/>
            <wp:wrapNone/>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58"/>
                    <a:stretch>
                      <a:fillRect/>
                    </a:stretch>
                  </pic:blipFill>
                  <pic:spPr>
                    <a:xfrm>
                      <a:off x="0" y="0"/>
                      <a:ext cx="167640" cy="574675"/>
                    </a:xfrm>
                    <a:prstGeom prst="rect">
                      <a:avLst/>
                    </a:prstGeom>
                    <a:noFill/>
                    <a:ln>
                      <a:noFill/>
                    </a:ln>
                  </pic:spPr>
                </pic:pic>
              </a:graphicData>
            </a:graphic>
          </wp:anchor>
        </w:drawing>
      </w:r>
      <w:r>
        <w:rPr>
          <w:highlight w:val="none"/>
        </w:rPr>
        <w:drawing>
          <wp:inline distT="0" distB="0" distL="114300" distR="114300">
            <wp:extent cx="5107940" cy="2805430"/>
            <wp:effectExtent l="0" t="0" r="12700" b="1397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59"/>
                    <a:stretch>
                      <a:fillRect/>
                    </a:stretch>
                  </pic:blipFill>
                  <pic:spPr>
                    <a:xfrm>
                      <a:off x="0" y="0"/>
                      <a:ext cx="5107940" cy="2805430"/>
                    </a:xfrm>
                    <a:prstGeom prst="rect">
                      <a:avLst/>
                    </a:prstGeom>
                    <a:noFill/>
                    <a:ln>
                      <a:noFill/>
                    </a:ln>
                  </pic:spPr>
                </pic:pic>
              </a:graphicData>
            </a:graphic>
          </wp:inline>
        </w:drawing>
      </w:r>
    </w:p>
    <w:p w14:paraId="42FB2B17">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ascii="Times New Roman" w:eastAsia="宋体"/>
          <w:b/>
          <w:sz w:val="21"/>
          <w:highlight w:val="none"/>
        </w:rPr>
        <w:t>模拟区流场图</w:t>
      </w:r>
    </w:p>
    <w:p w14:paraId="7FC19644">
      <w:pPr>
        <w:pStyle w:val="7"/>
        <w:adjustRightInd w:val="0"/>
        <w:snapToGrid w:val="0"/>
        <w:spacing w:before="120" w:beforeLines="50" w:after="0" w:line="360" w:lineRule="auto"/>
        <w:rPr>
          <w:rFonts w:ascii="Times New Roman" w:hAnsi="Times New Roman" w:eastAsia="宋体"/>
          <w:sz w:val="24"/>
          <w:szCs w:val="24"/>
          <w:highlight w:val="none"/>
        </w:rPr>
      </w:pPr>
      <w:r>
        <w:rPr>
          <w:rFonts w:ascii="Times New Roman" w:hAnsi="Times New Roman" w:eastAsia="宋体"/>
          <w:sz w:val="24"/>
          <w:szCs w:val="24"/>
          <w:highlight w:val="none"/>
        </w:rPr>
        <w:t>地下水溶质运移数值模拟</w:t>
      </w:r>
    </w:p>
    <w:p w14:paraId="762560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（1）水溶质运移数值模型</w:t>
      </w:r>
    </w:p>
    <w:p w14:paraId="00F8218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溶质求解过程利用GMS软件中的MT3DMS模块。溶质运移模拟过程中，根据边界处流量及地下水溶质浓度的大小，确定溶质通量。</w:t>
      </w:r>
    </w:p>
    <w:p w14:paraId="213A338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（2）参数确定原则</w:t>
      </w:r>
    </w:p>
    <w:p w14:paraId="1CA85C9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sz w:val="24"/>
          <w:szCs w:val="24"/>
          <w:highlight w:val="none"/>
        </w:rPr>
        <w:t>本次地下水污染模拟过程未考虑污染物在含水层中的吸附、挥发、生物化学反应，模型中各项参数予以保守性考虑。</w:t>
      </w:r>
    </w:p>
    <w:p w14:paraId="6CB7E9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hint="eastAsia" w:ascii="Times New Roman" w:eastAsia="宋体"/>
          <w:sz w:val="24"/>
          <w:szCs w:val="24"/>
          <w:highlight w:val="none"/>
        </w:rPr>
        <w:t>①</w:t>
      </w:r>
      <w:r>
        <w:rPr>
          <w:rFonts w:ascii="Times New Roman" w:eastAsia="宋体"/>
          <w:sz w:val="24"/>
          <w:szCs w:val="24"/>
          <w:highlight w:val="none"/>
        </w:rPr>
        <w:t>从保守性角度考虑，假设污染质在运移中不与含水层介质发生反应，可以被认为是保守型污染质，只按保守型污染质来计算，即只考虑运移过程中的对流、弥散作用。</w:t>
      </w:r>
    </w:p>
    <w:p w14:paraId="4509C8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hint="eastAsia" w:ascii="Times New Roman" w:eastAsia="宋体"/>
          <w:sz w:val="24"/>
          <w:szCs w:val="24"/>
          <w:highlight w:val="none"/>
        </w:rPr>
        <w:t>②</w:t>
      </w:r>
      <w:r>
        <w:rPr>
          <w:rFonts w:ascii="Times New Roman" w:eastAsia="宋体"/>
          <w:sz w:val="24"/>
          <w:szCs w:val="24"/>
          <w:highlight w:val="none"/>
        </w:rPr>
        <w:t>在国际上有很多用保守型污染物作为模拟因子的环境质量评价的成功实例，保守型考虑符合工程设计的思想。</w:t>
      </w:r>
    </w:p>
    <w:p w14:paraId="09D5F1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ascii="Times New Roman" w:eastAsia="宋体"/>
          <w:bCs/>
          <w:sz w:val="24"/>
          <w:szCs w:val="32"/>
          <w:highlight w:val="none"/>
        </w:rPr>
        <w:t>（3）预测结果</w:t>
      </w:r>
    </w:p>
    <w:p w14:paraId="280D149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sz w:val="24"/>
          <w:szCs w:val="24"/>
          <w:highlight w:val="none"/>
        </w:rPr>
      </w:pPr>
      <w:r>
        <w:rPr>
          <w:rFonts w:hint="eastAsia" w:hAnsi="宋体" w:eastAsia="宋体" w:cs="宋体"/>
          <w:sz w:val="24"/>
          <w:szCs w:val="24"/>
          <w:highlight w:val="none"/>
        </w:rPr>
        <w:t>①</w:t>
      </w:r>
      <w:r>
        <w:rPr>
          <w:rFonts w:ascii="Times New Roman" w:eastAsia="宋体"/>
          <w:sz w:val="24"/>
          <w:szCs w:val="24"/>
          <w:highlight w:val="none"/>
        </w:rPr>
        <w:t>Fe溶质运移结果</w:t>
      </w:r>
    </w:p>
    <w:p w14:paraId="51D347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highlight w:val="none"/>
          <w:lang w:eastAsia="zh-CN"/>
        </w:rPr>
      </w:pPr>
      <w:r>
        <w:rPr>
          <w:rFonts w:ascii="Times New Roman" w:eastAsia="宋体"/>
          <w:sz w:val="24"/>
          <w:szCs w:val="24"/>
          <w:highlight w:val="none"/>
        </w:rPr>
        <w:t>预测Fe在不同的天数下的运移结果</w:t>
      </w:r>
      <w:r>
        <w:rPr>
          <w:rFonts w:hint="eastAsia"/>
          <w:sz w:val="24"/>
          <w:szCs w:val="24"/>
          <w:highlight w:val="none"/>
          <w:lang w:eastAsia="zh-CN"/>
        </w:rPr>
        <w:t>。</w:t>
      </w:r>
    </w:p>
    <w:p w14:paraId="4554D383">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Times New Roman"/>
          <w:sz w:val="24"/>
          <w:szCs w:val="24"/>
          <w:highlight w:val="none"/>
        </w:rPr>
      </w:pPr>
      <w:r>
        <w:rPr>
          <w:highlight w:val="none"/>
        </w:rPr>
        <w:drawing>
          <wp:anchor distT="0" distB="0" distL="114300" distR="114300" simplePos="0" relativeHeight="251672576" behindDoc="0" locked="0" layoutInCell="1" allowOverlap="1">
            <wp:simplePos x="0" y="0"/>
            <wp:positionH relativeFrom="column">
              <wp:posOffset>17780</wp:posOffset>
            </wp:positionH>
            <wp:positionV relativeFrom="paragraph">
              <wp:posOffset>15240</wp:posOffset>
            </wp:positionV>
            <wp:extent cx="213360" cy="662305"/>
            <wp:effectExtent l="0" t="0" r="15240" b="4445"/>
            <wp:wrapNone/>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60"/>
                    <a:stretch>
                      <a:fillRect/>
                    </a:stretch>
                  </pic:blipFill>
                  <pic:spPr>
                    <a:xfrm>
                      <a:off x="0" y="0"/>
                      <a:ext cx="213360" cy="662305"/>
                    </a:xfrm>
                    <a:prstGeom prst="rect">
                      <a:avLst/>
                    </a:prstGeom>
                    <a:noFill/>
                    <a:ln>
                      <a:noFill/>
                    </a:ln>
                  </pic:spPr>
                </pic:pic>
              </a:graphicData>
            </a:graphic>
          </wp:anchor>
        </w:drawing>
      </w:r>
      <w:r>
        <w:rPr>
          <w:highlight w:val="none"/>
        </w:rPr>
        <w:drawing>
          <wp:inline distT="0" distB="0" distL="114300" distR="114300">
            <wp:extent cx="5268595" cy="2901950"/>
            <wp:effectExtent l="0" t="0" r="8255" b="1270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61"/>
                    <a:stretch>
                      <a:fillRect/>
                    </a:stretch>
                  </pic:blipFill>
                  <pic:spPr>
                    <a:xfrm>
                      <a:off x="0" y="0"/>
                      <a:ext cx="5268595" cy="2901950"/>
                    </a:xfrm>
                    <a:prstGeom prst="rect">
                      <a:avLst/>
                    </a:prstGeom>
                    <a:noFill/>
                    <a:ln>
                      <a:noFill/>
                    </a:ln>
                  </pic:spPr>
                </pic:pic>
              </a:graphicData>
            </a:graphic>
          </wp:inline>
        </w:drawing>
      </w:r>
    </w:p>
    <w:p w14:paraId="11176CF3">
      <w:pPr>
        <w:pStyle w:val="323"/>
        <w:keepNext w:val="0"/>
        <w:keepLines w:val="0"/>
        <w:pageBreakBefore w:val="0"/>
        <w:widowControl w:val="0"/>
        <w:numPr>
          <w:ilvl w:val="0"/>
          <w:numId w:val="25"/>
        </w:numPr>
        <w:kinsoku/>
        <w:wordWrap/>
        <w:overflowPunct/>
        <w:topLinePunct w:val="0"/>
        <w:autoSpaceDE/>
        <w:autoSpaceDN/>
        <w:bidi w:val="0"/>
        <w:adjustRightInd w:val="0"/>
        <w:snapToGrid w:val="0"/>
        <w:spacing w:line="360" w:lineRule="auto"/>
        <w:ind w:left="0" w:leftChars="0" w:firstLine="0" w:firstLineChars="0"/>
        <w:jc w:val="center"/>
        <w:textAlignment w:val="auto"/>
        <w:rPr>
          <w:rFonts w:ascii="Times New Roman"/>
          <w:b/>
          <w:sz w:val="21"/>
          <w:highlight w:val="none"/>
        </w:rPr>
      </w:pPr>
      <w:r>
        <w:rPr>
          <w:rFonts w:ascii="Times New Roman" w:eastAsia="宋体"/>
          <w:b/>
          <w:sz w:val="21"/>
          <w:highlight w:val="none"/>
        </w:rPr>
        <w:t>铁运移100</w:t>
      </w:r>
      <w:r>
        <w:rPr>
          <w:rFonts w:hint="eastAsia" w:ascii="Times New Roman" w:eastAsia="宋体"/>
          <w:b/>
          <w:sz w:val="21"/>
          <w:highlight w:val="none"/>
          <w:lang w:val="en-US" w:eastAsia="zh-CN"/>
        </w:rPr>
        <w:t>d</w:t>
      </w:r>
      <w:r>
        <w:rPr>
          <w:rFonts w:ascii="Times New Roman" w:eastAsia="宋体"/>
          <w:b/>
          <w:sz w:val="21"/>
          <w:highlight w:val="none"/>
        </w:rPr>
        <w:t>预测浓度分布图</w:t>
      </w:r>
    </w:p>
    <w:p w14:paraId="1AFD9FE2">
      <w:pPr>
        <w:pStyle w:val="5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eastAsia" w:ascii="Times New Roman"/>
          <w:highlight w:val="none"/>
        </w:rPr>
      </w:pPr>
      <w:r>
        <w:rPr>
          <w:highlight w:val="none"/>
        </w:rPr>
        <w:drawing>
          <wp:anchor distT="0" distB="0" distL="114300" distR="114300" simplePos="0" relativeHeight="251673600" behindDoc="0" locked="0" layoutInCell="1" allowOverlap="1">
            <wp:simplePos x="0" y="0"/>
            <wp:positionH relativeFrom="column">
              <wp:posOffset>34925</wp:posOffset>
            </wp:positionH>
            <wp:positionV relativeFrom="paragraph">
              <wp:posOffset>24130</wp:posOffset>
            </wp:positionV>
            <wp:extent cx="213995" cy="691515"/>
            <wp:effectExtent l="0" t="0" r="14605" b="13335"/>
            <wp:wrapNone/>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62"/>
                    <a:stretch>
                      <a:fillRect/>
                    </a:stretch>
                  </pic:blipFill>
                  <pic:spPr>
                    <a:xfrm>
                      <a:off x="0" y="0"/>
                      <a:ext cx="213995" cy="691515"/>
                    </a:xfrm>
                    <a:prstGeom prst="rect">
                      <a:avLst/>
                    </a:prstGeom>
                    <a:noFill/>
                    <a:ln>
                      <a:noFill/>
                    </a:ln>
                  </pic:spPr>
                </pic:pic>
              </a:graphicData>
            </a:graphic>
          </wp:anchor>
        </w:drawing>
      </w:r>
      <w:r>
        <w:rPr>
          <w:highlight w:val="none"/>
        </w:rPr>
        <w:drawing>
          <wp:inline distT="0" distB="0" distL="114300" distR="114300">
            <wp:extent cx="5273675" cy="2910205"/>
            <wp:effectExtent l="0" t="0" r="3175" b="444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63"/>
                    <a:stretch>
                      <a:fillRect/>
                    </a:stretch>
                  </pic:blipFill>
                  <pic:spPr>
                    <a:xfrm>
                      <a:off x="0" y="0"/>
                      <a:ext cx="5273675" cy="2910205"/>
                    </a:xfrm>
                    <a:prstGeom prst="rect">
                      <a:avLst/>
                    </a:prstGeom>
                    <a:noFill/>
                    <a:ln>
                      <a:noFill/>
                    </a:ln>
                  </pic:spPr>
                </pic:pic>
              </a:graphicData>
            </a:graphic>
          </wp:inline>
        </w:drawing>
      </w:r>
    </w:p>
    <w:p w14:paraId="750D4970">
      <w:pPr>
        <w:pStyle w:val="323"/>
        <w:keepNext w:val="0"/>
        <w:keepLines w:val="0"/>
        <w:pageBreakBefore w:val="0"/>
        <w:widowControl w:val="0"/>
        <w:numPr>
          <w:ilvl w:val="0"/>
          <w:numId w:val="25"/>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eastAsia="宋体"/>
          <w:highlight w:val="none"/>
          <w:lang w:eastAsia="zh-CN"/>
        </w:rPr>
      </w:pPr>
      <w:r>
        <w:rPr>
          <w:rFonts w:ascii="Times New Roman" w:eastAsia="宋体"/>
          <w:b/>
          <w:sz w:val="21"/>
          <w:highlight w:val="none"/>
        </w:rPr>
        <w:t>铁运移</w:t>
      </w:r>
      <w:r>
        <w:rPr>
          <w:rFonts w:hint="eastAsia" w:ascii="Times New Roman" w:eastAsia="宋体"/>
          <w:b/>
          <w:sz w:val="21"/>
          <w:highlight w:val="none"/>
        </w:rPr>
        <w:t>10</w:t>
      </w:r>
      <w:r>
        <w:rPr>
          <w:rFonts w:ascii="Times New Roman" w:eastAsia="宋体"/>
          <w:b/>
          <w:sz w:val="21"/>
          <w:highlight w:val="none"/>
        </w:rPr>
        <w:t>00</w:t>
      </w:r>
      <w:r>
        <w:rPr>
          <w:rFonts w:hint="eastAsia"/>
          <w:b/>
          <w:sz w:val="21"/>
          <w:highlight w:val="none"/>
          <w:lang w:val="en-US" w:eastAsia="zh-CN"/>
        </w:rPr>
        <w:t>d</w:t>
      </w:r>
      <w:r>
        <w:rPr>
          <w:rFonts w:ascii="Times New Roman" w:eastAsia="宋体"/>
          <w:b/>
          <w:sz w:val="21"/>
          <w:highlight w:val="none"/>
        </w:rPr>
        <w:t>预测浓度分布图</w:t>
      </w:r>
    </w:p>
    <w:p w14:paraId="5C41A53F">
      <w:pPr>
        <w:pStyle w:val="323"/>
        <w:keepNext w:val="0"/>
        <w:keepLines w:val="0"/>
        <w:pageBreakBefore w:val="0"/>
        <w:widowControl w:val="0"/>
        <w:numPr>
          <w:ilvl w:val="0"/>
          <w:numId w:val="0"/>
        </w:numPr>
        <w:tabs>
          <w:tab w:val="left" w:pos="420"/>
        </w:tabs>
        <w:kinsoku/>
        <w:wordWrap/>
        <w:overflowPunct/>
        <w:topLinePunct w:val="0"/>
        <w:autoSpaceDE/>
        <w:autoSpaceDN/>
        <w:bidi w:val="0"/>
        <w:adjustRightInd w:val="0"/>
        <w:snapToGrid w:val="0"/>
        <w:spacing w:line="360" w:lineRule="auto"/>
        <w:ind w:leftChars="0"/>
        <w:jc w:val="both"/>
        <w:textAlignment w:val="auto"/>
        <w:rPr>
          <w:rFonts w:hint="eastAsia" w:ascii="Times New Roman" w:eastAsia="宋体"/>
          <w:highlight w:val="none"/>
          <w:lang w:eastAsia="zh-CN"/>
        </w:rPr>
      </w:pPr>
      <w:r>
        <w:rPr>
          <w:highlight w:val="none"/>
        </w:rPr>
        <w:drawing>
          <wp:anchor distT="0" distB="0" distL="114300" distR="114300" simplePos="0" relativeHeight="251674624" behindDoc="0" locked="0" layoutInCell="1" allowOverlap="1">
            <wp:simplePos x="0" y="0"/>
            <wp:positionH relativeFrom="column">
              <wp:posOffset>41910</wp:posOffset>
            </wp:positionH>
            <wp:positionV relativeFrom="paragraph">
              <wp:posOffset>7620</wp:posOffset>
            </wp:positionV>
            <wp:extent cx="229870" cy="725170"/>
            <wp:effectExtent l="0" t="0" r="17780" b="17780"/>
            <wp:wrapNone/>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64"/>
                    <a:stretch>
                      <a:fillRect/>
                    </a:stretch>
                  </pic:blipFill>
                  <pic:spPr>
                    <a:xfrm>
                      <a:off x="0" y="0"/>
                      <a:ext cx="229870" cy="725170"/>
                    </a:xfrm>
                    <a:prstGeom prst="rect">
                      <a:avLst/>
                    </a:prstGeom>
                    <a:noFill/>
                    <a:ln>
                      <a:noFill/>
                    </a:ln>
                  </pic:spPr>
                </pic:pic>
              </a:graphicData>
            </a:graphic>
          </wp:anchor>
        </w:drawing>
      </w:r>
      <w:r>
        <w:rPr>
          <w:highlight w:val="none"/>
        </w:rPr>
        <w:drawing>
          <wp:inline distT="0" distB="0" distL="114300" distR="114300">
            <wp:extent cx="5269865" cy="2922270"/>
            <wp:effectExtent l="0" t="0" r="6985" b="1143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65"/>
                    <a:stretch>
                      <a:fillRect/>
                    </a:stretch>
                  </pic:blipFill>
                  <pic:spPr>
                    <a:xfrm>
                      <a:off x="0" y="0"/>
                      <a:ext cx="5269865" cy="2922270"/>
                    </a:xfrm>
                    <a:prstGeom prst="rect">
                      <a:avLst/>
                    </a:prstGeom>
                    <a:noFill/>
                    <a:ln>
                      <a:noFill/>
                    </a:ln>
                  </pic:spPr>
                </pic:pic>
              </a:graphicData>
            </a:graphic>
          </wp:inline>
        </w:drawing>
      </w:r>
    </w:p>
    <w:p w14:paraId="6F62D358">
      <w:pPr>
        <w:pStyle w:val="323"/>
        <w:keepNext w:val="0"/>
        <w:keepLines w:val="0"/>
        <w:pageBreakBefore w:val="0"/>
        <w:widowControl w:val="0"/>
        <w:numPr>
          <w:ilvl w:val="0"/>
          <w:numId w:val="25"/>
        </w:numPr>
        <w:kinsoku/>
        <w:wordWrap/>
        <w:overflowPunct/>
        <w:topLinePunct w:val="0"/>
        <w:autoSpaceDE/>
        <w:autoSpaceDN/>
        <w:bidi w:val="0"/>
        <w:adjustRightInd w:val="0"/>
        <w:snapToGrid w:val="0"/>
        <w:spacing w:line="360" w:lineRule="auto"/>
        <w:ind w:left="0" w:leftChars="0" w:firstLine="0" w:firstLineChars="0"/>
        <w:jc w:val="center"/>
        <w:textAlignment w:val="auto"/>
        <w:rPr>
          <w:rFonts w:ascii="Times New Roman"/>
          <w:b/>
          <w:sz w:val="21"/>
          <w:highlight w:val="none"/>
        </w:rPr>
      </w:pPr>
      <w:r>
        <w:rPr>
          <w:rFonts w:ascii="Times New Roman" w:eastAsia="宋体"/>
          <w:b/>
          <w:sz w:val="21"/>
          <w:highlight w:val="none"/>
        </w:rPr>
        <w:t>铁运移</w:t>
      </w:r>
      <w:r>
        <w:rPr>
          <w:rFonts w:hint="eastAsia"/>
          <w:b/>
          <w:sz w:val="21"/>
          <w:highlight w:val="none"/>
          <w:lang w:val="en-US" w:eastAsia="zh-CN"/>
        </w:rPr>
        <w:t>1825d</w:t>
      </w:r>
      <w:r>
        <w:rPr>
          <w:rFonts w:ascii="Times New Roman" w:eastAsia="宋体"/>
          <w:b/>
          <w:sz w:val="21"/>
          <w:highlight w:val="none"/>
        </w:rPr>
        <w:t>预测浓度分布图</w:t>
      </w:r>
    </w:p>
    <w:p w14:paraId="575400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eastAsia="宋体"/>
          <w:sz w:val="24"/>
          <w:szCs w:val="24"/>
          <w:highlight w:val="none"/>
        </w:rPr>
      </w:pPr>
      <w:r>
        <w:rPr>
          <w:rFonts w:hint="eastAsia" w:hAnsi="宋体" w:cs="宋体"/>
          <w:sz w:val="24"/>
          <w:szCs w:val="24"/>
          <w:highlight w:val="none"/>
          <w:lang w:val="en-US" w:eastAsia="zh-CN"/>
        </w:rPr>
        <w:t>②</w:t>
      </w:r>
      <w:r>
        <w:rPr>
          <w:rFonts w:hint="eastAsia"/>
          <w:sz w:val="24"/>
          <w:szCs w:val="24"/>
          <w:highlight w:val="none"/>
          <w:lang w:val="en-US" w:eastAsia="zh-CN"/>
        </w:rPr>
        <w:t>耗氧量</w:t>
      </w:r>
      <w:r>
        <w:rPr>
          <w:rFonts w:ascii="Times New Roman" w:eastAsia="宋体"/>
          <w:sz w:val="24"/>
          <w:szCs w:val="24"/>
          <w:highlight w:val="none"/>
        </w:rPr>
        <w:t>溶质运移结果</w:t>
      </w:r>
    </w:p>
    <w:p w14:paraId="76034BC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ighlight w:val="none"/>
        </w:rPr>
      </w:pPr>
      <w:r>
        <w:rPr>
          <w:rFonts w:ascii="Times New Roman" w:eastAsia="宋体"/>
          <w:sz w:val="24"/>
          <w:szCs w:val="24"/>
          <w:highlight w:val="none"/>
        </w:rPr>
        <w:t>预测</w:t>
      </w:r>
      <w:r>
        <w:rPr>
          <w:rFonts w:hint="eastAsia"/>
          <w:sz w:val="24"/>
          <w:szCs w:val="24"/>
          <w:highlight w:val="none"/>
          <w:lang w:val="en-US" w:eastAsia="zh-CN"/>
        </w:rPr>
        <w:t>耗氧量</w:t>
      </w:r>
      <w:r>
        <w:rPr>
          <w:rFonts w:ascii="Times New Roman" w:eastAsia="宋体"/>
          <w:sz w:val="24"/>
          <w:szCs w:val="24"/>
          <w:highlight w:val="none"/>
        </w:rPr>
        <w:t>在不同的天数下的运移结果。</w:t>
      </w:r>
    </w:p>
    <w:p w14:paraId="5B9D830F">
      <w:pPr>
        <w:adjustRightInd w:val="0"/>
        <w:snapToGrid w:val="0"/>
        <w:jc w:val="center"/>
        <w:rPr>
          <w:rFonts w:hint="eastAsia" w:ascii="Times New Roman" w:eastAsia="宋体"/>
          <w:highlight w:val="none"/>
          <w:lang w:eastAsia="zh-CN"/>
        </w:rPr>
      </w:pPr>
      <w:r>
        <w:rPr>
          <w:highlight w:val="none"/>
        </w:rPr>
        <w:drawing>
          <wp:anchor distT="0" distB="0" distL="114300" distR="114300" simplePos="0" relativeHeight="251668480" behindDoc="0" locked="0" layoutInCell="1" allowOverlap="1">
            <wp:simplePos x="0" y="0"/>
            <wp:positionH relativeFrom="column">
              <wp:posOffset>55880</wp:posOffset>
            </wp:positionH>
            <wp:positionV relativeFrom="paragraph">
              <wp:posOffset>31115</wp:posOffset>
            </wp:positionV>
            <wp:extent cx="213360" cy="688340"/>
            <wp:effectExtent l="0" t="0" r="15240" b="16510"/>
            <wp:wrapNone/>
            <wp:docPr id="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8"/>
                    <pic:cNvPicPr>
                      <a:picLocks noChangeAspect="1"/>
                    </pic:cNvPicPr>
                  </pic:nvPicPr>
                  <pic:blipFill>
                    <a:blip r:embed="rId66"/>
                    <a:stretch>
                      <a:fillRect/>
                    </a:stretch>
                  </pic:blipFill>
                  <pic:spPr>
                    <a:xfrm>
                      <a:off x="0" y="0"/>
                      <a:ext cx="213360" cy="688340"/>
                    </a:xfrm>
                    <a:prstGeom prst="rect">
                      <a:avLst/>
                    </a:prstGeom>
                    <a:noFill/>
                    <a:ln>
                      <a:noFill/>
                    </a:ln>
                  </pic:spPr>
                </pic:pic>
              </a:graphicData>
            </a:graphic>
          </wp:anchor>
        </w:drawing>
      </w:r>
      <w:r>
        <w:rPr>
          <w:highlight w:val="none"/>
        </w:rPr>
        <w:drawing>
          <wp:inline distT="0" distB="0" distL="114300" distR="114300">
            <wp:extent cx="5266055" cy="2933065"/>
            <wp:effectExtent l="0" t="0" r="10795" b="635"/>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67"/>
                    <a:stretch>
                      <a:fillRect/>
                    </a:stretch>
                  </pic:blipFill>
                  <pic:spPr>
                    <a:xfrm>
                      <a:off x="0" y="0"/>
                      <a:ext cx="5266055" cy="2933065"/>
                    </a:xfrm>
                    <a:prstGeom prst="rect">
                      <a:avLst/>
                    </a:prstGeom>
                    <a:noFill/>
                    <a:ln>
                      <a:noFill/>
                    </a:ln>
                  </pic:spPr>
                </pic:pic>
              </a:graphicData>
            </a:graphic>
          </wp:inline>
        </w:drawing>
      </w:r>
    </w:p>
    <w:p w14:paraId="667EE9A0">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hint="eastAsia"/>
          <w:b/>
          <w:sz w:val="21"/>
          <w:highlight w:val="none"/>
          <w:lang w:val="en-US" w:eastAsia="zh-CN"/>
        </w:rPr>
        <w:t>耗氧量</w:t>
      </w:r>
      <w:r>
        <w:rPr>
          <w:rFonts w:ascii="Times New Roman" w:eastAsia="宋体"/>
          <w:b/>
          <w:sz w:val="21"/>
          <w:highlight w:val="none"/>
        </w:rPr>
        <w:t>运移100</w:t>
      </w:r>
      <w:r>
        <w:rPr>
          <w:rFonts w:hint="eastAsia"/>
          <w:b/>
          <w:sz w:val="21"/>
          <w:highlight w:val="none"/>
          <w:lang w:val="en-US" w:eastAsia="zh-CN"/>
        </w:rPr>
        <w:t>d</w:t>
      </w:r>
      <w:r>
        <w:rPr>
          <w:rFonts w:ascii="Times New Roman" w:eastAsia="宋体"/>
          <w:b/>
          <w:sz w:val="21"/>
          <w:highlight w:val="none"/>
        </w:rPr>
        <w:t>预测浓度分布图</w:t>
      </w:r>
    </w:p>
    <w:p w14:paraId="354A151A">
      <w:pPr>
        <w:adjustRightInd w:val="0"/>
        <w:snapToGrid w:val="0"/>
        <w:jc w:val="center"/>
        <w:rPr>
          <w:rFonts w:hint="eastAsia" w:ascii="Times New Roman" w:eastAsia="宋体"/>
          <w:highlight w:val="none"/>
          <w:lang w:eastAsia="zh-CN"/>
        </w:rPr>
      </w:pPr>
      <w:r>
        <w:rPr>
          <w:highlight w:val="none"/>
        </w:rPr>
        <w:drawing>
          <wp:anchor distT="0" distB="0" distL="114300" distR="114300" simplePos="0" relativeHeight="251669504" behindDoc="0" locked="0" layoutInCell="1" allowOverlap="1">
            <wp:simplePos x="0" y="0"/>
            <wp:positionH relativeFrom="column">
              <wp:posOffset>65405</wp:posOffset>
            </wp:positionH>
            <wp:positionV relativeFrom="paragraph">
              <wp:posOffset>46990</wp:posOffset>
            </wp:positionV>
            <wp:extent cx="216535" cy="742950"/>
            <wp:effectExtent l="0" t="0" r="12065" b="0"/>
            <wp:wrapNone/>
            <wp:docPr id="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0"/>
                    <pic:cNvPicPr>
                      <a:picLocks noChangeAspect="1"/>
                    </pic:cNvPicPr>
                  </pic:nvPicPr>
                  <pic:blipFill>
                    <a:blip r:embed="rId68"/>
                    <a:stretch>
                      <a:fillRect/>
                    </a:stretch>
                  </pic:blipFill>
                  <pic:spPr>
                    <a:xfrm>
                      <a:off x="0" y="0"/>
                      <a:ext cx="216535" cy="742950"/>
                    </a:xfrm>
                    <a:prstGeom prst="rect">
                      <a:avLst/>
                    </a:prstGeom>
                    <a:noFill/>
                    <a:ln>
                      <a:noFill/>
                    </a:ln>
                  </pic:spPr>
                </pic:pic>
              </a:graphicData>
            </a:graphic>
          </wp:anchor>
        </w:drawing>
      </w:r>
      <w:r>
        <w:rPr>
          <w:highlight w:val="none"/>
        </w:rPr>
        <w:drawing>
          <wp:inline distT="0" distB="0" distL="114300" distR="114300">
            <wp:extent cx="5271135" cy="2954020"/>
            <wp:effectExtent l="0" t="0" r="5715" b="1778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69"/>
                    <a:stretch>
                      <a:fillRect/>
                    </a:stretch>
                  </pic:blipFill>
                  <pic:spPr>
                    <a:xfrm>
                      <a:off x="0" y="0"/>
                      <a:ext cx="5271135" cy="2954020"/>
                    </a:xfrm>
                    <a:prstGeom prst="rect">
                      <a:avLst/>
                    </a:prstGeom>
                    <a:noFill/>
                    <a:ln>
                      <a:noFill/>
                    </a:ln>
                  </pic:spPr>
                </pic:pic>
              </a:graphicData>
            </a:graphic>
          </wp:inline>
        </w:drawing>
      </w:r>
    </w:p>
    <w:p w14:paraId="01395FD4">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hint="eastAsia"/>
          <w:b/>
          <w:sz w:val="21"/>
          <w:highlight w:val="none"/>
          <w:lang w:val="en-US" w:eastAsia="zh-CN"/>
        </w:rPr>
        <w:t>耗氧量</w:t>
      </w:r>
      <w:r>
        <w:rPr>
          <w:rFonts w:ascii="Times New Roman" w:eastAsia="宋体"/>
          <w:b/>
          <w:sz w:val="21"/>
          <w:highlight w:val="none"/>
        </w:rPr>
        <w:t>运移100</w:t>
      </w:r>
      <w:r>
        <w:rPr>
          <w:rFonts w:hint="eastAsia" w:ascii="Times New Roman" w:eastAsia="宋体"/>
          <w:b/>
          <w:sz w:val="21"/>
          <w:highlight w:val="none"/>
        </w:rPr>
        <w:t>0</w:t>
      </w:r>
      <w:r>
        <w:rPr>
          <w:rFonts w:hint="eastAsia"/>
          <w:b/>
          <w:sz w:val="21"/>
          <w:highlight w:val="none"/>
          <w:lang w:val="en-US" w:eastAsia="zh-CN"/>
        </w:rPr>
        <w:t>d</w:t>
      </w:r>
      <w:r>
        <w:rPr>
          <w:rFonts w:ascii="Times New Roman" w:eastAsia="宋体"/>
          <w:b/>
          <w:sz w:val="21"/>
          <w:highlight w:val="none"/>
        </w:rPr>
        <w:t>预测浓度分布图</w:t>
      </w:r>
    </w:p>
    <w:p w14:paraId="0992858C">
      <w:pPr>
        <w:adjustRightInd w:val="0"/>
        <w:snapToGrid w:val="0"/>
        <w:jc w:val="center"/>
        <w:rPr>
          <w:rFonts w:hint="eastAsia" w:ascii="Times New Roman" w:eastAsia="宋体"/>
          <w:highlight w:val="none"/>
          <w:lang w:eastAsia="zh-CN"/>
        </w:rPr>
      </w:pPr>
      <w:r>
        <w:rPr>
          <w:highlight w:val="none"/>
        </w:rPr>
        <w:drawing>
          <wp:anchor distT="0" distB="0" distL="114300" distR="114300" simplePos="0" relativeHeight="251675648" behindDoc="0" locked="0" layoutInCell="1" allowOverlap="1">
            <wp:simplePos x="0" y="0"/>
            <wp:positionH relativeFrom="column">
              <wp:posOffset>34925</wp:posOffset>
            </wp:positionH>
            <wp:positionV relativeFrom="paragraph">
              <wp:posOffset>16510</wp:posOffset>
            </wp:positionV>
            <wp:extent cx="200025" cy="663575"/>
            <wp:effectExtent l="0" t="0" r="9525" b="3175"/>
            <wp:wrapNone/>
            <wp:docPr id="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
                    <pic:cNvPicPr>
                      <a:picLocks noChangeAspect="1"/>
                    </pic:cNvPicPr>
                  </pic:nvPicPr>
                  <pic:blipFill>
                    <a:blip r:embed="rId70"/>
                    <a:stretch>
                      <a:fillRect/>
                    </a:stretch>
                  </pic:blipFill>
                  <pic:spPr>
                    <a:xfrm>
                      <a:off x="0" y="0"/>
                      <a:ext cx="200025" cy="663575"/>
                    </a:xfrm>
                    <a:prstGeom prst="rect">
                      <a:avLst/>
                    </a:prstGeom>
                    <a:noFill/>
                    <a:ln>
                      <a:noFill/>
                    </a:ln>
                  </pic:spPr>
                </pic:pic>
              </a:graphicData>
            </a:graphic>
          </wp:anchor>
        </w:drawing>
      </w:r>
      <w:r>
        <w:rPr>
          <w:highlight w:val="none"/>
        </w:rPr>
        <w:drawing>
          <wp:inline distT="0" distB="0" distL="114300" distR="114300">
            <wp:extent cx="5266055" cy="2907665"/>
            <wp:effectExtent l="0" t="0" r="10795" b="6985"/>
            <wp:docPr id="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pic:cNvPicPr>
                      <a:picLocks noChangeAspect="1"/>
                    </pic:cNvPicPr>
                  </pic:nvPicPr>
                  <pic:blipFill>
                    <a:blip r:embed="rId71"/>
                    <a:stretch>
                      <a:fillRect/>
                    </a:stretch>
                  </pic:blipFill>
                  <pic:spPr>
                    <a:xfrm>
                      <a:off x="0" y="0"/>
                      <a:ext cx="5266055" cy="2907665"/>
                    </a:xfrm>
                    <a:prstGeom prst="rect">
                      <a:avLst/>
                    </a:prstGeom>
                    <a:noFill/>
                    <a:ln>
                      <a:noFill/>
                    </a:ln>
                  </pic:spPr>
                </pic:pic>
              </a:graphicData>
            </a:graphic>
          </wp:inline>
        </w:drawing>
      </w:r>
    </w:p>
    <w:p w14:paraId="1F49EEE8">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hint="eastAsia"/>
          <w:b/>
          <w:sz w:val="21"/>
          <w:highlight w:val="none"/>
          <w:lang w:val="en-US" w:eastAsia="zh-CN"/>
        </w:rPr>
        <w:t>耗氧量</w:t>
      </w:r>
      <w:r>
        <w:rPr>
          <w:rFonts w:ascii="Times New Roman" w:eastAsia="宋体"/>
          <w:b/>
          <w:sz w:val="21"/>
          <w:highlight w:val="none"/>
        </w:rPr>
        <w:t>运移</w:t>
      </w:r>
      <w:r>
        <w:rPr>
          <w:rFonts w:hint="eastAsia"/>
          <w:b/>
          <w:sz w:val="21"/>
          <w:highlight w:val="none"/>
          <w:lang w:val="en-US" w:eastAsia="zh-CN"/>
        </w:rPr>
        <w:t>1825d</w:t>
      </w:r>
      <w:r>
        <w:rPr>
          <w:rFonts w:ascii="Times New Roman" w:eastAsia="宋体"/>
          <w:b/>
          <w:sz w:val="21"/>
          <w:highlight w:val="none"/>
        </w:rPr>
        <w:t>预测浓度分布图</w:t>
      </w:r>
    </w:p>
    <w:p w14:paraId="1DB4B744">
      <w:pPr>
        <w:pStyle w:val="72"/>
        <w:snapToGrid w:val="0"/>
        <w:ind w:left="0" w:leftChars="0"/>
        <w:rPr>
          <w:rFonts w:hint="eastAsia" w:eastAsia="宋体"/>
          <w:highlight w:val="none"/>
          <w:lang w:eastAsia="zh-CN"/>
        </w:rPr>
      </w:pPr>
      <w:r>
        <w:rPr>
          <w:highlight w:val="none"/>
        </w:rPr>
        <w:drawing>
          <wp:inline distT="0" distB="0" distL="114300" distR="114300">
            <wp:extent cx="5276215" cy="1410335"/>
            <wp:effectExtent l="0" t="0" r="635" b="18415"/>
            <wp:docPr id="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
                    <pic:cNvPicPr>
                      <a:picLocks noChangeAspect="1"/>
                    </pic:cNvPicPr>
                  </pic:nvPicPr>
                  <pic:blipFill>
                    <a:blip r:embed="rId72"/>
                    <a:stretch>
                      <a:fillRect/>
                    </a:stretch>
                  </pic:blipFill>
                  <pic:spPr>
                    <a:xfrm>
                      <a:off x="0" y="0"/>
                      <a:ext cx="5276215" cy="1410335"/>
                    </a:xfrm>
                    <a:prstGeom prst="rect">
                      <a:avLst/>
                    </a:prstGeom>
                    <a:noFill/>
                    <a:ln>
                      <a:noFill/>
                    </a:ln>
                  </pic:spPr>
                </pic:pic>
              </a:graphicData>
            </a:graphic>
          </wp:inline>
        </w:drawing>
      </w:r>
    </w:p>
    <w:p w14:paraId="4FB59AC0">
      <w:pPr>
        <w:pStyle w:val="323"/>
        <w:numPr>
          <w:ilvl w:val="0"/>
          <w:numId w:val="25"/>
        </w:numPr>
        <w:adjustRightInd w:val="0"/>
        <w:snapToGrid w:val="0"/>
        <w:spacing w:line="360" w:lineRule="auto"/>
        <w:ind w:left="0" w:leftChars="0" w:firstLine="0" w:firstLineChars="0"/>
        <w:jc w:val="center"/>
        <w:rPr>
          <w:rFonts w:ascii="Times New Roman"/>
          <w:b/>
          <w:sz w:val="21"/>
          <w:highlight w:val="none"/>
        </w:rPr>
      </w:pPr>
      <w:r>
        <w:rPr>
          <w:rFonts w:hint="eastAsia"/>
          <w:b/>
          <w:sz w:val="21"/>
          <w:highlight w:val="none"/>
          <w:lang w:val="en-US" w:eastAsia="zh-CN"/>
        </w:rPr>
        <w:t>东兴村</w:t>
      </w:r>
      <w:r>
        <w:rPr>
          <w:rFonts w:ascii="Times New Roman" w:eastAsia="宋体"/>
          <w:b/>
          <w:sz w:val="21"/>
          <w:szCs w:val="21"/>
          <w:highlight w:val="none"/>
        </w:rPr>
        <w:t>污染物Fe浓度随时间变化曲线图（mg/L）</w:t>
      </w:r>
    </w:p>
    <w:p w14:paraId="667C7E32">
      <w:pPr>
        <w:adjustRightInd w:val="0"/>
        <w:snapToGrid w:val="0"/>
        <w:jc w:val="center"/>
        <w:rPr>
          <w:rFonts w:hint="eastAsia" w:hAnsi="宋体" w:eastAsia="宋体" w:cs="宋体"/>
          <w:highlight w:val="none"/>
          <w:lang w:eastAsia="zh-CN"/>
        </w:rPr>
      </w:pPr>
      <w:r>
        <w:rPr>
          <w:highlight w:val="none"/>
        </w:rPr>
        <w:drawing>
          <wp:inline distT="0" distB="0" distL="114300" distR="114300">
            <wp:extent cx="5264150" cy="1394460"/>
            <wp:effectExtent l="0" t="0" r="12700" b="15240"/>
            <wp:docPr id="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7"/>
                    <pic:cNvPicPr>
                      <a:picLocks noChangeAspect="1"/>
                    </pic:cNvPicPr>
                  </pic:nvPicPr>
                  <pic:blipFill>
                    <a:blip r:embed="rId73"/>
                    <a:stretch>
                      <a:fillRect/>
                    </a:stretch>
                  </pic:blipFill>
                  <pic:spPr>
                    <a:xfrm>
                      <a:off x="0" y="0"/>
                      <a:ext cx="5264150" cy="1394460"/>
                    </a:xfrm>
                    <a:prstGeom prst="rect">
                      <a:avLst/>
                    </a:prstGeom>
                    <a:noFill/>
                    <a:ln>
                      <a:noFill/>
                    </a:ln>
                  </pic:spPr>
                </pic:pic>
              </a:graphicData>
            </a:graphic>
          </wp:inline>
        </w:drawing>
      </w:r>
    </w:p>
    <w:p w14:paraId="09788FA5">
      <w:pPr>
        <w:pStyle w:val="323"/>
        <w:numPr>
          <w:ilvl w:val="0"/>
          <w:numId w:val="25"/>
        </w:numPr>
        <w:adjustRightInd w:val="0"/>
        <w:snapToGrid w:val="0"/>
        <w:spacing w:line="360" w:lineRule="auto"/>
        <w:ind w:left="0" w:leftChars="0" w:firstLine="0" w:firstLineChars="0"/>
        <w:jc w:val="center"/>
        <w:rPr>
          <w:rFonts w:hint="eastAsia" w:hAnsi="宋体" w:cs="宋体"/>
          <w:highlight w:val="none"/>
        </w:rPr>
      </w:pPr>
      <w:r>
        <w:rPr>
          <w:rFonts w:hint="eastAsia"/>
          <w:b/>
          <w:sz w:val="21"/>
          <w:highlight w:val="none"/>
          <w:lang w:val="en-US" w:eastAsia="zh-CN"/>
        </w:rPr>
        <w:t>东兴村</w:t>
      </w:r>
      <w:r>
        <w:rPr>
          <w:rFonts w:ascii="Times New Roman" w:eastAsia="宋体"/>
          <w:b/>
          <w:sz w:val="21"/>
          <w:szCs w:val="21"/>
          <w:highlight w:val="none"/>
        </w:rPr>
        <w:t>污染物</w:t>
      </w:r>
      <w:r>
        <w:rPr>
          <w:rFonts w:hint="eastAsia"/>
          <w:b/>
          <w:sz w:val="21"/>
          <w:szCs w:val="21"/>
          <w:highlight w:val="none"/>
          <w:lang w:val="en-US" w:eastAsia="zh-CN"/>
        </w:rPr>
        <w:t>耗氧量</w:t>
      </w:r>
      <w:r>
        <w:rPr>
          <w:rFonts w:ascii="Times New Roman" w:eastAsia="宋体"/>
          <w:b/>
          <w:sz w:val="21"/>
          <w:szCs w:val="21"/>
          <w:highlight w:val="none"/>
        </w:rPr>
        <w:t>浓度随时间变化曲线图（mg/L）</w:t>
      </w:r>
    </w:p>
    <w:p w14:paraId="4C4B3206">
      <w:pPr>
        <w:keepNext w:val="0"/>
        <w:keepLines w:val="0"/>
        <w:pageBreakBefore w:val="0"/>
        <w:widowControl/>
        <w:kinsoku/>
        <w:wordWrap/>
        <w:overflowPunct/>
        <w:topLinePunct w:val="0"/>
        <w:autoSpaceDE/>
        <w:autoSpaceDN/>
        <w:bidi w:val="0"/>
        <w:adjustRightInd/>
        <w:snapToGrid/>
        <w:spacing w:line="360" w:lineRule="auto"/>
        <w:ind w:firstLine="480"/>
        <w:textAlignment w:val="auto"/>
        <w:rPr>
          <w:rFonts w:hint="eastAsia"/>
          <w:sz w:val="24"/>
          <w:szCs w:val="32"/>
          <w:highlight w:val="none"/>
          <w:lang w:eastAsia="zh-CN"/>
        </w:rPr>
      </w:pPr>
      <w:r>
        <w:rPr>
          <w:rFonts w:ascii="Times New Roman"/>
          <w:sz w:val="24"/>
          <w:szCs w:val="32"/>
          <w:highlight w:val="none"/>
        </w:rPr>
        <w:t>项目</w:t>
      </w:r>
      <w:r>
        <w:rPr>
          <w:rFonts w:hint="eastAsia" w:ascii="Times New Roman"/>
          <w:sz w:val="24"/>
          <w:szCs w:val="32"/>
          <w:highlight w:val="none"/>
        </w:rPr>
        <w:t>正常状况</w:t>
      </w:r>
      <w:r>
        <w:rPr>
          <w:rFonts w:hint="eastAsia"/>
          <w:sz w:val="24"/>
          <w:szCs w:val="32"/>
          <w:highlight w:val="none"/>
          <w:lang w:val="en-US" w:eastAsia="zh-CN"/>
        </w:rPr>
        <w:t>下，厂界、环保目标（东兴村）处环境背景值分别采用尾矿库下游地下水环境跟踪监测井现状监测值、Dx3现状监测值，</w:t>
      </w:r>
      <w:r>
        <w:rPr>
          <w:rFonts w:ascii="Times New Roman"/>
          <w:sz w:val="24"/>
          <w:szCs w:val="32"/>
          <w:highlight w:val="none"/>
        </w:rPr>
        <w:t>污染物预测情况如下表所示</w:t>
      </w:r>
      <w:r>
        <w:rPr>
          <w:rFonts w:hint="eastAsia"/>
          <w:sz w:val="24"/>
          <w:szCs w:val="32"/>
          <w:highlight w:val="none"/>
          <w:lang w:eastAsia="zh-CN"/>
        </w:rPr>
        <w:t>：</w:t>
      </w:r>
    </w:p>
    <w:p w14:paraId="78B59952">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bCs/>
          <w:iCs/>
          <w:kern w:val="2"/>
          <w:sz w:val="21"/>
          <w:szCs w:val="21"/>
          <w:highlight w:val="none"/>
        </w:rPr>
      </w:pPr>
      <w:r>
        <w:rPr>
          <w:rFonts w:ascii="Times New Roman"/>
          <w:b/>
          <w:bCs/>
          <w:iCs/>
          <w:kern w:val="2"/>
          <w:sz w:val="21"/>
          <w:szCs w:val="21"/>
          <w:highlight w:val="none"/>
        </w:rPr>
        <w:t>污染物预测情况一览表</w:t>
      </w:r>
    </w:p>
    <w:tbl>
      <w:tblPr>
        <w:tblStyle w:val="58"/>
        <w:tblpPr w:leftFromText="180" w:rightFromText="180" w:vertAnchor="text" w:tblpY="130"/>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19"/>
        <w:gridCol w:w="829"/>
        <w:gridCol w:w="2090"/>
        <w:gridCol w:w="1101"/>
        <w:gridCol w:w="1109"/>
        <w:gridCol w:w="1109"/>
        <w:gridCol w:w="995"/>
        <w:gridCol w:w="773"/>
      </w:tblGrid>
      <w:tr w14:paraId="6AAAED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04" w:type="pct"/>
            <w:tcBorders>
              <w:tl2br w:val="nil"/>
              <w:tr2bl w:val="nil"/>
            </w:tcBorders>
            <w:noWrap w:val="0"/>
            <w:vAlign w:val="center"/>
          </w:tcPr>
          <w:p w14:paraId="52BB2AB7">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序号</w:t>
            </w:r>
          </w:p>
        </w:tc>
        <w:tc>
          <w:tcPr>
            <w:tcW w:w="486" w:type="pct"/>
            <w:tcBorders>
              <w:tl2br w:val="nil"/>
              <w:tr2bl w:val="nil"/>
            </w:tcBorders>
            <w:noWrap w:val="0"/>
            <w:vAlign w:val="center"/>
          </w:tcPr>
          <w:p w14:paraId="50372671">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污染物</w:t>
            </w:r>
          </w:p>
        </w:tc>
        <w:tc>
          <w:tcPr>
            <w:tcW w:w="1225" w:type="pct"/>
            <w:tcBorders>
              <w:tl2br w:val="nil"/>
              <w:tr2bl w:val="nil"/>
            </w:tcBorders>
            <w:noWrap w:val="0"/>
            <w:vAlign w:val="center"/>
          </w:tcPr>
          <w:p w14:paraId="3C41BDD3">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泄漏</w:t>
            </w:r>
            <w:r>
              <w:rPr>
                <w:rFonts w:hint="eastAsia" w:ascii="Times New Roman"/>
                <w:b/>
                <w:kern w:val="2"/>
                <w:sz w:val="21"/>
                <w:szCs w:val="21"/>
                <w:highlight w:val="none"/>
              </w:rPr>
              <w:t>时间/泄漏距离</w:t>
            </w:r>
          </w:p>
        </w:tc>
        <w:tc>
          <w:tcPr>
            <w:tcW w:w="645" w:type="pct"/>
            <w:tcBorders>
              <w:tl2br w:val="nil"/>
              <w:tr2bl w:val="nil"/>
            </w:tcBorders>
            <w:noWrap w:val="0"/>
            <w:vAlign w:val="center"/>
          </w:tcPr>
          <w:p w14:paraId="721D6CBC">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最大贡献值mg/</w:t>
            </w:r>
            <w:r>
              <w:rPr>
                <w:rFonts w:hint="eastAsia"/>
                <w:b/>
                <w:kern w:val="2"/>
                <w:sz w:val="21"/>
                <w:szCs w:val="21"/>
                <w:highlight w:val="none"/>
                <w:lang w:val="en-US" w:eastAsia="zh-CN"/>
              </w:rPr>
              <w:t>L</w:t>
            </w:r>
          </w:p>
        </w:tc>
        <w:tc>
          <w:tcPr>
            <w:tcW w:w="650" w:type="pct"/>
            <w:tcBorders>
              <w:tl2br w:val="nil"/>
              <w:tr2bl w:val="nil"/>
            </w:tcBorders>
            <w:noWrap w:val="0"/>
            <w:vAlign w:val="center"/>
          </w:tcPr>
          <w:p w14:paraId="340C1D1F">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背景值</w:t>
            </w:r>
          </w:p>
          <w:p w14:paraId="485D7346">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mg/</w:t>
            </w:r>
            <w:r>
              <w:rPr>
                <w:rFonts w:hint="eastAsia"/>
                <w:b/>
                <w:kern w:val="2"/>
                <w:sz w:val="21"/>
                <w:szCs w:val="21"/>
                <w:highlight w:val="none"/>
                <w:lang w:val="en-US" w:eastAsia="zh-CN"/>
              </w:rPr>
              <w:t>L</w:t>
            </w:r>
          </w:p>
        </w:tc>
        <w:tc>
          <w:tcPr>
            <w:tcW w:w="650" w:type="pct"/>
            <w:tcBorders>
              <w:tl2br w:val="nil"/>
              <w:tr2bl w:val="nil"/>
            </w:tcBorders>
            <w:noWrap w:val="0"/>
            <w:vAlign w:val="center"/>
          </w:tcPr>
          <w:p w14:paraId="62AEBEA5">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叠加值</w:t>
            </w:r>
          </w:p>
          <w:p w14:paraId="53561DC3">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mg/</w:t>
            </w:r>
            <w:r>
              <w:rPr>
                <w:rFonts w:hint="eastAsia"/>
                <w:b/>
                <w:kern w:val="2"/>
                <w:sz w:val="21"/>
                <w:szCs w:val="21"/>
                <w:highlight w:val="none"/>
                <w:lang w:val="en-US" w:eastAsia="zh-CN"/>
              </w:rPr>
              <w:t>L</w:t>
            </w:r>
          </w:p>
        </w:tc>
        <w:tc>
          <w:tcPr>
            <w:tcW w:w="583" w:type="pct"/>
            <w:tcBorders>
              <w:tl2br w:val="nil"/>
              <w:tr2bl w:val="nil"/>
            </w:tcBorders>
            <w:noWrap w:val="0"/>
            <w:vAlign w:val="center"/>
          </w:tcPr>
          <w:p w14:paraId="040D6AD9">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标准值</w:t>
            </w:r>
          </w:p>
          <w:p w14:paraId="2B2CFAD8">
            <w:pPr>
              <w:autoSpaceDE w:val="0"/>
              <w:autoSpaceDN w:val="0"/>
              <w:adjustRightInd w:val="0"/>
              <w:snapToGrid w:val="0"/>
              <w:spacing w:line="240" w:lineRule="atLeast"/>
              <w:jc w:val="center"/>
              <w:rPr>
                <w:rFonts w:hint="eastAsia" w:ascii="Times New Roman" w:eastAsia="宋体"/>
                <w:b/>
                <w:kern w:val="2"/>
                <w:sz w:val="21"/>
                <w:szCs w:val="21"/>
                <w:highlight w:val="none"/>
                <w:lang w:eastAsia="zh-CN"/>
              </w:rPr>
            </w:pPr>
            <w:r>
              <w:rPr>
                <w:rFonts w:ascii="Times New Roman"/>
                <w:b/>
                <w:kern w:val="2"/>
                <w:sz w:val="21"/>
                <w:szCs w:val="21"/>
                <w:highlight w:val="none"/>
              </w:rPr>
              <w:t>mg/</w:t>
            </w:r>
            <w:r>
              <w:rPr>
                <w:rFonts w:hint="eastAsia"/>
                <w:b/>
                <w:kern w:val="2"/>
                <w:sz w:val="21"/>
                <w:szCs w:val="21"/>
                <w:highlight w:val="none"/>
                <w:lang w:val="en-US" w:eastAsia="zh-CN"/>
              </w:rPr>
              <w:t>L</w:t>
            </w:r>
          </w:p>
        </w:tc>
        <w:tc>
          <w:tcPr>
            <w:tcW w:w="453" w:type="pct"/>
            <w:tcBorders>
              <w:tl2br w:val="nil"/>
              <w:tr2bl w:val="nil"/>
            </w:tcBorders>
            <w:noWrap w:val="0"/>
            <w:vAlign w:val="center"/>
          </w:tcPr>
          <w:p w14:paraId="2A5BC6A9">
            <w:pPr>
              <w:autoSpaceDE w:val="0"/>
              <w:autoSpaceDN w:val="0"/>
              <w:adjustRightInd w:val="0"/>
              <w:snapToGrid w:val="0"/>
              <w:spacing w:line="240" w:lineRule="atLeast"/>
              <w:jc w:val="center"/>
              <w:rPr>
                <w:rFonts w:ascii="Times New Roman"/>
                <w:b/>
                <w:kern w:val="2"/>
                <w:sz w:val="21"/>
                <w:szCs w:val="21"/>
                <w:highlight w:val="none"/>
              </w:rPr>
            </w:pPr>
            <w:r>
              <w:rPr>
                <w:rFonts w:ascii="Times New Roman"/>
                <w:b/>
                <w:kern w:val="2"/>
                <w:sz w:val="21"/>
                <w:szCs w:val="21"/>
                <w:highlight w:val="none"/>
              </w:rPr>
              <w:t>达标情况</w:t>
            </w:r>
          </w:p>
        </w:tc>
      </w:tr>
      <w:tr w14:paraId="2C7DBB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04" w:type="pct"/>
            <w:vMerge w:val="restart"/>
            <w:tcBorders>
              <w:tl2br w:val="nil"/>
              <w:tr2bl w:val="nil"/>
            </w:tcBorders>
            <w:noWrap w:val="0"/>
            <w:vAlign w:val="center"/>
          </w:tcPr>
          <w:p w14:paraId="2E447474">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1</w:t>
            </w:r>
          </w:p>
        </w:tc>
        <w:tc>
          <w:tcPr>
            <w:tcW w:w="486" w:type="pct"/>
            <w:vMerge w:val="restart"/>
            <w:tcBorders>
              <w:tl2br w:val="nil"/>
              <w:tr2bl w:val="nil"/>
            </w:tcBorders>
            <w:noWrap w:val="0"/>
            <w:vAlign w:val="center"/>
          </w:tcPr>
          <w:p w14:paraId="1C360204">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Fe</w:t>
            </w:r>
          </w:p>
        </w:tc>
        <w:tc>
          <w:tcPr>
            <w:tcW w:w="1225" w:type="pct"/>
            <w:tcBorders>
              <w:tl2br w:val="nil"/>
              <w:tr2bl w:val="nil"/>
            </w:tcBorders>
            <w:noWrap w:val="0"/>
            <w:vAlign w:val="center"/>
          </w:tcPr>
          <w:p w14:paraId="79C86240">
            <w:pPr>
              <w:autoSpaceDE w:val="0"/>
              <w:autoSpaceDN w:val="0"/>
              <w:adjustRightInd w:val="0"/>
              <w:snapToGrid w:val="0"/>
              <w:spacing w:line="240" w:lineRule="atLeast"/>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kern w:val="2"/>
                <w:sz w:val="21"/>
                <w:szCs w:val="21"/>
                <w:highlight w:val="none"/>
                <w:lang w:val="en-US" w:eastAsia="zh-CN"/>
              </w:rPr>
              <w:t>190</w:t>
            </w:r>
            <w:r>
              <w:rPr>
                <w:rFonts w:hint="eastAsia" w:ascii="Times New Roman"/>
                <w:kern w:val="2"/>
                <w:sz w:val="21"/>
                <w:szCs w:val="21"/>
                <w:highlight w:val="none"/>
              </w:rPr>
              <w:t>m（厂界处）</w:t>
            </w:r>
          </w:p>
        </w:tc>
        <w:tc>
          <w:tcPr>
            <w:tcW w:w="645" w:type="pct"/>
            <w:tcBorders>
              <w:tl2br w:val="nil"/>
              <w:tr2bl w:val="nil"/>
            </w:tcBorders>
            <w:noWrap w:val="0"/>
            <w:vAlign w:val="center"/>
          </w:tcPr>
          <w:p w14:paraId="6F29019C">
            <w:pPr>
              <w:autoSpaceDE w:val="0"/>
              <w:autoSpaceDN w:val="0"/>
              <w:adjustRightInd w:val="0"/>
              <w:snapToGrid w:val="0"/>
              <w:spacing w:line="240" w:lineRule="atLeast"/>
              <w:jc w:val="center"/>
              <w:rPr>
                <w:rFonts w:hint="default"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0.126</w:t>
            </w:r>
          </w:p>
        </w:tc>
        <w:tc>
          <w:tcPr>
            <w:tcW w:w="650" w:type="pct"/>
            <w:tcBorders>
              <w:tl2br w:val="nil"/>
              <w:tr2bl w:val="nil"/>
            </w:tcBorders>
            <w:noWrap w:val="0"/>
            <w:vAlign w:val="center"/>
          </w:tcPr>
          <w:p w14:paraId="221B6E79">
            <w:pPr>
              <w:autoSpaceDE w:val="0"/>
              <w:autoSpaceDN w:val="0"/>
              <w:adjustRightInd w:val="0"/>
              <w:snapToGrid w:val="0"/>
              <w:spacing w:line="240" w:lineRule="atLeast"/>
              <w:jc w:val="center"/>
              <w:rPr>
                <w:rFonts w:hint="default" w:ascii="Times New Roman" w:hAnsi="Times New Roman" w:eastAsia="宋体" w:cs="Times New Roman"/>
                <w:kern w:val="2"/>
                <w:sz w:val="21"/>
                <w:szCs w:val="21"/>
                <w:highlight w:val="none"/>
                <w:lang w:val="en-US" w:eastAsia="zh-CN" w:bidi="ar-SA"/>
              </w:rPr>
            </w:pPr>
            <w:r>
              <w:rPr>
                <w:rFonts w:hint="eastAsia" w:cs="Times New Roman"/>
                <w:color w:val="auto"/>
                <w:highlight w:val="none"/>
                <w:lang w:val="en-US" w:eastAsia="zh-CN"/>
              </w:rPr>
              <w:t>0.015</w:t>
            </w:r>
            <w:r>
              <w:rPr>
                <w:rFonts w:hint="eastAsia" w:cs="Times New Roman"/>
                <w:color w:val="auto"/>
                <w:highlight w:val="none"/>
                <w:vertAlign w:val="superscript"/>
                <w:lang w:val="en-US" w:eastAsia="zh-CN"/>
              </w:rPr>
              <w:t>①</w:t>
            </w:r>
          </w:p>
        </w:tc>
        <w:tc>
          <w:tcPr>
            <w:tcW w:w="650" w:type="pct"/>
            <w:tcBorders>
              <w:tl2br w:val="nil"/>
              <w:tr2bl w:val="nil"/>
            </w:tcBorders>
            <w:noWrap w:val="0"/>
            <w:vAlign w:val="center"/>
          </w:tcPr>
          <w:p w14:paraId="3C319DDC">
            <w:pPr>
              <w:keepNext w:val="0"/>
              <w:keepLines w:val="0"/>
              <w:widowControl/>
              <w:suppressLineNumbers w:val="0"/>
              <w:jc w:val="center"/>
              <w:textAlignment w:val="center"/>
              <w:rPr>
                <w:rFonts w:hint="default" w:ascii="Times New Roman" w:eastAsia="宋体"/>
                <w:color w:val="auto"/>
                <w:sz w:val="21"/>
                <w:szCs w:val="21"/>
                <w:highlight w:val="none"/>
                <w:lang w:val="en-US" w:eastAsia="zh-CN"/>
              </w:rPr>
            </w:pPr>
            <w:r>
              <w:rPr>
                <w:rFonts w:hint="eastAsia"/>
                <w:color w:val="auto"/>
                <w:sz w:val="21"/>
                <w:szCs w:val="21"/>
                <w:highlight w:val="none"/>
                <w:lang w:val="en-US" w:eastAsia="zh-CN"/>
              </w:rPr>
              <w:t>0.141</w:t>
            </w:r>
          </w:p>
        </w:tc>
        <w:tc>
          <w:tcPr>
            <w:tcW w:w="583" w:type="pct"/>
            <w:vMerge w:val="restart"/>
            <w:tcBorders>
              <w:tl2br w:val="nil"/>
              <w:tr2bl w:val="nil"/>
            </w:tcBorders>
            <w:noWrap w:val="0"/>
            <w:vAlign w:val="center"/>
          </w:tcPr>
          <w:p w14:paraId="5D4F4998">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0.3</w:t>
            </w:r>
          </w:p>
        </w:tc>
        <w:tc>
          <w:tcPr>
            <w:tcW w:w="453" w:type="pct"/>
            <w:tcBorders>
              <w:tl2br w:val="nil"/>
              <w:tr2bl w:val="nil"/>
            </w:tcBorders>
            <w:noWrap w:val="0"/>
            <w:vAlign w:val="center"/>
          </w:tcPr>
          <w:p w14:paraId="065B77E1">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达标</w:t>
            </w:r>
          </w:p>
        </w:tc>
      </w:tr>
      <w:tr w14:paraId="6F84F7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04" w:type="pct"/>
            <w:vMerge w:val="continue"/>
            <w:tcBorders>
              <w:tl2br w:val="nil"/>
              <w:tr2bl w:val="nil"/>
            </w:tcBorders>
            <w:noWrap w:val="0"/>
            <w:vAlign w:val="center"/>
          </w:tcPr>
          <w:p w14:paraId="7279B5C5">
            <w:pPr>
              <w:autoSpaceDE w:val="0"/>
              <w:autoSpaceDN w:val="0"/>
              <w:adjustRightInd w:val="0"/>
              <w:snapToGrid w:val="0"/>
              <w:spacing w:line="240" w:lineRule="atLeast"/>
              <w:jc w:val="center"/>
              <w:rPr>
                <w:rFonts w:ascii="Times New Roman"/>
                <w:kern w:val="2"/>
                <w:sz w:val="21"/>
                <w:szCs w:val="21"/>
                <w:highlight w:val="none"/>
              </w:rPr>
            </w:pPr>
          </w:p>
        </w:tc>
        <w:tc>
          <w:tcPr>
            <w:tcW w:w="486" w:type="pct"/>
            <w:vMerge w:val="continue"/>
            <w:tcBorders>
              <w:tl2br w:val="nil"/>
              <w:tr2bl w:val="nil"/>
            </w:tcBorders>
            <w:noWrap w:val="0"/>
            <w:vAlign w:val="center"/>
          </w:tcPr>
          <w:p w14:paraId="6BA4039D">
            <w:pPr>
              <w:autoSpaceDE w:val="0"/>
              <w:autoSpaceDN w:val="0"/>
              <w:adjustRightInd w:val="0"/>
              <w:snapToGrid w:val="0"/>
              <w:spacing w:line="240" w:lineRule="atLeast"/>
              <w:jc w:val="center"/>
              <w:rPr>
                <w:rFonts w:ascii="Times New Roman"/>
                <w:kern w:val="2"/>
                <w:sz w:val="21"/>
                <w:szCs w:val="21"/>
                <w:highlight w:val="none"/>
              </w:rPr>
            </w:pPr>
          </w:p>
        </w:tc>
        <w:tc>
          <w:tcPr>
            <w:tcW w:w="1225" w:type="pct"/>
            <w:tcBorders>
              <w:tl2br w:val="nil"/>
              <w:tr2bl w:val="nil"/>
            </w:tcBorders>
            <w:noWrap w:val="0"/>
            <w:vAlign w:val="center"/>
          </w:tcPr>
          <w:p w14:paraId="6E52D823">
            <w:pPr>
              <w:autoSpaceDE w:val="0"/>
              <w:autoSpaceDN w:val="0"/>
              <w:adjustRightInd w:val="0"/>
              <w:snapToGrid w:val="0"/>
              <w:spacing w:line="240" w:lineRule="atLeast"/>
              <w:jc w:val="center"/>
              <w:rPr>
                <w:rFonts w:hint="eastAsia"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105</w:t>
            </w:r>
            <w:r>
              <w:rPr>
                <w:rFonts w:hint="eastAsia" w:ascii="Times New Roman"/>
                <w:kern w:val="2"/>
                <w:sz w:val="21"/>
                <w:szCs w:val="21"/>
                <w:highlight w:val="none"/>
              </w:rPr>
              <w:t>0m（保护目标处）</w:t>
            </w:r>
          </w:p>
        </w:tc>
        <w:tc>
          <w:tcPr>
            <w:tcW w:w="645" w:type="pct"/>
            <w:tcBorders>
              <w:tl2br w:val="nil"/>
              <w:tr2bl w:val="nil"/>
            </w:tcBorders>
            <w:noWrap w:val="0"/>
            <w:vAlign w:val="center"/>
          </w:tcPr>
          <w:p w14:paraId="728536F3">
            <w:pPr>
              <w:autoSpaceDE w:val="0"/>
              <w:autoSpaceDN w:val="0"/>
              <w:adjustRightInd w:val="0"/>
              <w:snapToGrid w:val="0"/>
              <w:spacing w:line="240" w:lineRule="atLeast"/>
              <w:jc w:val="center"/>
              <w:rPr>
                <w:rFonts w:hint="default"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0.071</w:t>
            </w:r>
          </w:p>
        </w:tc>
        <w:tc>
          <w:tcPr>
            <w:tcW w:w="650" w:type="pct"/>
            <w:tcBorders>
              <w:tl2br w:val="nil"/>
              <w:tr2bl w:val="nil"/>
            </w:tcBorders>
            <w:noWrap w:val="0"/>
            <w:vAlign w:val="center"/>
          </w:tcPr>
          <w:p w14:paraId="35E9EA27">
            <w:pPr>
              <w:autoSpaceDE w:val="0"/>
              <w:autoSpaceDN w:val="0"/>
              <w:adjustRightInd w:val="0"/>
              <w:snapToGrid w:val="0"/>
              <w:spacing w:line="240" w:lineRule="atLeast"/>
              <w:jc w:val="center"/>
              <w:rPr>
                <w:rFonts w:hint="default"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0.14</w:t>
            </w:r>
          </w:p>
        </w:tc>
        <w:tc>
          <w:tcPr>
            <w:tcW w:w="650" w:type="pct"/>
            <w:tcBorders>
              <w:tl2br w:val="nil"/>
              <w:tr2bl w:val="nil"/>
            </w:tcBorders>
            <w:noWrap w:val="0"/>
            <w:vAlign w:val="center"/>
          </w:tcPr>
          <w:p w14:paraId="639A49D3">
            <w:pPr>
              <w:keepNext w:val="0"/>
              <w:keepLines w:val="0"/>
              <w:widowControl/>
              <w:suppressLineNumbers w:val="0"/>
              <w:jc w:val="center"/>
              <w:textAlignment w:val="center"/>
              <w:rPr>
                <w:rFonts w:hint="default" w:ascii="Times New Roman" w:eastAsia="宋体"/>
                <w:color w:val="auto"/>
                <w:sz w:val="21"/>
                <w:szCs w:val="21"/>
                <w:highlight w:val="none"/>
                <w:lang w:val="en-US" w:eastAsia="zh-CN"/>
              </w:rPr>
            </w:pPr>
            <w:r>
              <w:rPr>
                <w:rFonts w:hint="eastAsia"/>
                <w:color w:val="auto"/>
                <w:sz w:val="21"/>
                <w:szCs w:val="21"/>
                <w:highlight w:val="none"/>
                <w:lang w:val="en-US" w:eastAsia="zh-CN"/>
              </w:rPr>
              <w:t>0.211</w:t>
            </w:r>
          </w:p>
        </w:tc>
        <w:tc>
          <w:tcPr>
            <w:tcW w:w="583" w:type="pct"/>
            <w:vMerge w:val="continue"/>
            <w:tcBorders>
              <w:tl2br w:val="nil"/>
              <w:tr2bl w:val="nil"/>
            </w:tcBorders>
            <w:noWrap w:val="0"/>
            <w:vAlign w:val="center"/>
          </w:tcPr>
          <w:p w14:paraId="4C9BA797">
            <w:pPr>
              <w:autoSpaceDE w:val="0"/>
              <w:autoSpaceDN w:val="0"/>
              <w:adjustRightInd w:val="0"/>
              <w:snapToGrid w:val="0"/>
              <w:spacing w:line="240" w:lineRule="atLeast"/>
              <w:jc w:val="center"/>
              <w:rPr>
                <w:rFonts w:ascii="Times New Roman"/>
                <w:kern w:val="2"/>
                <w:sz w:val="21"/>
                <w:szCs w:val="21"/>
                <w:highlight w:val="none"/>
              </w:rPr>
            </w:pPr>
          </w:p>
        </w:tc>
        <w:tc>
          <w:tcPr>
            <w:tcW w:w="453" w:type="pct"/>
            <w:tcBorders>
              <w:tl2br w:val="nil"/>
              <w:tr2bl w:val="nil"/>
            </w:tcBorders>
            <w:noWrap w:val="0"/>
            <w:vAlign w:val="center"/>
          </w:tcPr>
          <w:p w14:paraId="37E6016E">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达标</w:t>
            </w:r>
          </w:p>
        </w:tc>
      </w:tr>
      <w:tr w14:paraId="26ACA5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04" w:type="pct"/>
            <w:vMerge w:val="restart"/>
            <w:tcBorders>
              <w:tl2br w:val="nil"/>
              <w:tr2bl w:val="nil"/>
            </w:tcBorders>
            <w:noWrap w:val="0"/>
            <w:vAlign w:val="center"/>
          </w:tcPr>
          <w:p w14:paraId="0379AA49">
            <w:pPr>
              <w:autoSpaceDE w:val="0"/>
              <w:autoSpaceDN w:val="0"/>
              <w:adjustRightInd w:val="0"/>
              <w:snapToGrid w:val="0"/>
              <w:spacing w:line="240" w:lineRule="atLeast"/>
              <w:jc w:val="center"/>
              <w:rPr>
                <w:rFonts w:hint="eastAsia" w:ascii="Times New Roman" w:eastAsia="宋体"/>
                <w:kern w:val="2"/>
                <w:sz w:val="21"/>
                <w:szCs w:val="21"/>
                <w:highlight w:val="none"/>
                <w:lang w:eastAsia="zh-CN"/>
              </w:rPr>
            </w:pPr>
            <w:r>
              <w:rPr>
                <w:rFonts w:hint="eastAsia"/>
                <w:kern w:val="2"/>
                <w:sz w:val="21"/>
                <w:szCs w:val="21"/>
                <w:highlight w:val="none"/>
                <w:lang w:val="en-US" w:eastAsia="zh-CN"/>
              </w:rPr>
              <w:t>2</w:t>
            </w:r>
          </w:p>
        </w:tc>
        <w:tc>
          <w:tcPr>
            <w:tcW w:w="486" w:type="pct"/>
            <w:vMerge w:val="restart"/>
            <w:tcBorders>
              <w:tl2br w:val="nil"/>
              <w:tr2bl w:val="nil"/>
            </w:tcBorders>
            <w:noWrap w:val="0"/>
            <w:vAlign w:val="center"/>
          </w:tcPr>
          <w:p w14:paraId="104435D6">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耗氧量</w:t>
            </w:r>
          </w:p>
        </w:tc>
        <w:tc>
          <w:tcPr>
            <w:tcW w:w="1225" w:type="pct"/>
            <w:tcBorders>
              <w:tl2br w:val="nil"/>
              <w:tr2bl w:val="nil"/>
            </w:tcBorders>
            <w:noWrap w:val="0"/>
            <w:vAlign w:val="center"/>
          </w:tcPr>
          <w:p w14:paraId="27599ABB">
            <w:pPr>
              <w:autoSpaceDE w:val="0"/>
              <w:autoSpaceDN w:val="0"/>
              <w:adjustRightInd w:val="0"/>
              <w:snapToGrid w:val="0"/>
              <w:spacing w:line="240" w:lineRule="atLeast"/>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kern w:val="2"/>
                <w:sz w:val="21"/>
                <w:szCs w:val="21"/>
                <w:highlight w:val="none"/>
                <w:lang w:val="en-US" w:eastAsia="zh-CN"/>
              </w:rPr>
              <w:t>190</w:t>
            </w:r>
            <w:r>
              <w:rPr>
                <w:rFonts w:hint="eastAsia" w:ascii="Times New Roman"/>
                <w:kern w:val="2"/>
                <w:sz w:val="21"/>
                <w:szCs w:val="21"/>
                <w:highlight w:val="none"/>
              </w:rPr>
              <w:t>m（厂界处）</w:t>
            </w:r>
          </w:p>
        </w:tc>
        <w:tc>
          <w:tcPr>
            <w:tcW w:w="645" w:type="pct"/>
            <w:tcBorders>
              <w:tl2br w:val="nil"/>
              <w:tr2bl w:val="nil"/>
            </w:tcBorders>
            <w:noWrap w:val="0"/>
            <w:vAlign w:val="center"/>
          </w:tcPr>
          <w:p w14:paraId="6814BE19">
            <w:pPr>
              <w:autoSpaceDE w:val="0"/>
              <w:autoSpaceDN w:val="0"/>
              <w:adjustRightInd w:val="0"/>
              <w:snapToGrid w:val="0"/>
              <w:spacing w:line="240" w:lineRule="atLeast"/>
              <w:jc w:val="center"/>
              <w:rPr>
                <w:rFonts w:hint="default"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1.596</w:t>
            </w:r>
          </w:p>
        </w:tc>
        <w:tc>
          <w:tcPr>
            <w:tcW w:w="650" w:type="pct"/>
            <w:tcBorders>
              <w:tl2br w:val="nil"/>
              <w:tr2bl w:val="nil"/>
            </w:tcBorders>
            <w:noWrap w:val="0"/>
            <w:vAlign w:val="center"/>
          </w:tcPr>
          <w:p w14:paraId="390301BA">
            <w:pPr>
              <w:autoSpaceDE w:val="0"/>
              <w:autoSpaceDN w:val="0"/>
              <w:adjustRightInd w:val="0"/>
              <w:snapToGrid w:val="0"/>
              <w:spacing w:line="240" w:lineRule="atLeast"/>
              <w:jc w:val="center"/>
              <w:rPr>
                <w:rFonts w:hint="default"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1.26</w:t>
            </w:r>
            <w:r>
              <w:rPr>
                <w:rFonts w:hint="eastAsia"/>
                <w:kern w:val="2"/>
                <w:sz w:val="21"/>
                <w:szCs w:val="21"/>
                <w:highlight w:val="none"/>
                <w:vertAlign w:val="superscript"/>
                <w:lang w:val="en-US" w:eastAsia="zh-CN"/>
              </w:rPr>
              <w:t>②</w:t>
            </w:r>
          </w:p>
        </w:tc>
        <w:tc>
          <w:tcPr>
            <w:tcW w:w="650" w:type="pct"/>
            <w:tcBorders>
              <w:tl2br w:val="nil"/>
              <w:tr2bl w:val="nil"/>
            </w:tcBorders>
            <w:noWrap w:val="0"/>
            <w:vAlign w:val="center"/>
          </w:tcPr>
          <w:p w14:paraId="15F872EB">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rPr>
            </w:pPr>
            <w:r>
              <w:rPr>
                <w:rFonts w:hint="eastAsia" w:cs="Times New Roman"/>
                <w:kern w:val="2"/>
                <w:sz w:val="21"/>
                <w:szCs w:val="21"/>
                <w:highlight w:val="none"/>
                <w:lang w:val="en-US" w:eastAsia="zh-CN"/>
              </w:rPr>
              <w:t>2.856</w:t>
            </w:r>
          </w:p>
        </w:tc>
        <w:tc>
          <w:tcPr>
            <w:tcW w:w="583" w:type="pct"/>
            <w:vMerge w:val="restart"/>
            <w:tcBorders>
              <w:tl2br w:val="nil"/>
              <w:tr2bl w:val="nil"/>
            </w:tcBorders>
            <w:noWrap w:val="0"/>
            <w:vAlign w:val="center"/>
          </w:tcPr>
          <w:p w14:paraId="57E64C08">
            <w:pPr>
              <w:autoSpaceDE w:val="0"/>
              <w:autoSpaceDN w:val="0"/>
              <w:adjustRightInd w:val="0"/>
              <w:snapToGrid w:val="0"/>
              <w:spacing w:line="240" w:lineRule="atLeast"/>
              <w:jc w:val="center"/>
              <w:rPr>
                <w:rFonts w:ascii="Times New Roman"/>
                <w:kern w:val="2"/>
                <w:sz w:val="21"/>
                <w:szCs w:val="21"/>
                <w:highlight w:val="none"/>
              </w:rPr>
            </w:pPr>
            <w:r>
              <w:rPr>
                <w:rFonts w:hint="eastAsia" w:ascii="Times New Roman"/>
                <w:kern w:val="2"/>
                <w:sz w:val="21"/>
                <w:szCs w:val="21"/>
                <w:highlight w:val="none"/>
              </w:rPr>
              <w:t>3</w:t>
            </w:r>
          </w:p>
        </w:tc>
        <w:tc>
          <w:tcPr>
            <w:tcW w:w="453" w:type="pct"/>
            <w:tcBorders>
              <w:tl2br w:val="nil"/>
              <w:tr2bl w:val="nil"/>
            </w:tcBorders>
            <w:noWrap w:val="0"/>
            <w:vAlign w:val="center"/>
          </w:tcPr>
          <w:p w14:paraId="26474004">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达标</w:t>
            </w:r>
          </w:p>
        </w:tc>
      </w:tr>
      <w:tr w14:paraId="1E9342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304" w:type="pct"/>
            <w:vMerge w:val="continue"/>
            <w:tcBorders>
              <w:tl2br w:val="nil"/>
              <w:tr2bl w:val="nil"/>
            </w:tcBorders>
            <w:noWrap w:val="0"/>
            <w:vAlign w:val="center"/>
          </w:tcPr>
          <w:p w14:paraId="136B5642">
            <w:pPr>
              <w:autoSpaceDE w:val="0"/>
              <w:autoSpaceDN w:val="0"/>
              <w:adjustRightInd w:val="0"/>
              <w:snapToGrid w:val="0"/>
              <w:spacing w:line="240" w:lineRule="atLeast"/>
              <w:jc w:val="center"/>
              <w:rPr>
                <w:rFonts w:hint="eastAsia" w:ascii="Times New Roman"/>
                <w:kern w:val="2"/>
                <w:sz w:val="21"/>
                <w:szCs w:val="21"/>
                <w:highlight w:val="none"/>
              </w:rPr>
            </w:pPr>
          </w:p>
        </w:tc>
        <w:tc>
          <w:tcPr>
            <w:tcW w:w="486" w:type="pct"/>
            <w:vMerge w:val="continue"/>
            <w:tcBorders>
              <w:tl2br w:val="nil"/>
              <w:tr2bl w:val="nil"/>
            </w:tcBorders>
            <w:noWrap w:val="0"/>
            <w:vAlign w:val="center"/>
          </w:tcPr>
          <w:p w14:paraId="73B19009">
            <w:pPr>
              <w:autoSpaceDE w:val="0"/>
              <w:autoSpaceDN w:val="0"/>
              <w:adjustRightInd w:val="0"/>
              <w:snapToGrid w:val="0"/>
              <w:spacing w:line="240" w:lineRule="atLeast"/>
              <w:jc w:val="center"/>
              <w:rPr>
                <w:rFonts w:ascii="Times New Roman"/>
                <w:kern w:val="2"/>
                <w:sz w:val="21"/>
                <w:szCs w:val="21"/>
                <w:highlight w:val="none"/>
              </w:rPr>
            </w:pPr>
          </w:p>
        </w:tc>
        <w:tc>
          <w:tcPr>
            <w:tcW w:w="1225" w:type="pct"/>
            <w:tcBorders>
              <w:tl2br w:val="nil"/>
              <w:tr2bl w:val="nil"/>
            </w:tcBorders>
            <w:noWrap w:val="0"/>
            <w:vAlign w:val="center"/>
          </w:tcPr>
          <w:p w14:paraId="4AC7D117">
            <w:pPr>
              <w:autoSpaceDE w:val="0"/>
              <w:autoSpaceDN w:val="0"/>
              <w:adjustRightInd w:val="0"/>
              <w:snapToGrid w:val="0"/>
              <w:spacing w:line="240" w:lineRule="atLeast"/>
              <w:jc w:val="center"/>
              <w:rPr>
                <w:rFonts w:hint="eastAsia"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105</w:t>
            </w:r>
            <w:r>
              <w:rPr>
                <w:rFonts w:hint="eastAsia" w:ascii="Times New Roman"/>
                <w:kern w:val="2"/>
                <w:sz w:val="21"/>
                <w:szCs w:val="21"/>
                <w:highlight w:val="none"/>
              </w:rPr>
              <w:t>0m（保护目标处）</w:t>
            </w:r>
          </w:p>
        </w:tc>
        <w:tc>
          <w:tcPr>
            <w:tcW w:w="645" w:type="pct"/>
            <w:tcBorders>
              <w:tl2br w:val="nil"/>
              <w:tr2bl w:val="nil"/>
            </w:tcBorders>
            <w:noWrap w:val="0"/>
            <w:vAlign w:val="center"/>
          </w:tcPr>
          <w:p w14:paraId="199678C1">
            <w:pPr>
              <w:autoSpaceDE w:val="0"/>
              <w:autoSpaceDN w:val="0"/>
              <w:adjustRightInd w:val="0"/>
              <w:snapToGrid w:val="0"/>
              <w:spacing w:line="240" w:lineRule="atLeast"/>
              <w:jc w:val="center"/>
              <w:rPr>
                <w:rFonts w:hint="default"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0.982</w:t>
            </w:r>
          </w:p>
        </w:tc>
        <w:tc>
          <w:tcPr>
            <w:tcW w:w="650" w:type="pct"/>
            <w:tcBorders>
              <w:tl2br w:val="nil"/>
              <w:tr2bl w:val="nil"/>
            </w:tcBorders>
            <w:noWrap w:val="0"/>
            <w:vAlign w:val="center"/>
          </w:tcPr>
          <w:p w14:paraId="2D731F46">
            <w:pPr>
              <w:autoSpaceDE w:val="0"/>
              <w:autoSpaceDN w:val="0"/>
              <w:adjustRightInd w:val="0"/>
              <w:snapToGrid w:val="0"/>
              <w:spacing w:line="240" w:lineRule="atLeast"/>
              <w:jc w:val="center"/>
              <w:rPr>
                <w:rFonts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1.26</w:t>
            </w:r>
          </w:p>
        </w:tc>
        <w:tc>
          <w:tcPr>
            <w:tcW w:w="650" w:type="pct"/>
            <w:tcBorders>
              <w:tl2br w:val="nil"/>
              <w:tr2bl w:val="nil"/>
            </w:tcBorders>
            <w:noWrap w:val="0"/>
            <w:vAlign w:val="center"/>
          </w:tcPr>
          <w:p w14:paraId="539C5B6D">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rPr>
            </w:pPr>
            <w:r>
              <w:rPr>
                <w:rFonts w:hint="eastAsia" w:cs="Times New Roman"/>
                <w:kern w:val="2"/>
                <w:sz w:val="21"/>
                <w:szCs w:val="21"/>
                <w:highlight w:val="none"/>
                <w:lang w:val="en-US" w:eastAsia="zh-CN"/>
              </w:rPr>
              <w:t>2.242</w:t>
            </w:r>
          </w:p>
        </w:tc>
        <w:tc>
          <w:tcPr>
            <w:tcW w:w="583" w:type="pct"/>
            <w:vMerge w:val="continue"/>
            <w:tcBorders>
              <w:tl2br w:val="nil"/>
              <w:tr2bl w:val="nil"/>
            </w:tcBorders>
            <w:noWrap w:val="0"/>
            <w:vAlign w:val="center"/>
          </w:tcPr>
          <w:p w14:paraId="2640FC5E">
            <w:pPr>
              <w:autoSpaceDE w:val="0"/>
              <w:autoSpaceDN w:val="0"/>
              <w:adjustRightInd w:val="0"/>
              <w:snapToGrid w:val="0"/>
              <w:spacing w:line="240" w:lineRule="atLeast"/>
              <w:jc w:val="center"/>
              <w:rPr>
                <w:rFonts w:hint="eastAsia" w:ascii="Times New Roman"/>
                <w:kern w:val="2"/>
                <w:sz w:val="21"/>
                <w:szCs w:val="21"/>
                <w:highlight w:val="none"/>
              </w:rPr>
            </w:pPr>
          </w:p>
        </w:tc>
        <w:tc>
          <w:tcPr>
            <w:tcW w:w="453" w:type="pct"/>
            <w:tcBorders>
              <w:tl2br w:val="nil"/>
              <w:tr2bl w:val="nil"/>
            </w:tcBorders>
            <w:noWrap w:val="0"/>
            <w:vAlign w:val="center"/>
          </w:tcPr>
          <w:p w14:paraId="45F59D1A">
            <w:pPr>
              <w:autoSpaceDE w:val="0"/>
              <w:autoSpaceDN w:val="0"/>
              <w:adjustRightInd w:val="0"/>
              <w:snapToGrid w:val="0"/>
              <w:spacing w:line="240" w:lineRule="atLeast"/>
              <w:jc w:val="center"/>
              <w:rPr>
                <w:rFonts w:ascii="Times New Roman"/>
                <w:kern w:val="2"/>
                <w:sz w:val="21"/>
                <w:szCs w:val="21"/>
                <w:highlight w:val="none"/>
              </w:rPr>
            </w:pPr>
            <w:r>
              <w:rPr>
                <w:rFonts w:ascii="Times New Roman"/>
                <w:kern w:val="2"/>
                <w:sz w:val="21"/>
                <w:szCs w:val="21"/>
                <w:highlight w:val="none"/>
              </w:rPr>
              <w:t>达标</w:t>
            </w:r>
          </w:p>
        </w:tc>
      </w:tr>
    </w:tbl>
    <w:p w14:paraId="413C1EAC">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sz w:val="21"/>
          <w:szCs w:val="21"/>
          <w:highlight w:val="none"/>
          <w:lang w:val="en-US" w:eastAsia="zh-CN"/>
        </w:rPr>
      </w:pPr>
      <w:r>
        <w:rPr>
          <w:rFonts w:hint="eastAsia"/>
          <w:sz w:val="21"/>
          <w:szCs w:val="21"/>
          <w:highlight w:val="none"/>
          <w:lang w:val="en-US" w:eastAsia="zh-CN"/>
        </w:rPr>
        <w:t>注：①Fe未检出，采用监测值的一半；②尾矿库下游地下水环境跟踪监测井未检测耗氧量，参照Dx3现状监测值。</w:t>
      </w:r>
    </w:p>
    <w:p w14:paraId="568470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sz w:val="24"/>
          <w:szCs w:val="24"/>
          <w:highlight w:val="none"/>
          <w:lang w:val="en-US" w:eastAsia="zh-CN"/>
        </w:rPr>
      </w:pPr>
      <w:r>
        <w:rPr>
          <w:rFonts w:hint="eastAsia"/>
          <w:sz w:val="24"/>
          <w:szCs w:val="24"/>
          <w:highlight w:val="none"/>
          <w:lang w:val="en-US" w:eastAsia="zh-CN"/>
        </w:rPr>
        <w:t>由预测结果可知，</w:t>
      </w:r>
      <w:r>
        <w:rPr>
          <w:rFonts w:ascii="Times New Roman" w:eastAsia="宋体"/>
          <w:sz w:val="24"/>
          <w:szCs w:val="24"/>
          <w:highlight w:val="none"/>
        </w:rPr>
        <w:t>雨水通过排土场垂直渗透进入包气带，进入包气带的污染物在物理、化学和生物作用下经吸附、转化、迁移和分解后输入地下水，污染物迁移</w:t>
      </w:r>
      <w:r>
        <w:rPr>
          <w:rFonts w:hint="eastAsia"/>
          <w:sz w:val="24"/>
          <w:szCs w:val="24"/>
          <w:highlight w:val="none"/>
          <w:lang w:val="en-US" w:eastAsia="zh-CN"/>
        </w:rPr>
        <w:t>后</w:t>
      </w:r>
      <w:r>
        <w:rPr>
          <w:rFonts w:ascii="Times New Roman" w:eastAsia="宋体"/>
          <w:sz w:val="24"/>
          <w:szCs w:val="24"/>
          <w:highlight w:val="none"/>
        </w:rPr>
        <w:t>100d、1000d和</w:t>
      </w:r>
      <w:r>
        <w:rPr>
          <w:rFonts w:hint="eastAsia"/>
          <w:sz w:val="24"/>
          <w:szCs w:val="24"/>
          <w:highlight w:val="none"/>
          <w:lang w:val="en-US" w:eastAsia="zh-CN"/>
        </w:rPr>
        <w:t>1825d</w:t>
      </w:r>
      <w:r>
        <w:rPr>
          <w:rFonts w:hint="eastAsia"/>
          <w:sz w:val="24"/>
          <w:szCs w:val="24"/>
          <w:highlight w:val="none"/>
          <w:lang w:eastAsia="zh-CN"/>
        </w:rPr>
        <w:t>（</w:t>
      </w:r>
      <w:r>
        <w:rPr>
          <w:rFonts w:hint="eastAsia"/>
          <w:sz w:val="24"/>
          <w:szCs w:val="24"/>
          <w:highlight w:val="none"/>
          <w:lang w:val="en-US" w:eastAsia="zh-CN"/>
        </w:rPr>
        <w:t>服务期满</w:t>
      </w:r>
      <w:r>
        <w:rPr>
          <w:rFonts w:hint="eastAsia"/>
          <w:sz w:val="24"/>
          <w:szCs w:val="24"/>
          <w:highlight w:val="none"/>
          <w:lang w:eastAsia="zh-CN"/>
        </w:rPr>
        <w:t>）、</w:t>
      </w:r>
      <w:r>
        <w:rPr>
          <w:rFonts w:hint="eastAsia"/>
          <w:sz w:val="24"/>
          <w:szCs w:val="24"/>
          <w:highlight w:val="none"/>
          <w:lang w:val="en-US" w:eastAsia="zh-CN"/>
        </w:rPr>
        <w:t>厂界</w:t>
      </w:r>
      <w:r>
        <w:rPr>
          <w:rFonts w:hint="eastAsia" w:ascii="Times New Roman"/>
          <w:sz w:val="24"/>
          <w:szCs w:val="24"/>
          <w:highlight w:val="none"/>
          <w:lang w:val="zh-CN"/>
        </w:rPr>
        <w:t>处及保护目标处</w:t>
      </w:r>
      <w:r>
        <w:rPr>
          <w:rFonts w:hint="eastAsia"/>
          <w:sz w:val="24"/>
          <w:szCs w:val="24"/>
          <w:highlight w:val="none"/>
          <w:lang w:eastAsia="zh-CN"/>
        </w:rPr>
        <w:t>Fe、耗氧量</w:t>
      </w:r>
      <w:r>
        <w:rPr>
          <w:rFonts w:ascii="Times New Roman" w:eastAsia="宋体"/>
          <w:sz w:val="24"/>
          <w:szCs w:val="24"/>
          <w:highlight w:val="none"/>
        </w:rPr>
        <w:t>叠加背景值后</w:t>
      </w:r>
      <w:r>
        <w:rPr>
          <w:rFonts w:hint="eastAsia" w:ascii="Times New Roman" w:eastAsia="宋体"/>
          <w:color w:val="auto"/>
          <w:sz w:val="24"/>
          <w:szCs w:val="28"/>
          <w:highlight w:val="none"/>
          <w:lang w:val="zh-CN"/>
        </w:rPr>
        <w:t>低于《地下水质量标准》（GB/T14848-2017）中的</w:t>
      </w:r>
      <w:r>
        <w:rPr>
          <w:rFonts w:hint="default" w:ascii="Times New Roman" w:hAnsi="Times New Roman" w:eastAsia="宋体" w:cs="Times New Roman"/>
          <w:color w:val="auto"/>
          <w:sz w:val="24"/>
          <w:szCs w:val="28"/>
          <w:highlight w:val="none"/>
          <w:lang w:val="zh-CN"/>
        </w:rPr>
        <w:t>Ⅲ</w:t>
      </w:r>
      <w:r>
        <w:rPr>
          <w:rFonts w:hint="eastAsia" w:ascii="Times New Roman" w:eastAsia="宋体"/>
          <w:color w:val="auto"/>
          <w:sz w:val="24"/>
          <w:szCs w:val="28"/>
          <w:highlight w:val="none"/>
          <w:lang w:val="zh-CN"/>
        </w:rPr>
        <w:t>类标准</w:t>
      </w:r>
      <w:r>
        <w:rPr>
          <w:rFonts w:hint="eastAsia"/>
          <w:sz w:val="24"/>
          <w:szCs w:val="24"/>
          <w:highlight w:val="none"/>
          <w:lang w:eastAsia="zh-CN"/>
        </w:rPr>
        <w:t>。</w:t>
      </w:r>
    </w:p>
    <w:p w14:paraId="20FBBCAE">
      <w:pPr>
        <w:pStyle w:val="7"/>
        <w:adjustRightInd w:val="0"/>
        <w:snapToGrid w:val="0"/>
        <w:spacing w:before="0" w:after="0" w:line="360" w:lineRule="auto"/>
        <w:rPr>
          <w:rFonts w:ascii="Times New Roman" w:hAnsi="Times New Roman" w:eastAsia="宋体"/>
          <w:sz w:val="24"/>
          <w:szCs w:val="24"/>
          <w:highlight w:val="none"/>
        </w:rPr>
      </w:pPr>
      <w:r>
        <w:rPr>
          <w:rFonts w:hint="eastAsia" w:ascii="Times New Roman" w:hAnsi="Times New Roman" w:eastAsia="宋体"/>
          <w:sz w:val="24"/>
          <w:szCs w:val="24"/>
          <w:highlight w:val="none"/>
        </w:rPr>
        <w:t>地下水环境影响评价结论</w:t>
      </w:r>
    </w:p>
    <w:p w14:paraId="523E51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szCs w:val="28"/>
          <w:highlight w:val="none"/>
          <w:lang w:val="zh-CN"/>
        </w:rPr>
      </w:pPr>
      <w:r>
        <w:rPr>
          <w:color w:val="auto"/>
          <w:sz w:val="24"/>
          <w:szCs w:val="24"/>
          <w:highlight w:val="none"/>
        </w:rPr>
        <w:t>正常状况下</w:t>
      </w:r>
      <w:r>
        <w:rPr>
          <w:rFonts w:hint="eastAsia"/>
          <w:color w:val="auto"/>
          <w:sz w:val="24"/>
          <w:szCs w:val="24"/>
          <w:highlight w:val="none"/>
          <w:lang w:eastAsia="zh-CN"/>
        </w:rPr>
        <w:t>，</w:t>
      </w:r>
      <w:r>
        <w:rPr>
          <w:rFonts w:ascii="Times New Roman" w:eastAsia="宋体"/>
          <w:sz w:val="24"/>
          <w:szCs w:val="24"/>
          <w:highlight w:val="none"/>
        </w:rPr>
        <w:t>雨水通过排土场垂直渗透进入包气带，进入包气带的污染物在物理、化学和生物作用下经吸附、转化、迁移和分解后输入地下水，污染物迁移</w:t>
      </w:r>
      <w:r>
        <w:rPr>
          <w:rFonts w:hint="eastAsia"/>
          <w:sz w:val="24"/>
          <w:szCs w:val="24"/>
          <w:highlight w:val="none"/>
          <w:lang w:val="en-US" w:eastAsia="zh-CN"/>
        </w:rPr>
        <w:t>后</w:t>
      </w:r>
      <w:r>
        <w:rPr>
          <w:rFonts w:ascii="Times New Roman" w:eastAsia="宋体"/>
          <w:sz w:val="24"/>
          <w:szCs w:val="24"/>
          <w:highlight w:val="none"/>
        </w:rPr>
        <w:t>100d、1000d和</w:t>
      </w:r>
      <w:r>
        <w:rPr>
          <w:rFonts w:hint="eastAsia"/>
          <w:sz w:val="24"/>
          <w:szCs w:val="24"/>
          <w:highlight w:val="none"/>
          <w:lang w:val="en-US" w:eastAsia="zh-CN"/>
        </w:rPr>
        <w:t>1825d</w:t>
      </w:r>
      <w:r>
        <w:rPr>
          <w:rFonts w:hint="eastAsia"/>
          <w:sz w:val="24"/>
          <w:szCs w:val="24"/>
          <w:highlight w:val="none"/>
          <w:lang w:eastAsia="zh-CN"/>
        </w:rPr>
        <w:t>（</w:t>
      </w:r>
      <w:r>
        <w:rPr>
          <w:rFonts w:hint="eastAsia"/>
          <w:sz w:val="24"/>
          <w:szCs w:val="24"/>
          <w:highlight w:val="none"/>
          <w:lang w:val="en-US" w:eastAsia="zh-CN"/>
        </w:rPr>
        <w:t>服务期满</w:t>
      </w:r>
      <w:r>
        <w:rPr>
          <w:rFonts w:hint="eastAsia"/>
          <w:sz w:val="24"/>
          <w:szCs w:val="24"/>
          <w:highlight w:val="none"/>
          <w:lang w:eastAsia="zh-CN"/>
        </w:rPr>
        <w:t>）、</w:t>
      </w:r>
      <w:r>
        <w:rPr>
          <w:rFonts w:hint="eastAsia"/>
          <w:sz w:val="24"/>
          <w:szCs w:val="24"/>
          <w:highlight w:val="none"/>
          <w:lang w:val="en-US" w:eastAsia="zh-CN"/>
        </w:rPr>
        <w:t>厂界</w:t>
      </w:r>
      <w:r>
        <w:rPr>
          <w:rFonts w:hint="eastAsia" w:ascii="Times New Roman"/>
          <w:sz w:val="24"/>
          <w:szCs w:val="24"/>
          <w:highlight w:val="none"/>
          <w:lang w:val="zh-CN"/>
        </w:rPr>
        <w:t>处及保护目标处</w:t>
      </w:r>
      <w:r>
        <w:rPr>
          <w:rFonts w:hint="eastAsia"/>
          <w:sz w:val="24"/>
          <w:szCs w:val="24"/>
          <w:highlight w:val="none"/>
          <w:lang w:eastAsia="zh-CN"/>
        </w:rPr>
        <w:t>Fe、耗氧量</w:t>
      </w:r>
      <w:r>
        <w:rPr>
          <w:rFonts w:ascii="Times New Roman" w:eastAsia="宋体"/>
          <w:sz w:val="24"/>
          <w:szCs w:val="24"/>
          <w:highlight w:val="none"/>
        </w:rPr>
        <w:t>叠加背景值后</w:t>
      </w:r>
      <w:r>
        <w:rPr>
          <w:rFonts w:hint="eastAsia" w:ascii="Times New Roman" w:eastAsia="宋体"/>
          <w:color w:val="auto"/>
          <w:sz w:val="24"/>
          <w:szCs w:val="28"/>
          <w:highlight w:val="none"/>
          <w:lang w:val="zh-CN"/>
        </w:rPr>
        <w:t>低于《地下水质量标准》（GB/T14848-2017）中的</w:t>
      </w:r>
      <w:r>
        <w:rPr>
          <w:rFonts w:hint="default" w:ascii="Times New Roman" w:hAnsi="Times New Roman" w:eastAsia="宋体" w:cs="Times New Roman"/>
          <w:color w:val="auto"/>
          <w:sz w:val="24"/>
          <w:szCs w:val="28"/>
          <w:highlight w:val="none"/>
          <w:lang w:val="zh-CN"/>
        </w:rPr>
        <w:t>Ⅲ</w:t>
      </w:r>
      <w:r>
        <w:rPr>
          <w:rFonts w:hint="eastAsia" w:ascii="Times New Roman" w:eastAsia="宋体"/>
          <w:color w:val="auto"/>
          <w:sz w:val="24"/>
          <w:szCs w:val="28"/>
          <w:highlight w:val="none"/>
          <w:lang w:val="zh-CN"/>
        </w:rPr>
        <w:t>类标准</w:t>
      </w:r>
      <w:r>
        <w:rPr>
          <w:rFonts w:hint="eastAsia"/>
          <w:color w:val="auto"/>
          <w:sz w:val="24"/>
          <w:szCs w:val="28"/>
          <w:highlight w:val="none"/>
          <w:lang w:val="zh-CN"/>
        </w:rPr>
        <w:t>。</w:t>
      </w:r>
      <w:r>
        <w:rPr>
          <w:rFonts w:hint="eastAsia" w:ascii="Times New Roman"/>
          <w:sz w:val="24"/>
          <w:szCs w:val="32"/>
          <w:highlight w:val="none"/>
        </w:rPr>
        <w:t>污染物Fe、耗氧量对周边地下水的影响会在一定时间内持续，但污染物迁移距离有限</w:t>
      </w:r>
      <w:r>
        <w:rPr>
          <w:rFonts w:hint="eastAsia" w:ascii="Times New Roman"/>
          <w:sz w:val="24"/>
          <w:szCs w:val="32"/>
          <w:highlight w:val="none"/>
          <w:lang w:eastAsia="zh-CN"/>
        </w:rPr>
        <w:t>。</w:t>
      </w:r>
    </w:p>
    <w:p w14:paraId="754AD97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sz w:val="24"/>
          <w:szCs w:val="24"/>
          <w:highlight w:val="none"/>
          <w:lang w:val="zh-CN" w:eastAsia="zh-CN"/>
        </w:rPr>
      </w:pPr>
      <w:r>
        <w:rPr>
          <w:rFonts w:hint="eastAsia" w:ascii="Times New Roman"/>
          <w:sz w:val="24"/>
          <w:szCs w:val="24"/>
          <w:highlight w:val="none"/>
        </w:rPr>
        <w:t>综上所述，在综合考虑项目区域环境水文地质条件、地下水环境影响预测与评价结果，并采取合理的防渗措施的前提下，项目对地下水的环境影响可以接受</w:t>
      </w:r>
      <w:r>
        <w:rPr>
          <w:rFonts w:hint="eastAsia"/>
          <w:sz w:val="24"/>
          <w:szCs w:val="24"/>
          <w:highlight w:val="none"/>
          <w:lang w:eastAsia="zh-CN"/>
        </w:rPr>
        <w:t>。</w:t>
      </w:r>
    </w:p>
    <w:p w14:paraId="4F551304">
      <w:pPr>
        <w:pStyle w:val="7"/>
        <w:adjustRightInd w:val="0"/>
        <w:snapToGrid w:val="0"/>
        <w:spacing w:before="0" w:after="0" w:line="360" w:lineRule="auto"/>
        <w:rPr>
          <w:rFonts w:ascii="Times New Roman" w:hAnsi="Times New Roman" w:eastAsia="宋体"/>
          <w:sz w:val="24"/>
          <w:szCs w:val="24"/>
          <w:highlight w:val="none"/>
        </w:rPr>
      </w:pPr>
      <w:r>
        <w:rPr>
          <w:rFonts w:ascii="Times New Roman" w:hAnsi="Times New Roman" w:eastAsia="宋体"/>
          <w:sz w:val="24"/>
          <w:szCs w:val="24"/>
          <w:highlight w:val="none"/>
        </w:rPr>
        <w:t>地下水污染防治措施</w:t>
      </w:r>
    </w:p>
    <w:p w14:paraId="42022067">
      <w:pPr>
        <w:keepNext w:val="0"/>
        <w:keepLines w:val="0"/>
        <w:pageBreakBefore w:val="0"/>
        <w:widowControl w:val="0"/>
        <w:kinsoku/>
        <w:wordWrap/>
        <w:overflowPunct/>
        <w:topLinePunct w:val="0"/>
        <w:bidi w:val="0"/>
        <w:snapToGrid/>
        <w:spacing w:line="360" w:lineRule="auto"/>
        <w:ind w:firstLine="482" w:firstLineChars="200"/>
        <w:textAlignment w:val="auto"/>
        <w:rPr>
          <w:rFonts w:hint="default"/>
          <w:b/>
          <w:bCs/>
          <w:sz w:val="24"/>
          <w:szCs w:val="24"/>
          <w:highlight w:val="none"/>
          <w:lang w:val="en-US" w:eastAsia="zh-CN"/>
        </w:rPr>
      </w:pPr>
      <w:r>
        <w:rPr>
          <w:rFonts w:hint="eastAsia"/>
          <w:b/>
          <w:bCs/>
          <w:sz w:val="24"/>
          <w:szCs w:val="24"/>
          <w:highlight w:val="none"/>
          <w:lang w:eastAsia="zh-CN"/>
        </w:rPr>
        <w:t>（</w:t>
      </w:r>
      <w:r>
        <w:rPr>
          <w:rFonts w:hint="eastAsia"/>
          <w:b/>
          <w:bCs/>
          <w:sz w:val="24"/>
          <w:szCs w:val="24"/>
          <w:highlight w:val="none"/>
          <w:lang w:val="en-US" w:eastAsia="zh-CN"/>
        </w:rPr>
        <w:t>1</w:t>
      </w:r>
      <w:r>
        <w:rPr>
          <w:rFonts w:hint="eastAsia"/>
          <w:b/>
          <w:bCs/>
          <w:sz w:val="24"/>
          <w:szCs w:val="24"/>
          <w:highlight w:val="none"/>
          <w:lang w:eastAsia="zh-CN"/>
        </w:rPr>
        <w:t>）</w:t>
      </w:r>
      <w:r>
        <w:rPr>
          <w:rFonts w:hint="eastAsia"/>
          <w:b/>
          <w:bCs/>
          <w:sz w:val="24"/>
          <w:szCs w:val="24"/>
          <w:highlight w:val="none"/>
          <w:lang w:val="en-US" w:eastAsia="zh-CN"/>
        </w:rPr>
        <w:t>源头控制</w:t>
      </w:r>
    </w:p>
    <w:p w14:paraId="21D47E78">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b w:val="0"/>
          <w:bCs w:val="0"/>
          <w:sz w:val="24"/>
          <w:szCs w:val="24"/>
          <w:highlight w:val="none"/>
          <w:lang w:eastAsia="zh-CN"/>
        </w:rPr>
      </w:pPr>
      <w:r>
        <w:rPr>
          <w:rFonts w:hint="eastAsia"/>
          <w:b w:val="0"/>
          <w:bCs w:val="0"/>
          <w:sz w:val="24"/>
          <w:szCs w:val="24"/>
          <w:highlight w:val="none"/>
          <w:lang w:eastAsia="zh-CN"/>
        </w:rPr>
        <w:t>①工艺装置及设计</w:t>
      </w:r>
    </w:p>
    <w:p w14:paraId="2D189108">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b w:val="0"/>
          <w:bCs w:val="0"/>
          <w:sz w:val="24"/>
          <w:szCs w:val="24"/>
          <w:highlight w:val="none"/>
          <w:lang w:eastAsia="zh-CN"/>
        </w:rPr>
      </w:pPr>
      <w:r>
        <w:rPr>
          <w:rFonts w:hint="eastAsia"/>
          <w:b w:val="0"/>
          <w:bCs w:val="0"/>
          <w:sz w:val="24"/>
          <w:szCs w:val="24"/>
          <w:highlight w:val="none"/>
          <w:lang w:eastAsia="zh-CN"/>
        </w:rPr>
        <w:t>污染源头的控制包括各类生产设施，应严格按照国家相关规范要求，对管道、设备及相关构筑物采取相应的措施，以防止和降低管道和设备的跑、冒、滴、漏，将泄漏的环境风险事故降低到最低程度，做到污染物“早发现、早处理”。</w:t>
      </w:r>
    </w:p>
    <w:p w14:paraId="006EE98E">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b w:val="0"/>
          <w:bCs w:val="0"/>
          <w:sz w:val="24"/>
          <w:szCs w:val="24"/>
          <w:highlight w:val="none"/>
          <w:lang w:eastAsia="zh-CN"/>
        </w:rPr>
      </w:pPr>
      <w:r>
        <w:rPr>
          <w:rFonts w:hint="eastAsia"/>
          <w:b w:val="0"/>
          <w:bCs w:val="0"/>
          <w:sz w:val="24"/>
          <w:szCs w:val="24"/>
          <w:highlight w:val="none"/>
          <w:lang w:eastAsia="zh-CN"/>
        </w:rPr>
        <w:t>切实贯彻执行“预防为主、防治结合”的方针，严禁渗坑渗井排放，所有场地全部硬化和密封，严禁下渗污染。</w:t>
      </w:r>
    </w:p>
    <w:p w14:paraId="7C5E773D">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b w:val="0"/>
          <w:bCs w:val="0"/>
          <w:sz w:val="24"/>
          <w:szCs w:val="24"/>
          <w:highlight w:val="none"/>
          <w:lang w:eastAsia="zh-CN"/>
        </w:rPr>
      </w:pPr>
      <w:r>
        <w:rPr>
          <w:rFonts w:hint="eastAsia"/>
          <w:b w:val="0"/>
          <w:bCs w:val="0"/>
          <w:sz w:val="24"/>
          <w:szCs w:val="24"/>
          <w:highlight w:val="none"/>
          <w:lang w:eastAsia="zh-CN"/>
        </w:rPr>
        <w:t>②污染防控措施</w:t>
      </w:r>
    </w:p>
    <w:p w14:paraId="654DE608">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b w:val="0"/>
          <w:bCs w:val="0"/>
          <w:sz w:val="24"/>
          <w:szCs w:val="24"/>
          <w:highlight w:val="none"/>
          <w:lang w:eastAsia="zh-CN"/>
        </w:rPr>
      </w:pPr>
      <w:r>
        <w:rPr>
          <w:rFonts w:hint="eastAsia"/>
          <w:b w:val="0"/>
          <w:bCs w:val="0"/>
          <w:sz w:val="24"/>
          <w:szCs w:val="24"/>
          <w:highlight w:val="none"/>
          <w:lang w:eastAsia="zh-CN"/>
        </w:rPr>
        <w:t>项目在建设及运营期应采取以下措施：</w:t>
      </w:r>
    </w:p>
    <w:p w14:paraId="7F474036">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b w:val="0"/>
          <w:bCs w:val="0"/>
          <w:sz w:val="24"/>
          <w:szCs w:val="24"/>
          <w:highlight w:val="none"/>
          <w:lang w:eastAsia="zh-CN"/>
        </w:rPr>
      </w:pPr>
      <w:r>
        <w:rPr>
          <w:rFonts w:hint="eastAsia"/>
          <w:b w:val="0"/>
          <w:bCs w:val="0"/>
          <w:sz w:val="24"/>
          <w:szCs w:val="24"/>
          <w:highlight w:val="none"/>
          <w:lang w:eastAsia="zh-CN"/>
        </w:rPr>
        <w:t>1）为防止地下水污染，项目采用源头控制和分区防控措施，共设置</w:t>
      </w:r>
      <w:r>
        <w:rPr>
          <w:rFonts w:hint="eastAsia"/>
          <w:b w:val="0"/>
          <w:bCs w:val="0"/>
          <w:sz w:val="24"/>
          <w:szCs w:val="24"/>
          <w:highlight w:val="none"/>
          <w:lang w:val="en-US" w:eastAsia="zh-CN"/>
        </w:rPr>
        <w:t>3</w:t>
      </w:r>
      <w:r>
        <w:rPr>
          <w:rFonts w:hint="eastAsia"/>
          <w:b w:val="0"/>
          <w:bCs w:val="0"/>
          <w:sz w:val="24"/>
          <w:szCs w:val="24"/>
          <w:highlight w:val="none"/>
          <w:lang w:eastAsia="zh-CN"/>
        </w:rPr>
        <w:t>口跟踪监控井。建立定期监测制度，发现问题及时排查原因后采取相应措施。水质的监测委托相应资质部门。</w:t>
      </w:r>
    </w:p>
    <w:p w14:paraId="37D5EB15">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b w:val="0"/>
          <w:bCs w:val="0"/>
          <w:sz w:val="24"/>
          <w:szCs w:val="24"/>
          <w:highlight w:val="none"/>
          <w:lang w:eastAsia="zh-CN"/>
        </w:rPr>
      </w:pPr>
      <w:r>
        <w:rPr>
          <w:rFonts w:hint="eastAsia"/>
          <w:b w:val="0"/>
          <w:bCs w:val="0"/>
          <w:sz w:val="24"/>
          <w:szCs w:val="24"/>
          <w:highlight w:val="none"/>
          <w:lang w:eastAsia="zh-CN"/>
        </w:rPr>
        <w:t>2）企业应对池体等设置必要的检漏时间及周期，在一个检漏周期内，对可能有污染物跑冒滴漏等产生的地区进行必要的检漏工作，及时发现污染物的渗漏，并采取补救措施。</w:t>
      </w:r>
    </w:p>
    <w:p w14:paraId="6DAD34A3">
      <w:pPr>
        <w:keepNext w:val="0"/>
        <w:keepLines w:val="0"/>
        <w:pageBreakBefore w:val="0"/>
        <w:widowControl w:val="0"/>
        <w:kinsoku/>
        <w:wordWrap/>
        <w:overflowPunct/>
        <w:topLinePunct w:val="0"/>
        <w:bidi w:val="0"/>
        <w:snapToGrid/>
        <w:spacing w:line="360" w:lineRule="auto"/>
        <w:ind w:firstLine="482" w:firstLineChars="200"/>
        <w:textAlignment w:val="auto"/>
        <w:rPr>
          <w:rFonts w:hint="default" w:eastAsia="宋体"/>
          <w:b/>
          <w:bCs/>
          <w:sz w:val="24"/>
          <w:szCs w:val="24"/>
          <w:highlight w:val="none"/>
          <w:lang w:val="en-US" w:eastAsia="zh-CN"/>
        </w:rPr>
      </w:pPr>
      <w:r>
        <w:rPr>
          <w:rFonts w:hint="eastAsia"/>
          <w:b/>
          <w:bCs/>
          <w:sz w:val="24"/>
          <w:szCs w:val="24"/>
          <w:highlight w:val="none"/>
          <w:lang w:eastAsia="zh-CN"/>
        </w:rPr>
        <w:t>（</w:t>
      </w:r>
      <w:r>
        <w:rPr>
          <w:rFonts w:hint="eastAsia"/>
          <w:b/>
          <w:bCs/>
          <w:sz w:val="24"/>
          <w:szCs w:val="24"/>
          <w:highlight w:val="none"/>
          <w:lang w:val="en-US" w:eastAsia="zh-CN"/>
        </w:rPr>
        <w:t>2</w:t>
      </w:r>
      <w:r>
        <w:rPr>
          <w:rFonts w:hint="eastAsia"/>
          <w:b/>
          <w:bCs/>
          <w:sz w:val="24"/>
          <w:szCs w:val="24"/>
          <w:highlight w:val="none"/>
          <w:lang w:eastAsia="zh-CN"/>
        </w:rPr>
        <w:t>）</w:t>
      </w:r>
      <w:r>
        <w:rPr>
          <w:rFonts w:hint="eastAsia"/>
          <w:b/>
          <w:bCs/>
          <w:sz w:val="24"/>
          <w:szCs w:val="24"/>
          <w:highlight w:val="none"/>
          <w:lang w:val="en-US" w:eastAsia="zh-CN"/>
        </w:rPr>
        <w:t>分区防渗</w:t>
      </w:r>
    </w:p>
    <w:p w14:paraId="0EA9411F">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eastAsia="宋体"/>
          <w:b/>
          <w:bCs/>
          <w:sz w:val="24"/>
          <w:szCs w:val="24"/>
          <w:highlight w:val="none"/>
          <w:lang w:val="en-US" w:eastAsia="zh-CN"/>
        </w:rPr>
      </w:pPr>
      <w:r>
        <w:rPr>
          <w:rFonts w:hint="eastAsia"/>
          <w:b/>
          <w:bCs/>
          <w:sz w:val="24"/>
          <w:szCs w:val="24"/>
          <w:highlight w:val="none"/>
          <w:lang w:val="en-US" w:eastAsia="zh-CN"/>
        </w:rPr>
        <w:t>1）排土场防渗要求</w:t>
      </w:r>
    </w:p>
    <w:p w14:paraId="75DAC09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排土场防渗</w:t>
      </w:r>
      <w:r>
        <w:rPr>
          <w:rFonts w:hint="eastAsia" w:cs="Times New Roman"/>
          <w:sz w:val="24"/>
          <w:szCs w:val="24"/>
          <w:highlight w:val="none"/>
          <w:lang w:val="en-US" w:eastAsia="zh-CN"/>
        </w:rPr>
        <w:t>按照</w:t>
      </w:r>
      <w:r>
        <w:rPr>
          <w:rFonts w:hint="eastAsia" w:cs="Times New Roman"/>
          <w:sz w:val="24"/>
          <w:szCs w:val="24"/>
          <w:highlight w:val="none"/>
          <w:lang w:eastAsia="zh-CN"/>
        </w:rPr>
        <w:t>《一般工业固体废物贮存和填埋污染控制标准》（GB18599-2020）</w:t>
      </w:r>
      <w:r>
        <w:rPr>
          <w:rFonts w:hint="eastAsia" w:cs="Times New Roman"/>
          <w:sz w:val="24"/>
          <w:szCs w:val="24"/>
          <w:highlight w:val="none"/>
          <w:lang w:val="en-US" w:eastAsia="zh-CN"/>
        </w:rPr>
        <w:t>防渗要求，具体要求如下：</w:t>
      </w:r>
    </w:p>
    <w:p w14:paraId="693E8AC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hint="default" w:ascii="Times New Roman" w:hAnsi="Times New Roman" w:cs="Times New Roman"/>
          <w:sz w:val="24"/>
          <w:szCs w:val="24"/>
          <w:highlight w:val="none"/>
          <w:lang w:val="en-US" w:eastAsia="zh-CN"/>
        </w:rPr>
        <w:t>根据废石腐蚀性</w:t>
      </w:r>
      <w:r>
        <w:rPr>
          <w:rFonts w:hint="default" w:ascii="Times New Roman" w:hAnsi="Times New Roman" w:cs="Times New Roman"/>
          <w:sz w:val="24"/>
          <w:szCs w:val="24"/>
          <w:highlight w:val="none"/>
          <w:lang w:eastAsia="zh-CN"/>
        </w:rPr>
        <w:t>鉴别、</w:t>
      </w:r>
      <w:r>
        <w:rPr>
          <w:rFonts w:hint="default" w:ascii="Times New Roman" w:hAnsi="Times New Roman" w:cs="Times New Roman"/>
          <w:sz w:val="24"/>
          <w:szCs w:val="24"/>
          <w:highlight w:val="none"/>
          <w:lang w:val="en-US" w:eastAsia="zh-CN"/>
        </w:rPr>
        <w:t>浸出毒性鉴别、第Ⅰ、Ⅱ类一般工业固体废物鉴别结果</w:t>
      </w:r>
      <w:r>
        <w:rPr>
          <w:rFonts w:hint="eastAsia" w:cs="Times New Roman"/>
          <w:sz w:val="24"/>
          <w:szCs w:val="24"/>
          <w:highlight w:val="none"/>
          <w:lang w:val="en-US" w:eastAsia="zh-CN"/>
        </w:rPr>
        <w:t>，</w:t>
      </w:r>
      <w:r>
        <w:rPr>
          <w:rFonts w:hint="eastAsia" w:ascii="Times New Roman" w:hAnsi="Times New Roman" w:cs="Times New Roman"/>
          <w:sz w:val="24"/>
          <w:szCs w:val="24"/>
          <w:highlight w:val="none"/>
          <w:lang w:eastAsia="zh-CN"/>
        </w:rPr>
        <w:t>废石为第</w:t>
      </w:r>
      <w:r>
        <w:rPr>
          <w:rFonts w:hint="default" w:ascii="Times New Roman" w:hAnsi="Times New Roman" w:cs="Times New Roman"/>
          <w:sz w:val="24"/>
          <w:szCs w:val="24"/>
          <w:highlight w:val="none"/>
          <w:lang w:eastAsia="zh-CN"/>
        </w:rPr>
        <w:t>Ⅰ类</w:t>
      </w:r>
      <w:r>
        <w:rPr>
          <w:rFonts w:hint="eastAsia" w:ascii="Times New Roman" w:hAnsi="Times New Roman" w:cs="Times New Roman"/>
          <w:sz w:val="24"/>
          <w:szCs w:val="24"/>
          <w:highlight w:val="none"/>
          <w:lang w:eastAsia="zh-CN"/>
        </w:rPr>
        <w:t>一般工业固体废物</w:t>
      </w:r>
      <w:r>
        <w:rPr>
          <w:rFonts w:hint="eastAsia" w:cs="Times New Roman"/>
          <w:sz w:val="24"/>
          <w:szCs w:val="24"/>
          <w:highlight w:val="none"/>
          <w:lang w:eastAsia="zh-CN"/>
        </w:rPr>
        <w:t>，</w:t>
      </w:r>
      <w:r>
        <w:rPr>
          <w:rFonts w:hint="eastAsia" w:cs="Times New Roman"/>
          <w:sz w:val="24"/>
          <w:szCs w:val="24"/>
          <w:highlight w:val="none"/>
          <w:lang w:val="en-US" w:eastAsia="zh-CN"/>
        </w:rPr>
        <w:t>项目排土场为</w:t>
      </w:r>
      <w:r>
        <w:rPr>
          <w:rFonts w:hint="default" w:ascii="Times New Roman" w:hAnsi="Times New Roman" w:cs="Times New Roman"/>
          <w:sz w:val="24"/>
          <w:szCs w:val="24"/>
          <w:highlight w:val="none"/>
          <w:lang w:eastAsia="zh-CN"/>
        </w:rPr>
        <w:t>Ⅰ类</w:t>
      </w:r>
      <w:r>
        <w:rPr>
          <w:rFonts w:hint="eastAsia" w:cs="Times New Roman"/>
          <w:sz w:val="24"/>
          <w:szCs w:val="24"/>
          <w:highlight w:val="none"/>
          <w:lang w:val="en-US" w:eastAsia="zh-CN"/>
        </w:rPr>
        <w:t>场，</w:t>
      </w:r>
      <w:r>
        <w:rPr>
          <w:rFonts w:hint="eastAsia" w:cs="Times New Roman"/>
          <w:color w:val="auto"/>
          <w:sz w:val="24"/>
          <w:highlight w:val="none"/>
          <w:lang w:val="en-US" w:eastAsia="zh-CN"/>
        </w:rPr>
        <w:t>项目在已闭库销号的东北沟尾矿库上建设，</w:t>
      </w:r>
      <w:r>
        <w:rPr>
          <w:rFonts w:hint="eastAsia" w:cs="Times New Roman"/>
          <w:sz w:val="24"/>
          <w:szCs w:val="24"/>
          <w:highlight w:val="none"/>
          <w:lang w:eastAsia="zh-CN"/>
        </w:rPr>
        <w:t>根据《承德天宝矿业集团大昌矿业有限公司东北沟尾矿库</w:t>
      </w:r>
      <w:r>
        <w:rPr>
          <w:rFonts w:hint="eastAsia" w:cs="Times New Roman"/>
          <w:sz w:val="24"/>
          <w:szCs w:val="24"/>
          <w:highlight w:val="none"/>
          <w:lang w:val="en-US" w:eastAsia="zh-CN"/>
        </w:rPr>
        <w:t>工程</w:t>
      </w:r>
      <w:r>
        <w:rPr>
          <w:rFonts w:hint="eastAsia" w:cs="Times New Roman"/>
          <w:sz w:val="24"/>
          <w:szCs w:val="24"/>
          <w:highlight w:val="none"/>
          <w:lang w:eastAsia="zh-CN"/>
        </w:rPr>
        <w:t>岩土工程勘察报告》，</w:t>
      </w:r>
      <w:r>
        <w:rPr>
          <w:rFonts w:ascii="Times New Roman"/>
          <w:sz w:val="24"/>
          <w:szCs w:val="32"/>
          <w:highlight w:val="none"/>
          <w:lang w:val="en-US"/>
        </w:rPr>
        <w:t>未发现活动断裂构造破碎带，</w:t>
      </w:r>
      <w:r>
        <w:rPr>
          <w:rFonts w:hint="eastAsia" w:cs="Times New Roman"/>
          <w:sz w:val="24"/>
          <w:szCs w:val="24"/>
          <w:highlight w:val="none"/>
          <w:lang w:eastAsia="zh-CN"/>
        </w:rPr>
        <w:t>尾矿库底部为强风化片麻岩，渗透系数为1.16</w:t>
      </w:r>
      <w:r>
        <w:rPr>
          <w:rFonts w:hint="default" w:ascii="Times New Roman" w:hAnsi="Times New Roman" w:cs="Times New Roman"/>
          <w:sz w:val="24"/>
          <w:szCs w:val="24"/>
          <w:highlight w:val="none"/>
          <w:lang w:eastAsia="zh-CN"/>
        </w:rPr>
        <w:t>×10</w:t>
      </w:r>
      <w:r>
        <w:rPr>
          <w:rFonts w:hint="default" w:ascii="Times New Roman" w:hAnsi="Times New Roman" w:cs="Times New Roman"/>
          <w:sz w:val="24"/>
          <w:szCs w:val="24"/>
          <w:highlight w:val="none"/>
          <w:vertAlign w:val="superscript"/>
          <w:lang w:eastAsia="zh-CN"/>
        </w:rPr>
        <w:t>-6</w:t>
      </w:r>
      <w:r>
        <w:rPr>
          <w:rFonts w:hint="default" w:ascii="Times New Roman" w:hAnsi="Times New Roman" w:cs="Times New Roman"/>
          <w:sz w:val="24"/>
          <w:szCs w:val="24"/>
          <w:highlight w:val="none"/>
          <w:lang w:eastAsia="zh-CN"/>
        </w:rPr>
        <w:t>cm/s，厚度均大于等于3m，作为天然基础层符合I类场饱和渗透系数不大于1.0×10</w:t>
      </w:r>
      <w:r>
        <w:rPr>
          <w:rFonts w:hint="default" w:ascii="Times New Roman" w:hAnsi="Times New Roman" w:cs="Times New Roman"/>
          <w:sz w:val="24"/>
          <w:szCs w:val="24"/>
          <w:highlight w:val="none"/>
          <w:vertAlign w:val="superscript"/>
          <w:lang w:eastAsia="zh-CN"/>
        </w:rPr>
        <w:t>-5</w:t>
      </w:r>
      <w:r>
        <w:rPr>
          <w:rFonts w:hint="default" w:ascii="Times New Roman" w:hAnsi="Times New Roman" w:cs="Times New Roman"/>
          <w:sz w:val="24"/>
          <w:szCs w:val="24"/>
          <w:highlight w:val="none"/>
          <w:lang w:eastAsia="zh-CN"/>
        </w:rPr>
        <w:t>cm/s</w:t>
      </w:r>
      <w:r>
        <w:rPr>
          <w:rFonts w:hint="eastAsia" w:cs="Times New Roman"/>
          <w:sz w:val="24"/>
          <w:szCs w:val="24"/>
          <w:highlight w:val="none"/>
          <w:lang w:eastAsia="zh-CN"/>
        </w:rPr>
        <w:t>且厚度不小于0.75m的技术要求，</w:t>
      </w:r>
      <w:r>
        <w:rPr>
          <w:rFonts w:hint="eastAsia" w:ascii="Times New Roman"/>
          <w:sz w:val="24"/>
          <w:szCs w:val="32"/>
          <w:highlight w:val="none"/>
          <w:lang w:val="en-US" w:eastAsia="zh-CN"/>
        </w:rPr>
        <w:t>排土场</w:t>
      </w:r>
      <w:r>
        <w:rPr>
          <w:rFonts w:ascii="Times New Roman"/>
          <w:sz w:val="24"/>
          <w:szCs w:val="32"/>
          <w:highlight w:val="none"/>
          <w:lang w:val="en-US"/>
        </w:rPr>
        <w:t>防渗采用天然岩土防渗方式</w:t>
      </w:r>
      <w:r>
        <w:rPr>
          <w:rFonts w:hint="eastAsia"/>
          <w:sz w:val="24"/>
          <w:szCs w:val="32"/>
          <w:highlight w:val="none"/>
          <w:lang w:val="en-US" w:eastAsia="zh-CN"/>
        </w:rPr>
        <w:t>，</w:t>
      </w:r>
      <w:r>
        <w:rPr>
          <w:rFonts w:hint="eastAsia" w:cs="Times New Roman"/>
          <w:sz w:val="24"/>
          <w:szCs w:val="24"/>
          <w:highlight w:val="none"/>
          <w:lang w:eastAsia="zh-CN"/>
        </w:rPr>
        <w:t>符合《一般工业固体废物贮存和填埋污染控制标准》（GB18599-2020）</w:t>
      </w:r>
      <w:r>
        <w:rPr>
          <w:rFonts w:hint="eastAsia" w:cs="Times New Roman"/>
          <w:sz w:val="24"/>
          <w:szCs w:val="24"/>
          <w:highlight w:val="none"/>
          <w:lang w:val="en-US" w:eastAsia="zh-CN"/>
        </w:rPr>
        <w:t>防渗要求</w:t>
      </w:r>
      <w:r>
        <w:rPr>
          <w:rFonts w:hint="eastAsia" w:cs="Times New Roman"/>
          <w:sz w:val="24"/>
          <w:szCs w:val="24"/>
          <w:highlight w:val="none"/>
          <w:lang w:eastAsia="zh-CN"/>
        </w:rPr>
        <w:t>。</w:t>
      </w:r>
    </w:p>
    <w:p w14:paraId="08DF5FFA">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eastAsia="宋体"/>
          <w:b/>
          <w:bCs/>
          <w:sz w:val="24"/>
          <w:szCs w:val="24"/>
          <w:highlight w:val="none"/>
          <w:lang w:val="en-US" w:eastAsia="zh-CN"/>
        </w:rPr>
      </w:pPr>
      <w:r>
        <w:rPr>
          <w:rFonts w:hint="eastAsia"/>
          <w:b/>
          <w:bCs/>
          <w:sz w:val="24"/>
          <w:szCs w:val="24"/>
          <w:highlight w:val="none"/>
          <w:lang w:val="en-US" w:eastAsia="zh-CN"/>
        </w:rPr>
        <w:t>2）运输道路、消力池等区域防渗要求</w:t>
      </w:r>
    </w:p>
    <w:p w14:paraId="7D3C2A2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结合地下水环境影响评价结果，根据建设项目场地天然包气带防污性能、污染控制难易程度和污染物特性，</w:t>
      </w:r>
      <w:r>
        <w:rPr>
          <w:rFonts w:hint="eastAsia" w:ascii="Times New Roman"/>
          <w:sz w:val="24"/>
          <w:szCs w:val="24"/>
          <w:highlight w:val="none"/>
        </w:rPr>
        <w:t>运输道路、消力池等区域</w:t>
      </w:r>
      <w:r>
        <w:rPr>
          <w:rFonts w:ascii="Times New Roman"/>
          <w:sz w:val="24"/>
          <w:szCs w:val="24"/>
          <w:highlight w:val="none"/>
        </w:rPr>
        <w:t>按照《环境影响技术评价导则 地下水环境》（HJ610-2016）中参照表7中提出防渗技术要求进行划分及确定。根据可能发生泄漏至地面区域污染物的性质和生产单元的构筑方式，以及潜在的地下水污染源分类分析，</w:t>
      </w:r>
      <w:r>
        <w:rPr>
          <w:rFonts w:hint="eastAsia" w:ascii="Times New Roman"/>
          <w:sz w:val="24"/>
          <w:szCs w:val="24"/>
          <w:highlight w:val="none"/>
          <w:lang w:val="en-US" w:eastAsia="zh-CN"/>
        </w:rPr>
        <w:t>对项目进行分区防渗</w:t>
      </w:r>
      <w:r>
        <w:rPr>
          <w:rFonts w:ascii="Times New Roman"/>
          <w:sz w:val="24"/>
          <w:szCs w:val="24"/>
          <w:highlight w:val="none"/>
        </w:rPr>
        <w:t>。</w:t>
      </w:r>
    </w:p>
    <w:p w14:paraId="6636114B">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ascii="Times New Roman"/>
          <w:b/>
          <w:sz w:val="24"/>
          <w:szCs w:val="24"/>
          <w:highlight w:val="none"/>
        </w:rPr>
      </w:pPr>
      <w:r>
        <w:rPr>
          <w:rFonts w:ascii="Times New Roman"/>
          <w:b/>
          <w:sz w:val="24"/>
          <w:szCs w:val="24"/>
          <w:highlight w:val="none"/>
        </w:rPr>
        <w:t>①天然包气带防污性能分级</w:t>
      </w:r>
    </w:p>
    <w:p w14:paraId="30FDB8F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Times New Roman"/>
          <w:highlight w:val="none"/>
        </w:rPr>
      </w:pPr>
      <w:r>
        <w:rPr>
          <w:rFonts w:hint="default" w:ascii="Times New Roman" w:hAnsi="Times New Roman" w:cs="Times New Roman"/>
          <w:sz w:val="24"/>
          <w:szCs w:val="24"/>
          <w:highlight w:val="none"/>
        </w:rPr>
        <w:t>按照本次水文地质勘察工作调查结果，</w:t>
      </w:r>
      <w:r>
        <w:rPr>
          <w:rFonts w:hint="default" w:ascii="Times New Roman" w:hAnsi="Times New Roman" w:eastAsia="宋体" w:cs="Times New Roman"/>
          <w:color w:val="auto"/>
          <w:sz w:val="24"/>
          <w:szCs w:val="32"/>
          <w:highlight w:val="none"/>
          <w:lang w:val="en-US" w:eastAsia="zh-CN"/>
        </w:rPr>
        <w:t>场地范围内包气带岩性主要为强风化石英二长岩和砂砾石层。强风化石英二长岩厚度约3～6m，渗透系数经验值为K=5×10</w:t>
      </w:r>
      <w:r>
        <w:rPr>
          <w:rFonts w:hint="default" w:ascii="Times New Roman" w:hAnsi="Times New Roman" w:eastAsia="宋体" w:cs="Times New Roman"/>
          <w:color w:val="auto"/>
          <w:sz w:val="24"/>
          <w:szCs w:val="32"/>
          <w:highlight w:val="none"/>
          <w:vertAlign w:val="superscript"/>
          <w:lang w:val="en-US" w:eastAsia="zh-CN"/>
        </w:rPr>
        <w:t>-4</w:t>
      </w:r>
      <w:r>
        <w:rPr>
          <w:rFonts w:hint="default" w:ascii="Times New Roman" w:hAnsi="Times New Roman" w:eastAsia="宋体" w:cs="Times New Roman"/>
          <w:color w:val="auto"/>
          <w:sz w:val="24"/>
          <w:szCs w:val="32"/>
          <w:highlight w:val="none"/>
          <w:lang w:val="en-US" w:eastAsia="zh-CN"/>
        </w:rPr>
        <w:t>cm/s；砂砾石层厚度约2～5m，通过现场渗水试验可得渗透系数为K=6.4×1</w:t>
      </w:r>
      <w:r>
        <w:rPr>
          <w:rFonts w:hint="default" w:ascii="Times New Roman" w:hAnsi="Times New Roman" w:eastAsia="宋体" w:cs="Times New Roman"/>
          <w:color w:val="auto"/>
          <w:sz w:val="24"/>
          <w:szCs w:val="32"/>
          <w:highlight w:val="none"/>
          <w:vertAlign w:val="baseline"/>
          <w:lang w:val="en-US" w:eastAsia="zh-CN"/>
        </w:rPr>
        <w:t>0</w:t>
      </w:r>
      <w:r>
        <w:rPr>
          <w:rFonts w:hint="default" w:ascii="Times New Roman" w:hAnsi="Times New Roman" w:eastAsia="宋体" w:cs="Times New Roman"/>
          <w:color w:val="auto"/>
          <w:sz w:val="24"/>
          <w:szCs w:val="32"/>
          <w:highlight w:val="none"/>
          <w:vertAlign w:val="superscript"/>
          <w:lang w:val="en-US" w:eastAsia="zh-CN"/>
        </w:rPr>
        <w:t>-5</w:t>
      </w:r>
      <w:r>
        <w:rPr>
          <w:rFonts w:hint="default" w:ascii="Times New Roman" w:hAnsi="Times New Roman" w:eastAsia="宋体" w:cs="Times New Roman"/>
          <w:color w:val="auto"/>
          <w:sz w:val="24"/>
          <w:szCs w:val="32"/>
          <w:highlight w:val="none"/>
          <w:lang w:val="en-US" w:eastAsia="zh-CN"/>
        </w:rPr>
        <w:t>cm/s。</w:t>
      </w:r>
      <w:r>
        <w:rPr>
          <w:rFonts w:hint="default" w:ascii="Times New Roman" w:hAnsi="Times New Roman" w:cs="Times New Roman"/>
          <w:color w:val="auto"/>
          <w:sz w:val="24"/>
          <w:szCs w:val="24"/>
          <w:highlight w:val="none"/>
        </w:rPr>
        <w:t>对照导则中的天然包气带防</w:t>
      </w:r>
      <w:r>
        <w:rPr>
          <w:rFonts w:hint="default" w:ascii="Times New Roman" w:hAnsi="Times New Roman" w:cs="Times New Roman"/>
          <w:sz w:val="24"/>
          <w:szCs w:val="24"/>
          <w:highlight w:val="none"/>
        </w:rPr>
        <w:t>污性能分级参照表，项目区的包气带防污性能分级为“弱”</w:t>
      </w:r>
      <w:r>
        <w:rPr>
          <w:rFonts w:ascii="Times New Roman"/>
          <w:sz w:val="24"/>
          <w:szCs w:val="24"/>
          <w:highlight w:val="none"/>
        </w:rPr>
        <w:t>。</w:t>
      </w:r>
    </w:p>
    <w:p w14:paraId="3B2C9335">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sz w:val="21"/>
          <w:szCs w:val="21"/>
          <w:highlight w:val="none"/>
        </w:rPr>
      </w:pPr>
      <w:r>
        <w:rPr>
          <w:rFonts w:ascii="Times New Roman"/>
          <w:b/>
          <w:sz w:val="21"/>
          <w:szCs w:val="21"/>
          <w:highlight w:val="none"/>
        </w:rPr>
        <w:t>天然包气带防污性能分级参照表</w:t>
      </w:r>
    </w:p>
    <w:tbl>
      <w:tblPr>
        <w:tblStyle w:val="58"/>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69"/>
        <w:gridCol w:w="4743"/>
        <w:gridCol w:w="3013"/>
      </w:tblGrid>
      <w:tr w14:paraId="61BBE8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1" w:type="pct"/>
            <w:tcBorders>
              <w:tl2br w:val="nil"/>
              <w:tr2bl w:val="nil"/>
            </w:tcBorders>
            <w:noWrap w:val="0"/>
            <w:vAlign w:val="center"/>
          </w:tcPr>
          <w:p w14:paraId="7DFA3C26">
            <w:pPr>
              <w:spacing w:line="240" w:lineRule="auto"/>
              <w:jc w:val="center"/>
              <w:rPr>
                <w:rFonts w:ascii="Times New Roman"/>
                <w:b/>
                <w:sz w:val="21"/>
                <w:szCs w:val="21"/>
                <w:highlight w:val="none"/>
              </w:rPr>
            </w:pPr>
            <w:r>
              <w:rPr>
                <w:rFonts w:ascii="Times New Roman"/>
                <w:b/>
                <w:sz w:val="21"/>
                <w:szCs w:val="21"/>
                <w:highlight w:val="none"/>
              </w:rPr>
              <w:t>分级</w:t>
            </w:r>
          </w:p>
        </w:tc>
        <w:tc>
          <w:tcPr>
            <w:tcW w:w="2781" w:type="pct"/>
            <w:tcBorders>
              <w:tl2br w:val="nil"/>
              <w:tr2bl w:val="nil"/>
            </w:tcBorders>
            <w:noWrap w:val="0"/>
            <w:vAlign w:val="center"/>
          </w:tcPr>
          <w:p w14:paraId="12E82343">
            <w:pPr>
              <w:spacing w:line="240" w:lineRule="auto"/>
              <w:jc w:val="center"/>
              <w:rPr>
                <w:rFonts w:ascii="Times New Roman"/>
                <w:b/>
                <w:sz w:val="21"/>
                <w:szCs w:val="21"/>
                <w:highlight w:val="none"/>
              </w:rPr>
            </w:pPr>
            <w:r>
              <w:rPr>
                <w:rFonts w:ascii="Times New Roman"/>
                <w:b/>
                <w:sz w:val="21"/>
                <w:szCs w:val="21"/>
                <w:highlight w:val="none"/>
              </w:rPr>
              <w:t>主要特征</w:t>
            </w:r>
          </w:p>
        </w:tc>
        <w:tc>
          <w:tcPr>
            <w:tcW w:w="1767" w:type="pct"/>
            <w:tcBorders>
              <w:tl2br w:val="nil"/>
              <w:tr2bl w:val="nil"/>
            </w:tcBorders>
            <w:noWrap w:val="0"/>
            <w:vAlign w:val="center"/>
          </w:tcPr>
          <w:p w14:paraId="435C7CA5">
            <w:pPr>
              <w:spacing w:line="240" w:lineRule="auto"/>
              <w:jc w:val="center"/>
              <w:rPr>
                <w:rFonts w:ascii="Times New Roman"/>
                <w:b/>
                <w:sz w:val="21"/>
                <w:szCs w:val="21"/>
                <w:highlight w:val="none"/>
              </w:rPr>
            </w:pPr>
            <w:r>
              <w:rPr>
                <w:rFonts w:ascii="Times New Roman"/>
                <w:b/>
                <w:sz w:val="21"/>
                <w:szCs w:val="21"/>
                <w:highlight w:val="none"/>
              </w:rPr>
              <w:t>项目场地包气带防污性能</w:t>
            </w:r>
          </w:p>
        </w:tc>
      </w:tr>
      <w:tr w14:paraId="7D28B6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1" w:type="pct"/>
            <w:tcBorders>
              <w:tl2br w:val="nil"/>
              <w:tr2bl w:val="nil"/>
            </w:tcBorders>
            <w:noWrap w:val="0"/>
            <w:vAlign w:val="center"/>
          </w:tcPr>
          <w:p w14:paraId="74F2406D">
            <w:pPr>
              <w:spacing w:line="240" w:lineRule="auto"/>
              <w:jc w:val="center"/>
              <w:rPr>
                <w:rFonts w:ascii="Times New Roman"/>
                <w:sz w:val="21"/>
                <w:szCs w:val="21"/>
                <w:highlight w:val="none"/>
              </w:rPr>
            </w:pPr>
            <w:r>
              <w:rPr>
                <w:rFonts w:ascii="Times New Roman"/>
                <w:sz w:val="21"/>
                <w:szCs w:val="21"/>
                <w:highlight w:val="none"/>
              </w:rPr>
              <w:t>强</w:t>
            </w:r>
          </w:p>
        </w:tc>
        <w:tc>
          <w:tcPr>
            <w:tcW w:w="2781" w:type="pct"/>
            <w:tcBorders>
              <w:tl2br w:val="nil"/>
              <w:tr2bl w:val="nil"/>
            </w:tcBorders>
            <w:noWrap w:val="0"/>
            <w:vAlign w:val="center"/>
          </w:tcPr>
          <w:p w14:paraId="407B58AD">
            <w:pPr>
              <w:spacing w:line="240" w:lineRule="auto"/>
              <w:jc w:val="center"/>
              <w:rPr>
                <w:rFonts w:ascii="Times New Roman"/>
                <w:sz w:val="21"/>
                <w:szCs w:val="21"/>
                <w:highlight w:val="none"/>
              </w:rPr>
            </w:pPr>
            <w:r>
              <w:rPr>
                <w:rFonts w:ascii="Times New Roman"/>
                <w:sz w:val="21"/>
                <w:szCs w:val="21"/>
                <w:highlight w:val="none"/>
              </w:rPr>
              <w:t>岩（土）层单层厚度Mb≥1.0m，渗透系数K≤1×10</w:t>
            </w:r>
            <w:r>
              <w:rPr>
                <w:rFonts w:ascii="Times New Roman"/>
                <w:sz w:val="21"/>
                <w:szCs w:val="21"/>
                <w:highlight w:val="none"/>
                <w:vertAlign w:val="superscript"/>
              </w:rPr>
              <w:t>-6</w:t>
            </w:r>
            <w:r>
              <w:rPr>
                <w:rFonts w:ascii="Times New Roman"/>
                <w:sz w:val="21"/>
                <w:szCs w:val="21"/>
                <w:highlight w:val="none"/>
              </w:rPr>
              <w:t>cm/s，且分布连续稳定。</w:t>
            </w:r>
          </w:p>
        </w:tc>
        <w:tc>
          <w:tcPr>
            <w:tcW w:w="1767" w:type="pct"/>
            <w:tcBorders>
              <w:tl2br w:val="nil"/>
              <w:tr2bl w:val="nil"/>
            </w:tcBorders>
            <w:noWrap w:val="0"/>
            <w:vAlign w:val="center"/>
          </w:tcPr>
          <w:p w14:paraId="2D960CBB">
            <w:pPr>
              <w:spacing w:line="240" w:lineRule="auto"/>
              <w:jc w:val="center"/>
              <w:rPr>
                <w:rFonts w:ascii="Times New Roman"/>
                <w:sz w:val="21"/>
                <w:szCs w:val="21"/>
                <w:highlight w:val="none"/>
              </w:rPr>
            </w:pPr>
            <w:r>
              <w:rPr>
                <w:rFonts w:ascii="Times New Roman"/>
                <w:sz w:val="21"/>
                <w:szCs w:val="21"/>
                <w:highlight w:val="none"/>
              </w:rPr>
              <w:t>/</w:t>
            </w:r>
          </w:p>
        </w:tc>
      </w:tr>
      <w:tr w14:paraId="44E8EB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1" w:type="pct"/>
            <w:tcBorders>
              <w:tl2br w:val="nil"/>
              <w:tr2bl w:val="nil"/>
            </w:tcBorders>
            <w:noWrap w:val="0"/>
            <w:vAlign w:val="center"/>
          </w:tcPr>
          <w:p w14:paraId="06CC17FB">
            <w:pPr>
              <w:spacing w:line="240" w:lineRule="auto"/>
              <w:jc w:val="center"/>
              <w:rPr>
                <w:rFonts w:ascii="Times New Roman"/>
                <w:sz w:val="21"/>
                <w:szCs w:val="21"/>
                <w:highlight w:val="none"/>
              </w:rPr>
            </w:pPr>
            <w:r>
              <w:rPr>
                <w:rFonts w:ascii="Times New Roman"/>
                <w:sz w:val="21"/>
                <w:szCs w:val="21"/>
                <w:highlight w:val="none"/>
              </w:rPr>
              <w:t>中</w:t>
            </w:r>
          </w:p>
        </w:tc>
        <w:tc>
          <w:tcPr>
            <w:tcW w:w="2781" w:type="pct"/>
            <w:tcBorders>
              <w:tl2br w:val="nil"/>
              <w:tr2bl w:val="nil"/>
            </w:tcBorders>
            <w:noWrap w:val="0"/>
            <w:vAlign w:val="center"/>
          </w:tcPr>
          <w:p w14:paraId="19EE0F99">
            <w:pPr>
              <w:spacing w:line="240" w:lineRule="auto"/>
              <w:jc w:val="center"/>
              <w:rPr>
                <w:rFonts w:ascii="Times New Roman"/>
                <w:sz w:val="21"/>
                <w:szCs w:val="21"/>
                <w:highlight w:val="none"/>
              </w:rPr>
            </w:pPr>
            <w:r>
              <w:rPr>
                <w:rFonts w:ascii="Times New Roman"/>
                <w:sz w:val="21"/>
                <w:szCs w:val="21"/>
                <w:highlight w:val="none"/>
              </w:rPr>
              <w:t>岩土层单层厚度0.5m≤Mb＜1.0m，渗透系数K≤1×10</w:t>
            </w:r>
            <w:r>
              <w:rPr>
                <w:rFonts w:ascii="Times New Roman"/>
                <w:sz w:val="21"/>
                <w:szCs w:val="21"/>
                <w:highlight w:val="none"/>
                <w:vertAlign w:val="superscript"/>
              </w:rPr>
              <w:t>-6</w:t>
            </w:r>
            <w:r>
              <w:rPr>
                <w:rFonts w:ascii="Times New Roman"/>
                <w:sz w:val="21"/>
                <w:szCs w:val="21"/>
                <w:highlight w:val="none"/>
              </w:rPr>
              <w:t>cm/s，且分布连续稳定。</w:t>
            </w:r>
          </w:p>
          <w:p w14:paraId="182F405D">
            <w:pPr>
              <w:spacing w:line="240" w:lineRule="auto"/>
              <w:jc w:val="center"/>
              <w:rPr>
                <w:rFonts w:ascii="Times New Roman"/>
                <w:sz w:val="21"/>
                <w:szCs w:val="21"/>
                <w:highlight w:val="none"/>
              </w:rPr>
            </w:pPr>
            <w:r>
              <w:rPr>
                <w:rFonts w:ascii="Times New Roman"/>
                <w:sz w:val="21"/>
                <w:szCs w:val="21"/>
                <w:highlight w:val="none"/>
              </w:rPr>
              <w:t>岩土层单层厚度Mb≥1.0m，渗透系数1×10</w:t>
            </w:r>
            <w:r>
              <w:rPr>
                <w:rFonts w:ascii="Times New Roman"/>
                <w:sz w:val="21"/>
                <w:szCs w:val="21"/>
                <w:highlight w:val="none"/>
                <w:vertAlign w:val="superscript"/>
              </w:rPr>
              <w:t>-6</w:t>
            </w:r>
            <w:r>
              <w:rPr>
                <w:rFonts w:ascii="Times New Roman"/>
                <w:sz w:val="21"/>
                <w:szCs w:val="21"/>
                <w:highlight w:val="none"/>
              </w:rPr>
              <w:t>cm/s＜K≤1×10</w:t>
            </w:r>
            <w:r>
              <w:rPr>
                <w:rFonts w:ascii="Times New Roman"/>
                <w:sz w:val="21"/>
                <w:szCs w:val="21"/>
                <w:highlight w:val="none"/>
                <w:vertAlign w:val="superscript"/>
              </w:rPr>
              <w:t>-4</w:t>
            </w:r>
            <w:r>
              <w:rPr>
                <w:rFonts w:ascii="Times New Roman"/>
                <w:sz w:val="21"/>
                <w:szCs w:val="21"/>
                <w:highlight w:val="none"/>
              </w:rPr>
              <w:t>cm/s，且分布连续稳定。</w:t>
            </w:r>
          </w:p>
        </w:tc>
        <w:tc>
          <w:tcPr>
            <w:tcW w:w="1767" w:type="pct"/>
            <w:tcBorders>
              <w:tl2br w:val="nil"/>
              <w:tr2bl w:val="nil"/>
            </w:tcBorders>
            <w:noWrap w:val="0"/>
            <w:vAlign w:val="center"/>
          </w:tcPr>
          <w:p w14:paraId="2563E23F">
            <w:pPr>
              <w:spacing w:line="240" w:lineRule="auto"/>
              <w:jc w:val="center"/>
              <w:rPr>
                <w:rFonts w:ascii="Times New Roman"/>
                <w:sz w:val="21"/>
                <w:szCs w:val="21"/>
                <w:highlight w:val="none"/>
              </w:rPr>
            </w:pPr>
            <w:r>
              <w:rPr>
                <w:rFonts w:ascii="Times New Roman"/>
                <w:sz w:val="21"/>
                <w:szCs w:val="21"/>
                <w:highlight w:val="none"/>
              </w:rPr>
              <w:t>/</w:t>
            </w:r>
          </w:p>
        </w:tc>
      </w:tr>
      <w:tr w14:paraId="2F85DD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51" w:type="pct"/>
            <w:tcBorders>
              <w:tl2br w:val="nil"/>
              <w:tr2bl w:val="nil"/>
            </w:tcBorders>
            <w:noWrap w:val="0"/>
            <w:vAlign w:val="center"/>
          </w:tcPr>
          <w:p w14:paraId="5DAA9E98">
            <w:pPr>
              <w:spacing w:line="240" w:lineRule="auto"/>
              <w:jc w:val="center"/>
              <w:rPr>
                <w:rFonts w:ascii="Times New Roman"/>
                <w:sz w:val="21"/>
                <w:szCs w:val="21"/>
                <w:highlight w:val="none"/>
              </w:rPr>
            </w:pPr>
            <w:r>
              <w:rPr>
                <w:rFonts w:ascii="Times New Roman"/>
                <w:sz w:val="21"/>
                <w:szCs w:val="21"/>
                <w:highlight w:val="none"/>
              </w:rPr>
              <w:t>弱</w:t>
            </w:r>
          </w:p>
        </w:tc>
        <w:tc>
          <w:tcPr>
            <w:tcW w:w="2781" w:type="pct"/>
            <w:tcBorders>
              <w:tl2br w:val="nil"/>
              <w:tr2bl w:val="nil"/>
            </w:tcBorders>
            <w:noWrap w:val="0"/>
            <w:vAlign w:val="center"/>
          </w:tcPr>
          <w:p w14:paraId="7682EF68">
            <w:pPr>
              <w:spacing w:line="240" w:lineRule="auto"/>
              <w:jc w:val="center"/>
              <w:rPr>
                <w:rFonts w:ascii="Times New Roman"/>
                <w:sz w:val="21"/>
                <w:szCs w:val="21"/>
                <w:highlight w:val="none"/>
              </w:rPr>
            </w:pPr>
            <w:r>
              <w:rPr>
                <w:rFonts w:ascii="Times New Roman"/>
                <w:sz w:val="21"/>
                <w:szCs w:val="21"/>
                <w:highlight w:val="none"/>
              </w:rPr>
              <w:t>岩（土）层不满足上述“强”和“中”条件</w:t>
            </w:r>
          </w:p>
        </w:tc>
        <w:tc>
          <w:tcPr>
            <w:tcW w:w="1767" w:type="pct"/>
            <w:tcBorders>
              <w:tl2br w:val="nil"/>
              <w:tr2bl w:val="nil"/>
            </w:tcBorders>
            <w:noWrap w:val="0"/>
            <w:vAlign w:val="center"/>
          </w:tcPr>
          <w:p w14:paraId="3A81C431">
            <w:pPr>
              <w:spacing w:line="240" w:lineRule="auto"/>
              <w:jc w:val="center"/>
              <w:rPr>
                <w:rFonts w:ascii="Times New Roman"/>
                <w:sz w:val="21"/>
                <w:szCs w:val="21"/>
                <w:highlight w:val="none"/>
              </w:rPr>
            </w:pPr>
            <w:r>
              <w:rPr>
                <w:rFonts w:hint="default" w:ascii="Times New Roman" w:hAnsi="Times New Roman" w:eastAsia="宋体" w:cs="Times New Roman"/>
                <w:kern w:val="0"/>
                <w:sz w:val="21"/>
                <w:szCs w:val="21"/>
                <w:highlight w:val="none"/>
              </w:rPr>
              <w:t>岩</w:t>
            </w:r>
            <w:r>
              <w:rPr>
                <w:rFonts w:hint="default" w:ascii="Times New Roman" w:hAnsi="Times New Roman" w:eastAsia="宋体" w:cs="Times New Roman"/>
                <w:color w:val="auto"/>
                <w:kern w:val="0"/>
                <w:sz w:val="21"/>
                <w:szCs w:val="21"/>
                <w:highlight w:val="none"/>
              </w:rPr>
              <w:t>土层单层厚度Mb≥1.0m；</w:t>
            </w:r>
            <w:r>
              <w:rPr>
                <w:rFonts w:hint="default" w:ascii="Times New Roman" w:hAnsi="Times New Roman" w:cs="Times New Roman"/>
                <w:color w:val="auto"/>
                <w:kern w:val="0"/>
                <w:sz w:val="21"/>
                <w:szCs w:val="21"/>
                <w:highlight w:val="none"/>
                <w:lang w:eastAsia="zh-CN"/>
              </w:rPr>
              <w:t>地包气带渗透系数为</w:t>
            </w:r>
            <w:r>
              <w:rPr>
                <w:rFonts w:hint="default" w:ascii="Times New Roman" w:hAnsi="Times New Roman" w:eastAsia="宋体" w:cs="Times New Roman"/>
                <w:color w:val="auto"/>
                <w:szCs w:val="24"/>
                <w:highlight w:val="none"/>
                <w:lang w:val="en-US" w:eastAsia="zh-CN"/>
              </w:rPr>
              <w:t>5×10</w:t>
            </w:r>
            <w:r>
              <w:rPr>
                <w:rFonts w:hint="default" w:ascii="Times New Roman" w:hAnsi="Times New Roman" w:cs="Times New Roman"/>
                <w:color w:val="auto"/>
                <w:szCs w:val="24"/>
                <w:highlight w:val="none"/>
                <w:vertAlign w:val="superscript"/>
                <w:lang w:val="en-US" w:eastAsia="zh-CN"/>
              </w:rPr>
              <w:t>-</w:t>
            </w:r>
            <w:r>
              <w:rPr>
                <w:rFonts w:hint="default" w:ascii="Times New Roman" w:hAnsi="Times New Roman" w:eastAsia="宋体" w:cs="Times New Roman"/>
                <w:color w:val="auto"/>
                <w:szCs w:val="24"/>
                <w:highlight w:val="none"/>
                <w:vertAlign w:val="superscript"/>
                <w:lang w:val="en-US" w:eastAsia="zh-CN"/>
              </w:rPr>
              <w:t>4</w:t>
            </w:r>
            <w:r>
              <w:rPr>
                <w:rFonts w:hint="default" w:ascii="Times New Roman" w:hAnsi="Times New Roman" w:eastAsia="宋体" w:cs="Times New Roman"/>
                <w:color w:val="auto"/>
                <w:szCs w:val="24"/>
                <w:highlight w:val="none"/>
                <w:lang w:val="en-US" w:eastAsia="zh-CN"/>
              </w:rPr>
              <w:t>cm/s</w:t>
            </w:r>
            <w:r>
              <w:rPr>
                <w:rFonts w:ascii="Times New Roman"/>
                <w:sz w:val="21"/>
                <w:szCs w:val="21"/>
                <w:highlight w:val="none"/>
              </w:rPr>
              <w:t>。</w:t>
            </w:r>
          </w:p>
        </w:tc>
      </w:tr>
    </w:tbl>
    <w:p w14:paraId="53F9DA67">
      <w:pPr>
        <w:keepNext w:val="0"/>
        <w:keepLines w:val="0"/>
        <w:pageBreakBefore w:val="0"/>
        <w:widowControl/>
        <w:kinsoku/>
        <w:wordWrap/>
        <w:overflowPunct/>
        <w:topLinePunct w:val="0"/>
        <w:autoSpaceDE/>
        <w:autoSpaceDN/>
        <w:bidi w:val="0"/>
        <w:adjustRightInd/>
        <w:snapToGrid/>
        <w:spacing w:before="120" w:beforeLines="50" w:line="360" w:lineRule="auto"/>
        <w:ind w:firstLine="482"/>
        <w:textAlignment w:val="auto"/>
        <w:rPr>
          <w:rFonts w:ascii="Times New Roman"/>
          <w:b/>
          <w:sz w:val="24"/>
          <w:szCs w:val="24"/>
          <w:highlight w:val="none"/>
        </w:rPr>
      </w:pPr>
      <w:r>
        <w:rPr>
          <w:rFonts w:ascii="Times New Roman"/>
          <w:b/>
          <w:sz w:val="24"/>
          <w:szCs w:val="24"/>
          <w:highlight w:val="none"/>
        </w:rPr>
        <w:t>②污染物控制难易程度</w:t>
      </w:r>
    </w:p>
    <w:p w14:paraId="7C95E8B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按照HJ610-2016 要求，其项目各设施及建构筑物污染物难易控制程度需要进行分级，根据项目实际情况，其分级情况如下表所示。</w:t>
      </w:r>
    </w:p>
    <w:p w14:paraId="70814546">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sz w:val="21"/>
          <w:szCs w:val="21"/>
          <w:highlight w:val="none"/>
        </w:rPr>
      </w:pPr>
      <w:r>
        <w:rPr>
          <w:rFonts w:ascii="Times New Roman"/>
          <w:b/>
          <w:sz w:val="21"/>
          <w:szCs w:val="21"/>
          <w:highlight w:val="none"/>
        </w:rPr>
        <w:t>污染控制难易程度分级参照表</w:t>
      </w:r>
    </w:p>
    <w:tbl>
      <w:tblPr>
        <w:tblStyle w:val="5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3"/>
        <w:gridCol w:w="6203"/>
      </w:tblGrid>
      <w:tr w14:paraId="019ED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362" w:type="pct"/>
            <w:tcBorders>
              <w:top w:val="single" w:color="auto" w:sz="2" w:space="0"/>
              <w:left w:val="single" w:color="auto" w:sz="2" w:space="0"/>
              <w:bottom w:val="single" w:color="auto" w:sz="2" w:space="0"/>
              <w:right w:val="single" w:color="auto" w:sz="2" w:space="0"/>
            </w:tcBorders>
            <w:noWrap w:val="0"/>
            <w:vAlign w:val="center"/>
          </w:tcPr>
          <w:p w14:paraId="56095A14">
            <w:pPr>
              <w:spacing w:line="240" w:lineRule="auto"/>
              <w:jc w:val="center"/>
              <w:rPr>
                <w:rFonts w:ascii="Times New Roman"/>
                <w:sz w:val="21"/>
                <w:szCs w:val="21"/>
                <w:highlight w:val="none"/>
              </w:rPr>
            </w:pPr>
            <w:r>
              <w:rPr>
                <w:rFonts w:ascii="Times New Roman"/>
                <w:sz w:val="21"/>
                <w:szCs w:val="21"/>
                <w:highlight w:val="none"/>
              </w:rPr>
              <w:t>污染控制难易程度</w:t>
            </w:r>
          </w:p>
        </w:tc>
        <w:tc>
          <w:tcPr>
            <w:tcW w:w="3637" w:type="pct"/>
            <w:tcBorders>
              <w:top w:val="single" w:color="auto" w:sz="2" w:space="0"/>
              <w:left w:val="single" w:color="auto" w:sz="2" w:space="0"/>
              <w:bottom w:val="single" w:color="auto" w:sz="2" w:space="0"/>
              <w:right w:val="single" w:color="auto" w:sz="2" w:space="0"/>
            </w:tcBorders>
            <w:noWrap w:val="0"/>
            <w:vAlign w:val="center"/>
          </w:tcPr>
          <w:p w14:paraId="63DDF9E6">
            <w:pPr>
              <w:spacing w:line="240" w:lineRule="auto"/>
              <w:jc w:val="center"/>
              <w:rPr>
                <w:rFonts w:ascii="Times New Roman"/>
                <w:sz w:val="21"/>
                <w:szCs w:val="21"/>
                <w:highlight w:val="none"/>
              </w:rPr>
            </w:pPr>
            <w:r>
              <w:rPr>
                <w:rFonts w:ascii="Times New Roman"/>
                <w:sz w:val="21"/>
                <w:szCs w:val="21"/>
                <w:highlight w:val="none"/>
              </w:rPr>
              <w:t>主要特征</w:t>
            </w:r>
          </w:p>
        </w:tc>
      </w:tr>
      <w:tr w14:paraId="7451E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362" w:type="pct"/>
            <w:tcBorders>
              <w:top w:val="single" w:color="auto" w:sz="2" w:space="0"/>
              <w:left w:val="single" w:color="auto" w:sz="2" w:space="0"/>
              <w:bottom w:val="single" w:color="auto" w:sz="2" w:space="0"/>
              <w:right w:val="single" w:color="auto" w:sz="2" w:space="0"/>
            </w:tcBorders>
            <w:noWrap w:val="0"/>
            <w:vAlign w:val="center"/>
          </w:tcPr>
          <w:p w14:paraId="35474508">
            <w:pPr>
              <w:spacing w:line="240" w:lineRule="auto"/>
              <w:jc w:val="center"/>
              <w:rPr>
                <w:rFonts w:ascii="Times New Roman"/>
                <w:sz w:val="21"/>
                <w:szCs w:val="21"/>
                <w:highlight w:val="none"/>
              </w:rPr>
            </w:pPr>
            <w:r>
              <w:rPr>
                <w:rFonts w:ascii="Times New Roman"/>
                <w:sz w:val="21"/>
                <w:szCs w:val="21"/>
                <w:highlight w:val="none"/>
              </w:rPr>
              <w:t>难</w:t>
            </w:r>
          </w:p>
        </w:tc>
        <w:tc>
          <w:tcPr>
            <w:tcW w:w="3637" w:type="pct"/>
            <w:tcBorders>
              <w:top w:val="single" w:color="auto" w:sz="2" w:space="0"/>
              <w:left w:val="single" w:color="auto" w:sz="2" w:space="0"/>
              <w:bottom w:val="single" w:color="auto" w:sz="2" w:space="0"/>
              <w:right w:val="single" w:color="auto" w:sz="2" w:space="0"/>
            </w:tcBorders>
            <w:noWrap w:val="0"/>
            <w:vAlign w:val="center"/>
          </w:tcPr>
          <w:p w14:paraId="68E5867A">
            <w:pPr>
              <w:spacing w:line="240" w:lineRule="auto"/>
              <w:jc w:val="center"/>
              <w:rPr>
                <w:rFonts w:ascii="Times New Roman"/>
                <w:sz w:val="21"/>
                <w:szCs w:val="21"/>
                <w:highlight w:val="none"/>
              </w:rPr>
            </w:pPr>
            <w:r>
              <w:rPr>
                <w:rFonts w:ascii="Times New Roman"/>
                <w:sz w:val="21"/>
                <w:szCs w:val="21"/>
                <w:highlight w:val="none"/>
              </w:rPr>
              <w:t>对地下水环境有污染的物料或污染物渗漏后，不能及时发现和处理</w:t>
            </w:r>
          </w:p>
        </w:tc>
      </w:tr>
      <w:tr w14:paraId="42BFC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2" w:type="pct"/>
            <w:tcBorders>
              <w:top w:val="single" w:color="auto" w:sz="2" w:space="0"/>
              <w:left w:val="single" w:color="auto" w:sz="2" w:space="0"/>
              <w:bottom w:val="single" w:color="auto" w:sz="2" w:space="0"/>
              <w:right w:val="single" w:color="auto" w:sz="2" w:space="0"/>
            </w:tcBorders>
            <w:noWrap w:val="0"/>
            <w:vAlign w:val="center"/>
          </w:tcPr>
          <w:p w14:paraId="49F44F46">
            <w:pPr>
              <w:spacing w:line="240" w:lineRule="auto"/>
              <w:jc w:val="center"/>
              <w:rPr>
                <w:rFonts w:ascii="Times New Roman"/>
                <w:sz w:val="21"/>
                <w:szCs w:val="21"/>
                <w:highlight w:val="none"/>
              </w:rPr>
            </w:pPr>
            <w:r>
              <w:rPr>
                <w:rFonts w:ascii="Times New Roman"/>
                <w:sz w:val="21"/>
                <w:szCs w:val="21"/>
                <w:highlight w:val="none"/>
              </w:rPr>
              <w:t>易</w:t>
            </w:r>
          </w:p>
        </w:tc>
        <w:tc>
          <w:tcPr>
            <w:tcW w:w="3637" w:type="pct"/>
            <w:tcBorders>
              <w:top w:val="single" w:color="auto" w:sz="2" w:space="0"/>
              <w:left w:val="single" w:color="auto" w:sz="2" w:space="0"/>
              <w:bottom w:val="single" w:color="auto" w:sz="2" w:space="0"/>
              <w:right w:val="single" w:color="auto" w:sz="2" w:space="0"/>
            </w:tcBorders>
            <w:noWrap w:val="0"/>
            <w:vAlign w:val="center"/>
          </w:tcPr>
          <w:p w14:paraId="1A77FFF8">
            <w:pPr>
              <w:spacing w:line="240" w:lineRule="auto"/>
              <w:jc w:val="center"/>
              <w:rPr>
                <w:rFonts w:ascii="Times New Roman"/>
                <w:sz w:val="21"/>
                <w:szCs w:val="21"/>
                <w:highlight w:val="none"/>
              </w:rPr>
            </w:pPr>
            <w:r>
              <w:rPr>
                <w:rFonts w:ascii="Times New Roman"/>
                <w:sz w:val="21"/>
                <w:szCs w:val="21"/>
                <w:highlight w:val="none"/>
              </w:rPr>
              <w:t>对地下水环境有污染的物料或污染物渗漏后，可及时发现和处理</w:t>
            </w:r>
          </w:p>
        </w:tc>
      </w:tr>
    </w:tbl>
    <w:p w14:paraId="1370D41D">
      <w:pPr>
        <w:keepNext w:val="0"/>
        <w:keepLines w:val="0"/>
        <w:pageBreakBefore w:val="0"/>
        <w:widowControl/>
        <w:kinsoku/>
        <w:wordWrap/>
        <w:overflowPunct/>
        <w:topLinePunct w:val="0"/>
        <w:autoSpaceDE/>
        <w:autoSpaceDN/>
        <w:bidi w:val="0"/>
        <w:adjustRightInd/>
        <w:snapToGrid/>
        <w:spacing w:before="120" w:beforeLines="50" w:line="360" w:lineRule="auto"/>
        <w:ind w:firstLine="482"/>
        <w:textAlignment w:val="auto"/>
        <w:rPr>
          <w:rFonts w:ascii="Times New Roman"/>
          <w:b/>
          <w:sz w:val="24"/>
          <w:szCs w:val="24"/>
          <w:highlight w:val="none"/>
        </w:rPr>
      </w:pPr>
      <w:r>
        <w:rPr>
          <w:rFonts w:ascii="Times New Roman"/>
          <w:b/>
          <w:sz w:val="24"/>
          <w:szCs w:val="24"/>
          <w:highlight w:val="none"/>
        </w:rPr>
        <w:t>③场地防渗分区确定</w:t>
      </w:r>
    </w:p>
    <w:p w14:paraId="6657BE8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ighlight w:val="none"/>
          <w:lang w:eastAsia="zh-CN"/>
        </w:rPr>
      </w:pPr>
      <w:r>
        <w:rPr>
          <w:rFonts w:ascii="Times New Roman"/>
          <w:sz w:val="24"/>
          <w:szCs w:val="24"/>
          <w:highlight w:val="none"/>
        </w:rPr>
        <w:t>防渗分区应根据建设项目场地天然包气带防污性能、污染控制难易程度和污染物特性，参照下表提出防渗技术要求。其中污染控制难易程度分级和天然包气带防污性能分级分别参照表进行相关等级的确定</w:t>
      </w:r>
      <w:r>
        <w:rPr>
          <w:rFonts w:hint="eastAsia" w:ascii="Times New Roman"/>
          <w:sz w:val="24"/>
          <w:szCs w:val="24"/>
          <w:highlight w:val="none"/>
          <w:lang w:eastAsia="zh-CN"/>
        </w:rPr>
        <w:t>。</w:t>
      </w:r>
    </w:p>
    <w:p w14:paraId="6F83746B">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sz w:val="21"/>
          <w:szCs w:val="21"/>
          <w:highlight w:val="none"/>
        </w:rPr>
      </w:pPr>
      <w:r>
        <w:rPr>
          <w:rFonts w:ascii="Times New Roman"/>
          <w:b/>
          <w:sz w:val="21"/>
          <w:szCs w:val="21"/>
          <w:highlight w:val="none"/>
        </w:rPr>
        <w:t>地下水污染防渗分区参照表</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2"/>
        <w:gridCol w:w="1384"/>
        <w:gridCol w:w="1108"/>
        <w:gridCol w:w="1663"/>
        <w:gridCol w:w="3021"/>
      </w:tblGrid>
      <w:tr w14:paraId="5990A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trPr>
        <w:tc>
          <w:tcPr>
            <w:tcW w:w="1366" w:type="dxa"/>
            <w:noWrap w:val="0"/>
            <w:vAlign w:val="center"/>
          </w:tcPr>
          <w:p w14:paraId="68C2C60B">
            <w:pPr>
              <w:spacing w:line="240" w:lineRule="auto"/>
              <w:jc w:val="center"/>
              <w:rPr>
                <w:rFonts w:ascii="Times New Roman"/>
                <w:b/>
                <w:sz w:val="21"/>
                <w:szCs w:val="21"/>
                <w:highlight w:val="none"/>
              </w:rPr>
            </w:pPr>
            <w:r>
              <w:rPr>
                <w:rFonts w:ascii="Times New Roman"/>
                <w:b/>
                <w:sz w:val="21"/>
                <w:szCs w:val="21"/>
                <w:highlight w:val="none"/>
              </w:rPr>
              <w:t>防渗区域</w:t>
            </w:r>
          </w:p>
        </w:tc>
        <w:tc>
          <w:tcPr>
            <w:tcW w:w="1399" w:type="dxa"/>
            <w:noWrap w:val="0"/>
            <w:vAlign w:val="center"/>
          </w:tcPr>
          <w:p w14:paraId="4179E15E">
            <w:pPr>
              <w:spacing w:line="240" w:lineRule="auto"/>
              <w:jc w:val="center"/>
              <w:rPr>
                <w:rFonts w:ascii="Times New Roman"/>
                <w:b/>
                <w:sz w:val="21"/>
                <w:szCs w:val="21"/>
                <w:highlight w:val="none"/>
              </w:rPr>
            </w:pPr>
            <w:r>
              <w:rPr>
                <w:rFonts w:ascii="Times New Roman"/>
                <w:b/>
                <w:sz w:val="21"/>
                <w:szCs w:val="21"/>
                <w:highlight w:val="none"/>
              </w:rPr>
              <w:t>天然包气带防污性能</w:t>
            </w:r>
          </w:p>
        </w:tc>
        <w:tc>
          <w:tcPr>
            <w:tcW w:w="1119" w:type="dxa"/>
            <w:noWrap w:val="0"/>
            <w:vAlign w:val="center"/>
          </w:tcPr>
          <w:p w14:paraId="33C44AB0">
            <w:pPr>
              <w:autoSpaceDE w:val="0"/>
              <w:autoSpaceDN w:val="0"/>
              <w:spacing w:line="240" w:lineRule="auto"/>
              <w:jc w:val="center"/>
              <w:rPr>
                <w:rFonts w:ascii="Times New Roman"/>
                <w:b/>
                <w:sz w:val="21"/>
                <w:szCs w:val="21"/>
                <w:highlight w:val="none"/>
              </w:rPr>
            </w:pPr>
            <w:r>
              <w:rPr>
                <w:rFonts w:ascii="Times New Roman"/>
                <w:b/>
                <w:sz w:val="21"/>
                <w:szCs w:val="21"/>
                <w:highlight w:val="none"/>
              </w:rPr>
              <w:t>污染控制</w:t>
            </w:r>
          </w:p>
          <w:p w14:paraId="600FDCA3">
            <w:pPr>
              <w:spacing w:line="240" w:lineRule="auto"/>
              <w:jc w:val="center"/>
              <w:rPr>
                <w:rFonts w:ascii="Times New Roman"/>
                <w:b/>
                <w:sz w:val="21"/>
                <w:szCs w:val="21"/>
                <w:highlight w:val="none"/>
              </w:rPr>
            </w:pPr>
            <w:r>
              <w:rPr>
                <w:rFonts w:ascii="Times New Roman"/>
                <w:b/>
                <w:sz w:val="21"/>
                <w:szCs w:val="21"/>
                <w:highlight w:val="none"/>
              </w:rPr>
              <w:t>难易程度</w:t>
            </w:r>
          </w:p>
        </w:tc>
        <w:tc>
          <w:tcPr>
            <w:tcW w:w="1679" w:type="dxa"/>
            <w:noWrap w:val="0"/>
            <w:vAlign w:val="center"/>
          </w:tcPr>
          <w:p w14:paraId="09E95CF7">
            <w:pPr>
              <w:spacing w:line="240" w:lineRule="auto"/>
              <w:jc w:val="center"/>
              <w:rPr>
                <w:rFonts w:ascii="Times New Roman"/>
                <w:b/>
                <w:sz w:val="21"/>
                <w:szCs w:val="21"/>
                <w:highlight w:val="none"/>
              </w:rPr>
            </w:pPr>
            <w:r>
              <w:rPr>
                <w:rFonts w:ascii="Times New Roman"/>
                <w:b/>
                <w:sz w:val="21"/>
                <w:szCs w:val="21"/>
                <w:highlight w:val="none"/>
              </w:rPr>
              <w:t>污染物类型</w:t>
            </w:r>
          </w:p>
        </w:tc>
        <w:tc>
          <w:tcPr>
            <w:tcW w:w="3043" w:type="dxa"/>
            <w:noWrap w:val="0"/>
            <w:vAlign w:val="center"/>
          </w:tcPr>
          <w:p w14:paraId="039B37DE">
            <w:pPr>
              <w:spacing w:line="240" w:lineRule="auto"/>
              <w:jc w:val="center"/>
              <w:rPr>
                <w:rFonts w:ascii="Times New Roman"/>
                <w:b/>
                <w:sz w:val="21"/>
                <w:szCs w:val="21"/>
                <w:highlight w:val="none"/>
              </w:rPr>
            </w:pPr>
            <w:r>
              <w:rPr>
                <w:rFonts w:ascii="Times New Roman"/>
                <w:b/>
                <w:sz w:val="21"/>
                <w:szCs w:val="21"/>
                <w:highlight w:val="none"/>
              </w:rPr>
              <w:t>污染防渗技术要求</w:t>
            </w:r>
          </w:p>
        </w:tc>
      </w:tr>
      <w:tr w14:paraId="14844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vMerge w:val="restart"/>
            <w:noWrap w:val="0"/>
            <w:vAlign w:val="center"/>
          </w:tcPr>
          <w:p w14:paraId="2664570A">
            <w:pPr>
              <w:spacing w:line="240" w:lineRule="auto"/>
              <w:jc w:val="center"/>
              <w:rPr>
                <w:rFonts w:ascii="Times New Roman"/>
                <w:sz w:val="21"/>
                <w:szCs w:val="21"/>
                <w:highlight w:val="none"/>
              </w:rPr>
            </w:pPr>
            <w:r>
              <w:rPr>
                <w:rFonts w:ascii="Times New Roman"/>
                <w:sz w:val="21"/>
                <w:szCs w:val="21"/>
                <w:highlight w:val="none"/>
              </w:rPr>
              <w:t>重点防渗区</w:t>
            </w:r>
          </w:p>
        </w:tc>
        <w:tc>
          <w:tcPr>
            <w:tcW w:w="1399" w:type="dxa"/>
            <w:noWrap w:val="0"/>
            <w:vAlign w:val="center"/>
          </w:tcPr>
          <w:p w14:paraId="43E36770">
            <w:pPr>
              <w:spacing w:line="240" w:lineRule="auto"/>
              <w:jc w:val="center"/>
              <w:rPr>
                <w:rFonts w:ascii="Times New Roman"/>
                <w:sz w:val="21"/>
                <w:szCs w:val="21"/>
                <w:highlight w:val="none"/>
              </w:rPr>
            </w:pPr>
            <w:r>
              <w:rPr>
                <w:rFonts w:ascii="Times New Roman"/>
                <w:sz w:val="21"/>
                <w:szCs w:val="21"/>
                <w:highlight w:val="none"/>
              </w:rPr>
              <w:t>弱</w:t>
            </w:r>
          </w:p>
        </w:tc>
        <w:tc>
          <w:tcPr>
            <w:tcW w:w="1119" w:type="dxa"/>
            <w:noWrap w:val="0"/>
            <w:vAlign w:val="center"/>
          </w:tcPr>
          <w:p w14:paraId="4F9AFCF7">
            <w:pPr>
              <w:spacing w:line="240" w:lineRule="auto"/>
              <w:jc w:val="center"/>
              <w:rPr>
                <w:rFonts w:ascii="Times New Roman"/>
                <w:sz w:val="21"/>
                <w:szCs w:val="21"/>
                <w:highlight w:val="none"/>
              </w:rPr>
            </w:pPr>
            <w:r>
              <w:rPr>
                <w:rFonts w:ascii="Times New Roman"/>
                <w:sz w:val="21"/>
                <w:szCs w:val="21"/>
                <w:highlight w:val="none"/>
              </w:rPr>
              <w:t>难</w:t>
            </w:r>
          </w:p>
        </w:tc>
        <w:tc>
          <w:tcPr>
            <w:tcW w:w="1679" w:type="dxa"/>
            <w:vMerge w:val="restart"/>
            <w:noWrap w:val="0"/>
            <w:vAlign w:val="center"/>
          </w:tcPr>
          <w:p w14:paraId="3B92D6BD">
            <w:pPr>
              <w:autoSpaceDE w:val="0"/>
              <w:autoSpaceDN w:val="0"/>
              <w:spacing w:line="240" w:lineRule="auto"/>
              <w:jc w:val="center"/>
              <w:rPr>
                <w:rFonts w:ascii="Times New Roman"/>
                <w:sz w:val="21"/>
                <w:szCs w:val="21"/>
                <w:highlight w:val="none"/>
              </w:rPr>
            </w:pPr>
            <w:r>
              <w:rPr>
                <w:rFonts w:ascii="Times New Roman"/>
                <w:sz w:val="21"/>
                <w:szCs w:val="21"/>
                <w:highlight w:val="none"/>
              </w:rPr>
              <w:t>重金属、持久性有机污染物</w:t>
            </w:r>
          </w:p>
        </w:tc>
        <w:tc>
          <w:tcPr>
            <w:tcW w:w="3043" w:type="dxa"/>
            <w:vMerge w:val="restart"/>
            <w:noWrap w:val="0"/>
            <w:vAlign w:val="center"/>
          </w:tcPr>
          <w:p w14:paraId="0900CDEC">
            <w:pPr>
              <w:autoSpaceDE w:val="0"/>
              <w:autoSpaceDN w:val="0"/>
              <w:spacing w:line="240" w:lineRule="auto"/>
              <w:jc w:val="center"/>
              <w:rPr>
                <w:rFonts w:ascii="Times New Roman"/>
                <w:sz w:val="21"/>
                <w:szCs w:val="21"/>
                <w:highlight w:val="none"/>
              </w:rPr>
            </w:pPr>
            <w:r>
              <w:rPr>
                <w:rFonts w:ascii="Times New Roman"/>
                <w:sz w:val="21"/>
                <w:szCs w:val="21"/>
                <w:highlight w:val="none"/>
              </w:rPr>
              <w:t>等效黏土防渗层Mb≥6.0m，K≤1×10</w:t>
            </w:r>
            <w:r>
              <w:rPr>
                <w:rFonts w:ascii="Times New Roman"/>
                <w:sz w:val="21"/>
                <w:szCs w:val="21"/>
                <w:highlight w:val="none"/>
                <w:vertAlign w:val="superscript"/>
              </w:rPr>
              <w:t>-7</w:t>
            </w:r>
            <w:r>
              <w:rPr>
                <w:rFonts w:ascii="Times New Roman"/>
                <w:sz w:val="21"/>
                <w:szCs w:val="21"/>
                <w:highlight w:val="none"/>
              </w:rPr>
              <w:t>cm/s，或参考GB18598 执行</w:t>
            </w:r>
          </w:p>
        </w:tc>
      </w:tr>
      <w:tr w14:paraId="18F5F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vMerge w:val="continue"/>
            <w:noWrap w:val="0"/>
            <w:vAlign w:val="center"/>
          </w:tcPr>
          <w:p w14:paraId="2E05C427">
            <w:pPr>
              <w:spacing w:line="240" w:lineRule="auto"/>
              <w:jc w:val="center"/>
              <w:rPr>
                <w:rFonts w:ascii="Times New Roman"/>
                <w:sz w:val="21"/>
                <w:szCs w:val="21"/>
                <w:highlight w:val="none"/>
              </w:rPr>
            </w:pPr>
          </w:p>
        </w:tc>
        <w:tc>
          <w:tcPr>
            <w:tcW w:w="1399" w:type="dxa"/>
            <w:noWrap w:val="0"/>
            <w:vAlign w:val="center"/>
          </w:tcPr>
          <w:p w14:paraId="61E2943D">
            <w:pPr>
              <w:spacing w:line="240" w:lineRule="auto"/>
              <w:jc w:val="center"/>
              <w:rPr>
                <w:rFonts w:ascii="Times New Roman"/>
                <w:sz w:val="21"/>
                <w:szCs w:val="21"/>
                <w:highlight w:val="none"/>
              </w:rPr>
            </w:pPr>
            <w:r>
              <w:rPr>
                <w:rFonts w:ascii="Times New Roman"/>
                <w:sz w:val="21"/>
                <w:szCs w:val="21"/>
                <w:highlight w:val="none"/>
              </w:rPr>
              <w:t>中—强</w:t>
            </w:r>
          </w:p>
        </w:tc>
        <w:tc>
          <w:tcPr>
            <w:tcW w:w="1119" w:type="dxa"/>
            <w:noWrap w:val="0"/>
            <w:vAlign w:val="center"/>
          </w:tcPr>
          <w:p w14:paraId="37A84759">
            <w:pPr>
              <w:spacing w:line="240" w:lineRule="auto"/>
              <w:jc w:val="center"/>
              <w:rPr>
                <w:rFonts w:ascii="Times New Roman"/>
                <w:sz w:val="21"/>
                <w:szCs w:val="21"/>
                <w:highlight w:val="none"/>
              </w:rPr>
            </w:pPr>
            <w:r>
              <w:rPr>
                <w:rFonts w:ascii="Times New Roman"/>
                <w:sz w:val="21"/>
                <w:szCs w:val="21"/>
                <w:highlight w:val="none"/>
              </w:rPr>
              <w:t>难</w:t>
            </w:r>
          </w:p>
        </w:tc>
        <w:tc>
          <w:tcPr>
            <w:tcW w:w="1679" w:type="dxa"/>
            <w:vMerge w:val="continue"/>
            <w:noWrap w:val="0"/>
            <w:vAlign w:val="center"/>
          </w:tcPr>
          <w:p w14:paraId="3A201DB6">
            <w:pPr>
              <w:spacing w:line="240" w:lineRule="auto"/>
              <w:jc w:val="center"/>
              <w:rPr>
                <w:rFonts w:ascii="Times New Roman"/>
                <w:sz w:val="21"/>
                <w:szCs w:val="21"/>
                <w:highlight w:val="none"/>
              </w:rPr>
            </w:pPr>
          </w:p>
        </w:tc>
        <w:tc>
          <w:tcPr>
            <w:tcW w:w="3043" w:type="dxa"/>
            <w:vMerge w:val="continue"/>
            <w:noWrap w:val="0"/>
            <w:vAlign w:val="center"/>
          </w:tcPr>
          <w:p w14:paraId="0F880DE0">
            <w:pPr>
              <w:autoSpaceDE w:val="0"/>
              <w:autoSpaceDN w:val="0"/>
              <w:spacing w:line="240" w:lineRule="auto"/>
              <w:jc w:val="center"/>
              <w:rPr>
                <w:rFonts w:ascii="Times New Roman"/>
                <w:sz w:val="21"/>
                <w:szCs w:val="21"/>
                <w:highlight w:val="none"/>
              </w:rPr>
            </w:pPr>
          </w:p>
        </w:tc>
      </w:tr>
      <w:tr w14:paraId="4CBF2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366" w:type="dxa"/>
            <w:vMerge w:val="continue"/>
            <w:noWrap w:val="0"/>
            <w:vAlign w:val="center"/>
          </w:tcPr>
          <w:p w14:paraId="1595ECB8">
            <w:pPr>
              <w:spacing w:line="240" w:lineRule="auto"/>
              <w:jc w:val="center"/>
              <w:rPr>
                <w:rFonts w:ascii="Times New Roman"/>
                <w:sz w:val="21"/>
                <w:szCs w:val="21"/>
                <w:highlight w:val="none"/>
              </w:rPr>
            </w:pPr>
          </w:p>
        </w:tc>
        <w:tc>
          <w:tcPr>
            <w:tcW w:w="1399" w:type="dxa"/>
            <w:noWrap w:val="0"/>
            <w:vAlign w:val="center"/>
          </w:tcPr>
          <w:p w14:paraId="22397668">
            <w:pPr>
              <w:spacing w:line="240" w:lineRule="auto"/>
              <w:jc w:val="center"/>
              <w:rPr>
                <w:rFonts w:ascii="Times New Roman"/>
                <w:sz w:val="21"/>
                <w:szCs w:val="21"/>
                <w:highlight w:val="none"/>
              </w:rPr>
            </w:pPr>
            <w:r>
              <w:rPr>
                <w:rFonts w:ascii="Times New Roman"/>
                <w:sz w:val="21"/>
                <w:szCs w:val="21"/>
                <w:highlight w:val="none"/>
              </w:rPr>
              <w:t>弱</w:t>
            </w:r>
          </w:p>
        </w:tc>
        <w:tc>
          <w:tcPr>
            <w:tcW w:w="1119" w:type="dxa"/>
            <w:noWrap w:val="0"/>
            <w:vAlign w:val="center"/>
          </w:tcPr>
          <w:p w14:paraId="46FB3D96">
            <w:pPr>
              <w:spacing w:line="240" w:lineRule="auto"/>
              <w:jc w:val="center"/>
              <w:rPr>
                <w:rFonts w:ascii="Times New Roman"/>
                <w:sz w:val="21"/>
                <w:szCs w:val="21"/>
                <w:highlight w:val="none"/>
              </w:rPr>
            </w:pPr>
            <w:r>
              <w:rPr>
                <w:rFonts w:ascii="Times New Roman"/>
                <w:sz w:val="21"/>
                <w:szCs w:val="21"/>
                <w:highlight w:val="none"/>
              </w:rPr>
              <w:t>易</w:t>
            </w:r>
          </w:p>
        </w:tc>
        <w:tc>
          <w:tcPr>
            <w:tcW w:w="1679" w:type="dxa"/>
            <w:vMerge w:val="continue"/>
            <w:noWrap w:val="0"/>
            <w:vAlign w:val="center"/>
          </w:tcPr>
          <w:p w14:paraId="26A2D0E5">
            <w:pPr>
              <w:spacing w:line="240" w:lineRule="auto"/>
              <w:jc w:val="center"/>
              <w:rPr>
                <w:rFonts w:ascii="Times New Roman"/>
                <w:sz w:val="21"/>
                <w:szCs w:val="21"/>
                <w:highlight w:val="none"/>
              </w:rPr>
            </w:pPr>
          </w:p>
        </w:tc>
        <w:tc>
          <w:tcPr>
            <w:tcW w:w="3043" w:type="dxa"/>
            <w:vMerge w:val="continue"/>
            <w:noWrap w:val="0"/>
            <w:vAlign w:val="center"/>
          </w:tcPr>
          <w:p w14:paraId="62E35EBF">
            <w:pPr>
              <w:autoSpaceDE w:val="0"/>
              <w:autoSpaceDN w:val="0"/>
              <w:spacing w:line="240" w:lineRule="auto"/>
              <w:jc w:val="center"/>
              <w:rPr>
                <w:rFonts w:ascii="Times New Roman"/>
                <w:sz w:val="21"/>
                <w:szCs w:val="21"/>
                <w:highlight w:val="none"/>
              </w:rPr>
            </w:pPr>
          </w:p>
        </w:tc>
      </w:tr>
      <w:tr w14:paraId="311AF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vMerge w:val="restart"/>
            <w:noWrap w:val="0"/>
            <w:vAlign w:val="center"/>
          </w:tcPr>
          <w:p w14:paraId="1B223C87">
            <w:pPr>
              <w:spacing w:line="240" w:lineRule="auto"/>
              <w:jc w:val="center"/>
              <w:rPr>
                <w:rFonts w:ascii="Times New Roman"/>
                <w:sz w:val="21"/>
                <w:szCs w:val="21"/>
                <w:highlight w:val="none"/>
              </w:rPr>
            </w:pPr>
            <w:r>
              <w:rPr>
                <w:rFonts w:ascii="Times New Roman"/>
                <w:sz w:val="21"/>
                <w:szCs w:val="21"/>
                <w:highlight w:val="none"/>
              </w:rPr>
              <w:t>一般防渗区</w:t>
            </w:r>
          </w:p>
        </w:tc>
        <w:tc>
          <w:tcPr>
            <w:tcW w:w="1399" w:type="dxa"/>
            <w:noWrap w:val="0"/>
            <w:vAlign w:val="center"/>
          </w:tcPr>
          <w:p w14:paraId="47EA5560">
            <w:pPr>
              <w:spacing w:line="240" w:lineRule="auto"/>
              <w:jc w:val="center"/>
              <w:rPr>
                <w:rFonts w:ascii="Times New Roman"/>
                <w:sz w:val="21"/>
                <w:szCs w:val="21"/>
                <w:highlight w:val="none"/>
              </w:rPr>
            </w:pPr>
            <w:r>
              <w:rPr>
                <w:rFonts w:ascii="Times New Roman"/>
                <w:sz w:val="21"/>
                <w:szCs w:val="21"/>
                <w:highlight w:val="none"/>
              </w:rPr>
              <w:t>弱</w:t>
            </w:r>
          </w:p>
        </w:tc>
        <w:tc>
          <w:tcPr>
            <w:tcW w:w="1119" w:type="dxa"/>
            <w:noWrap w:val="0"/>
            <w:vAlign w:val="center"/>
          </w:tcPr>
          <w:p w14:paraId="710046A4">
            <w:pPr>
              <w:spacing w:line="240" w:lineRule="auto"/>
              <w:jc w:val="center"/>
              <w:rPr>
                <w:rFonts w:ascii="Times New Roman"/>
                <w:sz w:val="21"/>
                <w:szCs w:val="21"/>
                <w:highlight w:val="none"/>
              </w:rPr>
            </w:pPr>
            <w:r>
              <w:rPr>
                <w:rFonts w:ascii="Times New Roman"/>
                <w:sz w:val="21"/>
                <w:szCs w:val="21"/>
                <w:highlight w:val="none"/>
              </w:rPr>
              <w:t>易—难</w:t>
            </w:r>
          </w:p>
        </w:tc>
        <w:tc>
          <w:tcPr>
            <w:tcW w:w="1679" w:type="dxa"/>
            <w:vMerge w:val="restart"/>
            <w:noWrap w:val="0"/>
            <w:vAlign w:val="center"/>
          </w:tcPr>
          <w:p w14:paraId="51D3AE11">
            <w:pPr>
              <w:spacing w:line="240" w:lineRule="auto"/>
              <w:jc w:val="center"/>
              <w:rPr>
                <w:rFonts w:ascii="Times New Roman"/>
                <w:sz w:val="21"/>
                <w:szCs w:val="21"/>
                <w:highlight w:val="none"/>
              </w:rPr>
            </w:pPr>
            <w:r>
              <w:rPr>
                <w:rFonts w:ascii="Times New Roman"/>
                <w:sz w:val="21"/>
                <w:szCs w:val="21"/>
                <w:highlight w:val="none"/>
              </w:rPr>
              <w:t>其他类型</w:t>
            </w:r>
          </w:p>
        </w:tc>
        <w:tc>
          <w:tcPr>
            <w:tcW w:w="3043" w:type="dxa"/>
            <w:vMerge w:val="restart"/>
            <w:noWrap w:val="0"/>
            <w:vAlign w:val="center"/>
          </w:tcPr>
          <w:p w14:paraId="13BA942B">
            <w:pPr>
              <w:autoSpaceDE w:val="0"/>
              <w:autoSpaceDN w:val="0"/>
              <w:spacing w:line="240" w:lineRule="auto"/>
              <w:jc w:val="center"/>
              <w:rPr>
                <w:rFonts w:ascii="Times New Roman"/>
                <w:sz w:val="21"/>
                <w:szCs w:val="21"/>
                <w:highlight w:val="none"/>
              </w:rPr>
            </w:pPr>
            <w:r>
              <w:rPr>
                <w:rFonts w:ascii="Times New Roman"/>
                <w:sz w:val="21"/>
                <w:szCs w:val="21"/>
                <w:highlight w:val="none"/>
              </w:rPr>
              <w:t>等效黏土防渗层Mb≥1.5m，K≤1×10</w:t>
            </w:r>
            <w:r>
              <w:rPr>
                <w:rFonts w:ascii="Times New Roman"/>
                <w:sz w:val="21"/>
                <w:szCs w:val="21"/>
                <w:highlight w:val="none"/>
                <w:vertAlign w:val="superscript"/>
              </w:rPr>
              <w:t>-7</w:t>
            </w:r>
            <w:r>
              <w:rPr>
                <w:rFonts w:ascii="Times New Roman"/>
                <w:sz w:val="21"/>
                <w:szCs w:val="21"/>
                <w:highlight w:val="none"/>
              </w:rPr>
              <w:t>cm/s，或参考GB16889 执行</w:t>
            </w:r>
          </w:p>
        </w:tc>
      </w:tr>
      <w:tr w14:paraId="4CE95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vMerge w:val="continue"/>
            <w:noWrap w:val="0"/>
            <w:vAlign w:val="center"/>
          </w:tcPr>
          <w:p w14:paraId="1D30A632">
            <w:pPr>
              <w:spacing w:line="240" w:lineRule="auto"/>
              <w:jc w:val="center"/>
              <w:rPr>
                <w:rFonts w:ascii="Times New Roman"/>
                <w:sz w:val="21"/>
                <w:szCs w:val="21"/>
                <w:highlight w:val="none"/>
              </w:rPr>
            </w:pPr>
          </w:p>
        </w:tc>
        <w:tc>
          <w:tcPr>
            <w:tcW w:w="1399" w:type="dxa"/>
            <w:noWrap w:val="0"/>
            <w:vAlign w:val="center"/>
          </w:tcPr>
          <w:p w14:paraId="50C4831B">
            <w:pPr>
              <w:spacing w:line="240" w:lineRule="auto"/>
              <w:jc w:val="center"/>
              <w:rPr>
                <w:rFonts w:ascii="Times New Roman"/>
                <w:sz w:val="21"/>
                <w:szCs w:val="21"/>
                <w:highlight w:val="none"/>
              </w:rPr>
            </w:pPr>
            <w:r>
              <w:rPr>
                <w:rFonts w:ascii="Times New Roman"/>
                <w:sz w:val="21"/>
                <w:szCs w:val="21"/>
                <w:highlight w:val="none"/>
              </w:rPr>
              <w:t>中—强</w:t>
            </w:r>
          </w:p>
        </w:tc>
        <w:tc>
          <w:tcPr>
            <w:tcW w:w="1119" w:type="dxa"/>
            <w:noWrap w:val="0"/>
            <w:vAlign w:val="center"/>
          </w:tcPr>
          <w:p w14:paraId="38C09598">
            <w:pPr>
              <w:spacing w:line="240" w:lineRule="auto"/>
              <w:jc w:val="center"/>
              <w:rPr>
                <w:rFonts w:ascii="Times New Roman"/>
                <w:sz w:val="21"/>
                <w:szCs w:val="21"/>
                <w:highlight w:val="none"/>
              </w:rPr>
            </w:pPr>
            <w:r>
              <w:rPr>
                <w:rFonts w:ascii="Times New Roman"/>
                <w:sz w:val="21"/>
                <w:szCs w:val="21"/>
                <w:highlight w:val="none"/>
              </w:rPr>
              <w:t>难</w:t>
            </w:r>
          </w:p>
        </w:tc>
        <w:tc>
          <w:tcPr>
            <w:tcW w:w="1679" w:type="dxa"/>
            <w:vMerge w:val="continue"/>
            <w:noWrap w:val="0"/>
            <w:vAlign w:val="center"/>
          </w:tcPr>
          <w:p w14:paraId="3AF7FCBB">
            <w:pPr>
              <w:spacing w:line="240" w:lineRule="auto"/>
              <w:jc w:val="center"/>
              <w:rPr>
                <w:rFonts w:ascii="Times New Roman"/>
                <w:sz w:val="21"/>
                <w:szCs w:val="21"/>
                <w:highlight w:val="none"/>
              </w:rPr>
            </w:pPr>
          </w:p>
        </w:tc>
        <w:tc>
          <w:tcPr>
            <w:tcW w:w="3043" w:type="dxa"/>
            <w:vMerge w:val="continue"/>
            <w:noWrap w:val="0"/>
            <w:vAlign w:val="center"/>
          </w:tcPr>
          <w:p w14:paraId="30782C60">
            <w:pPr>
              <w:spacing w:line="240" w:lineRule="auto"/>
              <w:jc w:val="center"/>
              <w:rPr>
                <w:rFonts w:ascii="Times New Roman"/>
                <w:sz w:val="21"/>
                <w:szCs w:val="21"/>
                <w:highlight w:val="none"/>
              </w:rPr>
            </w:pPr>
          </w:p>
        </w:tc>
      </w:tr>
      <w:tr w14:paraId="27557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vMerge w:val="continue"/>
            <w:noWrap w:val="0"/>
            <w:vAlign w:val="center"/>
          </w:tcPr>
          <w:p w14:paraId="46BEFC8F">
            <w:pPr>
              <w:spacing w:line="240" w:lineRule="auto"/>
              <w:jc w:val="center"/>
              <w:rPr>
                <w:rFonts w:ascii="Times New Roman"/>
                <w:sz w:val="21"/>
                <w:szCs w:val="21"/>
                <w:highlight w:val="none"/>
              </w:rPr>
            </w:pPr>
          </w:p>
        </w:tc>
        <w:tc>
          <w:tcPr>
            <w:tcW w:w="1399" w:type="dxa"/>
            <w:noWrap w:val="0"/>
            <w:vAlign w:val="center"/>
          </w:tcPr>
          <w:p w14:paraId="10301FA9">
            <w:pPr>
              <w:spacing w:line="240" w:lineRule="auto"/>
              <w:jc w:val="center"/>
              <w:rPr>
                <w:rFonts w:ascii="Times New Roman"/>
                <w:sz w:val="21"/>
                <w:szCs w:val="21"/>
                <w:highlight w:val="none"/>
              </w:rPr>
            </w:pPr>
            <w:r>
              <w:rPr>
                <w:rFonts w:ascii="Times New Roman"/>
                <w:sz w:val="21"/>
                <w:szCs w:val="21"/>
                <w:highlight w:val="none"/>
              </w:rPr>
              <w:t>中</w:t>
            </w:r>
          </w:p>
        </w:tc>
        <w:tc>
          <w:tcPr>
            <w:tcW w:w="1119" w:type="dxa"/>
            <w:noWrap w:val="0"/>
            <w:vAlign w:val="center"/>
          </w:tcPr>
          <w:p w14:paraId="4967E3FA">
            <w:pPr>
              <w:spacing w:line="240" w:lineRule="auto"/>
              <w:jc w:val="center"/>
              <w:rPr>
                <w:rFonts w:ascii="Times New Roman"/>
                <w:sz w:val="21"/>
                <w:szCs w:val="21"/>
                <w:highlight w:val="none"/>
              </w:rPr>
            </w:pPr>
            <w:r>
              <w:rPr>
                <w:rFonts w:ascii="Times New Roman"/>
                <w:sz w:val="21"/>
                <w:szCs w:val="21"/>
                <w:highlight w:val="none"/>
              </w:rPr>
              <w:t>易</w:t>
            </w:r>
          </w:p>
        </w:tc>
        <w:tc>
          <w:tcPr>
            <w:tcW w:w="1679" w:type="dxa"/>
            <w:vMerge w:val="restart"/>
            <w:noWrap w:val="0"/>
            <w:vAlign w:val="center"/>
          </w:tcPr>
          <w:p w14:paraId="2FEAA49C">
            <w:pPr>
              <w:autoSpaceDE w:val="0"/>
              <w:autoSpaceDN w:val="0"/>
              <w:spacing w:line="240" w:lineRule="auto"/>
              <w:jc w:val="center"/>
              <w:rPr>
                <w:rFonts w:ascii="Times New Roman"/>
                <w:sz w:val="21"/>
                <w:szCs w:val="21"/>
                <w:highlight w:val="none"/>
              </w:rPr>
            </w:pPr>
            <w:r>
              <w:rPr>
                <w:rFonts w:ascii="Times New Roman"/>
                <w:sz w:val="21"/>
                <w:szCs w:val="21"/>
                <w:highlight w:val="none"/>
              </w:rPr>
              <w:t>重金属、持久性有机污染物</w:t>
            </w:r>
          </w:p>
        </w:tc>
        <w:tc>
          <w:tcPr>
            <w:tcW w:w="3043" w:type="dxa"/>
            <w:vMerge w:val="continue"/>
            <w:noWrap w:val="0"/>
            <w:vAlign w:val="center"/>
          </w:tcPr>
          <w:p w14:paraId="4E31B956">
            <w:pPr>
              <w:spacing w:line="240" w:lineRule="auto"/>
              <w:jc w:val="center"/>
              <w:rPr>
                <w:rFonts w:ascii="Times New Roman"/>
                <w:sz w:val="21"/>
                <w:szCs w:val="21"/>
                <w:highlight w:val="none"/>
              </w:rPr>
            </w:pPr>
          </w:p>
        </w:tc>
      </w:tr>
      <w:tr w14:paraId="721B5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vMerge w:val="continue"/>
            <w:noWrap w:val="0"/>
            <w:vAlign w:val="center"/>
          </w:tcPr>
          <w:p w14:paraId="7F2975EA">
            <w:pPr>
              <w:spacing w:line="240" w:lineRule="auto"/>
              <w:jc w:val="center"/>
              <w:rPr>
                <w:rFonts w:ascii="Times New Roman"/>
                <w:sz w:val="21"/>
                <w:szCs w:val="21"/>
                <w:highlight w:val="none"/>
              </w:rPr>
            </w:pPr>
          </w:p>
        </w:tc>
        <w:tc>
          <w:tcPr>
            <w:tcW w:w="1399" w:type="dxa"/>
            <w:noWrap w:val="0"/>
            <w:vAlign w:val="center"/>
          </w:tcPr>
          <w:p w14:paraId="1F1E7CDA">
            <w:pPr>
              <w:spacing w:line="240" w:lineRule="auto"/>
              <w:jc w:val="center"/>
              <w:rPr>
                <w:rFonts w:ascii="Times New Roman"/>
                <w:sz w:val="21"/>
                <w:szCs w:val="21"/>
                <w:highlight w:val="none"/>
              </w:rPr>
            </w:pPr>
            <w:r>
              <w:rPr>
                <w:rFonts w:ascii="Times New Roman"/>
                <w:sz w:val="21"/>
                <w:szCs w:val="21"/>
                <w:highlight w:val="none"/>
              </w:rPr>
              <w:t>强</w:t>
            </w:r>
          </w:p>
        </w:tc>
        <w:tc>
          <w:tcPr>
            <w:tcW w:w="1119" w:type="dxa"/>
            <w:noWrap w:val="0"/>
            <w:vAlign w:val="center"/>
          </w:tcPr>
          <w:p w14:paraId="10428265">
            <w:pPr>
              <w:spacing w:line="240" w:lineRule="auto"/>
              <w:jc w:val="center"/>
              <w:rPr>
                <w:rFonts w:ascii="Times New Roman"/>
                <w:sz w:val="21"/>
                <w:szCs w:val="21"/>
                <w:highlight w:val="none"/>
              </w:rPr>
            </w:pPr>
            <w:r>
              <w:rPr>
                <w:rFonts w:ascii="Times New Roman"/>
                <w:sz w:val="21"/>
                <w:szCs w:val="21"/>
                <w:highlight w:val="none"/>
              </w:rPr>
              <w:t>易</w:t>
            </w:r>
          </w:p>
        </w:tc>
        <w:tc>
          <w:tcPr>
            <w:tcW w:w="1679" w:type="dxa"/>
            <w:vMerge w:val="continue"/>
            <w:noWrap w:val="0"/>
            <w:vAlign w:val="center"/>
          </w:tcPr>
          <w:p w14:paraId="7F99345F">
            <w:pPr>
              <w:spacing w:line="240" w:lineRule="auto"/>
              <w:jc w:val="center"/>
              <w:rPr>
                <w:rFonts w:ascii="Times New Roman"/>
                <w:sz w:val="21"/>
                <w:szCs w:val="21"/>
                <w:highlight w:val="none"/>
              </w:rPr>
            </w:pPr>
          </w:p>
        </w:tc>
        <w:tc>
          <w:tcPr>
            <w:tcW w:w="3043" w:type="dxa"/>
            <w:vMerge w:val="continue"/>
            <w:noWrap w:val="0"/>
            <w:vAlign w:val="center"/>
          </w:tcPr>
          <w:p w14:paraId="59F522D3">
            <w:pPr>
              <w:spacing w:line="240" w:lineRule="auto"/>
              <w:jc w:val="center"/>
              <w:rPr>
                <w:rFonts w:ascii="Times New Roman"/>
                <w:sz w:val="21"/>
                <w:szCs w:val="21"/>
                <w:highlight w:val="none"/>
              </w:rPr>
            </w:pPr>
          </w:p>
        </w:tc>
      </w:tr>
      <w:tr w14:paraId="0AF6D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noWrap w:val="0"/>
            <w:vAlign w:val="center"/>
          </w:tcPr>
          <w:p w14:paraId="2CE4CCE5">
            <w:pPr>
              <w:spacing w:line="240" w:lineRule="auto"/>
              <w:jc w:val="center"/>
              <w:rPr>
                <w:rFonts w:ascii="Times New Roman"/>
                <w:sz w:val="21"/>
                <w:szCs w:val="21"/>
                <w:highlight w:val="none"/>
              </w:rPr>
            </w:pPr>
            <w:r>
              <w:rPr>
                <w:rFonts w:ascii="Times New Roman"/>
                <w:sz w:val="21"/>
                <w:szCs w:val="21"/>
                <w:highlight w:val="none"/>
              </w:rPr>
              <w:t>简单防渗区</w:t>
            </w:r>
          </w:p>
        </w:tc>
        <w:tc>
          <w:tcPr>
            <w:tcW w:w="1399" w:type="dxa"/>
            <w:noWrap w:val="0"/>
            <w:vAlign w:val="center"/>
          </w:tcPr>
          <w:p w14:paraId="093081E4">
            <w:pPr>
              <w:spacing w:line="240" w:lineRule="auto"/>
              <w:jc w:val="center"/>
              <w:rPr>
                <w:rFonts w:ascii="Times New Roman"/>
                <w:sz w:val="21"/>
                <w:szCs w:val="21"/>
                <w:highlight w:val="none"/>
              </w:rPr>
            </w:pPr>
            <w:r>
              <w:rPr>
                <w:rFonts w:ascii="Times New Roman"/>
                <w:sz w:val="21"/>
                <w:szCs w:val="21"/>
                <w:highlight w:val="none"/>
              </w:rPr>
              <w:t>中—强</w:t>
            </w:r>
          </w:p>
        </w:tc>
        <w:tc>
          <w:tcPr>
            <w:tcW w:w="1119" w:type="dxa"/>
            <w:noWrap w:val="0"/>
            <w:vAlign w:val="center"/>
          </w:tcPr>
          <w:p w14:paraId="55EC0DC8">
            <w:pPr>
              <w:spacing w:line="240" w:lineRule="auto"/>
              <w:jc w:val="center"/>
              <w:rPr>
                <w:rFonts w:ascii="Times New Roman"/>
                <w:sz w:val="21"/>
                <w:szCs w:val="21"/>
                <w:highlight w:val="none"/>
              </w:rPr>
            </w:pPr>
            <w:r>
              <w:rPr>
                <w:rFonts w:ascii="Times New Roman"/>
                <w:sz w:val="21"/>
                <w:szCs w:val="21"/>
                <w:highlight w:val="none"/>
              </w:rPr>
              <w:t>易</w:t>
            </w:r>
          </w:p>
        </w:tc>
        <w:tc>
          <w:tcPr>
            <w:tcW w:w="1679" w:type="dxa"/>
            <w:noWrap w:val="0"/>
            <w:vAlign w:val="center"/>
          </w:tcPr>
          <w:p w14:paraId="5BE30468">
            <w:pPr>
              <w:spacing w:line="240" w:lineRule="auto"/>
              <w:jc w:val="center"/>
              <w:rPr>
                <w:rFonts w:ascii="Times New Roman"/>
                <w:sz w:val="21"/>
                <w:szCs w:val="21"/>
                <w:highlight w:val="none"/>
              </w:rPr>
            </w:pPr>
            <w:r>
              <w:rPr>
                <w:rFonts w:ascii="Times New Roman"/>
                <w:sz w:val="21"/>
                <w:szCs w:val="21"/>
                <w:highlight w:val="none"/>
              </w:rPr>
              <w:t>其他类型</w:t>
            </w:r>
          </w:p>
        </w:tc>
        <w:tc>
          <w:tcPr>
            <w:tcW w:w="3043" w:type="dxa"/>
            <w:noWrap w:val="0"/>
            <w:vAlign w:val="center"/>
          </w:tcPr>
          <w:p w14:paraId="7FA63255">
            <w:pPr>
              <w:spacing w:line="240" w:lineRule="auto"/>
              <w:jc w:val="center"/>
              <w:rPr>
                <w:rFonts w:ascii="Times New Roman"/>
                <w:sz w:val="21"/>
                <w:szCs w:val="21"/>
                <w:highlight w:val="none"/>
              </w:rPr>
            </w:pPr>
            <w:r>
              <w:rPr>
                <w:rFonts w:ascii="Times New Roman"/>
                <w:sz w:val="21"/>
                <w:szCs w:val="21"/>
                <w:highlight w:val="none"/>
              </w:rPr>
              <w:t>一般地面硬化</w:t>
            </w:r>
          </w:p>
        </w:tc>
      </w:tr>
    </w:tbl>
    <w:p w14:paraId="024F68C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sz w:val="24"/>
          <w:szCs w:val="24"/>
          <w:highlight w:val="none"/>
        </w:rPr>
      </w:pPr>
      <w:r>
        <w:rPr>
          <w:rFonts w:ascii="Times New Roman" w:hAnsi="Times New Roman" w:eastAsia="宋体" w:cs="Times New Roman"/>
          <w:sz w:val="24"/>
          <w:szCs w:val="24"/>
          <w:highlight w:val="none"/>
        </w:rPr>
        <w:t>根据</w:t>
      </w:r>
      <w:r>
        <w:rPr>
          <w:rFonts w:hint="eastAsia" w:ascii="Times New Roman" w:hAnsi="Times New Roman" w:eastAsia="宋体" w:cs="Times New Roman"/>
          <w:sz w:val="24"/>
          <w:szCs w:val="24"/>
          <w:highlight w:val="none"/>
          <w:lang w:val="en-US" w:eastAsia="zh-CN"/>
        </w:rPr>
        <w:t>项目</w:t>
      </w:r>
      <w:r>
        <w:rPr>
          <w:rFonts w:ascii="Times New Roman" w:hAnsi="Times New Roman" w:eastAsia="宋体" w:cs="Times New Roman"/>
          <w:sz w:val="24"/>
          <w:szCs w:val="24"/>
          <w:highlight w:val="none"/>
        </w:rPr>
        <w:t>可能泄漏至地下区域污染物的性质和生产单元的构筑方式，以及潜在的地下水污染源分类分析，</w:t>
      </w:r>
      <w:r>
        <w:rPr>
          <w:rFonts w:hint="eastAsia" w:cs="Times New Roman"/>
          <w:sz w:val="24"/>
          <w:szCs w:val="24"/>
          <w:highlight w:val="none"/>
          <w:lang w:val="en-US" w:eastAsia="zh-CN"/>
        </w:rPr>
        <w:t>防渗区分类</w:t>
      </w:r>
      <w:r>
        <w:rPr>
          <w:rFonts w:ascii="Times New Roman" w:hAnsi="Times New Roman" w:eastAsia="宋体" w:cs="Times New Roman"/>
          <w:sz w:val="24"/>
          <w:szCs w:val="24"/>
          <w:highlight w:val="none"/>
        </w:rPr>
        <w:t>详见下表。</w:t>
      </w:r>
    </w:p>
    <w:p w14:paraId="1DA345F9">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sz w:val="21"/>
          <w:szCs w:val="21"/>
          <w:highlight w:val="none"/>
        </w:rPr>
      </w:pPr>
      <w:r>
        <w:rPr>
          <w:rFonts w:ascii="Times New Roman"/>
          <w:b/>
          <w:sz w:val="21"/>
          <w:szCs w:val="21"/>
          <w:highlight w:val="none"/>
        </w:rPr>
        <w:t>地下水污染防治分区表</w:t>
      </w:r>
    </w:p>
    <w:tbl>
      <w:tblPr>
        <w:tblStyle w:val="5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2325"/>
        <w:gridCol w:w="1292"/>
        <w:gridCol w:w="1264"/>
        <w:gridCol w:w="1568"/>
        <w:gridCol w:w="1416"/>
      </w:tblGrid>
      <w:tr w14:paraId="62FD0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9" w:type="dxa"/>
            <w:noWrap w:val="0"/>
            <w:vAlign w:val="center"/>
          </w:tcPr>
          <w:p w14:paraId="0CD50BF8">
            <w:pPr>
              <w:spacing w:line="240" w:lineRule="auto"/>
              <w:jc w:val="center"/>
              <w:rPr>
                <w:rFonts w:ascii="Times New Roman"/>
                <w:b/>
                <w:sz w:val="21"/>
                <w:szCs w:val="21"/>
                <w:highlight w:val="none"/>
              </w:rPr>
            </w:pPr>
            <w:r>
              <w:rPr>
                <w:rFonts w:ascii="Times New Roman"/>
                <w:b/>
                <w:sz w:val="21"/>
                <w:szCs w:val="21"/>
                <w:highlight w:val="none"/>
              </w:rPr>
              <w:t>编号</w:t>
            </w:r>
          </w:p>
        </w:tc>
        <w:tc>
          <w:tcPr>
            <w:tcW w:w="2325" w:type="dxa"/>
            <w:noWrap w:val="0"/>
            <w:vAlign w:val="center"/>
          </w:tcPr>
          <w:p w14:paraId="175086A0">
            <w:pPr>
              <w:spacing w:line="240" w:lineRule="auto"/>
              <w:jc w:val="center"/>
              <w:rPr>
                <w:rFonts w:ascii="Times New Roman"/>
                <w:b/>
                <w:sz w:val="21"/>
                <w:szCs w:val="21"/>
                <w:highlight w:val="none"/>
              </w:rPr>
            </w:pPr>
            <w:r>
              <w:rPr>
                <w:rFonts w:ascii="Times New Roman"/>
                <w:b/>
                <w:sz w:val="21"/>
                <w:szCs w:val="21"/>
                <w:highlight w:val="none"/>
              </w:rPr>
              <w:t>单元名称</w:t>
            </w:r>
          </w:p>
        </w:tc>
        <w:tc>
          <w:tcPr>
            <w:tcW w:w="1292" w:type="dxa"/>
            <w:noWrap w:val="0"/>
            <w:vAlign w:val="center"/>
          </w:tcPr>
          <w:p w14:paraId="680571D3">
            <w:pPr>
              <w:spacing w:line="240" w:lineRule="auto"/>
              <w:jc w:val="center"/>
              <w:rPr>
                <w:rFonts w:ascii="Times New Roman"/>
                <w:b/>
                <w:sz w:val="21"/>
                <w:szCs w:val="21"/>
                <w:highlight w:val="none"/>
              </w:rPr>
            </w:pPr>
            <w:r>
              <w:rPr>
                <w:rFonts w:ascii="Times New Roman"/>
                <w:b/>
                <w:sz w:val="21"/>
                <w:szCs w:val="21"/>
                <w:highlight w:val="none"/>
              </w:rPr>
              <w:t>天然包气带防污性能</w:t>
            </w:r>
          </w:p>
        </w:tc>
        <w:tc>
          <w:tcPr>
            <w:tcW w:w="1264" w:type="dxa"/>
            <w:noWrap w:val="0"/>
            <w:vAlign w:val="center"/>
          </w:tcPr>
          <w:p w14:paraId="67D27BC5">
            <w:pPr>
              <w:autoSpaceDE w:val="0"/>
              <w:autoSpaceDN w:val="0"/>
              <w:spacing w:line="240" w:lineRule="auto"/>
              <w:jc w:val="center"/>
              <w:rPr>
                <w:rFonts w:ascii="Times New Roman"/>
                <w:b/>
                <w:sz w:val="21"/>
                <w:szCs w:val="21"/>
                <w:highlight w:val="none"/>
              </w:rPr>
            </w:pPr>
            <w:r>
              <w:rPr>
                <w:rFonts w:ascii="Times New Roman"/>
                <w:b/>
                <w:sz w:val="21"/>
                <w:szCs w:val="21"/>
                <w:highlight w:val="none"/>
              </w:rPr>
              <w:t>污染控制</w:t>
            </w:r>
          </w:p>
          <w:p w14:paraId="07924491">
            <w:pPr>
              <w:spacing w:line="240" w:lineRule="auto"/>
              <w:jc w:val="center"/>
              <w:rPr>
                <w:rFonts w:ascii="Times New Roman"/>
                <w:b/>
                <w:sz w:val="21"/>
                <w:szCs w:val="21"/>
                <w:highlight w:val="none"/>
              </w:rPr>
            </w:pPr>
            <w:r>
              <w:rPr>
                <w:rFonts w:ascii="Times New Roman"/>
                <w:b/>
                <w:sz w:val="21"/>
                <w:szCs w:val="21"/>
                <w:highlight w:val="none"/>
              </w:rPr>
              <w:t>难易程度</w:t>
            </w:r>
          </w:p>
        </w:tc>
        <w:tc>
          <w:tcPr>
            <w:tcW w:w="1568" w:type="dxa"/>
            <w:noWrap w:val="0"/>
            <w:vAlign w:val="center"/>
          </w:tcPr>
          <w:p w14:paraId="72DD38C4">
            <w:pPr>
              <w:spacing w:line="240" w:lineRule="auto"/>
              <w:jc w:val="center"/>
              <w:rPr>
                <w:rFonts w:ascii="Times New Roman"/>
                <w:b/>
                <w:sz w:val="21"/>
                <w:szCs w:val="21"/>
                <w:highlight w:val="none"/>
              </w:rPr>
            </w:pPr>
            <w:r>
              <w:rPr>
                <w:rFonts w:ascii="Times New Roman"/>
                <w:b/>
                <w:sz w:val="21"/>
                <w:szCs w:val="21"/>
                <w:highlight w:val="none"/>
              </w:rPr>
              <w:t>污染物类型</w:t>
            </w:r>
          </w:p>
        </w:tc>
        <w:tc>
          <w:tcPr>
            <w:tcW w:w="1416" w:type="dxa"/>
            <w:noWrap w:val="0"/>
            <w:vAlign w:val="center"/>
          </w:tcPr>
          <w:p w14:paraId="3CA963B2">
            <w:pPr>
              <w:autoSpaceDE w:val="0"/>
              <w:autoSpaceDN w:val="0"/>
              <w:spacing w:line="240" w:lineRule="auto"/>
              <w:jc w:val="center"/>
              <w:rPr>
                <w:rFonts w:ascii="Times New Roman"/>
                <w:b/>
                <w:sz w:val="21"/>
                <w:szCs w:val="21"/>
                <w:highlight w:val="none"/>
              </w:rPr>
            </w:pPr>
            <w:r>
              <w:rPr>
                <w:rFonts w:ascii="Times New Roman"/>
                <w:b/>
                <w:sz w:val="21"/>
                <w:szCs w:val="21"/>
                <w:highlight w:val="none"/>
              </w:rPr>
              <w:t>防渗分区类别</w:t>
            </w:r>
          </w:p>
        </w:tc>
      </w:tr>
      <w:tr w14:paraId="38F42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9" w:type="dxa"/>
            <w:noWrap w:val="0"/>
            <w:vAlign w:val="center"/>
          </w:tcPr>
          <w:p w14:paraId="650E039F">
            <w:pPr>
              <w:spacing w:line="240" w:lineRule="auto"/>
              <w:jc w:val="center"/>
              <w:rPr>
                <w:rFonts w:ascii="Times New Roman"/>
                <w:sz w:val="21"/>
                <w:szCs w:val="21"/>
                <w:highlight w:val="none"/>
              </w:rPr>
            </w:pPr>
            <w:r>
              <w:rPr>
                <w:rFonts w:ascii="Times New Roman"/>
                <w:sz w:val="21"/>
                <w:szCs w:val="21"/>
                <w:highlight w:val="none"/>
              </w:rPr>
              <w:t>1</w:t>
            </w:r>
          </w:p>
        </w:tc>
        <w:tc>
          <w:tcPr>
            <w:tcW w:w="2325" w:type="dxa"/>
            <w:shd w:val="clear" w:color="auto" w:fill="auto"/>
            <w:noWrap w:val="0"/>
            <w:vAlign w:val="center"/>
          </w:tcPr>
          <w:p w14:paraId="15BB9968">
            <w:pPr>
              <w:spacing w:line="240" w:lineRule="auto"/>
              <w:jc w:val="center"/>
              <w:rPr>
                <w:rFonts w:hint="eastAsia" w:ascii="Times New Roman" w:hAnsi="Times New Roman" w:eastAsia="宋体" w:cs="Times New Roman"/>
                <w:kern w:val="2"/>
                <w:sz w:val="21"/>
                <w:szCs w:val="21"/>
                <w:highlight w:val="none"/>
                <w:lang w:val="en-US" w:eastAsia="zh-CN" w:bidi="ar-SA"/>
              </w:rPr>
            </w:pPr>
            <w:r>
              <w:rPr>
                <w:rFonts w:ascii="Times New Roman"/>
                <w:sz w:val="21"/>
                <w:szCs w:val="21"/>
                <w:highlight w:val="none"/>
              </w:rPr>
              <w:t>消力池</w:t>
            </w:r>
          </w:p>
        </w:tc>
        <w:tc>
          <w:tcPr>
            <w:tcW w:w="1292" w:type="dxa"/>
            <w:shd w:val="clear" w:color="auto" w:fill="auto"/>
            <w:noWrap w:val="0"/>
            <w:vAlign w:val="center"/>
          </w:tcPr>
          <w:p w14:paraId="430B5B0F">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弱</w:t>
            </w:r>
          </w:p>
        </w:tc>
        <w:tc>
          <w:tcPr>
            <w:tcW w:w="1264" w:type="dxa"/>
            <w:shd w:val="clear" w:color="auto" w:fill="auto"/>
            <w:noWrap w:val="0"/>
            <w:vAlign w:val="center"/>
          </w:tcPr>
          <w:p w14:paraId="4BA8D6E1">
            <w:pPr>
              <w:spacing w:line="240" w:lineRule="auto"/>
              <w:jc w:val="center"/>
              <w:rPr>
                <w:rFonts w:ascii="Times New Roman" w:hAnsi="Times New Roman" w:eastAsia="宋体" w:cs="Times New Roman"/>
                <w:kern w:val="2"/>
                <w:sz w:val="21"/>
                <w:szCs w:val="21"/>
                <w:highlight w:val="none"/>
                <w:lang w:val="en-US" w:eastAsia="zh-CN" w:bidi="ar-SA"/>
              </w:rPr>
            </w:pPr>
            <w:r>
              <w:rPr>
                <w:rFonts w:hint="eastAsia" w:ascii="Times New Roman"/>
                <w:sz w:val="21"/>
                <w:szCs w:val="21"/>
                <w:highlight w:val="none"/>
              </w:rPr>
              <w:t>难</w:t>
            </w:r>
          </w:p>
        </w:tc>
        <w:tc>
          <w:tcPr>
            <w:tcW w:w="1568" w:type="dxa"/>
            <w:shd w:val="clear" w:color="auto" w:fill="auto"/>
            <w:noWrap w:val="0"/>
            <w:vAlign w:val="top"/>
          </w:tcPr>
          <w:p w14:paraId="14B2334D">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其他类型</w:t>
            </w:r>
          </w:p>
        </w:tc>
        <w:tc>
          <w:tcPr>
            <w:tcW w:w="1416" w:type="dxa"/>
            <w:shd w:val="clear" w:color="auto" w:fill="auto"/>
            <w:noWrap w:val="0"/>
            <w:vAlign w:val="center"/>
          </w:tcPr>
          <w:p w14:paraId="0B0A5316">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一般防渗区</w:t>
            </w:r>
          </w:p>
        </w:tc>
      </w:tr>
      <w:tr w14:paraId="2F57C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9" w:type="dxa"/>
            <w:noWrap w:val="0"/>
            <w:vAlign w:val="center"/>
          </w:tcPr>
          <w:p w14:paraId="5BF7FE78">
            <w:pPr>
              <w:spacing w:line="240" w:lineRule="auto"/>
              <w:jc w:val="center"/>
              <w:rPr>
                <w:rFonts w:ascii="Times New Roman"/>
                <w:sz w:val="21"/>
                <w:szCs w:val="21"/>
                <w:highlight w:val="none"/>
              </w:rPr>
            </w:pPr>
            <w:r>
              <w:rPr>
                <w:rFonts w:ascii="Times New Roman"/>
                <w:sz w:val="21"/>
                <w:szCs w:val="21"/>
                <w:highlight w:val="none"/>
              </w:rPr>
              <w:t>2</w:t>
            </w:r>
          </w:p>
        </w:tc>
        <w:tc>
          <w:tcPr>
            <w:tcW w:w="2325" w:type="dxa"/>
            <w:shd w:val="clear" w:color="auto" w:fill="auto"/>
            <w:noWrap w:val="0"/>
            <w:vAlign w:val="center"/>
          </w:tcPr>
          <w:p w14:paraId="0A0EAEBF">
            <w:pPr>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运输道路等</w:t>
            </w:r>
            <w:r>
              <w:rPr>
                <w:rFonts w:ascii="Times New Roman"/>
                <w:sz w:val="21"/>
                <w:szCs w:val="21"/>
                <w:highlight w:val="none"/>
              </w:rPr>
              <w:t>其他区域</w:t>
            </w:r>
          </w:p>
        </w:tc>
        <w:tc>
          <w:tcPr>
            <w:tcW w:w="1292" w:type="dxa"/>
            <w:shd w:val="clear" w:color="auto" w:fill="auto"/>
            <w:noWrap w:val="0"/>
            <w:vAlign w:val="center"/>
          </w:tcPr>
          <w:p w14:paraId="010B9898">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弱</w:t>
            </w:r>
          </w:p>
        </w:tc>
        <w:tc>
          <w:tcPr>
            <w:tcW w:w="1264" w:type="dxa"/>
            <w:shd w:val="clear" w:color="auto" w:fill="auto"/>
            <w:noWrap w:val="0"/>
            <w:vAlign w:val="center"/>
          </w:tcPr>
          <w:p w14:paraId="5EDC4BC2">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易</w:t>
            </w:r>
          </w:p>
        </w:tc>
        <w:tc>
          <w:tcPr>
            <w:tcW w:w="1568" w:type="dxa"/>
            <w:shd w:val="clear" w:color="auto" w:fill="auto"/>
            <w:noWrap w:val="0"/>
            <w:vAlign w:val="center"/>
          </w:tcPr>
          <w:p w14:paraId="534A6BA1">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w:t>
            </w:r>
          </w:p>
        </w:tc>
        <w:tc>
          <w:tcPr>
            <w:tcW w:w="1416" w:type="dxa"/>
            <w:shd w:val="clear" w:color="auto" w:fill="auto"/>
            <w:noWrap w:val="0"/>
            <w:vAlign w:val="center"/>
          </w:tcPr>
          <w:p w14:paraId="73B23AFB">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简单防渗区</w:t>
            </w:r>
          </w:p>
        </w:tc>
      </w:tr>
    </w:tbl>
    <w:p w14:paraId="1B546FA4">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ascii="Times New Roman"/>
          <w:b/>
          <w:sz w:val="24"/>
          <w:szCs w:val="24"/>
          <w:highlight w:val="none"/>
        </w:rPr>
      </w:pPr>
      <w:r>
        <w:rPr>
          <w:rFonts w:ascii="Times New Roman"/>
          <w:b/>
          <w:sz w:val="24"/>
          <w:szCs w:val="24"/>
          <w:highlight w:val="none"/>
        </w:rPr>
        <w:t>④防渗要求</w:t>
      </w:r>
    </w:p>
    <w:p w14:paraId="6257439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a. 一般防渗区</w:t>
      </w:r>
    </w:p>
    <w:p w14:paraId="73F6BB7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指裸露地面的生产功能单元，污染地下水环境的物料泄漏容易及时发现和处理的区域，对可能会产生一定程度的污染、但建（构）筑物基础之下场地水文地质条件较好的工艺区域或部位，一般防渗区</w:t>
      </w:r>
      <w:r>
        <w:rPr>
          <w:rFonts w:hint="eastAsia"/>
          <w:sz w:val="24"/>
          <w:szCs w:val="24"/>
          <w:highlight w:val="none"/>
          <w:lang w:val="en-US" w:eastAsia="zh-CN"/>
        </w:rPr>
        <w:t>为</w:t>
      </w:r>
      <w:r>
        <w:rPr>
          <w:rFonts w:ascii="Times New Roman"/>
          <w:sz w:val="24"/>
          <w:szCs w:val="24"/>
          <w:highlight w:val="none"/>
        </w:rPr>
        <w:t>消力池。</w:t>
      </w:r>
    </w:p>
    <w:p w14:paraId="6533F1C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污染防渗技术要求为等效黏土防渗层Mb≥1.5m，或参照GB16889-2008《生活垃圾填埋场污染控制标准》中要求，</w:t>
      </w:r>
      <w:r>
        <w:rPr>
          <w:rFonts w:hint="eastAsia" w:ascii="宋体" w:hAnsi="宋体" w:eastAsia="宋体" w:cs="宋体"/>
          <w:sz w:val="24"/>
          <w:szCs w:val="24"/>
          <w:highlight w:val="none"/>
        </w:rPr>
        <w:t>“用</w:t>
      </w:r>
      <w:r>
        <w:rPr>
          <w:rFonts w:ascii="Times New Roman"/>
          <w:sz w:val="24"/>
          <w:szCs w:val="24"/>
          <w:highlight w:val="none"/>
        </w:rPr>
        <w:t>双层人工合成材料防渗衬层，下层人工合成材料防衬层下应具有厚度不小于0.75m，且其被压实后的饱和渗透系数小于1.0×10</w:t>
      </w:r>
      <w:r>
        <w:rPr>
          <w:rFonts w:ascii="Times New Roman"/>
          <w:sz w:val="24"/>
          <w:szCs w:val="24"/>
          <w:highlight w:val="none"/>
          <w:vertAlign w:val="superscript"/>
        </w:rPr>
        <w:t>-7</w:t>
      </w:r>
      <w:r>
        <w:rPr>
          <w:rFonts w:ascii="Times New Roman"/>
          <w:sz w:val="24"/>
          <w:szCs w:val="24"/>
          <w:highlight w:val="none"/>
        </w:rPr>
        <w:t>cm/s的天然粘土衬层，或具有同等以上隔水效力的其他材料衬层；两层人工合成材料衬层之间应布设导水层及渗漏检测</w:t>
      </w:r>
      <w:r>
        <w:rPr>
          <w:rFonts w:hint="eastAsia" w:ascii="宋体" w:hAnsi="宋体" w:eastAsia="宋体" w:cs="宋体"/>
          <w:sz w:val="24"/>
          <w:szCs w:val="24"/>
          <w:highlight w:val="none"/>
        </w:rPr>
        <w:t>层”执</w:t>
      </w:r>
      <w:r>
        <w:rPr>
          <w:rFonts w:ascii="Times New Roman"/>
          <w:sz w:val="24"/>
          <w:szCs w:val="24"/>
          <w:highlight w:val="none"/>
        </w:rPr>
        <w:t>行。</w:t>
      </w:r>
    </w:p>
    <w:p w14:paraId="557DC69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b.简单防渗区</w:t>
      </w:r>
    </w:p>
    <w:p w14:paraId="7687A35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指没有物流或污染物泄漏，指不会对地下水环境造成污染的区域。污染防渗技术要求为一般地面硬化。</w:t>
      </w:r>
    </w:p>
    <w:p w14:paraId="43716DA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sz w:val="24"/>
          <w:szCs w:val="24"/>
          <w:highlight w:val="none"/>
        </w:rPr>
      </w:pPr>
      <w:r>
        <w:rPr>
          <w:rFonts w:ascii="Times New Roman"/>
          <w:sz w:val="24"/>
          <w:szCs w:val="24"/>
          <w:highlight w:val="none"/>
        </w:rPr>
        <w:t>项目</w:t>
      </w:r>
      <w:r>
        <w:rPr>
          <w:rFonts w:hint="eastAsia"/>
          <w:sz w:val="24"/>
          <w:szCs w:val="24"/>
          <w:highlight w:val="none"/>
          <w:lang w:val="en-US" w:eastAsia="zh-CN"/>
        </w:rPr>
        <w:t>道路及</w:t>
      </w:r>
      <w:r>
        <w:rPr>
          <w:rFonts w:ascii="Times New Roman"/>
          <w:sz w:val="24"/>
          <w:szCs w:val="24"/>
          <w:highlight w:val="none"/>
        </w:rPr>
        <w:t>其他区域采取一般地面硬化措施。</w:t>
      </w:r>
    </w:p>
    <w:p w14:paraId="7199B87B">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eastAsia="宋体"/>
          <w:b/>
          <w:bCs/>
          <w:sz w:val="24"/>
          <w:szCs w:val="32"/>
          <w:highlight w:val="none"/>
          <w:lang w:val="en-US" w:eastAsia="zh-CN"/>
        </w:rPr>
      </w:pPr>
      <w:r>
        <w:rPr>
          <w:rFonts w:hint="eastAsia"/>
          <w:b/>
          <w:bCs/>
          <w:sz w:val="24"/>
          <w:szCs w:val="32"/>
          <w:highlight w:val="none"/>
          <w:lang w:val="en-US" w:eastAsia="zh-CN"/>
        </w:rPr>
        <w:t>3）项目分区防渗</w:t>
      </w:r>
    </w:p>
    <w:p w14:paraId="3686E218">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b/>
          <w:sz w:val="21"/>
          <w:szCs w:val="21"/>
          <w:highlight w:val="none"/>
        </w:rPr>
      </w:pPr>
      <w:r>
        <w:rPr>
          <w:rFonts w:hint="eastAsia"/>
          <w:b/>
          <w:sz w:val="21"/>
          <w:szCs w:val="21"/>
          <w:highlight w:val="none"/>
          <w:lang w:val="en-US" w:eastAsia="zh-CN"/>
        </w:rPr>
        <w:t>项目</w:t>
      </w:r>
      <w:r>
        <w:rPr>
          <w:rFonts w:ascii="Times New Roman"/>
          <w:b/>
          <w:sz w:val="21"/>
          <w:szCs w:val="21"/>
          <w:highlight w:val="none"/>
        </w:rPr>
        <w:t>地下水</w:t>
      </w:r>
      <w:r>
        <w:rPr>
          <w:rFonts w:hint="eastAsia" w:ascii="Times New Roman"/>
          <w:b/>
          <w:sz w:val="21"/>
          <w:szCs w:val="21"/>
          <w:highlight w:val="none"/>
        </w:rPr>
        <w:t>分区防渗</w:t>
      </w:r>
      <w:r>
        <w:rPr>
          <w:rFonts w:ascii="Times New Roman"/>
          <w:b/>
          <w:sz w:val="21"/>
          <w:szCs w:val="21"/>
          <w:highlight w:val="none"/>
        </w:rPr>
        <w:t>表</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1364"/>
        <w:gridCol w:w="1484"/>
        <w:gridCol w:w="4754"/>
      </w:tblGrid>
      <w:tr w14:paraId="10B51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pct"/>
            <w:noWrap w:val="0"/>
            <w:vAlign w:val="center"/>
          </w:tcPr>
          <w:p w14:paraId="5EF7765D">
            <w:pPr>
              <w:spacing w:line="240" w:lineRule="auto"/>
              <w:jc w:val="center"/>
              <w:rPr>
                <w:rFonts w:ascii="Times New Roman"/>
                <w:b/>
                <w:sz w:val="21"/>
                <w:szCs w:val="21"/>
                <w:highlight w:val="none"/>
              </w:rPr>
            </w:pPr>
            <w:r>
              <w:rPr>
                <w:rFonts w:ascii="Times New Roman"/>
                <w:b/>
                <w:sz w:val="21"/>
                <w:szCs w:val="21"/>
                <w:highlight w:val="none"/>
              </w:rPr>
              <w:t>编号</w:t>
            </w:r>
          </w:p>
        </w:tc>
        <w:tc>
          <w:tcPr>
            <w:tcW w:w="800" w:type="pct"/>
            <w:noWrap w:val="0"/>
            <w:vAlign w:val="center"/>
          </w:tcPr>
          <w:p w14:paraId="7455BEAF">
            <w:pPr>
              <w:spacing w:line="240" w:lineRule="auto"/>
              <w:jc w:val="center"/>
              <w:rPr>
                <w:rFonts w:ascii="Times New Roman"/>
                <w:b/>
                <w:sz w:val="21"/>
                <w:szCs w:val="21"/>
                <w:highlight w:val="none"/>
              </w:rPr>
            </w:pPr>
            <w:r>
              <w:rPr>
                <w:rFonts w:ascii="Times New Roman"/>
                <w:b/>
                <w:sz w:val="21"/>
                <w:szCs w:val="21"/>
                <w:highlight w:val="none"/>
              </w:rPr>
              <w:t>单元名称</w:t>
            </w:r>
          </w:p>
        </w:tc>
        <w:tc>
          <w:tcPr>
            <w:tcW w:w="870" w:type="pct"/>
            <w:noWrap w:val="0"/>
            <w:vAlign w:val="center"/>
          </w:tcPr>
          <w:p w14:paraId="7B464E6B">
            <w:pPr>
              <w:autoSpaceDE w:val="0"/>
              <w:autoSpaceDN w:val="0"/>
              <w:spacing w:line="240" w:lineRule="auto"/>
              <w:jc w:val="center"/>
              <w:rPr>
                <w:rFonts w:ascii="Times New Roman"/>
                <w:b/>
                <w:sz w:val="21"/>
                <w:szCs w:val="21"/>
                <w:highlight w:val="none"/>
              </w:rPr>
            </w:pPr>
            <w:r>
              <w:rPr>
                <w:rFonts w:ascii="Times New Roman"/>
                <w:b/>
                <w:sz w:val="21"/>
                <w:szCs w:val="21"/>
                <w:highlight w:val="none"/>
              </w:rPr>
              <w:t>防渗分区类别</w:t>
            </w:r>
          </w:p>
        </w:tc>
        <w:tc>
          <w:tcPr>
            <w:tcW w:w="2787" w:type="pct"/>
            <w:noWrap w:val="0"/>
            <w:vAlign w:val="center"/>
          </w:tcPr>
          <w:p w14:paraId="4251A9F4">
            <w:pPr>
              <w:autoSpaceDE w:val="0"/>
              <w:autoSpaceDN w:val="0"/>
              <w:spacing w:line="240" w:lineRule="auto"/>
              <w:jc w:val="center"/>
              <w:rPr>
                <w:rFonts w:hint="default" w:ascii="Times New Roman" w:eastAsia="宋体"/>
                <w:b/>
                <w:sz w:val="21"/>
                <w:szCs w:val="21"/>
                <w:highlight w:val="none"/>
                <w:lang w:val="en-US" w:eastAsia="zh-CN"/>
              </w:rPr>
            </w:pPr>
            <w:r>
              <w:rPr>
                <w:rFonts w:hint="eastAsia"/>
                <w:b/>
                <w:sz w:val="21"/>
                <w:szCs w:val="21"/>
                <w:highlight w:val="none"/>
                <w:lang w:val="en-US" w:eastAsia="zh-CN"/>
              </w:rPr>
              <w:t>防渗要求</w:t>
            </w:r>
          </w:p>
        </w:tc>
      </w:tr>
      <w:tr w14:paraId="05591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pct"/>
            <w:noWrap w:val="0"/>
            <w:vAlign w:val="center"/>
          </w:tcPr>
          <w:p w14:paraId="50833DF5">
            <w:pPr>
              <w:spacing w:line="240" w:lineRule="auto"/>
              <w:jc w:val="center"/>
              <w:rPr>
                <w:rFonts w:ascii="Times New Roman"/>
                <w:sz w:val="21"/>
                <w:szCs w:val="21"/>
                <w:highlight w:val="none"/>
              </w:rPr>
            </w:pPr>
            <w:r>
              <w:rPr>
                <w:rFonts w:ascii="Times New Roman"/>
                <w:sz w:val="21"/>
                <w:szCs w:val="21"/>
                <w:highlight w:val="none"/>
              </w:rPr>
              <w:t>1</w:t>
            </w:r>
          </w:p>
        </w:tc>
        <w:tc>
          <w:tcPr>
            <w:tcW w:w="800" w:type="pct"/>
            <w:shd w:val="clear" w:color="auto" w:fill="auto"/>
            <w:noWrap w:val="0"/>
            <w:vAlign w:val="center"/>
          </w:tcPr>
          <w:p w14:paraId="7212CFA1">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排土场</w:t>
            </w:r>
          </w:p>
        </w:tc>
        <w:tc>
          <w:tcPr>
            <w:tcW w:w="870" w:type="pct"/>
            <w:shd w:val="clear" w:color="auto" w:fill="auto"/>
            <w:noWrap w:val="0"/>
            <w:vAlign w:val="center"/>
          </w:tcPr>
          <w:p w14:paraId="7657E5BD">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Ⅰ</w:t>
            </w:r>
            <w:r>
              <w:rPr>
                <w:rFonts w:hint="eastAsia" w:ascii="Times New Roman" w:hAnsi="Times New Roman" w:eastAsia="宋体" w:cs="Times New Roman"/>
                <w:kern w:val="2"/>
                <w:sz w:val="21"/>
                <w:szCs w:val="21"/>
                <w:highlight w:val="none"/>
                <w:lang w:val="en-US" w:eastAsia="zh-CN" w:bidi="ar-SA"/>
              </w:rPr>
              <w:t>类场</w:t>
            </w:r>
            <w:r>
              <w:rPr>
                <w:rFonts w:hint="eastAsia" w:cs="Times New Roman"/>
                <w:kern w:val="2"/>
                <w:sz w:val="21"/>
                <w:szCs w:val="21"/>
                <w:highlight w:val="none"/>
                <w:lang w:val="en-US" w:eastAsia="zh-CN" w:bidi="ar-SA"/>
              </w:rPr>
              <w:t>防渗区</w:t>
            </w:r>
          </w:p>
        </w:tc>
        <w:tc>
          <w:tcPr>
            <w:tcW w:w="2787" w:type="pct"/>
            <w:shd w:val="clear" w:color="auto" w:fill="auto"/>
            <w:noWrap w:val="0"/>
            <w:vAlign w:val="center"/>
          </w:tcPr>
          <w:p w14:paraId="73F5C9A6">
            <w:pPr>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天然岩土防渗方式</w:t>
            </w:r>
          </w:p>
        </w:tc>
      </w:tr>
      <w:tr w14:paraId="755C2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pct"/>
            <w:noWrap w:val="0"/>
            <w:vAlign w:val="center"/>
          </w:tcPr>
          <w:p w14:paraId="21C2F93E">
            <w:pPr>
              <w:spacing w:line="240" w:lineRule="auto"/>
              <w:jc w:val="center"/>
              <w:rPr>
                <w:rFonts w:ascii="Times New Roman"/>
                <w:sz w:val="21"/>
                <w:szCs w:val="21"/>
                <w:highlight w:val="none"/>
              </w:rPr>
            </w:pPr>
            <w:r>
              <w:rPr>
                <w:rFonts w:ascii="Times New Roman"/>
                <w:sz w:val="21"/>
                <w:szCs w:val="21"/>
                <w:highlight w:val="none"/>
              </w:rPr>
              <w:t>2</w:t>
            </w:r>
          </w:p>
        </w:tc>
        <w:tc>
          <w:tcPr>
            <w:tcW w:w="800" w:type="pct"/>
            <w:shd w:val="clear" w:color="auto" w:fill="auto"/>
            <w:noWrap w:val="0"/>
            <w:vAlign w:val="center"/>
          </w:tcPr>
          <w:p w14:paraId="1CCA2C01">
            <w:pPr>
              <w:spacing w:line="240" w:lineRule="auto"/>
              <w:jc w:val="center"/>
              <w:rPr>
                <w:rFonts w:hint="eastAsia" w:ascii="Times New Roman" w:hAnsi="Times New Roman" w:eastAsia="宋体" w:cs="Times New Roman"/>
                <w:kern w:val="2"/>
                <w:sz w:val="21"/>
                <w:szCs w:val="21"/>
                <w:highlight w:val="none"/>
                <w:lang w:val="en-US" w:eastAsia="zh-CN" w:bidi="ar-SA"/>
              </w:rPr>
            </w:pPr>
            <w:r>
              <w:rPr>
                <w:rFonts w:ascii="Times New Roman"/>
                <w:sz w:val="21"/>
                <w:szCs w:val="21"/>
                <w:highlight w:val="none"/>
              </w:rPr>
              <w:t>消力池</w:t>
            </w:r>
          </w:p>
        </w:tc>
        <w:tc>
          <w:tcPr>
            <w:tcW w:w="870" w:type="pct"/>
            <w:shd w:val="clear" w:color="auto" w:fill="auto"/>
            <w:noWrap w:val="0"/>
            <w:vAlign w:val="center"/>
          </w:tcPr>
          <w:p w14:paraId="37EC1A72">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一般防渗区</w:t>
            </w:r>
          </w:p>
        </w:tc>
        <w:tc>
          <w:tcPr>
            <w:tcW w:w="2787" w:type="pct"/>
            <w:shd w:val="clear" w:color="auto" w:fill="auto"/>
            <w:noWrap w:val="0"/>
            <w:vAlign w:val="center"/>
          </w:tcPr>
          <w:p w14:paraId="20810379">
            <w:pPr>
              <w:spacing w:line="240" w:lineRule="auto"/>
              <w:jc w:val="center"/>
              <w:rPr>
                <w:rFonts w:ascii="Times New Roman"/>
                <w:sz w:val="21"/>
                <w:szCs w:val="21"/>
                <w:highlight w:val="none"/>
              </w:rPr>
            </w:pPr>
            <w:r>
              <w:rPr>
                <w:rFonts w:hint="eastAsia" w:ascii="Times New Roman"/>
                <w:sz w:val="21"/>
                <w:szCs w:val="21"/>
                <w:highlight w:val="none"/>
              </w:rPr>
              <w:t>等效黏土防渗层Mb≥1.5m，或参照GB16889-2008《生活垃圾填埋场污染控制标准》中要求</w:t>
            </w:r>
          </w:p>
        </w:tc>
      </w:tr>
      <w:tr w14:paraId="2D12C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pct"/>
            <w:noWrap w:val="0"/>
            <w:vAlign w:val="center"/>
          </w:tcPr>
          <w:p w14:paraId="00BCD28E">
            <w:pPr>
              <w:spacing w:line="240" w:lineRule="auto"/>
              <w:jc w:val="center"/>
              <w:rPr>
                <w:rFonts w:hint="eastAsia" w:ascii="Times New Roman" w:eastAsia="宋体"/>
                <w:sz w:val="21"/>
                <w:szCs w:val="21"/>
                <w:highlight w:val="none"/>
                <w:lang w:val="en-US" w:eastAsia="zh-CN"/>
              </w:rPr>
            </w:pPr>
            <w:r>
              <w:rPr>
                <w:rFonts w:hint="eastAsia"/>
                <w:sz w:val="21"/>
                <w:szCs w:val="21"/>
                <w:highlight w:val="none"/>
                <w:lang w:val="en-US" w:eastAsia="zh-CN"/>
              </w:rPr>
              <w:t>3</w:t>
            </w:r>
          </w:p>
        </w:tc>
        <w:tc>
          <w:tcPr>
            <w:tcW w:w="800" w:type="pct"/>
            <w:shd w:val="clear" w:color="auto" w:fill="auto"/>
            <w:noWrap w:val="0"/>
            <w:vAlign w:val="center"/>
          </w:tcPr>
          <w:p w14:paraId="693A188A">
            <w:pPr>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运输道路等</w:t>
            </w:r>
            <w:r>
              <w:rPr>
                <w:rFonts w:ascii="Times New Roman"/>
                <w:sz w:val="21"/>
                <w:szCs w:val="21"/>
                <w:highlight w:val="none"/>
              </w:rPr>
              <w:t>其他区域</w:t>
            </w:r>
          </w:p>
        </w:tc>
        <w:tc>
          <w:tcPr>
            <w:tcW w:w="870" w:type="pct"/>
            <w:shd w:val="clear" w:color="auto" w:fill="auto"/>
            <w:noWrap w:val="0"/>
            <w:vAlign w:val="center"/>
          </w:tcPr>
          <w:p w14:paraId="57B64C37">
            <w:pPr>
              <w:spacing w:line="240" w:lineRule="auto"/>
              <w:jc w:val="center"/>
              <w:rPr>
                <w:rFonts w:ascii="Times New Roman" w:hAnsi="Times New Roman" w:eastAsia="宋体" w:cs="Times New Roman"/>
                <w:kern w:val="2"/>
                <w:sz w:val="21"/>
                <w:szCs w:val="21"/>
                <w:highlight w:val="none"/>
                <w:lang w:val="en-US" w:eastAsia="zh-CN" w:bidi="ar-SA"/>
              </w:rPr>
            </w:pPr>
            <w:r>
              <w:rPr>
                <w:rFonts w:ascii="Times New Roman"/>
                <w:sz w:val="21"/>
                <w:szCs w:val="21"/>
                <w:highlight w:val="none"/>
              </w:rPr>
              <w:t>简单防渗区</w:t>
            </w:r>
          </w:p>
        </w:tc>
        <w:tc>
          <w:tcPr>
            <w:tcW w:w="2787" w:type="pct"/>
            <w:shd w:val="clear" w:color="auto" w:fill="auto"/>
            <w:noWrap w:val="0"/>
            <w:vAlign w:val="center"/>
          </w:tcPr>
          <w:p w14:paraId="01028A04">
            <w:pPr>
              <w:spacing w:line="240" w:lineRule="auto"/>
              <w:jc w:val="center"/>
              <w:rPr>
                <w:rFonts w:ascii="Times New Roman"/>
                <w:sz w:val="21"/>
                <w:szCs w:val="21"/>
                <w:highlight w:val="none"/>
              </w:rPr>
            </w:pPr>
            <w:r>
              <w:rPr>
                <w:rFonts w:hint="eastAsia" w:ascii="Times New Roman"/>
                <w:sz w:val="21"/>
                <w:szCs w:val="21"/>
                <w:highlight w:val="none"/>
              </w:rPr>
              <w:t>一般地面硬化</w:t>
            </w:r>
          </w:p>
        </w:tc>
      </w:tr>
    </w:tbl>
    <w:p w14:paraId="1A2EDFF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szCs w:val="24"/>
          <w:highlight w:val="none"/>
        </w:rPr>
      </w:pPr>
      <w:r>
        <w:rPr>
          <w:rFonts w:hint="eastAsia" w:ascii="Times New Roman"/>
          <w:sz w:val="24"/>
          <w:szCs w:val="32"/>
          <w:highlight w:val="none"/>
        </w:rPr>
        <w:t>项目分区防渗情况如下图所示：</w:t>
      </w:r>
    </w:p>
    <w:p w14:paraId="35CD9902">
      <w:pPr>
        <w:pStyle w:val="2"/>
        <w:jc w:val="center"/>
        <w:rPr>
          <w:rFonts w:hint="eastAsia" w:eastAsia="宋体"/>
          <w:color w:val="auto"/>
          <w:highlight w:val="none"/>
          <w:lang w:eastAsia="zh-CN"/>
        </w:rPr>
      </w:pPr>
      <w:r>
        <w:rPr>
          <w:sz w:val="24"/>
          <w:highlight w:val="none"/>
        </w:rPr>
        <mc:AlternateContent>
          <mc:Choice Requires="wps">
            <w:drawing>
              <wp:anchor distT="0" distB="0" distL="114300" distR="114300" simplePos="0" relativeHeight="251671552" behindDoc="0" locked="0" layoutInCell="1" allowOverlap="1">
                <wp:simplePos x="0" y="0"/>
                <wp:positionH relativeFrom="column">
                  <wp:posOffset>3423920</wp:posOffset>
                </wp:positionH>
                <wp:positionV relativeFrom="paragraph">
                  <wp:posOffset>1467485</wp:posOffset>
                </wp:positionV>
                <wp:extent cx="1673860" cy="1139825"/>
                <wp:effectExtent l="106680" t="4445" r="17780" b="455930"/>
                <wp:wrapNone/>
                <wp:docPr id="32" name="矩形标注 32"/>
                <wp:cNvGraphicFramePr/>
                <a:graphic xmlns:a="http://schemas.openxmlformats.org/drawingml/2006/main">
                  <a:graphicData uri="http://schemas.microsoft.com/office/word/2010/wordprocessingShape">
                    <wps:wsp>
                      <wps:cNvSpPr/>
                      <wps:spPr>
                        <a:xfrm>
                          <a:off x="5020310" y="5556885"/>
                          <a:ext cx="1673860" cy="1139825"/>
                        </a:xfrm>
                        <a:prstGeom prst="wedgeRectCallout">
                          <a:avLst>
                            <a:gd name="adj1" fmla="val -56107"/>
                            <a:gd name="adj2" fmla="val 89498"/>
                          </a:avLst>
                        </a:prstGeom>
                        <a:no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40BC673">
                            <w:pPr>
                              <w:jc w:val="center"/>
                            </w:pPr>
                            <w:r>
                              <w:drawing>
                                <wp:inline distT="0" distB="0" distL="114300" distR="114300">
                                  <wp:extent cx="1598930" cy="1129665"/>
                                  <wp:effectExtent l="0" t="0" r="1270" b="1333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74"/>
                                          <a:stretch>
                                            <a:fillRect/>
                                          </a:stretch>
                                        </pic:blipFill>
                                        <pic:spPr>
                                          <a:xfrm>
                                            <a:off x="0" y="0"/>
                                            <a:ext cx="1598930" cy="112966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69.6pt;margin-top:115.55pt;height:89.75pt;width:131.8pt;z-index:251671552;v-text-anchor:middle;mso-width-relative:page;mso-height-relative:page;" filled="f" stroked="t" coordsize="21600,21600" o:gfxdata="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DAWyXz2gAAAAsBAAAPAAAAAAAAAAEAIAAAACIAAABkcnMvZG93bnJldi54&#10;bWxQSwECFAAUAAAACACHTuJA+9b6PqMCAAAhBQAADgAAAAAAAAABACAAAAApAQAAZHJzL2Uyb0Rv&#10;Yy54bWxQSwUGAAAAAAYABgBZAQAAPgYAAAAA&#10;" adj="-1319,30132">
                <v:fill on="f" focussize="0,0"/>
                <v:stroke weight="0.5pt" color="#FF0000 [2404]" joinstyle="round"/>
                <v:imagedata o:title=""/>
                <o:lock v:ext="edit" aspectratio="f"/>
                <v:textbox inset="0mm,0mm,0mm,0mm">
                  <w:txbxContent>
                    <w:p w14:paraId="240BC673">
                      <w:pPr>
                        <w:jc w:val="center"/>
                      </w:pPr>
                      <w:r>
                        <w:drawing>
                          <wp:inline distT="0" distB="0" distL="114300" distR="114300">
                            <wp:extent cx="1598930" cy="1129665"/>
                            <wp:effectExtent l="0" t="0" r="1270" b="1333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74"/>
                                    <a:stretch>
                                      <a:fillRect/>
                                    </a:stretch>
                                  </pic:blipFill>
                                  <pic:spPr>
                                    <a:xfrm>
                                      <a:off x="0" y="0"/>
                                      <a:ext cx="1598930" cy="1129665"/>
                                    </a:xfrm>
                                    <a:prstGeom prst="rect">
                                      <a:avLst/>
                                    </a:prstGeom>
                                    <a:noFill/>
                                    <a:ln>
                                      <a:noFill/>
                                    </a:ln>
                                  </pic:spPr>
                                </pic:pic>
                              </a:graphicData>
                            </a:graphic>
                          </wp:inline>
                        </w:drawing>
                      </w:r>
                    </w:p>
                  </w:txbxContent>
                </v:textbox>
              </v:shape>
            </w:pict>
          </mc:Fallback>
        </mc:AlternateContent>
      </w:r>
      <w:r>
        <w:rPr>
          <w:rFonts w:hint="eastAsia" w:eastAsia="宋体"/>
          <w:color w:val="auto"/>
          <w:highlight w:val="none"/>
          <w:lang w:eastAsia="zh-CN"/>
        </w:rPr>
        <w:drawing>
          <wp:inline distT="0" distB="0" distL="114300" distR="114300">
            <wp:extent cx="5273675" cy="3567430"/>
            <wp:effectExtent l="0" t="0" r="0" b="0"/>
            <wp:docPr id="29" name="图片 29" descr="分区防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分区防渗"/>
                    <pic:cNvPicPr>
                      <a:picLocks noChangeAspect="1"/>
                    </pic:cNvPicPr>
                  </pic:nvPicPr>
                  <pic:blipFill>
                    <a:blip r:embed="rId75"/>
                    <a:srcRect b="4309"/>
                    <a:stretch>
                      <a:fillRect/>
                    </a:stretch>
                  </pic:blipFill>
                  <pic:spPr>
                    <a:xfrm>
                      <a:off x="0" y="0"/>
                      <a:ext cx="5273675" cy="3567430"/>
                    </a:xfrm>
                    <a:prstGeom prst="rect">
                      <a:avLst/>
                    </a:prstGeom>
                  </pic:spPr>
                </pic:pic>
              </a:graphicData>
            </a:graphic>
          </wp:inline>
        </w:drawing>
      </w:r>
    </w:p>
    <w:p w14:paraId="740F9DAF">
      <w:pPr>
        <w:pStyle w:val="323"/>
        <w:keepNext w:val="0"/>
        <w:keepLines w:val="0"/>
        <w:pageBreakBefore w:val="0"/>
        <w:widowControl w:val="0"/>
        <w:numPr>
          <w:ilvl w:val="0"/>
          <w:numId w:val="25"/>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sz w:val="24"/>
          <w:szCs w:val="24"/>
          <w:highlight w:val="none"/>
        </w:rPr>
      </w:pPr>
      <w:r>
        <w:rPr>
          <w:rFonts w:hint="eastAsia" w:ascii="Times New Roman"/>
          <w:b/>
          <w:sz w:val="21"/>
          <w:highlight w:val="none"/>
        </w:rPr>
        <w:t>项目</w:t>
      </w:r>
      <w:r>
        <w:rPr>
          <w:rFonts w:ascii="Times New Roman"/>
          <w:b/>
          <w:sz w:val="21"/>
          <w:highlight w:val="none"/>
        </w:rPr>
        <w:t>分区防渗图</w:t>
      </w:r>
    </w:p>
    <w:p w14:paraId="7EC7723F">
      <w:pPr>
        <w:keepNext w:val="0"/>
        <w:keepLines w:val="0"/>
        <w:pageBreakBefore w:val="0"/>
        <w:widowControl w:val="0"/>
        <w:kinsoku/>
        <w:wordWrap/>
        <w:overflowPunct/>
        <w:topLinePunct w:val="0"/>
        <w:bidi w:val="0"/>
        <w:snapToGrid/>
        <w:spacing w:line="360" w:lineRule="auto"/>
        <w:ind w:firstLine="482" w:firstLineChars="200"/>
        <w:textAlignment w:val="auto"/>
        <w:rPr>
          <w:rFonts w:hint="eastAsia" w:eastAsia="宋体"/>
          <w:b/>
          <w:bCs/>
          <w:sz w:val="24"/>
          <w:szCs w:val="24"/>
          <w:highlight w:val="none"/>
          <w:lang w:eastAsia="zh-CN"/>
        </w:rPr>
      </w:pPr>
      <w:r>
        <w:rPr>
          <w:rFonts w:hint="eastAsia"/>
          <w:b/>
          <w:bCs/>
          <w:sz w:val="24"/>
          <w:szCs w:val="24"/>
          <w:highlight w:val="none"/>
          <w:lang w:eastAsia="zh-CN"/>
        </w:rPr>
        <w:t>（</w:t>
      </w:r>
      <w:r>
        <w:rPr>
          <w:rFonts w:hint="eastAsia"/>
          <w:b/>
          <w:bCs/>
          <w:sz w:val="24"/>
          <w:szCs w:val="24"/>
          <w:highlight w:val="none"/>
          <w:lang w:val="en-US" w:eastAsia="zh-CN"/>
        </w:rPr>
        <w:t>3</w:t>
      </w:r>
      <w:r>
        <w:rPr>
          <w:rFonts w:hint="eastAsia"/>
          <w:b/>
          <w:bCs/>
          <w:sz w:val="24"/>
          <w:szCs w:val="24"/>
          <w:highlight w:val="none"/>
          <w:lang w:eastAsia="zh-CN"/>
        </w:rPr>
        <w:t>）</w:t>
      </w:r>
      <w:r>
        <w:rPr>
          <w:rFonts w:ascii="Times New Roman"/>
          <w:b/>
          <w:bCs/>
          <w:sz w:val="24"/>
          <w:szCs w:val="24"/>
          <w:highlight w:val="none"/>
        </w:rPr>
        <w:t>地下水跟踪监测</w:t>
      </w:r>
    </w:p>
    <w:p w14:paraId="4FCB6996">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rPr>
      </w:pPr>
      <w:r>
        <w:rPr>
          <w:rFonts w:hint="eastAsia"/>
          <w:sz w:val="24"/>
          <w:szCs w:val="24"/>
          <w:highlight w:val="none"/>
        </w:rPr>
        <w:t>企业设立地下水动态监测小组，负责对地下水环境监测和管理，或者委托有资质的单位完成。建立有关规章制度和岗位责任制。制定环境监管计划，完善监测制度，配备先进的检测仪器和设备。项目主要监测对象为潜水含水层</w:t>
      </w:r>
      <w:r>
        <w:rPr>
          <w:rFonts w:hint="eastAsia"/>
          <w:sz w:val="24"/>
          <w:szCs w:val="24"/>
          <w:highlight w:val="none"/>
          <w:lang w:eastAsia="zh-CN"/>
        </w:rPr>
        <w:t>，</w:t>
      </w:r>
      <w:r>
        <w:rPr>
          <w:rFonts w:hint="eastAsia"/>
          <w:sz w:val="24"/>
          <w:szCs w:val="24"/>
          <w:highlight w:val="none"/>
        </w:rPr>
        <w:t>对各个池子污水运行状况，跑、冒、滴、漏情况和维修情况也要按时做好记录。</w:t>
      </w:r>
    </w:p>
    <w:p w14:paraId="4559955D">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rPr>
        <w:t>根据《环境影响评价技术导则 地下水环境》（HJ610-2016）中相关要求，一、二级评价的建设项目，跟踪监测点数一般不少于3个，应至少在建设项目场地及其上、下游各布设1个</w:t>
      </w:r>
      <w:r>
        <w:rPr>
          <w:rFonts w:hint="eastAsia"/>
          <w:sz w:val="24"/>
          <w:szCs w:val="24"/>
          <w:highlight w:val="none"/>
          <w:lang w:eastAsia="zh-CN"/>
        </w:rPr>
        <w:t>。</w:t>
      </w:r>
      <w:r>
        <w:rPr>
          <w:rFonts w:hint="eastAsia"/>
          <w:sz w:val="24"/>
          <w:szCs w:val="24"/>
          <w:highlight w:val="none"/>
        </w:rPr>
        <w:t>本项目共设置</w:t>
      </w:r>
      <w:r>
        <w:rPr>
          <w:rFonts w:hint="eastAsia"/>
          <w:sz w:val="24"/>
          <w:szCs w:val="24"/>
          <w:highlight w:val="none"/>
          <w:lang w:val="en-US" w:eastAsia="zh-CN"/>
        </w:rPr>
        <w:t>3</w:t>
      </w:r>
      <w:r>
        <w:rPr>
          <w:rFonts w:hint="eastAsia"/>
          <w:sz w:val="24"/>
          <w:szCs w:val="24"/>
          <w:highlight w:val="none"/>
        </w:rPr>
        <w:t>个监测井</w:t>
      </w:r>
      <w:r>
        <w:rPr>
          <w:rFonts w:hint="eastAsia"/>
          <w:sz w:val="24"/>
          <w:szCs w:val="24"/>
          <w:highlight w:val="none"/>
          <w:lang w:eastAsia="zh-CN"/>
        </w:rPr>
        <w:t>。</w:t>
      </w:r>
      <w:r>
        <w:rPr>
          <w:rFonts w:hint="eastAsia"/>
          <w:sz w:val="24"/>
          <w:szCs w:val="24"/>
          <w:highlight w:val="none"/>
          <w:lang w:val="en-US" w:eastAsia="zh-CN"/>
        </w:rPr>
        <w:t>本项目排土场下游紧邻现有尾矿库，地下水污染监测井分别位于排土场消力池下游</w:t>
      </w:r>
      <w:r>
        <w:rPr>
          <w:rFonts w:hint="eastAsia"/>
          <w:sz w:val="24"/>
          <w:szCs w:val="24"/>
          <w:highlight w:val="none"/>
          <w:lang w:eastAsia="zh-CN"/>
        </w:rPr>
        <w:t>、</w:t>
      </w:r>
      <w:r>
        <w:rPr>
          <w:rFonts w:hint="eastAsia"/>
          <w:sz w:val="24"/>
          <w:szCs w:val="24"/>
          <w:highlight w:val="none"/>
          <w:lang w:val="en-US" w:eastAsia="zh-CN"/>
        </w:rPr>
        <w:t>排土场沟口上游、东兴村</w:t>
      </w:r>
      <w:r>
        <w:rPr>
          <w:rFonts w:hint="eastAsia"/>
          <w:sz w:val="24"/>
          <w:szCs w:val="24"/>
          <w:highlight w:val="none"/>
        </w:rPr>
        <w:t>。监测井</w:t>
      </w:r>
      <w:r>
        <w:rPr>
          <w:rFonts w:hint="eastAsia"/>
          <w:sz w:val="24"/>
          <w:szCs w:val="24"/>
          <w:highlight w:val="none"/>
          <w:lang w:val="en-US" w:eastAsia="zh-CN"/>
        </w:rPr>
        <w:t>点位详见下图。</w:t>
      </w:r>
    </w:p>
    <w:p w14:paraId="226666C1">
      <w:pPr>
        <w:keepNext w:val="0"/>
        <w:keepLines w:val="0"/>
        <w:pageBreakBefore w:val="0"/>
        <w:widowControl w:val="0"/>
        <w:kinsoku/>
        <w:wordWrap/>
        <w:overflowPunct/>
        <w:topLinePunct w:val="0"/>
        <w:bidi w:val="0"/>
        <w:snapToGrid/>
        <w:spacing w:line="360" w:lineRule="auto"/>
        <w:jc w:val="center"/>
        <w:textAlignment w:val="auto"/>
        <w:rPr>
          <w:rFonts w:hint="eastAsia"/>
          <w:sz w:val="24"/>
          <w:szCs w:val="24"/>
          <w:highlight w:val="none"/>
          <w:lang w:val="en-US" w:eastAsia="zh-CN"/>
        </w:rPr>
      </w:pPr>
      <w:r>
        <w:rPr>
          <w:highlight w:val="none"/>
        </w:rPr>
        <w:drawing>
          <wp:inline distT="0" distB="0" distL="114300" distR="114300">
            <wp:extent cx="5273675" cy="2738755"/>
            <wp:effectExtent l="0" t="0" r="14605" b="444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76"/>
                    <a:stretch>
                      <a:fillRect/>
                    </a:stretch>
                  </pic:blipFill>
                  <pic:spPr>
                    <a:xfrm>
                      <a:off x="0" y="0"/>
                      <a:ext cx="5273675" cy="2738755"/>
                    </a:xfrm>
                    <a:prstGeom prst="rect">
                      <a:avLst/>
                    </a:prstGeom>
                    <a:noFill/>
                    <a:ln>
                      <a:noFill/>
                    </a:ln>
                  </pic:spPr>
                </pic:pic>
              </a:graphicData>
            </a:graphic>
          </wp:inline>
        </w:drawing>
      </w:r>
    </w:p>
    <w:p w14:paraId="4C506EDD">
      <w:pPr>
        <w:pStyle w:val="323"/>
        <w:keepNext w:val="0"/>
        <w:keepLines w:val="0"/>
        <w:pageBreakBefore w:val="0"/>
        <w:widowControl w:val="0"/>
        <w:numPr>
          <w:ilvl w:val="0"/>
          <w:numId w:val="25"/>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地下水跟踪监测井位置示意图</w:t>
      </w:r>
    </w:p>
    <w:p w14:paraId="09E77C5B">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①监测因子</w:t>
      </w:r>
    </w:p>
    <w:p w14:paraId="177B7DA1">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基本因子：色度、嗅和味、浑浊度、肉眼可见物、pH、总硬度、溶解性总固体、硫酸盐、氯化物、铜、锌、铝、挥发性酚类、阴离子表面活性剂、氨氮、硫化物、钠、总大肠菌群数、细菌总数、亚硝酸盐 (以N计) 、硝酸盐(以N计)、氰化物、氟化物、碘化物、砷、硒、镉、六价铬、铅、三氯甲烷、四氯化碳、苯、甲苯。</w:t>
      </w:r>
    </w:p>
    <w:p w14:paraId="6B6C1E5C">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特征指标：铁、耗氧量。</w:t>
      </w:r>
    </w:p>
    <w:p w14:paraId="12F11CF3">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②监测频率</w:t>
      </w:r>
    </w:p>
    <w:p w14:paraId="0EA52936">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根据</w:t>
      </w:r>
      <w:r>
        <w:rPr>
          <w:rFonts w:hint="eastAsia" w:cs="Times New Roman"/>
          <w:sz w:val="24"/>
          <w:szCs w:val="24"/>
          <w:highlight w:val="none"/>
          <w:lang w:eastAsia="zh-CN"/>
        </w:rPr>
        <w:t>《一般工业固体废物贮存和填埋污染控制标准》（GB18599-2020）</w:t>
      </w:r>
      <w:r>
        <w:rPr>
          <w:rFonts w:hint="eastAsia"/>
          <w:sz w:val="24"/>
          <w:szCs w:val="24"/>
          <w:highlight w:val="none"/>
          <w:lang w:val="en-US" w:eastAsia="zh-CN"/>
        </w:rPr>
        <w:t>要求，运行期间，企业自行监测频次至少每季度1次，每两次监测之间间隔不少于1个月；封场后，地下水监测系统应继续正常运行，监测频次至少每半年1次，直到地下水水质连续2年不超出地下水本底水平。</w:t>
      </w:r>
    </w:p>
    <w:p w14:paraId="187F3AD7">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结合项目特点，运营期每季度监测1次；服务期满后每半年监测1次，直到地下水水质连续2年不超出地下水本底水平。</w:t>
      </w:r>
    </w:p>
    <w:p w14:paraId="049A14EF">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监测结果应按相关规定及时建立档案，并定期向所在地环境保护行政主管部门汇报。公开建设项目特征因子的地下水环境监测值。如发现异常或发生事故，应加密监测频次，并分析污染原因，及时采取相应措施。</w:t>
      </w:r>
    </w:p>
    <w:p w14:paraId="30AE98C7">
      <w:pPr>
        <w:keepNext w:val="0"/>
        <w:keepLines w:val="0"/>
        <w:pageBreakBefore w:val="0"/>
        <w:kinsoku/>
        <w:wordWrap/>
        <w:overflowPunct/>
        <w:topLinePunct w:val="0"/>
        <w:autoSpaceDE/>
        <w:autoSpaceDN/>
        <w:bidi w:val="0"/>
        <w:adjustRightInd/>
        <w:snapToGrid/>
        <w:spacing w:line="360" w:lineRule="auto"/>
        <w:ind w:firstLine="482"/>
        <w:textAlignment w:val="auto"/>
        <w:rPr>
          <w:rFonts w:ascii="Times New Roman"/>
          <w:b/>
          <w:sz w:val="24"/>
          <w:szCs w:val="24"/>
          <w:highlight w:val="none"/>
        </w:rPr>
      </w:pPr>
      <w:r>
        <w:rPr>
          <w:rFonts w:ascii="Times New Roman"/>
          <w:b/>
          <w:sz w:val="24"/>
          <w:szCs w:val="24"/>
          <w:highlight w:val="none"/>
        </w:rPr>
        <w:t>（4）地下水监测井维护和管理要求</w:t>
      </w:r>
    </w:p>
    <w:p w14:paraId="187F494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①对每个监测井建立环境监测井基本情况表，监测井的撤销、变更情况应记入原监测 井的基本情况表内，新换监测井应重新建立环境监测井基本情况表。 每年应指派专人对监测井的设施进行维护，设施一经损坏，必须及时修复。</w:t>
      </w:r>
    </w:p>
    <w:p w14:paraId="1E6CA2B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②每年测量监测井井深一次，当监测井内淤积物淤没滤水管，应及时清淤。</w:t>
      </w:r>
    </w:p>
    <w:p w14:paraId="4693FAA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③每2年对监测井进行一次透水灵敏度试验。当向井内注入灌水段1m井管容积的水量，水位复原时间超过15min时，应进行洗井。</w:t>
      </w:r>
    </w:p>
    <w:p w14:paraId="43A14E9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④井口固定点标志和孔口保护帽等发生移位或损坏时，必须及时修复。</w:t>
      </w:r>
    </w:p>
    <w:p w14:paraId="570C9280">
      <w:pPr>
        <w:keepNext w:val="0"/>
        <w:keepLines w:val="0"/>
        <w:pageBreakBefore w:val="0"/>
        <w:kinsoku/>
        <w:wordWrap/>
        <w:overflowPunct/>
        <w:topLinePunct w:val="0"/>
        <w:autoSpaceDE/>
        <w:autoSpaceDN/>
        <w:bidi w:val="0"/>
        <w:adjustRightInd/>
        <w:snapToGrid/>
        <w:spacing w:line="360" w:lineRule="auto"/>
        <w:ind w:firstLine="482"/>
        <w:textAlignment w:val="auto"/>
        <w:rPr>
          <w:rFonts w:ascii="Times New Roman"/>
          <w:b/>
          <w:sz w:val="24"/>
          <w:szCs w:val="24"/>
          <w:highlight w:val="none"/>
        </w:rPr>
      </w:pPr>
      <w:r>
        <w:rPr>
          <w:rFonts w:ascii="Times New Roman"/>
          <w:b/>
          <w:sz w:val="24"/>
          <w:szCs w:val="24"/>
          <w:highlight w:val="none"/>
        </w:rPr>
        <w:t>（5）应急响应</w:t>
      </w:r>
    </w:p>
    <w:p w14:paraId="3DB1A48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①应急响应程序</w:t>
      </w:r>
    </w:p>
    <w:p w14:paraId="226D84E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制定风险事故应急预案的目的是为了在发生风险事故时，能以最快的速度发挥最大的效能，有序地实施救援，尽快控制事态的发展，降低事故对潜水含水层的污染。针对应急工作需要，参照相关技术导则，结合地下水污染治理的技术特点，制定地下水污染应急治理程序。</w:t>
      </w:r>
    </w:p>
    <w:p w14:paraId="4153AA79">
      <w:pPr>
        <w:ind w:firstLine="400"/>
        <w:jc w:val="center"/>
        <w:rPr>
          <w:rFonts w:ascii="Times New Roman"/>
          <w:highlight w:val="none"/>
        </w:rPr>
      </w:pPr>
      <w:r>
        <w:rPr>
          <w:rFonts w:ascii="Times New Roman"/>
          <w:sz w:val="20"/>
          <w:highlight w:val="none"/>
        </w:rPr>
        <w:drawing>
          <wp:inline distT="0" distB="0" distL="114300" distR="114300">
            <wp:extent cx="3324860" cy="3136900"/>
            <wp:effectExtent l="0" t="0" r="12700" b="254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77"/>
                    <a:stretch>
                      <a:fillRect/>
                    </a:stretch>
                  </pic:blipFill>
                  <pic:spPr>
                    <a:xfrm>
                      <a:off x="0" y="0"/>
                      <a:ext cx="3324860" cy="3136900"/>
                    </a:xfrm>
                    <a:prstGeom prst="rect">
                      <a:avLst/>
                    </a:prstGeom>
                    <a:noFill/>
                    <a:ln>
                      <a:noFill/>
                    </a:ln>
                  </pic:spPr>
                </pic:pic>
              </a:graphicData>
            </a:graphic>
          </wp:inline>
        </w:drawing>
      </w:r>
    </w:p>
    <w:p w14:paraId="1F9B1E1F">
      <w:pPr>
        <w:pStyle w:val="323"/>
        <w:keepNext w:val="0"/>
        <w:keepLines w:val="0"/>
        <w:pageBreakBefore w:val="0"/>
        <w:widowControl w:val="0"/>
        <w:numPr>
          <w:ilvl w:val="0"/>
          <w:numId w:val="25"/>
        </w:numPr>
        <w:kinsoku/>
        <w:wordWrap/>
        <w:overflowPunct/>
        <w:topLinePunct w:val="0"/>
        <w:autoSpaceDE/>
        <w:autoSpaceDN/>
        <w:bidi w:val="0"/>
        <w:adjustRightInd w:val="0"/>
        <w:snapToGrid w:val="0"/>
        <w:spacing w:line="360" w:lineRule="auto"/>
        <w:ind w:left="0" w:leftChars="0" w:firstLine="0" w:firstLineChars="0"/>
        <w:jc w:val="center"/>
        <w:textAlignment w:val="auto"/>
        <w:rPr>
          <w:rFonts w:ascii="Times New Roman"/>
          <w:b/>
          <w:sz w:val="21"/>
          <w:szCs w:val="21"/>
          <w:highlight w:val="none"/>
        </w:rPr>
      </w:pPr>
      <w:r>
        <w:rPr>
          <w:rFonts w:ascii="Times New Roman"/>
          <w:b/>
          <w:sz w:val="21"/>
          <w:szCs w:val="21"/>
          <w:highlight w:val="none"/>
        </w:rPr>
        <w:t>地下水污染应急响应程序图</w:t>
      </w:r>
    </w:p>
    <w:p w14:paraId="0C824A9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②应急措施</w:t>
      </w:r>
    </w:p>
    <w:p w14:paraId="7462FBE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a. 一旦发生地下水污染事故，应立即启动应急预案；</w:t>
      </w:r>
    </w:p>
    <w:p w14:paraId="6FCD856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b. 查明并切断污染源，估算泄露量；</w:t>
      </w:r>
    </w:p>
    <w:p w14:paraId="2B4E393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c. 探明地下水污染深度、范围和污染程度；</w:t>
      </w:r>
    </w:p>
    <w:p w14:paraId="63DBBD4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d. 依据探明的地下水污染情况，在紧邻泄露点的位置布置截渗井，局部抽排地下水；</w:t>
      </w:r>
    </w:p>
    <w:p w14:paraId="4923735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e. 依据抽水设计方案进行施工，抽取被污染的地下水体，并依据井孔出水情 况进行调整，使地下水形成局部降落漏斗，以免对周围地下水产生影响，并采取地下水样品送实验室进行化验分析；</w:t>
      </w:r>
    </w:p>
    <w:p w14:paraId="5A1AE78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sz w:val="24"/>
          <w:szCs w:val="24"/>
          <w:highlight w:val="none"/>
        </w:rPr>
      </w:pPr>
      <w:r>
        <w:rPr>
          <w:rFonts w:ascii="Times New Roman"/>
          <w:sz w:val="24"/>
          <w:szCs w:val="24"/>
          <w:highlight w:val="none"/>
        </w:rPr>
        <w:t>f. 风险事故发生后，还要及时进行土壤污染情况调查，并开展有效的土壤修复治理工作。</w:t>
      </w:r>
    </w:p>
    <w:p w14:paraId="6C2A364D">
      <w:pPr>
        <w:pStyle w:val="6"/>
        <w:rPr>
          <w:rFonts w:hint="default" w:ascii="Times New Roman" w:hAnsi="Times New Roman" w:cs="Times New Roman"/>
          <w:color w:val="000000"/>
          <w:highlight w:val="none"/>
        </w:rPr>
      </w:pPr>
      <w:bookmarkStart w:id="320" w:name="_Toc24852"/>
      <w:r>
        <w:rPr>
          <w:rFonts w:hint="default" w:ascii="Times New Roman" w:hAnsi="Times New Roman" w:cs="Times New Roman"/>
          <w:color w:val="000000"/>
          <w:highlight w:val="none"/>
        </w:rPr>
        <w:t>生产运行阶段声环境影响预测与评价</w:t>
      </w:r>
      <w:bookmarkEnd w:id="320"/>
    </w:p>
    <w:p w14:paraId="2C7125C3">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5.2.4.1噪声源</w:t>
      </w:r>
      <w:r>
        <w:rPr>
          <w:rFonts w:hint="eastAsia" w:ascii="Times New Roman" w:hAnsi="Times New Roman" w:eastAsia="宋体" w:cs="Times New Roman"/>
          <w:b/>
          <w:sz w:val="24"/>
          <w:szCs w:val="24"/>
          <w:highlight w:val="none"/>
          <w:lang w:val="en-US" w:eastAsia="zh-CN"/>
        </w:rPr>
        <w:t>分析</w:t>
      </w:r>
    </w:p>
    <w:p w14:paraId="168D07B9">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sz w:val="24"/>
          <w:szCs w:val="22"/>
          <w:highlight w:val="none"/>
          <w:lang w:eastAsia="zh-CN"/>
        </w:rPr>
      </w:pPr>
      <w:r>
        <w:rPr>
          <w:rFonts w:hint="default" w:ascii="Times New Roman" w:hAnsi="Times New Roman" w:cs="Times New Roman"/>
          <w:sz w:val="24"/>
          <w:szCs w:val="22"/>
          <w:highlight w:val="none"/>
        </w:rPr>
        <w:t>本项目</w:t>
      </w:r>
      <w:r>
        <w:rPr>
          <w:rFonts w:hint="eastAsia" w:ascii="Times New Roman" w:hAnsi="Times New Roman" w:cs="Times New Roman"/>
          <w:sz w:val="24"/>
          <w:szCs w:val="22"/>
          <w:highlight w:val="none"/>
          <w:lang w:val="en-US" w:eastAsia="zh-CN"/>
        </w:rPr>
        <w:t>生产运行阶段</w:t>
      </w:r>
      <w:r>
        <w:rPr>
          <w:rFonts w:hint="default" w:ascii="Times New Roman" w:hAnsi="Times New Roman" w:cs="Times New Roman"/>
          <w:sz w:val="24"/>
          <w:szCs w:val="22"/>
          <w:highlight w:val="none"/>
        </w:rPr>
        <w:t>噪声源主要包括</w:t>
      </w:r>
      <w:r>
        <w:rPr>
          <w:rFonts w:hint="eastAsia" w:ascii="Times New Roman" w:hAnsi="Times New Roman" w:cs="Times New Roman"/>
          <w:spacing w:val="-6"/>
          <w:sz w:val="24"/>
          <w:szCs w:val="32"/>
          <w:highlight w:val="none"/>
          <w:lang w:val="en-US" w:eastAsia="zh-CN"/>
        </w:rPr>
        <w:t>装载机</w:t>
      </w:r>
      <w:r>
        <w:rPr>
          <w:rFonts w:hint="default" w:ascii="Times New Roman" w:hAnsi="Times New Roman" w:cs="Times New Roman"/>
          <w:spacing w:val="-6"/>
          <w:sz w:val="24"/>
          <w:szCs w:val="32"/>
          <w:highlight w:val="none"/>
        </w:rPr>
        <w:t>、压实机、运输车辆</w:t>
      </w:r>
      <w:r>
        <w:rPr>
          <w:rFonts w:hint="default" w:ascii="Times New Roman" w:hAnsi="Times New Roman" w:cs="Times New Roman"/>
          <w:sz w:val="24"/>
          <w:szCs w:val="22"/>
          <w:highlight w:val="none"/>
        </w:rPr>
        <w:t>等，其噪声源强</w:t>
      </w:r>
      <w:r>
        <w:rPr>
          <w:rFonts w:hint="eastAsia" w:ascii="Times New Roman" w:hAnsi="Times New Roman" w:cs="Times New Roman"/>
          <w:sz w:val="24"/>
          <w:szCs w:val="22"/>
          <w:highlight w:val="none"/>
          <w:lang w:val="en-US" w:eastAsia="zh-CN"/>
        </w:rPr>
        <w:t>为80-85</w:t>
      </w:r>
      <w:r>
        <w:rPr>
          <w:rFonts w:hint="default" w:ascii="Times New Roman" w:hAnsi="Times New Roman" w:cs="Times New Roman"/>
          <w:sz w:val="24"/>
          <w:szCs w:val="22"/>
          <w:highlight w:val="none"/>
        </w:rPr>
        <w:t>dB</w:t>
      </w:r>
      <w:r>
        <w:rPr>
          <w:rFonts w:hint="eastAsia" w:ascii="Times New Roman" w:hAnsi="Times New Roman" w:cs="Times New Roman"/>
          <w:sz w:val="24"/>
          <w:szCs w:val="22"/>
          <w:highlight w:val="none"/>
          <w:lang w:eastAsia="zh-CN"/>
        </w:rPr>
        <w:t>，</w:t>
      </w:r>
      <w:r>
        <w:rPr>
          <w:rFonts w:hint="eastAsia" w:ascii="Times New Roman" w:hAnsi="Times New Roman" w:cs="Times New Roman"/>
          <w:sz w:val="24"/>
          <w:szCs w:val="22"/>
          <w:highlight w:val="none"/>
          <w:lang w:val="en-US" w:eastAsia="zh-CN"/>
        </w:rPr>
        <w:t>均为室外声源</w:t>
      </w:r>
      <w:r>
        <w:rPr>
          <w:rFonts w:hint="default" w:ascii="Times New Roman" w:hAnsi="Times New Roman" w:cs="Times New Roman"/>
          <w:sz w:val="24"/>
          <w:szCs w:val="22"/>
          <w:highlight w:val="none"/>
        </w:rPr>
        <w:t>。</w:t>
      </w:r>
      <w:r>
        <w:rPr>
          <w:rFonts w:hint="eastAsia" w:ascii="Times New Roman" w:hAnsi="Times New Roman" w:cs="Times New Roman"/>
          <w:sz w:val="24"/>
          <w:szCs w:val="22"/>
          <w:highlight w:val="none"/>
          <w:lang w:val="en-US" w:eastAsia="zh-CN"/>
        </w:rPr>
        <w:t>本项目</w:t>
      </w:r>
      <w:r>
        <w:rPr>
          <w:rFonts w:hint="default" w:ascii="Times New Roman" w:hAnsi="Times New Roman" w:cs="Times New Roman"/>
          <w:sz w:val="24"/>
          <w:szCs w:val="22"/>
          <w:highlight w:val="none"/>
        </w:rPr>
        <w:t>主要噪声源、声源源强、治理措施及治理效果见下表</w:t>
      </w:r>
      <w:r>
        <w:rPr>
          <w:rFonts w:hint="eastAsia" w:ascii="Times New Roman" w:hAnsi="Times New Roman" w:cs="Times New Roman"/>
          <w:sz w:val="24"/>
          <w:szCs w:val="22"/>
          <w:highlight w:val="none"/>
          <w:lang w:eastAsia="zh-CN"/>
        </w:rPr>
        <w:t>。</w:t>
      </w:r>
    </w:p>
    <w:p w14:paraId="3B9086C1">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cs="Times New Roman"/>
          <w:color w:val="000000"/>
          <w:sz w:val="24"/>
          <w:highlight w:val="none"/>
          <w:lang w:eastAsia="zh-CN"/>
        </w:rPr>
      </w:pPr>
      <w:r>
        <w:rPr>
          <w:rStyle w:val="66"/>
          <w:rFonts w:hint="default" w:ascii="Times New Roman" w:hAnsi="Times New Roman" w:cs="Times New Roman"/>
          <w:color w:val="000000"/>
          <w:highlight w:val="none"/>
        </w:rPr>
        <w:t>项目</w:t>
      </w:r>
      <w:r>
        <w:rPr>
          <w:rStyle w:val="66"/>
          <w:rFonts w:hint="eastAsia" w:cs="Times New Roman"/>
          <w:color w:val="000000"/>
          <w:highlight w:val="none"/>
          <w:lang w:val="en-US" w:eastAsia="zh-CN"/>
        </w:rPr>
        <w:t>噪声源强调查清单</w:t>
      </w:r>
      <w:r>
        <w:rPr>
          <w:rStyle w:val="66"/>
          <w:rFonts w:hint="eastAsia" w:cs="Times New Roman"/>
          <w:color w:val="000000"/>
          <w:highlight w:val="none"/>
          <w:lang w:eastAsia="zh-CN"/>
        </w:rPr>
        <w:t>（</w:t>
      </w:r>
      <w:r>
        <w:rPr>
          <w:rStyle w:val="66"/>
          <w:rFonts w:hint="eastAsia" w:cs="Times New Roman"/>
          <w:color w:val="000000"/>
          <w:highlight w:val="none"/>
          <w:lang w:val="en-US" w:eastAsia="zh-CN"/>
        </w:rPr>
        <w:t>室外声源</w:t>
      </w:r>
      <w:r>
        <w:rPr>
          <w:rStyle w:val="66"/>
          <w:rFonts w:hint="eastAsia" w:cs="Times New Roman"/>
          <w:color w:val="000000"/>
          <w:highlight w:val="none"/>
          <w:lang w:eastAsia="zh-CN"/>
        </w:rPr>
        <w:t>）</w:t>
      </w:r>
    </w:p>
    <w:tbl>
      <w:tblPr>
        <w:tblStyle w:val="58"/>
        <w:tblW w:w="507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35"/>
        <w:gridCol w:w="1503"/>
        <w:gridCol w:w="724"/>
        <w:gridCol w:w="906"/>
        <w:gridCol w:w="883"/>
        <w:gridCol w:w="666"/>
        <w:gridCol w:w="1312"/>
        <w:gridCol w:w="1025"/>
        <w:gridCol w:w="994"/>
      </w:tblGrid>
      <w:tr w14:paraId="7DCECE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7" w:type="pct"/>
            <w:vMerge w:val="restart"/>
            <w:tcBorders>
              <w:tl2br w:val="nil"/>
              <w:tr2bl w:val="nil"/>
            </w:tcBorders>
            <w:vAlign w:val="center"/>
          </w:tcPr>
          <w:p w14:paraId="2607E35A">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r>
              <w:rPr>
                <w:rFonts w:hint="default" w:ascii="Times New Roman" w:hAnsi="Times New Roman" w:eastAsia="宋体" w:cs="Times New Roman"/>
                <w:b/>
                <w:bCs/>
                <w:spacing w:val="-20"/>
                <w:sz w:val="21"/>
                <w:szCs w:val="21"/>
                <w:highlight w:val="none"/>
              </w:rPr>
              <w:t>序号</w:t>
            </w:r>
          </w:p>
        </w:tc>
        <w:tc>
          <w:tcPr>
            <w:tcW w:w="889" w:type="pct"/>
            <w:vMerge w:val="restart"/>
            <w:tcBorders>
              <w:tl2br w:val="nil"/>
              <w:tr2bl w:val="nil"/>
            </w:tcBorders>
            <w:vAlign w:val="center"/>
          </w:tcPr>
          <w:p w14:paraId="525FFA8F">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r>
              <w:rPr>
                <w:rFonts w:hint="default" w:ascii="Times New Roman" w:hAnsi="Times New Roman" w:eastAsia="宋体" w:cs="Times New Roman"/>
                <w:b/>
                <w:bCs/>
                <w:spacing w:val="-20"/>
                <w:sz w:val="21"/>
                <w:szCs w:val="21"/>
                <w:highlight w:val="none"/>
              </w:rPr>
              <w:t>声源名称</w:t>
            </w:r>
          </w:p>
        </w:tc>
        <w:tc>
          <w:tcPr>
            <w:tcW w:w="428" w:type="pct"/>
            <w:vMerge w:val="restart"/>
            <w:tcBorders>
              <w:tl2br w:val="nil"/>
              <w:tr2bl w:val="nil"/>
            </w:tcBorders>
            <w:vAlign w:val="center"/>
          </w:tcPr>
          <w:p w14:paraId="33E3ADE6">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r>
              <w:rPr>
                <w:rFonts w:hint="default" w:ascii="Times New Roman" w:hAnsi="Times New Roman" w:eastAsia="宋体" w:cs="Times New Roman"/>
                <w:b/>
                <w:bCs/>
                <w:spacing w:val="-20"/>
                <w:sz w:val="21"/>
                <w:szCs w:val="21"/>
                <w:highlight w:val="none"/>
              </w:rPr>
              <w:t>型号</w:t>
            </w:r>
          </w:p>
        </w:tc>
        <w:tc>
          <w:tcPr>
            <w:tcW w:w="1452" w:type="pct"/>
            <w:gridSpan w:val="3"/>
            <w:tcBorders>
              <w:tl2br w:val="nil"/>
              <w:tr2bl w:val="nil"/>
            </w:tcBorders>
            <w:vAlign w:val="center"/>
          </w:tcPr>
          <w:p w14:paraId="70DF8FF0">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b/>
                <w:bCs/>
                <w:spacing w:val="-20"/>
                <w:kern w:val="0"/>
                <w:sz w:val="21"/>
                <w:szCs w:val="21"/>
                <w:highlight w:val="none"/>
                <w:lang w:val="en-US" w:eastAsia="zh-CN" w:bidi="ar-SA"/>
              </w:rPr>
            </w:pPr>
            <w:r>
              <w:rPr>
                <w:rFonts w:hint="default" w:ascii="Times New Roman" w:hAnsi="Times New Roman" w:eastAsia="宋体" w:cs="Times New Roman"/>
                <w:b/>
                <w:bCs/>
                <w:spacing w:val="-20"/>
                <w:sz w:val="21"/>
                <w:szCs w:val="21"/>
                <w:highlight w:val="none"/>
              </w:rPr>
              <w:t>空间相对位置/m</w:t>
            </w:r>
          </w:p>
        </w:tc>
        <w:tc>
          <w:tcPr>
            <w:tcW w:w="776" w:type="pct"/>
            <w:tcBorders>
              <w:tl2br w:val="nil"/>
              <w:tr2bl w:val="nil"/>
            </w:tcBorders>
            <w:vAlign w:val="center"/>
          </w:tcPr>
          <w:p w14:paraId="16A22D6A">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lang w:val="en-US" w:eastAsia="zh-CN"/>
              </w:rPr>
            </w:pPr>
            <w:r>
              <w:rPr>
                <w:rFonts w:hint="eastAsia" w:eastAsia="宋体" w:cs="Times New Roman"/>
                <w:b/>
                <w:bCs/>
                <w:spacing w:val="-20"/>
                <w:sz w:val="21"/>
                <w:szCs w:val="21"/>
                <w:highlight w:val="none"/>
                <w:lang w:val="en-US" w:eastAsia="zh-CN"/>
              </w:rPr>
              <w:t>声源源强</w:t>
            </w:r>
          </w:p>
        </w:tc>
        <w:tc>
          <w:tcPr>
            <w:tcW w:w="606" w:type="pct"/>
            <w:vMerge w:val="restart"/>
            <w:tcBorders>
              <w:tl2br w:val="nil"/>
              <w:tr2bl w:val="nil"/>
            </w:tcBorders>
            <w:vAlign w:val="center"/>
          </w:tcPr>
          <w:p w14:paraId="6BB2E098">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r>
              <w:rPr>
                <w:rFonts w:hint="default" w:ascii="Times New Roman" w:hAnsi="Times New Roman" w:eastAsia="宋体" w:cs="Times New Roman"/>
                <w:b/>
                <w:bCs/>
                <w:spacing w:val="-20"/>
                <w:sz w:val="21"/>
                <w:szCs w:val="21"/>
                <w:highlight w:val="none"/>
              </w:rPr>
              <w:t>声源控制措施</w:t>
            </w:r>
          </w:p>
        </w:tc>
        <w:tc>
          <w:tcPr>
            <w:tcW w:w="588" w:type="pct"/>
            <w:vMerge w:val="restart"/>
            <w:tcBorders>
              <w:tl2br w:val="nil"/>
              <w:tr2bl w:val="nil"/>
            </w:tcBorders>
            <w:vAlign w:val="center"/>
          </w:tcPr>
          <w:p w14:paraId="4931045E">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r>
              <w:rPr>
                <w:rFonts w:hint="default" w:ascii="Times New Roman" w:hAnsi="Times New Roman" w:eastAsia="宋体" w:cs="Times New Roman"/>
                <w:b/>
                <w:bCs/>
                <w:spacing w:val="-20"/>
                <w:sz w:val="21"/>
                <w:szCs w:val="21"/>
                <w:highlight w:val="none"/>
              </w:rPr>
              <w:t>运行时段</w:t>
            </w:r>
          </w:p>
        </w:tc>
      </w:tr>
      <w:tr w14:paraId="5B39DE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7" w:type="pct"/>
            <w:vMerge w:val="continue"/>
            <w:tcBorders>
              <w:tl2br w:val="nil"/>
              <w:tr2bl w:val="nil"/>
            </w:tcBorders>
            <w:vAlign w:val="center"/>
          </w:tcPr>
          <w:p w14:paraId="607AE9DE">
            <w:pPr>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p>
        </w:tc>
        <w:tc>
          <w:tcPr>
            <w:tcW w:w="889" w:type="pct"/>
            <w:vMerge w:val="continue"/>
            <w:tcBorders>
              <w:tl2br w:val="nil"/>
              <w:tr2bl w:val="nil"/>
            </w:tcBorders>
            <w:vAlign w:val="center"/>
          </w:tcPr>
          <w:p w14:paraId="18E6D5F3">
            <w:pPr>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p>
        </w:tc>
        <w:tc>
          <w:tcPr>
            <w:tcW w:w="428" w:type="pct"/>
            <w:vMerge w:val="continue"/>
            <w:tcBorders>
              <w:tl2br w:val="nil"/>
              <w:tr2bl w:val="nil"/>
            </w:tcBorders>
            <w:vAlign w:val="center"/>
          </w:tcPr>
          <w:p w14:paraId="0C558707">
            <w:pPr>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p>
        </w:tc>
        <w:tc>
          <w:tcPr>
            <w:tcW w:w="536" w:type="pct"/>
            <w:tcBorders>
              <w:tl2br w:val="nil"/>
              <w:tr2bl w:val="nil"/>
            </w:tcBorders>
            <w:vAlign w:val="center"/>
          </w:tcPr>
          <w:p w14:paraId="6F7DEF30">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b/>
                <w:bCs/>
                <w:i/>
                <w:spacing w:val="-20"/>
                <w:kern w:val="0"/>
                <w:sz w:val="21"/>
                <w:szCs w:val="21"/>
                <w:highlight w:val="none"/>
                <w:lang w:val="en-US" w:eastAsia="zh-CN" w:bidi="ar-SA"/>
              </w:rPr>
            </w:pPr>
            <w:r>
              <w:rPr>
                <w:rFonts w:hint="default" w:ascii="Times New Roman" w:hAnsi="Times New Roman" w:eastAsia="宋体" w:cs="Times New Roman"/>
                <w:b/>
                <w:bCs/>
                <w:i/>
                <w:spacing w:val="-20"/>
                <w:sz w:val="21"/>
                <w:szCs w:val="21"/>
                <w:highlight w:val="none"/>
              </w:rPr>
              <w:t>X</w:t>
            </w:r>
          </w:p>
        </w:tc>
        <w:tc>
          <w:tcPr>
            <w:tcW w:w="522" w:type="pct"/>
            <w:tcBorders>
              <w:tl2br w:val="nil"/>
              <w:tr2bl w:val="nil"/>
            </w:tcBorders>
            <w:vAlign w:val="center"/>
          </w:tcPr>
          <w:p w14:paraId="634D16EA">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b/>
                <w:bCs/>
                <w:i/>
                <w:spacing w:val="-20"/>
                <w:kern w:val="0"/>
                <w:sz w:val="21"/>
                <w:szCs w:val="21"/>
                <w:highlight w:val="none"/>
                <w:lang w:val="en-US" w:eastAsia="zh-CN" w:bidi="ar-SA"/>
              </w:rPr>
            </w:pPr>
            <w:r>
              <w:rPr>
                <w:rFonts w:hint="default" w:ascii="Times New Roman" w:hAnsi="Times New Roman" w:eastAsia="宋体" w:cs="Times New Roman"/>
                <w:b/>
                <w:bCs/>
                <w:i/>
                <w:spacing w:val="-20"/>
                <w:w w:val="99"/>
                <w:sz w:val="21"/>
                <w:szCs w:val="21"/>
                <w:highlight w:val="none"/>
              </w:rPr>
              <w:t>Y</w:t>
            </w:r>
          </w:p>
        </w:tc>
        <w:tc>
          <w:tcPr>
            <w:tcW w:w="394" w:type="pct"/>
            <w:tcBorders>
              <w:top w:val="single" w:color="auto" w:sz="4" w:space="0"/>
              <w:tl2br w:val="nil"/>
              <w:tr2bl w:val="nil"/>
            </w:tcBorders>
            <w:vAlign w:val="center"/>
          </w:tcPr>
          <w:p w14:paraId="2CAD3D62">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b/>
                <w:bCs/>
                <w:i/>
                <w:spacing w:val="-20"/>
                <w:kern w:val="0"/>
                <w:sz w:val="21"/>
                <w:szCs w:val="21"/>
                <w:highlight w:val="none"/>
                <w:lang w:val="en-US" w:eastAsia="zh-CN" w:bidi="ar-SA"/>
              </w:rPr>
            </w:pPr>
            <w:r>
              <w:rPr>
                <w:rFonts w:hint="default" w:ascii="Times New Roman" w:hAnsi="Times New Roman" w:eastAsia="宋体" w:cs="Times New Roman"/>
                <w:b/>
                <w:bCs/>
                <w:i/>
                <w:spacing w:val="-20"/>
                <w:w w:val="99"/>
                <w:sz w:val="21"/>
                <w:szCs w:val="21"/>
                <w:highlight w:val="none"/>
              </w:rPr>
              <w:t>Z</w:t>
            </w:r>
          </w:p>
        </w:tc>
        <w:tc>
          <w:tcPr>
            <w:tcW w:w="776" w:type="pct"/>
            <w:tcBorders>
              <w:top w:val="single" w:color="auto" w:sz="4" w:space="0"/>
              <w:tl2br w:val="nil"/>
              <w:tr2bl w:val="nil"/>
            </w:tcBorders>
            <w:vAlign w:val="center"/>
          </w:tcPr>
          <w:p w14:paraId="4C767712">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r>
              <w:rPr>
                <w:rFonts w:hint="default" w:ascii="Times New Roman" w:hAnsi="Times New Roman" w:eastAsia="宋体" w:cs="Times New Roman"/>
                <w:b/>
                <w:bCs/>
                <w:spacing w:val="-20"/>
                <w:sz w:val="21"/>
                <w:szCs w:val="21"/>
                <w:highlight w:val="none"/>
              </w:rPr>
              <w:t>声功率级/dB(A)</w:t>
            </w:r>
          </w:p>
        </w:tc>
        <w:tc>
          <w:tcPr>
            <w:tcW w:w="606" w:type="pct"/>
            <w:vMerge w:val="continue"/>
            <w:tcBorders>
              <w:tl2br w:val="nil"/>
              <w:tr2bl w:val="nil"/>
            </w:tcBorders>
            <w:vAlign w:val="center"/>
          </w:tcPr>
          <w:p w14:paraId="3C520C4E">
            <w:pPr>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p>
        </w:tc>
        <w:tc>
          <w:tcPr>
            <w:tcW w:w="588" w:type="pct"/>
            <w:vMerge w:val="continue"/>
            <w:tcBorders>
              <w:tl2br w:val="nil"/>
              <w:tr2bl w:val="nil"/>
            </w:tcBorders>
            <w:vAlign w:val="center"/>
          </w:tcPr>
          <w:p w14:paraId="76945714">
            <w:pPr>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b/>
                <w:bCs/>
                <w:spacing w:val="-20"/>
                <w:sz w:val="21"/>
                <w:szCs w:val="21"/>
                <w:highlight w:val="none"/>
              </w:rPr>
            </w:pPr>
          </w:p>
        </w:tc>
      </w:tr>
      <w:tr w14:paraId="7BED3D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7" w:type="pct"/>
            <w:tcBorders>
              <w:tl2br w:val="nil"/>
              <w:tr2bl w:val="nil"/>
            </w:tcBorders>
            <w:vAlign w:val="center"/>
          </w:tcPr>
          <w:p w14:paraId="58C24F6D">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w:t>
            </w:r>
          </w:p>
        </w:tc>
        <w:tc>
          <w:tcPr>
            <w:tcW w:w="889" w:type="pct"/>
            <w:tcBorders>
              <w:tl2br w:val="nil"/>
              <w:tr2bl w:val="nil"/>
            </w:tcBorders>
            <w:vAlign w:val="center"/>
          </w:tcPr>
          <w:p w14:paraId="2D9542D0">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装载机</w:t>
            </w:r>
          </w:p>
        </w:tc>
        <w:tc>
          <w:tcPr>
            <w:tcW w:w="428" w:type="pct"/>
            <w:tcBorders>
              <w:tl2br w:val="nil"/>
              <w:tr2bl w:val="nil"/>
            </w:tcBorders>
            <w:vAlign w:val="center"/>
          </w:tcPr>
          <w:p w14:paraId="6C898FEA">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w:t>
            </w:r>
          </w:p>
        </w:tc>
        <w:tc>
          <w:tcPr>
            <w:tcW w:w="536" w:type="pct"/>
            <w:tcBorders>
              <w:tl2br w:val="nil"/>
              <w:tr2bl w:val="nil"/>
            </w:tcBorders>
            <w:vAlign w:val="center"/>
          </w:tcPr>
          <w:p w14:paraId="0A73675E">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771.54</w:t>
            </w:r>
          </w:p>
        </w:tc>
        <w:tc>
          <w:tcPr>
            <w:tcW w:w="522" w:type="pct"/>
            <w:tcBorders>
              <w:tl2br w:val="nil"/>
              <w:tr2bl w:val="nil"/>
            </w:tcBorders>
            <w:vAlign w:val="center"/>
          </w:tcPr>
          <w:p w14:paraId="6BE3A546">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-16.97</w:t>
            </w:r>
          </w:p>
        </w:tc>
        <w:tc>
          <w:tcPr>
            <w:tcW w:w="394" w:type="pct"/>
            <w:tcBorders>
              <w:tl2br w:val="nil"/>
              <w:tr2bl w:val="nil"/>
            </w:tcBorders>
            <w:vAlign w:val="center"/>
          </w:tcPr>
          <w:p w14:paraId="069666E3">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768.3</w:t>
            </w:r>
          </w:p>
        </w:tc>
        <w:tc>
          <w:tcPr>
            <w:tcW w:w="776" w:type="pct"/>
            <w:tcBorders>
              <w:tl2br w:val="nil"/>
              <w:tr2bl w:val="nil"/>
            </w:tcBorders>
            <w:vAlign w:val="center"/>
          </w:tcPr>
          <w:p w14:paraId="4BCC2783">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85</w:t>
            </w:r>
          </w:p>
        </w:tc>
        <w:tc>
          <w:tcPr>
            <w:tcW w:w="606" w:type="pct"/>
            <w:vMerge w:val="restart"/>
            <w:tcBorders>
              <w:tl2br w:val="nil"/>
              <w:tr2bl w:val="nil"/>
            </w:tcBorders>
            <w:vAlign w:val="center"/>
          </w:tcPr>
          <w:p w14:paraId="055CD531">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eastAsia="zh-CN"/>
              </w:rPr>
            </w:pPr>
            <w:r>
              <w:rPr>
                <w:rFonts w:eastAsia="宋体"/>
                <w:sz w:val="21"/>
                <w:szCs w:val="21"/>
                <w:highlight w:val="none"/>
              </w:rPr>
              <w:t>购置低噪声设备，设备定期检修</w:t>
            </w:r>
          </w:p>
        </w:tc>
        <w:tc>
          <w:tcPr>
            <w:tcW w:w="588" w:type="pct"/>
            <w:tcBorders>
              <w:tl2br w:val="nil"/>
              <w:tr2bl w:val="nil"/>
            </w:tcBorders>
            <w:vAlign w:val="center"/>
          </w:tcPr>
          <w:p w14:paraId="6572D0AB">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昼间、夜间</w:t>
            </w:r>
          </w:p>
        </w:tc>
      </w:tr>
      <w:tr w14:paraId="4BFCF2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7" w:type="pct"/>
            <w:tcBorders>
              <w:tl2br w:val="nil"/>
              <w:tr2bl w:val="nil"/>
            </w:tcBorders>
            <w:vAlign w:val="center"/>
          </w:tcPr>
          <w:p w14:paraId="327538E3">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bookmarkStart w:id="321" w:name="_Toc31126"/>
            <w:r>
              <w:rPr>
                <w:rFonts w:hint="eastAsia" w:eastAsia="宋体" w:cs="Times New Roman"/>
                <w:sz w:val="21"/>
                <w:szCs w:val="21"/>
                <w:highlight w:val="none"/>
                <w:lang w:val="en-US" w:eastAsia="zh-CN"/>
              </w:rPr>
              <w:t>2</w:t>
            </w:r>
          </w:p>
        </w:tc>
        <w:tc>
          <w:tcPr>
            <w:tcW w:w="889" w:type="pct"/>
            <w:tcBorders>
              <w:tl2br w:val="nil"/>
              <w:tr2bl w:val="nil"/>
            </w:tcBorders>
            <w:vAlign w:val="center"/>
          </w:tcPr>
          <w:p w14:paraId="1CFB4223">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推土机</w:t>
            </w:r>
          </w:p>
        </w:tc>
        <w:tc>
          <w:tcPr>
            <w:tcW w:w="428" w:type="pct"/>
            <w:tcBorders>
              <w:tl2br w:val="nil"/>
              <w:tr2bl w:val="nil"/>
            </w:tcBorders>
            <w:vAlign w:val="center"/>
          </w:tcPr>
          <w:p w14:paraId="5AD37642">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w:t>
            </w:r>
          </w:p>
        </w:tc>
        <w:tc>
          <w:tcPr>
            <w:tcW w:w="536" w:type="pct"/>
            <w:tcBorders>
              <w:tl2br w:val="nil"/>
              <w:tr2bl w:val="nil"/>
            </w:tcBorders>
            <w:vAlign w:val="center"/>
          </w:tcPr>
          <w:p w14:paraId="18759CF9">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791.28</w:t>
            </w:r>
          </w:p>
        </w:tc>
        <w:tc>
          <w:tcPr>
            <w:tcW w:w="522" w:type="pct"/>
            <w:tcBorders>
              <w:tl2br w:val="nil"/>
              <w:tr2bl w:val="nil"/>
            </w:tcBorders>
            <w:vAlign w:val="center"/>
          </w:tcPr>
          <w:p w14:paraId="03403EE9">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8</w:t>
            </w:r>
          </w:p>
        </w:tc>
        <w:tc>
          <w:tcPr>
            <w:tcW w:w="394" w:type="pct"/>
            <w:tcBorders>
              <w:tl2br w:val="nil"/>
              <w:tr2bl w:val="nil"/>
            </w:tcBorders>
            <w:vAlign w:val="center"/>
          </w:tcPr>
          <w:p w14:paraId="542B600E">
            <w:pPr>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776.91</w:t>
            </w:r>
          </w:p>
        </w:tc>
        <w:tc>
          <w:tcPr>
            <w:tcW w:w="776" w:type="pct"/>
            <w:tcBorders>
              <w:tl2br w:val="nil"/>
              <w:tr2bl w:val="nil"/>
            </w:tcBorders>
            <w:vAlign w:val="center"/>
          </w:tcPr>
          <w:p w14:paraId="117420F6">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80</w:t>
            </w:r>
          </w:p>
        </w:tc>
        <w:tc>
          <w:tcPr>
            <w:tcW w:w="606" w:type="pct"/>
            <w:vMerge w:val="continue"/>
            <w:tcBorders>
              <w:tl2br w:val="nil"/>
              <w:tr2bl w:val="nil"/>
            </w:tcBorders>
            <w:vAlign w:val="center"/>
          </w:tcPr>
          <w:p w14:paraId="0C517221">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eastAsia="zh-CN"/>
              </w:rPr>
            </w:pPr>
          </w:p>
        </w:tc>
        <w:tc>
          <w:tcPr>
            <w:tcW w:w="588" w:type="pct"/>
            <w:tcBorders>
              <w:tl2br w:val="nil"/>
              <w:tr2bl w:val="nil"/>
            </w:tcBorders>
            <w:vAlign w:val="center"/>
          </w:tcPr>
          <w:p w14:paraId="7F62E789">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eastAsia="宋体" w:cs="Times New Roman"/>
                <w:sz w:val="21"/>
                <w:szCs w:val="21"/>
                <w:highlight w:val="none"/>
                <w:lang w:val="en-US" w:eastAsia="zh-CN"/>
              </w:rPr>
            </w:pPr>
            <w:r>
              <w:rPr>
                <w:rFonts w:hint="eastAsia" w:eastAsia="宋体" w:cs="Times New Roman"/>
                <w:sz w:val="21"/>
                <w:szCs w:val="21"/>
                <w:highlight w:val="none"/>
                <w:lang w:val="en-US" w:eastAsia="zh-CN"/>
              </w:rPr>
              <w:t>昼间、夜间</w:t>
            </w:r>
          </w:p>
        </w:tc>
      </w:tr>
      <w:tr w14:paraId="25F7E3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7" w:type="pct"/>
            <w:tcBorders>
              <w:tl2br w:val="nil"/>
              <w:tr2bl w:val="nil"/>
            </w:tcBorders>
            <w:vAlign w:val="center"/>
          </w:tcPr>
          <w:p w14:paraId="4E94FCE9">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3</w:t>
            </w:r>
          </w:p>
        </w:tc>
        <w:tc>
          <w:tcPr>
            <w:tcW w:w="889" w:type="pct"/>
            <w:tcBorders>
              <w:tl2br w:val="nil"/>
              <w:tr2bl w:val="nil"/>
            </w:tcBorders>
            <w:vAlign w:val="center"/>
          </w:tcPr>
          <w:p w14:paraId="6B1B2F59">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压实机</w:t>
            </w:r>
          </w:p>
        </w:tc>
        <w:tc>
          <w:tcPr>
            <w:tcW w:w="428" w:type="pct"/>
            <w:tcBorders>
              <w:tl2br w:val="nil"/>
              <w:tr2bl w:val="nil"/>
            </w:tcBorders>
            <w:vAlign w:val="center"/>
          </w:tcPr>
          <w:p w14:paraId="18A2C555">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sz w:val="21"/>
                <w:szCs w:val="21"/>
                <w:highlight w:val="none"/>
              </w:rPr>
            </w:pPr>
            <w:r>
              <w:rPr>
                <w:rFonts w:hint="eastAsia" w:eastAsia="宋体" w:cs="Times New Roman"/>
                <w:sz w:val="21"/>
                <w:szCs w:val="21"/>
                <w:highlight w:val="none"/>
                <w:lang w:val="en-US" w:eastAsia="zh-CN"/>
              </w:rPr>
              <w:t>/</w:t>
            </w:r>
          </w:p>
        </w:tc>
        <w:tc>
          <w:tcPr>
            <w:tcW w:w="536" w:type="pct"/>
            <w:tcBorders>
              <w:tl2br w:val="nil"/>
              <w:tr2bl w:val="nil"/>
            </w:tcBorders>
            <w:vAlign w:val="center"/>
          </w:tcPr>
          <w:p w14:paraId="15C285C0">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804.05</w:t>
            </w:r>
          </w:p>
        </w:tc>
        <w:tc>
          <w:tcPr>
            <w:tcW w:w="522" w:type="pct"/>
            <w:tcBorders>
              <w:tl2br w:val="nil"/>
              <w:tr2bl w:val="nil"/>
            </w:tcBorders>
            <w:vAlign w:val="center"/>
          </w:tcPr>
          <w:p w14:paraId="1E4F9AF9">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-20.45</w:t>
            </w:r>
          </w:p>
        </w:tc>
        <w:tc>
          <w:tcPr>
            <w:tcW w:w="394" w:type="pct"/>
            <w:tcBorders>
              <w:tl2br w:val="nil"/>
              <w:tr2bl w:val="nil"/>
            </w:tcBorders>
            <w:vAlign w:val="center"/>
          </w:tcPr>
          <w:p w14:paraId="37DBD737">
            <w:pPr>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770.22</w:t>
            </w:r>
          </w:p>
        </w:tc>
        <w:tc>
          <w:tcPr>
            <w:tcW w:w="776" w:type="pct"/>
            <w:tcBorders>
              <w:tl2br w:val="nil"/>
              <w:tr2bl w:val="nil"/>
            </w:tcBorders>
            <w:vAlign w:val="center"/>
          </w:tcPr>
          <w:p w14:paraId="35B77F88">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80</w:t>
            </w:r>
          </w:p>
        </w:tc>
        <w:tc>
          <w:tcPr>
            <w:tcW w:w="606" w:type="pct"/>
            <w:vMerge w:val="continue"/>
            <w:tcBorders>
              <w:tl2br w:val="nil"/>
              <w:tr2bl w:val="nil"/>
            </w:tcBorders>
            <w:vAlign w:val="center"/>
          </w:tcPr>
          <w:p w14:paraId="2EF1C216">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eastAsia="zh-CN"/>
              </w:rPr>
            </w:pPr>
          </w:p>
        </w:tc>
        <w:tc>
          <w:tcPr>
            <w:tcW w:w="588" w:type="pct"/>
            <w:tcBorders>
              <w:tl2br w:val="nil"/>
              <w:tr2bl w:val="nil"/>
            </w:tcBorders>
            <w:vAlign w:val="center"/>
          </w:tcPr>
          <w:p w14:paraId="17CB3FD1">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eastAsia="宋体" w:cs="Times New Roman"/>
                <w:sz w:val="21"/>
                <w:szCs w:val="21"/>
                <w:highlight w:val="none"/>
                <w:lang w:val="en-US" w:eastAsia="zh-CN"/>
              </w:rPr>
            </w:pPr>
            <w:r>
              <w:rPr>
                <w:rFonts w:hint="eastAsia" w:eastAsia="宋体" w:cs="Times New Roman"/>
                <w:sz w:val="21"/>
                <w:szCs w:val="21"/>
                <w:highlight w:val="none"/>
                <w:lang w:val="en-US" w:eastAsia="zh-CN"/>
              </w:rPr>
              <w:t>昼间、夜间</w:t>
            </w:r>
          </w:p>
        </w:tc>
      </w:tr>
      <w:tr w14:paraId="39FB42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7" w:type="pct"/>
            <w:tcBorders>
              <w:tl2br w:val="nil"/>
              <w:tr2bl w:val="nil"/>
            </w:tcBorders>
            <w:vAlign w:val="center"/>
          </w:tcPr>
          <w:p w14:paraId="44184371">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4</w:t>
            </w:r>
          </w:p>
        </w:tc>
        <w:tc>
          <w:tcPr>
            <w:tcW w:w="889" w:type="pct"/>
            <w:tcBorders>
              <w:tl2br w:val="nil"/>
              <w:tr2bl w:val="nil"/>
            </w:tcBorders>
            <w:vAlign w:val="center"/>
          </w:tcPr>
          <w:p w14:paraId="3CAB9A01">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r>
              <w:rPr>
                <w:rFonts w:hint="eastAsia" w:eastAsia="宋体"/>
                <w:sz w:val="21"/>
                <w:szCs w:val="21"/>
                <w:highlight w:val="none"/>
                <w:lang w:eastAsia="zh-CN"/>
              </w:rPr>
              <w:t>洒水车</w:t>
            </w:r>
          </w:p>
        </w:tc>
        <w:tc>
          <w:tcPr>
            <w:tcW w:w="428" w:type="pct"/>
            <w:tcBorders>
              <w:tl2br w:val="nil"/>
              <w:tr2bl w:val="nil"/>
            </w:tcBorders>
            <w:vAlign w:val="center"/>
          </w:tcPr>
          <w:p w14:paraId="612586CB">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w:t>
            </w:r>
          </w:p>
        </w:tc>
        <w:tc>
          <w:tcPr>
            <w:tcW w:w="536" w:type="pct"/>
            <w:tcBorders>
              <w:tl2br w:val="nil"/>
              <w:tr2bl w:val="nil"/>
            </w:tcBorders>
            <w:vAlign w:val="center"/>
          </w:tcPr>
          <w:p w14:paraId="7B6FA18F">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eastAsia="宋体" w:cs="Times New Roman"/>
                <w:kern w:val="0"/>
                <w:sz w:val="21"/>
                <w:szCs w:val="21"/>
                <w:highlight w:val="none"/>
                <w:lang w:val="en-US" w:eastAsia="zh-CN" w:bidi="ar-SA"/>
              </w:rPr>
              <w:t>/</w:t>
            </w:r>
          </w:p>
        </w:tc>
        <w:tc>
          <w:tcPr>
            <w:tcW w:w="522" w:type="pct"/>
            <w:tcBorders>
              <w:tl2br w:val="nil"/>
              <w:tr2bl w:val="nil"/>
            </w:tcBorders>
            <w:vAlign w:val="center"/>
          </w:tcPr>
          <w:p w14:paraId="0C0CAE2E">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eastAsia="宋体" w:cs="Times New Roman"/>
                <w:kern w:val="0"/>
                <w:sz w:val="21"/>
                <w:szCs w:val="21"/>
                <w:highlight w:val="none"/>
                <w:lang w:val="en-US" w:eastAsia="zh-CN" w:bidi="ar-SA"/>
              </w:rPr>
              <w:t>/</w:t>
            </w:r>
          </w:p>
        </w:tc>
        <w:tc>
          <w:tcPr>
            <w:tcW w:w="394" w:type="pct"/>
            <w:tcBorders>
              <w:tl2br w:val="nil"/>
              <w:tr2bl w:val="nil"/>
            </w:tcBorders>
            <w:vAlign w:val="center"/>
          </w:tcPr>
          <w:p w14:paraId="557C5ECD">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eastAsia="宋体" w:cs="Times New Roman"/>
                <w:kern w:val="0"/>
                <w:sz w:val="21"/>
                <w:szCs w:val="21"/>
                <w:highlight w:val="none"/>
                <w:lang w:val="en-US" w:eastAsia="zh-CN" w:bidi="ar-SA"/>
              </w:rPr>
              <w:t>/</w:t>
            </w:r>
          </w:p>
        </w:tc>
        <w:tc>
          <w:tcPr>
            <w:tcW w:w="776" w:type="pct"/>
            <w:tcBorders>
              <w:tl2br w:val="nil"/>
              <w:tr2bl w:val="nil"/>
            </w:tcBorders>
            <w:vAlign w:val="center"/>
          </w:tcPr>
          <w:p w14:paraId="3A67E035">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80</w:t>
            </w:r>
          </w:p>
        </w:tc>
        <w:tc>
          <w:tcPr>
            <w:tcW w:w="606" w:type="pct"/>
            <w:vMerge w:val="restart"/>
            <w:tcBorders>
              <w:tl2br w:val="nil"/>
              <w:tr2bl w:val="nil"/>
            </w:tcBorders>
            <w:vAlign w:val="center"/>
          </w:tcPr>
          <w:p w14:paraId="50F8E4CF">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eastAsia="zh-CN"/>
              </w:rPr>
            </w:pPr>
            <w:r>
              <w:rPr>
                <w:rFonts w:eastAsia="宋体"/>
                <w:kern w:val="2"/>
                <w:sz w:val="21"/>
                <w:szCs w:val="18"/>
                <w:highlight w:val="none"/>
              </w:rPr>
              <w:t>减速慢行</w:t>
            </w:r>
          </w:p>
        </w:tc>
        <w:tc>
          <w:tcPr>
            <w:tcW w:w="588" w:type="pct"/>
            <w:tcBorders>
              <w:tl2br w:val="nil"/>
              <w:tr2bl w:val="nil"/>
            </w:tcBorders>
            <w:vAlign w:val="center"/>
          </w:tcPr>
          <w:p w14:paraId="4CC89EA5">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eastAsia="宋体" w:cs="Times New Roman"/>
                <w:sz w:val="21"/>
                <w:szCs w:val="21"/>
                <w:highlight w:val="none"/>
                <w:lang w:val="en-US" w:eastAsia="zh-CN"/>
              </w:rPr>
              <w:t>昼间、夜间</w:t>
            </w:r>
          </w:p>
        </w:tc>
      </w:tr>
      <w:tr w14:paraId="0BB9FD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7" w:type="pct"/>
            <w:tcBorders>
              <w:tl2br w:val="nil"/>
              <w:tr2bl w:val="nil"/>
            </w:tcBorders>
            <w:vAlign w:val="center"/>
          </w:tcPr>
          <w:p w14:paraId="58103C14">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5</w:t>
            </w:r>
          </w:p>
        </w:tc>
        <w:tc>
          <w:tcPr>
            <w:tcW w:w="889" w:type="pct"/>
            <w:tcBorders>
              <w:tl2br w:val="nil"/>
              <w:tr2bl w:val="nil"/>
            </w:tcBorders>
            <w:vAlign w:val="center"/>
          </w:tcPr>
          <w:p w14:paraId="3033903A">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val="en-US" w:eastAsia="zh-CN"/>
              </w:rPr>
            </w:pPr>
            <w:r>
              <w:rPr>
                <w:rFonts w:hint="eastAsia" w:ascii="宋体" w:hAnsi="宋体" w:eastAsia="宋体" w:cs="宋体"/>
                <w:color w:val="auto"/>
                <w:sz w:val="21"/>
                <w:szCs w:val="21"/>
                <w:highlight w:val="none"/>
              </w:rPr>
              <w:t>自卸汽车</w:t>
            </w:r>
          </w:p>
        </w:tc>
        <w:tc>
          <w:tcPr>
            <w:tcW w:w="428" w:type="pct"/>
            <w:tcBorders>
              <w:tl2br w:val="nil"/>
              <w:tr2bl w:val="nil"/>
            </w:tcBorders>
            <w:vAlign w:val="center"/>
          </w:tcPr>
          <w:p w14:paraId="567B24E8">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w:t>
            </w:r>
          </w:p>
        </w:tc>
        <w:tc>
          <w:tcPr>
            <w:tcW w:w="536" w:type="pct"/>
            <w:tcBorders>
              <w:tl2br w:val="nil"/>
              <w:tr2bl w:val="nil"/>
            </w:tcBorders>
            <w:vAlign w:val="center"/>
          </w:tcPr>
          <w:p w14:paraId="19E32FF7">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eastAsia="宋体" w:cs="Times New Roman"/>
                <w:kern w:val="0"/>
                <w:sz w:val="21"/>
                <w:szCs w:val="21"/>
                <w:highlight w:val="none"/>
                <w:lang w:val="en-US" w:eastAsia="zh-CN" w:bidi="ar-SA"/>
              </w:rPr>
              <w:t>/</w:t>
            </w:r>
          </w:p>
        </w:tc>
        <w:tc>
          <w:tcPr>
            <w:tcW w:w="522" w:type="pct"/>
            <w:tcBorders>
              <w:tl2br w:val="nil"/>
              <w:tr2bl w:val="nil"/>
            </w:tcBorders>
            <w:vAlign w:val="center"/>
          </w:tcPr>
          <w:p w14:paraId="335B20B4">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eastAsia="宋体" w:cs="Times New Roman"/>
                <w:kern w:val="0"/>
                <w:sz w:val="21"/>
                <w:szCs w:val="21"/>
                <w:highlight w:val="none"/>
                <w:lang w:val="en-US" w:eastAsia="zh-CN" w:bidi="ar-SA"/>
              </w:rPr>
              <w:t>/</w:t>
            </w:r>
          </w:p>
        </w:tc>
        <w:tc>
          <w:tcPr>
            <w:tcW w:w="394" w:type="pct"/>
            <w:tcBorders>
              <w:tl2br w:val="nil"/>
              <w:tr2bl w:val="nil"/>
            </w:tcBorders>
            <w:vAlign w:val="center"/>
          </w:tcPr>
          <w:p w14:paraId="34C70CC8">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eastAsia="宋体" w:cs="Times New Roman"/>
                <w:kern w:val="0"/>
                <w:sz w:val="21"/>
                <w:szCs w:val="21"/>
                <w:highlight w:val="none"/>
                <w:lang w:val="en-US" w:eastAsia="zh-CN" w:bidi="ar-SA"/>
              </w:rPr>
              <w:t>/</w:t>
            </w:r>
          </w:p>
        </w:tc>
        <w:tc>
          <w:tcPr>
            <w:tcW w:w="776" w:type="pct"/>
            <w:tcBorders>
              <w:tl2br w:val="nil"/>
              <w:tr2bl w:val="nil"/>
            </w:tcBorders>
            <w:vAlign w:val="center"/>
          </w:tcPr>
          <w:p w14:paraId="050CAEA6">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default" w:eastAsia="宋体" w:cs="Times New Roman"/>
                <w:sz w:val="21"/>
                <w:szCs w:val="21"/>
                <w:highlight w:val="none"/>
                <w:lang w:val="en-US" w:eastAsia="zh-CN"/>
              </w:rPr>
            </w:pPr>
            <w:r>
              <w:rPr>
                <w:rFonts w:hint="eastAsia" w:eastAsia="宋体" w:cs="Times New Roman"/>
                <w:sz w:val="21"/>
                <w:szCs w:val="21"/>
                <w:highlight w:val="none"/>
                <w:lang w:val="en-US" w:eastAsia="zh-CN"/>
              </w:rPr>
              <w:t>80</w:t>
            </w:r>
          </w:p>
        </w:tc>
        <w:tc>
          <w:tcPr>
            <w:tcW w:w="606" w:type="pct"/>
            <w:vMerge w:val="continue"/>
            <w:tcBorders>
              <w:tl2br w:val="nil"/>
              <w:tr2bl w:val="nil"/>
            </w:tcBorders>
            <w:vAlign w:val="center"/>
          </w:tcPr>
          <w:p w14:paraId="4B827C9D">
            <w:pPr>
              <w:pStyle w:val="227"/>
              <w:keepNext w:val="0"/>
              <w:keepLines w:val="0"/>
              <w:pageBreakBefore w:val="0"/>
              <w:widowControl w:val="0"/>
              <w:kinsoku/>
              <w:wordWrap/>
              <w:overflowPunct/>
              <w:topLinePunct w:val="0"/>
              <w:bidi w:val="0"/>
              <w:snapToGrid/>
              <w:spacing w:line="240" w:lineRule="atLeast"/>
              <w:ind w:left="0" w:right="0" w:firstLine="0"/>
              <w:jc w:val="center"/>
              <w:textAlignment w:val="auto"/>
              <w:rPr>
                <w:rFonts w:hint="eastAsia" w:ascii="Times New Roman" w:hAnsi="Times New Roman" w:eastAsia="宋体" w:cs="Times New Roman"/>
                <w:sz w:val="21"/>
                <w:szCs w:val="21"/>
                <w:highlight w:val="none"/>
                <w:lang w:eastAsia="zh-CN"/>
              </w:rPr>
            </w:pPr>
          </w:p>
        </w:tc>
        <w:tc>
          <w:tcPr>
            <w:tcW w:w="588" w:type="pct"/>
            <w:tcBorders>
              <w:tl2br w:val="nil"/>
              <w:tr2bl w:val="nil"/>
            </w:tcBorders>
            <w:vAlign w:val="center"/>
          </w:tcPr>
          <w:p w14:paraId="60A04C35">
            <w:pPr>
              <w:pStyle w:val="227"/>
              <w:keepNext w:val="0"/>
              <w:keepLines w:val="0"/>
              <w:pageBreakBefore w:val="0"/>
              <w:widowControl w:val="0"/>
              <w:kinsoku/>
              <w:wordWrap/>
              <w:overflowPunct/>
              <w:topLinePunct w:val="0"/>
              <w:bidi w:val="0"/>
              <w:snapToGrid/>
              <w:spacing w:line="240" w:lineRule="atLeast"/>
              <w:ind w:left="0" w:leftChars="0" w:right="0" w:rightChars="0"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eastAsia" w:eastAsia="宋体" w:cs="Times New Roman"/>
                <w:sz w:val="21"/>
                <w:szCs w:val="21"/>
                <w:highlight w:val="none"/>
                <w:lang w:val="en-US" w:eastAsia="zh-CN"/>
              </w:rPr>
              <w:t>昼间、夜间</w:t>
            </w:r>
          </w:p>
        </w:tc>
      </w:tr>
    </w:tbl>
    <w:p w14:paraId="74AEC70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5.2.4.2预测点设置</w:t>
      </w:r>
      <w:bookmarkEnd w:id="321"/>
    </w:p>
    <w:p w14:paraId="53781DF9">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color w:val="auto"/>
          <w:sz w:val="24"/>
          <w:szCs w:val="24"/>
          <w:highlight w:val="none"/>
          <w:lang w:val="en-US" w:eastAsia="zh-CN"/>
        </w:rPr>
      </w:pPr>
      <w:r>
        <w:rPr>
          <w:rFonts w:ascii="Times New Roman" w:eastAsia="宋体"/>
          <w:sz w:val="24"/>
          <w:szCs w:val="24"/>
          <w:highlight w:val="none"/>
        </w:rPr>
        <w:t>根据项目区域环境特点，项目声环境评价范围内（200m）无环境保护目标，本次环评仅对项目四个</w:t>
      </w:r>
      <w:r>
        <w:rPr>
          <w:rFonts w:hint="eastAsia" w:ascii="Times New Roman" w:eastAsia="宋体"/>
          <w:sz w:val="24"/>
          <w:szCs w:val="24"/>
          <w:highlight w:val="none"/>
          <w:lang w:eastAsia="zh-CN"/>
        </w:rPr>
        <w:t>场界</w:t>
      </w:r>
      <w:r>
        <w:rPr>
          <w:rFonts w:ascii="Times New Roman" w:eastAsia="宋体"/>
          <w:sz w:val="24"/>
          <w:szCs w:val="24"/>
          <w:highlight w:val="none"/>
        </w:rPr>
        <w:t>进行预测，分析</w:t>
      </w:r>
      <w:r>
        <w:rPr>
          <w:rFonts w:hint="eastAsia" w:ascii="Times New Roman" w:eastAsia="宋体"/>
          <w:sz w:val="24"/>
          <w:szCs w:val="24"/>
          <w:highlight w:val="none"/>
          <w:lang w:eastAsia="zh-CN"/>
        </w:rPr>
        <w:t>场界</w:t>
      </w:r>
      <w:r>
        <w:rPr>
          <w:rFonts w:ascii="Times New Roman" w:eastAsia="宋体"/>
          <w:sz w:val="24"/>
          <w:szCs w:val="24"/>
          <w:highlight w:val="none"/>
        </w:rPr>
        <w:t>噪声达标情况。由于运输车辆属于间断出现的噪声源，且位置不固定，因此，在噪声预测中不予考虑叠加。</w:t>
      </w:r>
    </w:p>
    <w:p w14:paraId="3ACCDE0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5.2.4.</w:t>
      </w:r>
      <w:r>
        <w:rPr>
          <w:rFonts w:hint="eastAsia" w:ascii="Times New Roman" w:hAnsi="Times New Roman" w:eastAsia="宋体" w:cs="Times New Roman"/>
          <w:b/>
          <w:sz w:val="24"/>
          <w:szCs w:val="24"/>
          <w:highlight w:val="none"/>
          <w:lang w:val="en-US" w:eastAsia="zh-CN"/>
        </w:rPr>
        <w:t>3</w:t>
      </w:r>
      <w:r>
        <w:rPr>
          <w:rFonts w:hint="default" w:ascii="Times New Roman" w:hAnsi="Times New Roman" w:eastAsia="宋体" w:cs="Times New Roman"/>
          <w:b/>
          <w:sz w:val="24"/>
          <w:szCs w:val="24"/>
          <w:highlight w:val="none"/>
          <w:lang w:val="en-US" w:eastAsia="zh-CN"/>
        </w:rPr>
        <w:t>噪声预测模式</w:t>
      </w:r>
    </w:p>
    <w:p w14:paraId="0F760A02">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本评价选用</w:t>
      </w:r>
      <w:r>
        <w:rPr>
          <w:rFonts w:hint="default" w:ascii="Times New Roman" w:hAnsi="Times New Roman" w:cs="Times New Roman"/>
          <w:color w:val="000000"/>
          <w:kern w:val="0"/>
          <w:sz w:val="24"/>
          <w:szCs w:val="24"/>
          <w:highlight w:val="none"/>
        </w:rPr>
        <w:t>《环境影响评价技术导则-声环境》(</w:t>
      </w:r>
      <w:r>
        <w:rPr>
          <w:rFonts w:hint="eastAsia" w:cs="Times New Roman"/>
          <w:color w:val="000000"/>
          <w:kern w:val="0"/>
          <w:sz w:val="24"/>
          <w:szCs w:val="24"/>
          <w:highlight w:val="none"/>
          <w:lang w:eastAsia="zh-CN"/>
        </w:rPr>
        <w:t>HJ2.4-2021</w:t>
      </w:r>
      <w:r>
        <w:rPr>
          <w:rFonts w:hint="default" w:ascii="Times New Roman" w:hAnsi="Times New Roman" w:cs="Times New Roman"/>
          <w:color w:val="000000"/>
          <w:kern w:val="0"/>
          <w:sz w:val="24"/>
          <w:szCs w:val="24"/>
          <w:highlight w:val="none"/>
        </w:rPr>
        <w:t>)</w:t>
      </w:r>
      <w:r>
        <w:rPr>
          <w:rFonts w:hint="default" w:ascii="Times New Roman" w:hAnsi="Times New Roman" w:cs="Times New Roman"/>
          <w:color w:val="auto"/>
          <w:sz w:val="24"/>
          <w:szCs w:val="24"/>
          <w:highlight w:val="none"/>
        </w:rPr>
        <w:t>中推荐的预测模式预测本项目噪声影响。</w:t>
      </w:r>
    </w:p>
    <w:p w14:paraId="557E2FB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5.2.4.4噪声预测结果</w:t>
      </w:r>
    </w:p>
    <w:p w14:paraId="2B0EE47A">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cs="Times New Roman"/>
          <w:color w:val="auto"/>
          <w:kern w:val="0"/>
          <w:sz w:val="24"/>
          <w:highlight w:val="none"/>
          <w:lang w:val="zh-CN"/>
        </w:rPr>
      </w:pPr>
      <w:r>
        <w:rPr>
          <w:rFonts w:hint="default" w:ascii="Times New Roman" w:hAnsi="Times New Roman" w:cs="Times New Roman"/>
          <w:color w:val="auto"/>
          <w:kern w:val="0"/>
          <w:sz w:val="24"/>
          <w:highlight w:val="none"/>
          <w:lang w:val="zh-CN"/>
        </w:rPr>
        <w:t>项目生产运行阶段声级等值线（贡献值）分部如下图所示</w:t>
      </w:r>
      <w:r>
        <w:rPr>
          <w:rFonts w:hint="eastAsia" w:cs="Times New Roman"/>
          <w:color w:val="auto"/>
          <w:kern w:val="0"/>
          <w:sz w:val="24"/>
          <w:highlight w:val="none"/>
          <w:lang w:val="zh-CN"/>
        </w:rPr>
        <w:t>：</w:t>
      </w:r>
    </w:p>
    <w:p w14:paraId="77D49572">
      <w:pPr>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ascii="Times New Roman" w:hAnsi="Times New Roman" w:cs="Times New Roman"/>
          <w:color w:val="auto"/>
          <w:kern w:val="0"/>
          <w:sz w:val="24"/>
          <w:highlight w:val="none"/>
          <w:lang w:val="zh-CN"/>
        </w:rPr>
      </w:pPr>
      <w:r>
        <w:rPr>
          <w:highlight w:val="none"/>
        </w:rPr>
        <w:drawing>
          <wp:inline distT="0" distB="0" distL="114300" distR="114300">
            <wp:extent cx="5277485" cy="3521710"/>
            <wp:effectExtent l="0" t="0" r="10795" b="1397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78"/>
                    <a:stretch>
                      <a:fillRect/>
                    </a:stretch>
                  </pic:blipFill>
                  <pic:spPr>
                    <a:xfrm>
                      <a:off x="0" y="0"/>
                      <a:ext cx="5277485" cy="3521710"/>
                    </a:xfrm>
                    <a:prstGeom prst="rect">
                      <a:avLst/>
                    </a:prstGeom>
                    <a:noFill/>
                    <a:ln>
                      <a:noFill/>
                    </a:ln>
                  </pic:spPr>
                </pic:pic>
              </a:graphicData>
            </a:graphic>
          </wp:inline>
        </w:drawing>
      </w:r>
    </w:p>
    <w:p w14:paraId="7F8D661A">
      <w:pPr>
        <w:pStyle w:val="323"/>
        <w:keepNext w:val="0"/>
        <w:keepLines w:val="0"/>
        <w:pageBreakBefore w:val="0"/>
        <w:widowControl w:val="0"/>
        <w:numPr>
          <w:ilvl w:val="0"/>
          <w:numId w:val="25"/>
        </w:numPr>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4"/>
          <w:highlight w:val="none"/>
        </w:rPr>
      </w:pPr>
      <w:r>
        <w:rPr>
          <w:rFonts w:hint="default" w:ascii="Times New Roman" w:hAnsi="Times New Roman" w:eastAsia="宋体" w:cs="Times New Roman"/>
          <w:b/>
          <w:color w:val="auto"/>
          <w:sz w:val="21"/>
          <w:szCs w:val="24"/>
          <w:highlight w:val="none"/>
        </w:rPr>
        <w:t>项目厂界噪声贡献值预测图</w:t>
      </w:r>
    </w:p>
    <w:p w14:paraId="503DD82F">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t>根据声环境质量现状监测结果和预测出的声级等值线（贡献值）图，噪声预测结果见下表</w:t>
      </w:r>
      <w:r>
        <w:rPr>
          <w:rFonts w:hint="eastAsia" w:ascii="Times New Roman" w:hAnsi="Times New Roman" w:cs="Times New Roman"/>
          <w:color w:val="auto"/>
          <w:kern w:val="0"/>
          <w:sz w:val="24"/>
          <w:highlight w:val="none"/>
          <w:lang w:val="zh-CN"/>
        </w:rPr>
        <w:t>。</w:t>
      </w:r>
    </w:p>
    <w:p w14:paraId="7A69A837">
      <w:pPr>
        <w:keepNext w:val="0"/>
        <w:keepLines w:val="0"/>
        <w:pageBreakBefore w:val="0"/>
        <w:widowControl w:val="0"/>
        <w:numPr>
          <w:ilvl w:val="0"/>
          <w:numId w:val="24"/>
        </w:numPr>
        <w:kinsoku/>
        <w:wordWrap/>
        <w:overflowPunct/>
        <w:topLinePunct w:val="0"/>
        <w:bidi w:val="0"/>
        <w:snapToGrid/>
        <w:spacing w:line="360" w:lineRule="auto"/>
        <w:ind w:left="0" w:leftChars="0" w:firstLine="0" w:firstLineChars="0"/>
        <w:jc w:val="center"/>
        <w:textAlignment w:val="auto"/>
        <w:rPr>
          <w:rStyle w:val="66"/>
          <w:rFonts w:hint="default" w:ascii="Times New Roman" w:hAnsi="Times New Roman" w:cs="Times New Roman"/>
          <w:color w:val="auto"/>
          <w:highlight w:val="none"/>
        </w:rPr>
      </w:pPr>
      <w:r>
        <w:rPr>
          <w:rStyle w:val="66"/>
          <w:rFonts w:hint="default" w:ascii="Times New Roman" w:hAnsi="Times New Roman" w:cs="Times New Roman"/>
          <w:color w:val="auto"/>
          <w:highlight w:val="none"/>
        </w:rPr>
        <w:t>项目</w:t>
      </w:r>
      <w:r>
        <w:rPr>
          <w:rStyle w:val="66"/>
          <w:rFonts w:hint="eastAsia" w:ascii="Times New Roman" w:hAnsi="Times New Roman" w:cs="Times New Roman"/>
          <w:color w:val="auto"/>
          <w:highlight w:val="none"/>
          <w:lang w:val="en-US" w:eastAsia="zh-CN"/>
        </w:rPr>
        <w:t>厂界</w:t>
      </w:r>
      <w:r>
        <w:rPr>
          <w:rStyle w:val="66"/>
          <w:rFonts w:hint="default" w:ascii="Times New Roman" w:hAnsi="Times New Roman" w:cs="Times New Roman"/>
          <w:color w:val="auto"/>
          <w:highlight w:val="none"/>
        </w:rPr>
        <w:t>噪声</w:t>
      </w:r>
      <w:r>
        <w:rPr>
          <w:rStyle w:val="66"/>
          <w:rFonts w:hint="eastAsia" w:ascii="Times New Roman" w:hAnsi="Times New Roman" w:cs="Times New Roman"/>
          <w:color w:val="auto"/>
          <w:highlight w:val="none"/>
          <w:lang w:val="en-US" w:eastAsia="zh-CN"/>
        </w:rPr>
        <w:t>贡献值</w:t>
      </w:r>
      <w:r>
        <w:rPr>
          <w:rStyle w:val="66"/>
          <w:rFonts w:hint="default" w:ascii="Times New Roman" w:hAnsi="Times New Roman" w:cs="Times New Roman"/>
          <w:color w:val="auto"/>
          <w:highlight w:val="none"/>
        </w:rPr>
        <w:t>结果</w:t>
      </w:r>
      <w:r>
        <w:rPr>
          <w:rStyle w:val="66"/>
          <w:rFonts w:hint="eastAsia" w:ascii="Times New Roman" w:hAnsi="Times New Roman" w:cs="Times New Roman"/>
          <w:color w:val="auto"/>
          <w:highlight w:val="none"/>
          <w:lang w:val="en-US" w:eastAsia="zh-CN"/>
        </w:rPr>
        <w:t xml:space="preserve">  </w:t>
      </w:r>
      <w:r>
        <w:rPr>
          <w:rStyle w:val="66"/>
          <w:rFonts w:hint="default" w:ascii="Times New Roman" w:hAnsi="Times New Roman" w:cs="Times New Roman"/>
          <w:color w:val="auto"/>
          <w:highlight w:val="none"/>
        </w:rPr>
        <w:t>单位：dB(A)</w:t>
      </w:r>
    </w:p>
    <w:tbl>
      <w:tblPr>
        <w:tblStyle w:val="5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42"/>
        <w:gridCol w:w="1254"/>
        <w:gridCol w:w="924"/>
        <w:gridCol w:w="1073"/>
        <w:gridCol w:w="1228"/>
        <w:gridCol w:w="1246"/>
        <w:gridCol w:w="1158"/>
      </w:tblGrid>
      <w:tr w14:paraId="4CC49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66" w:type="pct"/>
            <w:vMerge w:val="restart"/>
            <w:noWrap/>
            <w:tcMar>
              <w:top w:w="8" w:type="dxa"/>
              <w:left w:w="8" w:type="dxa"/>
              <w:right w:w="8" w:type="dxa"/>
            </w:tcMar>
            <w:vAlign w:val="center"/>
          </w:tcPr>
          <w:p w14:paraId="5700F501">
            <w:pPr>
              <w:jc w:val="center"/>
              <w:rPr>
                <w:rFonts w:hint="default" w:ascii="Times New Roman" w:hAnsi="Times New Roman" w:eastAsia="宋体" w:cs="Times New Roman"/>
                <w:b/>
                <w:bCs/>
                <w:i w:val="0"/>
                <w:color w:val="auto"/>
                <w:sz w:val="21"/>
                <w:szCs w:val="21"/>
                <w:highlight w:val="none"/>
                <w:u w:val="none"/>
                <w:lang w:val="en-US" w:eastAsia="zh-CN"/>
              </w:rPr>
            </w:pPr>
            <w:r>
              <w:rPr>
                <w:rFonts w:hint="default" w:ascii="Times New Roman" w:hAnsi="Times New Roman" w:eastAsia="宋体" w:cs="Times New Roman"/>
                <w:b/>
                <w:bCs/>
                <w:i w:val="0"/>
                <w:color w:val="auto"/>
                <w:sz w:val="21"/>
                <w:szCs w:val="21"/>
                <w:highlight w:val="none"/>
                <w:u w:val="none"/>
                <w:lang w:val="en-US" w:eastAsia="zh-CN"/>
              </w:rPr>
              <w:t>名称</w:t>
            </w:r>
          </w:p>
        </w:tc>
        <w:tc>
          <w:tcPr>
            <w:tcW w:w="1308" w:type="pct"/>
            <w:gridSpan w:val="2"/>
            <w:noWrap w:val="0"/>
            <w:tcMar>
              <w:top w:w="8" w:type="dxa"/>
              <w:left w:w="8" w:type="dxa"/>
              <w:right w:w="8" w:type="dxa"/>
            </w:tcMar>
            <w:vAlign w:val="center"/>
          </w:tcPr>
          <w:p w14:paraId="7912EAF8">
            <w:pPr>
              <w:keepNext w:val="0"/>
              <w:keepLines w:val="0"/>
              <w:widowControl/>
              <w:suppressLineNumbers w:val="0"/>
              <w:jc w:val="center"/>
              <w:textAlignment w:val="center"/>
              <w:rPr>
                <w:rFonts w:hint="eastAsia" w:ascii="Times New Roman" w:hAnsi="Times New Roman" w:eastAsia="宋体" w:cs="Times New Roman"/>
                <w:b/>
                <w:bCs/>
                <w:i w:val="0"/>
                <w:color w:val="auto"/>
                <w:sz w:val="21"/>
                <w:szCs w:val="21"/>
                <w:highlight w:val="none"/>
                <w:u w:val="none"/>
                <w:lang w:val="en-US" w:eastAsia="zh-CN"/>
              </w:rPr>
            </w:pPr>
            <w:r>
              <w:rPr>
                <w:rFonts w:hint="eastAsia" w:cs="Times New Roman"/>
                <w:b/>
                <w:bCs/>
                <w:i w:val="0"/>
                <w:color w:val="auto"/>
                <w:sz w:val="21"/>
                <w:szCs w:val="21"/>
                <w:highlight w:val="none"/>
                <w:u w:val="none"/>
                <w:lang w:val="en-US" w:eastAsia="zh-CN"/>
              </w:rPr>
              <w:t>贡献值</w:t>
            </w:r>
          </w:p>
        </w:tc>
        <w:tc>
          <w:tcPr>
            <w:tcW w:w="1381" w:type="pct"/>
            <w:gridSpan w:val="2"/>
            <w:noWrap w:val="0"/>
            <w:tcMar>
              <w:top w:w="8" w:type="dxa"/>
              <w:left w:w="8" w:type="dxa"/>
              <w:right w:w="8" w:type="dxa"/>
            </w:tcMar>
            <w:vAlign w:val="center"/>
          </w:tcPr>
          <w:p w14:paraId="23332BF3">
            <w:pPr>
              <w:keepNext w:val="0"/>
              <w:keepLines w:val="0"/>
              <w:widowControl/>
              <w:suppressLineNumbers w:val="0"/>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标准值</w:t>
            </w:r>
          </w:p>
        </w:tc>
        <w:tc>
          <w:tcPr>
            <w:tcW w:w="1443" w:type="pct"/>
            <w:gridSpan w:val="2"/>
            <w:noWrap w:val="0"/>
            <w:tcMar>
              <w:top w:w="8" w:type="dxa"/>
              <w:left w:w="8" w:type="dxa"/>
              <w:right w:w="8" w:type="dxa"/>
            </w:tcMar>
            <w:vAlign w:val="center"/>
          </w:tcPr>
          <w:p w14:paraId="0BA1C9CE">
            <w:pPr>
              <w:keepNext w:val="0"/>
              <w:keepLines w:val="0"/>
              <w:widowControl/>
              <w:suppressLineNumbers w:val="0"/>
              <w:jc w:val="center"/>
              <w:textAlignment w:val="center"/>
              <w:rPr>
                <w:rFonts w:hint="eastAsia" w:ascii="Times New Roman" w:hAnsi="Times New Roman" w:eastAsia="宋体" w:cs="Times New Roman"/>
                <w:b/>
                <w:bCs/>
                <w:i w:val="0"/>
                <w:color w:val="auto"/>
                <w:sz w:val="21"/>
                <w:szCs w:val="21"/>
                <w:highlight w:val="none"/>
                <w:u w:val="none"/>
                <w:lang w:val="en-US" w:eastAsia="zh-CN"/>
              </w:rPr>
            </w:pPr>
            <w:r>
              <w:rPr>
                <w:rFonts w:hint="default" w:ascii="Times New Roman" w:hAnsi="Times New Roman" w:eastAsia="宋体" w:cs="Times New Roman"/>
                <w:b/>
                <w:bCs/>
                <w:i w:val="0"/>
                <w:color w:val="auto"/>
                <w:kern w:val="0"/>
                <w:sz w:val="21"/>
                <w:szCs w:val="21"/>
                <w:highlight w:val="none"/>
                <w:u w:val="none"/>
                <w:lang w:val="en-US" w:eastAsia="zh-CN" w:bidi="ar"/>
              </w:rPr>
              <w:t>达标判定</w:t>
            </w:r>
          </w:p>
        </w:tc>
      </w:tr>
      <w:tr w14:paraId="24208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66" w:type="pct"/>
            <w:vMerge w:val="continue"/>
            <w:noWrap/>
            <w:tcMar>
              <w:top w:w="8" w:type="dxa"/>
              <w:left w:w="8" w:type="dxa"/>
              <w:right w:w="8" w:type="dxa"/>
            </w:tcMar>
            <w:vAlign w:val="center"/>
          </w:tcPr>
          <w:p w14:paraId="470F26BA">
            <w:pPr>
              <w:jc w:val="center"/>
              <w:rPr>
                <w:rFonts w:hint="default" w:ascii="Times New Roman" w:hAnsi="Times New Roman" w:eastAsia="宋体" w:cs="Times New Roman"/>
                <w:b/>
                <w:bCs/>
                <w:i w:val="0"/>
                <w:color w:val="auto"/>
                <w:sz w:val="21"/>
                <w:szCs w:val="21"/>
                <w:highlight w:val="none"/>
                <w:u w:val="none"/>
                <w:lang w:val="en-US" w:eastAsia="zh-CN"/>
              </w:rPr>
            </w:pPr>
          </w:p>
        </w:tc>
        <w:tc>
          <w:tcPr>
            <w:tcW w:w="753" w:type="pct"/>
            <w:noWrap w:val="0"/>
            <w:tcMar>
              <w:top w:w="8" w:type="dxa"/>
              <w:left w:w="8" w:type="dxa"/>
              <w:right w:w="8" w:type="dxa"/>
            </w:tcMar>
            <w:vAlign w:val="center"/>
          </w:tcPr>
          <w:p w14:paraId="0D6D8AEC">
            <w:pPr>
              <w:keepNext w:val="0"/>
              <w:keepLines w:val="0"/>
              <w:widowControl/>
              <w:suppressLineNumbers w:val="0"/>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昼间</w:t>
            </w:r>
          </w:p>
        </w:tc>
        <w:tc>
          <w:tcPr>
            <w:tcW w:w="554" w:type="pct"/>
            <w:noWrap w:val="0"/>
            <w:tcMar>
              <w:top w:w="8" w:type="dxa"/>
              <w:left w:w="8" w:type="dxa"/>
              <w:right w:w="8" w:type="dxa"/>
            </w:tcMar>
            <w:vAlign w:val="center"/>
          </w:tcPr>
          <w:p w14:paraId="6B9AA227">
            <w:pPr>
              <w:keepNext w:val="0"/>
              <w:keepLines w:val="0"/>
              <w:widowControl/>
              <w:suppressLineNumbers w:val="0"/>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夜间</w:t>
            </w:r>
          </w:p>
        </w:tc>
        <w:tc>
          <w:tcPr>
            <w:tcW w:w="644" w:type="pct"/>
            <w:noWrap w:val="0"/>
            <w:tcMar>
              <w:top w:w="8" w:type="dxa"/>
              <w:left w:w="8" w:type="dxa"/>
              <w:right w:w="8" w:type="dxa"/>
            </w:tcMar>
            <w:vAlign w:val="center"/>
          </w:tcPr>
          <w:p w14:paraId="1B32412B">
            <w:pPr>
              <w:keepNext w:val="0"/>
              <w:keepLines w:val="0"/>
              <w:widowControl/>
              <w:suppressLineNumbers w:val="0"/>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昼间</w:t>
            </w:r>
          </w:p>
        </w:tc>
        <w:tc>
          <w:tcPr>
            <w:tcW w:w="737" w:type="pct"/>
            <w:noWrap w:val="0"/>
            <w:tcMar>
              <w:top w:w="8" w:type="dxa"/>
              <w:left w:w="8" w:type="dxa"/>
              <w:right w:w="8" w:type="dxa"/>
            </w:tcMar>
            <w:vAlign w:val="center"/>
          </w:tcPr>
          <w:p w14:paraId="28ED10BF">
            <w:pPr>
              <w:keepNext w:val="0"/>
              <w:keepLines w:val="0"/>
              <w:widowControl/>
              <w:suppressLineNumbers w:val="0"/>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夜间</w:t>
            </w:r>
          </w:p>
        </w:tc>
        <w:tc>
          <w:tcPr>
            <w:tcW w:w="748" w:type="pct"/>
            <w:noWrap w:val="0"/>
            <w:tcMar>
              <w:top w:w="8" w:type="dxa"/>
              <w:left w:w="8" w:type="dxa"/>
              <w:right w:w="8" w:type="dxa"/>
            </w:tcMar>
            <w:vAlign w:val="center"/>
          </w:tcPr>
          <w:p w14:paraId="2428E923">
            <w:pPr>
              <w:keepNext w:val="0"/>
              <w:keepLines w:val="0"/>
              <w:widowControl/>
              <w:suppressLineNumbers w:val="0"/>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昼间</w:t>
            </w:r>
          </w:p>
        </w:tc>
        <w:tc>
          <w:tcPr>
            <w:tcW w:w="695" w:type="pct"/>
            <w:noWrap w:val="0"/>
            <w:tcMar>
              <w:top w:w="8" w:type="dxa"/>
              <w:left w:w="8" w:type="dxa"/>
              <w:right w:w="8" w:type="dxa"/>
            </w:tcMar>
            <w:vAlign w:val="center"/>
          </w:tcPr>
          <w:p w14:paraId="6CACA97F">
            <w:pPr>
              <w:keepNext w:val="0"/>
              <w:keepLines w:val="0"/>
              <w:widowControl/>
              <w:suppressLineNumbers w:val="0"/>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夜间</w:t>
            </w:r>
          </w:p>
        </w:tc>
      </w:tr>
      <w:tr w14:paraId="3658F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66" w:type="pct"/>
            <w:noWrap/>
            <w:tcMar>
              <w:top w:w="8" w:type="dxa"/>
              <w:left w:w="8" w:type="dxa"/>
              <w:right w:w="8" w:type="dxa"/>
            </w:tcMar>
            <w:vAlign w:val="center"/>
          </w:tcPr>
          <w:p w14:paraId="79567A14">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b/>
                <w:bCs/>
                <w:i w:val="0"/>
                <w:color w:val="auto"/>
                <w:kern w:val="0"/>
                <w:sz w:val="21"/>
                <w:szCs w:val="21"/>
                <w:highlight w:val="none"/>
                <w:u w:val="none"/>
                <w:lang w:val="en-US" w:eastAsia="zh-CN" w:bidi="ar"/>
              </w:rPr>
              <w:t>北场界</w:t>
            </w:r>
          </w:p>
        </w:tc>
        <w:tc>
          <w:tcPr>
            <w:tcW w:w="1254" w:type="dxa"/>
            <w:noWrap w:val="0"/>
            <w:tcMar>
              <w:top w:w="8" w:type="dxa"/>
              <w:left w:w="8" w:type="dxa"/>
              <w:right w:w="8" w:type="dxa"/>
            </w:tcMar>
            <w:vAlign w:val="center"/>
          </w:tcPr>
          <w:p w14:paraId="37005EF8">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20.66</w:t>
            </w:r>
          </w:p>
        </w:tc>
        <w:tc>
          <w:tcPr>
            <w:tcW w:w="924" w:type="dxa"/>
            <w:noWrap w:val="0"/>
            <w:tcMar>
              <w:top w:w="8" w:type="dxa"/>
              <w:left w:w="8" w:type="dxa"/>
              <w:right w:w="8" w:type="dxa"/>
            </w:tcMar>
            <w:vAlign w:val="center"/>
          </w:tcPr>
          <w:p w14:paraId="150EBB68">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20.66</w:t>
            </w:r>
          </w:p>
        </w:tc>
        <w:tc>
          <w:tcPr>
            <w:tcW w:w="644" w:type="pct"/>
            <w:noWrap w:val="0"/>
            <w:tcMar>
              <w:top w:w="8" w:type="dxa"/>
              <w:left w:w="8" w:type="dxa"/>
              <w:right w:w="8" w:type="dxa"/>
            </w:tcMar>
            <w:vAlign w:val="center"/>
          </w:tcPr>
          <w:p w14:paraId="7428454A">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60</w:t>
            </w:r>
          </w:p>
        </w:tc>
        <w:tc>
          <w:tcPr>
            <w:tcW w:w="737" w:type="pct"/>
            <w:noWrap w:val="0"/>
            <w:tcMar>
              <w:top w:w="8" w:type="dxa"/>
              <w:left w:w="8" w:type="dxa"/>
              <w:right w:w="8" w:type="dxa"/>
            </w:tcMar>
            <w:vAlign w:val="center"/>
          </w:tcPr>
          <w:p w14:paraId="6F290D25">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50</w:t>
            </w:r>
          </w:p>
        </w:tc>
        <w:tc>
          <w:tcPr>
            <w:tcW w:w="748" w:type="pct"/>
            <w:noWrap w:val="0"/>
            <w:tcMar>
              <w:top w:w="8" w:type="dxa"/>
              <w:left w:w="8" w:type="dxa"/>
              <w:right w:w="8" w:type="dxa"/>
            </w:tcMar>
            <w:vAlign w:val="center"/>
          </w:tcPr>
          <w:p w14:paraId="4E326ED9">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达标</w:t>
            </w:r>
          </w:p>
        </w:tc>
        <w:tc>
          <w:tcPr>
            <w:tcW w:w="695" w:type="pct"/>
            <w:noWrap w:val="0"/>
            <w:tcMar>
              <w:top w:w="8" w:type="dxa"/>
              <w:left w:w="8" w:type="dxa"/>
              <w:right w:w="8" w:type="dxa"/>
            </w:tcMar>
            <w:vAlign w:val="center"/>
          </w:tcPr>
          <w:p w14:paraId="6834C69E">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14:paraId="5AC38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66" w:type="pct"/>
            <w:noWrap/>
            <w:tcMar>
              <w:top w:w="8" w:type="dxa"/>
              <w:left w:w="8" w:type="dxa"/>
              <w:right w:w="8" w:type="dxa"/>
            </w:tcMar>
            <w:vAlign w:val="center"/>
          </w:tcPr>
          <w:p w14:paraId="091F4BAD">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b/>
                <w:bCs/>
                <w:i w:val="0"/>
                <w:color w:val="auto"/>
                <w:kern w:val="0"/>
                <w:sz w:val="21"/>
                <w:szCs w:val="21"/>
                <w:highlight w:val="none"/>
                <w:u w:val="none"/>
                <w:lang w:val="en-US" w:eastAsia="zh-CN" w:bidi="ar"/>
              </w:rPr>
              <w:t>东场界</w:t>
            </w:r>
          </w:p>
        </w:tc>
        <w:tc>
          <w:tcPr>
            <w:tcW w:w="1254" w:type="dxa"/>
            <w:noWrap w:val="0"/>
            <w:tcMar>
              <w:top w:w="8" w:type="dxa"/>
              <w:left w:w="8" w:type="dxa"/>
              <w:right w:w="8" w:type="dxa"/>
            </w:tcMar>
            <w:vAlign w:val="center"/>
          </w:tcPr>
          <w:p w14:paraId="4E51F6C3">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24.27</w:t>
            </w:r>
          </w:p>
        </w:tc>
        <w:tc>
          <w:tcPr>
            <w:tcW w:w="924" w:type="dxa"/>
            <w:noWrap w:val="0"/>
            <w:tcMar>
              <w:top w:w="8" w:type="dxa"/>
              <w:left w:w="8" w:type="dxa"/>
              <w:right w:w="8" w:type="dxa"/>
            </w:tcMar>
            <w:vAlign w:val="center"/>
          </w:tcPr>
          <w:p w14:paraId="779E93BB">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24.27</w:t>
            </w:r>
          </w:p>
        </w:tc>
        <w:tc>
          <w:tcPr>
            <w:tcW w:w="644" w:type="pct"/>
            <w:noWrap w:val="0"/>
            <w:tcMar>
              <w:top w:w="8" w:type="dxa"/>
              <w:left w:w="8" w:type="dxa"/>
              <w:right w:w="8" w:type="dxa"/>
            </w:tcMar>
            <w:vAlign w:val="center"/>
          </w:tcPr>
          <w:p w14:paraId="1B305604">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60</w:t>
            </w:r>
          </w:p>
        </w:tc>
        <w:tc>
          <w:tcPr>
            <w:tcW w:w="737" w:type="pct"/>
            <w:noWrap w:val="0"/>
            <w:tcMar>
              <w:top w:w="8" w:type="dxa"/>
              <w:left w:w="8" w:type="dxa"/>
              <w:right w:w="8" w:type="dxa"/>
            </w:tcMar>
            <w:vAlign w:val="center"/>
          </w:tcPr>
          <w:p w14:paraId="6450022F">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50</w:t>
            </w:r>
          </w:p>
        </w:tc>
        <w:tc>
          <w:tcPr>
            <w:tcW w:w="748" w:type="pct"/>
            <w:noWrap w:val="0"/>
            <w:tcMar>
              <w:top w:w="8" w:type="dxa"/>
              <w:left w:w="8" w:type="dxa"/>
              <w:right w:w="8" w:type="dxa"/>
            </w:tcMar>
            <w:vAlign w:val="center"/>
          </w:tcPr>
          <w:p w14:paraId="6DF23C28">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达标</w:t>
            </w:r>
          </w:p>
        </w:tc>
        <w:tc>
          <w:tcPr>
            <w:tcW w:w="695" w:type="pct"/>
            <w:noWrap w:val="0"/>
            <w:tcMar>
              <w:top w:w="8" w:type="dxa"/>
              <w:left w:w="8" w:type="dxa"/>
              <w:right w:w="8" w:type="dxa"/>
            </w:tcMar>
            <w:vAlign w:val="center"/>
          </w:tcPr>
          <w:p w14:paraId="1F92B433">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14:paraId="4A9A9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66" w:type="pct"/>
            <w:noWrap/>
            <w:tcMar>
              <w:top w:w="8" w:type="dxa"/>
              <w:left w:w="8" w:type="dxa"/>
              <w:right w:w="8" w:type="dxa"/>
            </w:tcMar>
            <w:vAlign w:val="center"/>
          </w:tcPr>
          <w:p w14:paraId="521DA1DA">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b/>
                <w:bCs/>
                <w:i w:val="0"/>
                <w:color w:val="auto"/>
                <w:kern w:val="0"/>
                <w:sz w:val="21"/>
                <w:szCs w:val="21"/>
                <w:highlight w:val="none"/>
                <w:u w:val="none"/>
                <w:lang w:val="en-US" w:eastAsia="zh-CN" w:bidi="ar"/>
              </w:rPr>
              <w:t>南场界</w:t>
            </w:r>
          </w:p>
        </w:tc>
        <w:tc>
          <w:tcPr>
            <w:tcW w:w="1254" w:type="dxa"/>
            <w:noWrap w:val="0"/>
            <w:tcMar>
              <w:top w:w="8" w:type="dxa"/>
              <w:left w:w="8" w:type="dxa"/>
              <w:right w:w="8" w:type="dxa"/>
            </w:tcMar>
            <w:vAlign w:val="center"/>
          </w:tcPr>
          <w:p w14:paraId="45A247CE">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13.41</w:t>
            </w:r>
          </w:p>
        </w:tc>
        <w:tc>
          <w:tcPr>
            <w:tcW w:w="924" w:type="dxa"/>
            <w:noWrap w:val="0"/>
            <w:tcMar>
              <w:top w:w="8" w:type="dxa"/>
              <w:left w:w="8" w:type="dxa"/>
              <w:right w:w="8" w:type="dxa"/>
            </w:tcMar>
            <w:vAlign w:val="center"/>
          </w:tcPr>
          <w:p w14:paraId="10B33BDB">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13.41</w:t>
            </w:r>
          </w:p>
        </w:tc>
        <w:tc>
          <w:tcPr>
            <w:tcW w:w="644" w:type="pct"/>
            <w:noWrap w:val="0"/>
            <w:tcMar>
              <w:top w:w="8" w:type="dxa"/>
              <w:left w:w="8" w:type="dxa"/>
              <w:right w:w="8" w:type="dxa"/>
            </w:tcMar>
            <w:vAlign w:val="center"/>
          </w:tcPr>
          <w:p w14:paraId="0D8941C9">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60</w:t>
            </w:r>
          </w:p>
        </w:tc>
        <w:tc>
          <w:tcPr>
            <w:tcW w:w="737" w:type="pct"/>
            <w:noWrap w:val="0"/>
            <w:tcMar>
              <w:top w:w="8" w:type="dxa"/>
              <w:left w:w="8" w:type="dxa"/>
              <w:right w:w="8" w:type="dxa"/>
            </w:tcMar>
            <w:vAlign w:val="center"/>
          </w:tcPr>
          <w:p w14:paraId="4DF374B1">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50</w:t>
            </w:r>
          </w:p>
        </w:tc>
        <w:tc>
          <w:tcPr>
            <w:tcW w:w="748" w:type="pct"/>
            <w:noWrap w:val="0"/>
            <w:tcMar>
              <w:top w:w="8" w:type="dxa"/>
              <w:left w:w="8" w:type="dxa"/>
              <w:right w:w="8" w:type="dxa"/>
            </w:tcMar>
            <w:vAlign w:val="center"/>
          </w:tcPr>
          <w:p w14:paraId="1FFC573F">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达标</w:t>
            </w:r>
          </w:p>
        </w:tc>
        <w:tc>
          <w:tcPr>
            <w:tcW w:w="695" w:type="pct"/>
            <w:noWrap w:val="0"/>
            <w:tcMar>
              <w:top w:w="8" w:type="dxa"/>
              <w:left w:w="8" w:type="dxa"/>
              <w:right w:w="8" w:type="dxa"/>
            </w:tcMar>
            <w:vAlign w:val="center"/>
          </w:tcPr>
          <w:p w14:paraId="3DD0AB35">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14:paraId="3960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66" w:type="pct"/>
            <w:noWrap/>
            <w:tcMar>
              <w:top w:w="8" w:type="dxa"/>
              <w:left w:w="8" w:type="dxa"/>
              <w:right w:w="8" w:type="dxa"/>
            </w:tcMar>
            <w:vAlign w:val="center"/>
          </w:tcPr>
          <w:p w14:paraId="7E7FEB95">
            <w:pPr>
              <w:keepNext w:val="0"/>
              <w:keepLines w:val="0"/>
              <w:widowControl/>
              <w:suppressLineNumbers w:val="0"/>
              <w:jc w:val="center"/>
              <w:textAlignment w:val="center"/>
              <w:rPr>
                <w:rFonts w:hint="eastAsia" w:ascii="Times New Roman" w:hAnsi="Times New Roman" w:eastAsia="宋体" w:cs="Times New Roman"/>
                <w:b/>
                <w:bCs/>
                <w:i w:val="0"/>
                <w:color w:val="auto"/>
                <w:kern w:val="0"/>
                <w:sz w:val="21"/>
                <w:szCs w:val="21"/>
                <w:highlight w:val="none"/>
                <w:u w:val="none"/>
                <w:lang w:val="en-US" w:eastAsia="zh-CN" w:bidi="ar"/>
              </w:rPr>
            </w:pPr>
            <w:r>
              <w:rPr>
                <w:rFonts w:hint="eastAsia" w:cs="Times New Roman"/>
                <w:b/>
                <w:bCs/>
                <w:i w:val="0"/>
                <w:color w:val="auto"/>
                <w:kern w:val="0"/>
                <w:sz w:val="21"/>
                <w:szCs w:val="21"/>
                <w:highlight w:val="none"/>
                <w:u w:val="none"/>
                <w:lang w:val="en-US" w:eastAsia="zh-CN" w:bidi="ar"/>
              </w:rPr>
              <w:t>西场界</w:t>
            </w:r>
          </w:p>
        </w:tc>
        <w:tc>
          <w:tcPr>
            <w:tcW w:w="1254" w:type="dxa"/>
            <w:noWrap w:val="0"/>
            <w:tcMar>
              <w:top w:w="8" w:type="dxa"/>
              <w:left w:w="8" w:type="dxa"/>
              <w:right w:w="8" w:type="dxa"/>
            </w:tcMar>
            <w:vAlign w:val="center"/>
          </w:tcPr>
          <w:p w14:paraId="20EA03F6">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15.76</w:t>
            </w:r>
          </w:p>
        </w:tc>
        <w:tc>
          <w:tcPr>
            <w:tcW w:w="924" w:type="dxa"/>
            <w:noWrap w:val="0"/>
            <w:tcMar>
              <w:top w:w="8" w:type="dxa"/>
              <w:left w:w="8" w:type="dxa"/>
              <w:right w:w="8" w:type="dxa"/>
            </w:tcMar>
            <w:vAlign w:val="center"/>
          </w:tcPr>
          <w:p w14:paraId="1C7354D9">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15.76</w:t>
            </w:r>
          </w:p>
        </w:tc>
        <w:tc>
          <w:tcPr>
            <w:tcW w:w="644" w:type="pct"/>
            <w:noWrap w:val="0"/>
            <w:tcMar>
              <w:top w:w="8" w:type="dxa"/>
              <w:left w:w="8" w:type="dxa"/>
              <w:right w:w="8" w:type="dxa"/>
            </w:tcMar>
            <w:vAlign w:val="center"/>
          </w:tcPr>
          <w:p w14:paraId="1E4DD2CF">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60</w:t>
            </w:r>
          </w:p>
        </w:tc>
        <w:tc>
          <w:tcPr>
            <w:tcW w:w="737" w:type="pct"/>
            <w:noWrap w:val="0"/>
            <w:tcMar>
              <w:top w:w="8" w:type="dxa"/>
              <w:left w:w="8" w:type="dxa"/>
              <w:right w:w="8" w:type="dxa"/>
            </w:tcMar>
            <w:vAlign w:val="center"/>
          </w:tcPr>
          <w:p w14:paraId="1D72B496">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50</w:t>
            </w:r>
          </w:p>
        </w:tc>
        <w:tc>
          <w:tcPr>
            <w:tcW w:w="748" w:type="pct"/>
            <w:noWrap w:val="0"/>
            <w:tcMar>
              <w:top w:w="8" w:type="dxa"/>
              <w:left w:w="8" w:type="dxa"/>
              <w:right w:w="8" w:type="dxa"/>
            </w:tcMar>
            <w:vAlign w:val="center"/>
          </w:tcPr>
          <w:p w14:paraId="54B67A49">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达标</w:t>
            </w:r>
          </w:p>
        </w:tc>
        <w:tc>
          <w:tcPr>
            <w:tcW w:w="695" w:type="pct"/>
            <w:noWrap w:val="0"/>
            <w:tcMar>
              <w:top w:w="8" w:type="dxa"/>
              <w:left w:w="8" w:type="dxa"/>
              <w:right w:w="8" w:type="dxa"/>
            </w:tcMar>
            <w:vAlign w:val="center"/>
          </w:tcPr>
          <w:p w14:paraId="6D509462">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bl>
    <w:p w14:paraId="01B283A5">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t>项目运行后，</w:t>
      </w:r>
      <w:r>
        <w:rPr>
          <w:rFonts w:hint="eastAsia" w:cs="Times New Roman"/>
          <w:color w:val="auto"/>
          <w:kern w:val="0"/>
          <w:sz w:val="24"/>
          <w:highlight w:val="none"/>
          <w:lang w:val="en-US" w:eastAsia="zh-CN"/>
        </w:rPr>
        <w:t>场界</w:t>
      </w:r>
      <w:r>
        <w:rPr>
          <w:rFonts w:hint="eastAsia" w:ascii="Times New Roman" w:hAnsi="Times New Roman" w:cs="Times New Roman"/>
          <w:color w:val="auto"/>
          <w:kern w:val="0"/>
          <w:sz w:val="24"/>
          <w:highlight w:val="none"/>
          <w:lang w:val="en-US" w:eastAsia="zh-CN"/>
        </w:rPr>
        <w:t>噪声可</w:t>
      </w:r>
      <w:r>
        <w:rPr>
          <w:rFonts w:hint="default" w:ascii="Times New Roman" w:hAnsi="Times New Roman" w:cs="Times New Roman"/>
          <w:color w:val="auto"/>
          <w:kern w:val="0"/>
          <w:sz w:val="24"/>
          <w:highlight w:val="none"/>
          <w:lang w:val="zh-CN"/>
        </w:rPr>
        <w:t>满足《工业企业厂界环境噪声排放标准》(GB12348-2008)2类区标准</w:t>
      </w:r>
      <w:r>
        <w:rPr>
          <w:rFonts w:hint="default" w:ascii="Times New Roman" w:hAnsi="Times New Roman" w:cs="Times New Roman"/>
          <w:color w:val="auto"/>
          <w:kern w:val="0"/>
          <w:sz w:val="24"/>
          <w:szCs w:val="24"/>
          <w:highlight w:val="none"/>
          <w:lang w:val="zh-CN"/>
        </w:rPr>
        <w:t>。因此</w:t>
      </w:r>
      <w:r>
        <w:rPr>
          <w:rFonts w:hint="default" w:ascii="Times New Roman" w:hAnsi="Times New Roman" w:cs="Times New Roman"/>
          <w:color w:val="auto"/>
          <w:kern w:val="0"/>
          <w:sz w:val="24"/>
          <w:highlight w:val="none"/>
          <w:lang w:val="zh-CN"/>
        </w:rPr>
        <w:t>，项目运营不会改变区域声环境质量功能要求，对区域声环境影响较小。</w:t>
      </w:r>
    </w:p>
    <w:p w14:paraId="13D35D8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zh-CN" w:eastAsia="zh-CN"/>
        </w:rPr>
      </w:pPr>
      <w:r>
        <w:rPr>
          <w:rFonts w:hint="default" w:ascii="Times New Roman" w:hAnsi="Times New Roman" w:eastAsia="宋体" w:cs="Times New Roman"/>
          <w:b/>
          <w:sz w:val="24"/>
          <w:szCs w:val="24"/>
          <w:highlight w:val="none"/>
          <w:lang w:val="zh-CN" w:eastAsia="zh-CN"/>
        </w:rPr>
        <w:t>5.2.4.</w:t>
      </w:r>
      <w:r>
        <w:rPr>
          <w:rFonts w:hint="eastAsia" w:ascii="Times New Roman" w:hAnsi="Times New Roman" w:eastAsia="宋体" w:cs="Times New Roman"/>
          <w:b/>
          <w:sz w:val="24"/>
          <w:szCs w:val="24"/>
          <w:highlight w:val="none"/>
          <w:lang w:val="en-US" w:eastAsia="zh-CN"/>
        </w:rPr>
        <w:t>6声环境影响评价自查表</w:t>
      </w:r>
    </w:p>
    <w:p w14:paraId="32358976">
      <w:pPr>
        <w:pStyle w:val="323"/>
        <w:keepNext w:val="0"/>
        <w:keepLines w:val="0"/>
        <w:pageBreakBefore w:val="0"/>
        <w:widowControl w:val="0"/>
        <w:numPr>
          <w:ilvl w:val="0"/>
          <w:numId w:val="0"/>
        </w:numPr>
        <w:tabs>
          <w:tab w:val="left" w:pos="420"/>
        </w:tabs>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cs="Times New Roman"/>
          <w:b w:val="0"/>
          <w:bCs/>
          <w:kern w:val="2"/>
          <w:sz w:val="24"/>
          <w:szCs w:val="32"/>
          <w:highlight w:val="none"/>
          <w:lang w:val="en-US" w:eastAsia="zh-CN" w:bidi="ar-SA"/>
        </w:rPr>
      </w:pPr>
      <w:r>
        <w:rPr>
          <w:rFonts w:hint="eastAsia" w:cs="Times New Roman"/>
          <w:b w:val="0"/>
          <w:bCs/>
          <w:kern w:val="2"/>
          <w:sz w:val="24"/>
          <w:szCs w:val="32"/>
          <w:highlight w:val="none"/>
          <w:lang w:val="en-US" w:eastAsia="zh-CN" w:bidi="ar-SA"/>
        </w:rPr>
        <w:t>本项目声环境影响评价自查表见下表。</w:t>
      </w:r>
    </w:p>
    <w:p w14:paraId="59A0D152">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val="0"/>
          <w:kern w:val="2"/>
          <w:sz w:val="21"/>
          <w:szCs w:val="24"/>
          <w:highlight w:val="none"/>
          <w:lang w:val="en-US" w:eastAsia="zh-CN" w:bidi="ar-SA"/>
        </w:rPr>
      </w:pPr>
      <w:r>
        <w:rPr>
          <w:rFonts w:hint="eastAsia" w:cs="Times New Roman"/>
          <w:b/>
          <w:bCs w:val="0"/>
          <w:kern w:val="2"/>
          <w:sz w:val="21"/>
          <w:szCs w:val="24"/>
          <w:highlight w:val="none"/>
          <w:lang w:val="en-US" w:eastAsia="zh-CN" w:bidi="ar-SA"/>
        </w:rPr>
        <w:t>声环境影响评价自查表</w:t>
      </w:r>
    </w:p>
    <w:tbl>
      <w:tblPr>
        <w:tblStyle w:val="58"/>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05"/>
        <w:gridCol w:w="1356"/>
        <w:gridCol w:w="855"/>
        <w:gridCol w:w="509"/>
        <w:gridCol w:w="293"/>
        <w:gridCol w:w="203"/>
        <w:gridCol w:w="1003"/>
        <w:gridCol w:w="1022"/>
        <w:gridCol w:w="513"/>
        <w:gridCol w:w="474"/>
        <w:gridCol w:w="1087"/>
      </w:tblGrid>
      <w:tr w14:paraId="5C374A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9" w:type="pct"/>
            <w:gridSpan w:val="2"/>
            <w:tcBorders>
              <w:tl2br w:val="nil"/>
              <w:tr2bl w:val="nil"/>
            </w:tcBorders>
          </w:tcPr>
          <w:p w14:paraId="281E788A">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工作内容</w:t>
            </w:r>
          </w:p>
        </w:tc>
        <w:tc>
          <w:tcPr>
            <w:tcW w:w="3580" w:type="pct"/>
            <w:gridSpan w:val="9"/>
            <w:tcBorders>
              <w:tl2br w:val="nil"/>
              <w:tr2bl w:val="nil"/>
            </w:tcBorders>
          </w:tcPr>
          <w:p w14:paraId="417B03C4">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自查项目</w:t>
            </w:r>
          </w:p>
        </w:tc>
      </w:tr>
      <w:tr w14:paraId="775C36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restart"/>
            <w:tcBorders>
              <w:tl2br w:val="nil"/>
              <w:tr2bl w:val="nil"/>
            </w:tcBorders>
            <w:vAlign w:val="center"/>
          </w:tcPr>
          <w:p w14:paraId="6082305E">
            <w:pPr>
              <w:pStyle w:val="227"/>
              <w:keepNext w:val="0"/>
              <w:keepLines w:val="0"/>
              <w:pageBreakBefore w:val="0"/>
              <w:widowControl w:val="0"/>
              <w:kinsoku/>
              <w:wordWrap/>
              <w:overflowPunct/>
              <w:topLinePunct w:val="0"/>
              <w:bidi w:val="0"/>
              <w:snapToGrid/>
              <w:spacing w:line="240" w:lineRule="atLeast"/>
              <w:ind w:left="0" w:right="0" w:hanging="92"/>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评价等级与范围</w:t>
            </w:r>
          </w:p>
        </w:tc>
        <w:tc>
          <w:tcPr>
            <w:tcW w:w="815" w:type="pct"/>
            <w:tcBorders>
              <w:tl2br w:val="nil"/>
              <w:tr2bl w:val="nil"/>
            </w:tcBorders>
            <w:vAlign w:val="center"/>
          </w:tcPr>
          <w:p w14:paraId="62929151">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评价等级</w:t>
            </w:r>
          </w:p>
        </w:tc>
        <w:tc>
          <w:tcPr>
            <w:tcW w:w="3580" w:type="pct"/>
            <w:gridSpan w:val="9"/>
            <w:tcBorders>
              <w:tl2br w:val="nil"/>
              <w:tr2bl w:val="nil"/>
            </w:tcBorders>
          </w:tcPr>
          <w:p w14:paraId="62E1EE5F">
            <w:pPr>
              <w:pStyle w:val="227"/>
              <w:keepNext w:val="0"/>
              <w:keepLines w:val="0"/>
              <w:pageBreakBefore w:val="0"/>
              <w:widowControl w:val="0"/>
              <w:tabs>
                <w:tab w:val="left" w:pos="2103"/>
                <w:tab w:val="left" w:pos="3635"/>
              </w:tabs>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一级□</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二</w:t>
            </w:r>
            <w:r>
              <w:rPr>
                <w:rFonts w:hint="default" w:ascii="Times New Roman" w:hAnsi="Times New Roman" w:eastAsia="宋体" w:cs="Times New Roman"/>
                <w:spacing w:val="-3"/>
                <w:sz w:val="21"/>
                <w:szCs w:val="21"/>
                <w:highlight w:val="none"/>
              </w:rPr>
              <w:t>级</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三级□</w:t>
            </w:r>
          </w:p>
        </w:tc>
      </w:tr>
      <w:tr w14:paraId="49654C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317FD1C7">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6654E9E5">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评价范围</w:t>
            </w:r>
          </w:p>
        </w:tc>
        <w:tc>
          <w:tcPr>
            <w:tcW w:w="3580" w:type="pct"/>
            <w:gridSpan w:val="9"/>
            <w:tcBorders>
              <w:tl2br w:val="nil"/>
              <w:tr2bl w:val="nil"/>
            </w:tcBorders>
          </w:tcPr>
          <w:p w14:paraId="4DEFE09E">
            <w:pPr>
              <w:pStyle w:val="227"/>
              <w:keepNext w:val="0"/>
              <w:keepLines w:val="0"/>
              <w:pageBreakBefore w:val="0"/>
              <w:widowControl w:val="0"/>
              <w:tabs>
                <w:tab w:val="left" w:pos="2384"/>
                <w:tab w:val="left" w:pos="5315"/>
              </w:tabs>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200m</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pacing w:val="-3"/>
                <w:sz w:val="21"/>
                <w:szCs w:val="21"/>
                <w:highlight w:val="none"/>
              </w:rPr>
              <w:t>大</w:t>
            </w:r>
            <w:r>
              <w:rPr>
                <w:rFonts w:hint="default" w:ascii="Times New Roman" w:hAnsi="Times New Roman" w:eastAsia="宋体" w:cs="Times New Roman"/>
                <w:sz w:val="21"/>
                <w:szCs w:val="21"/>
                <w:highlight w:val="none"/>
              </w:rPr>
              <w:t>于200m□</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小于200m□</w:t>
            </w:r>
          </w:p>
        </w:tc>
      </w:tr>
      <w:tr w14:paraId="2F112F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tcBorders>
              <w:tl2br w:val="nil"/>
              <w:tr2bl w:val="nil"/>
            </w:tcBorders>
            <w:vAlign w:val="center"/>
          </w:tcPr>
          <w:p w14:paraId="5ED1F115">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评价因子</w:t>
            </w:r>
          </w:p>
        </w:tc>
        <w:tc>
          <w:tcPr>
            <w:tcW w:w="815" w:type="pct"/>
            <w:tcBorders>
              <w:tl2br w:val="nil"/>
              <w:tr2bl w:val="nil"/>
            </w:tcBorders>
            <w:vAlign w:val="center"/>
          </w:tcPr>
          <w:p w14:paraId="0BA7AABC">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评价因子</w:t>
            </w:r>
          </w:p>
        </w:tc>
        <w:tc>
          <w:tcPr>
            <w:tcW w:w="3580" w:type="pct"/>
            <w:gridSpan w:val="9"/>
            <w:tcBorders>
              <w:tl2br w:val="nil"/>
              <w:tr2bl w:val="nil"/>
            </w:tcBorders>
            <w:vAlign w:val="center"/>
          </w:tcPr>
          <w:p w14:paraId="12076759">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等效连续A声级</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最大A声级□</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计权等效连续感觉噪声级□</w:t>
            </w:r>
          </w:p>
        </w:tc>
      </w:tr>
      <w:tr w14:paraId="139525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tcBorders>
              <w:tl2br w:val="nil"/>
              <w:tr2bl w:val="nil"/>
            </w:tcBorders>
            <w:vAlign w:val="center"/>
          </w:tcPr>
          <w:p w14:paraId="03D1E49B">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评价标准</w:t>
            </w:r>
          </w:p>
        </w:tc>
        <w:tc>
          <w:tcPr>
            <w:tcW w:w="815" w:type="pct"/>
            <w:tcBorders>
              <w:tl2br w:val="nil"/>
              <w:tr2bl w:val="nil"/>
            </w:tcBorders>
            <w:vAlign w:val="center"/>
          </w:tcPr>
          <w:p w14:paraId="17B9FF8D">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评价标准</w:t>
            </w:r>
          </w:p>
        </w:tc>
        <w:tc>
          <w:tcPr>
            <w:tcW w:w="3580" w:type="pct"/>
            <w:gridSpan w:val="9"/>
            <w:tcBorders>
              <w:tl2br w:val="nil"/>
              <w:tr2bl w:val="nil"/>
            </w:tcBorders>
            <w:vAlign w:val="center"/>
          </w:tcPr>
          <w:p w14:paraId="3B3DD658">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国家标准</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地方标准□</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国外标准□</w:t>
            </w:r>
          </w:p>
        </w:tc>
      </w:tr>
      <w:tr w14:paraId="09F3E1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restart"/>
            <w:tcBorders>
              <w:tl2br w:val="nil"/>
              <w:tr2bl w:val="nil"/>
            </w:tcBorders>
            <w:vAlign w:val="center"/>
          </w:tcPr>
          <w:p w14:paraId="648071AD">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现状评价</w:t>
            </w:r>
          </w:p>
        </w:tc>
        <w:tc>
          <w:tcPr>
            <w:tcW w:w="815" w:type="pct"/>
            <w:tcBorders>
              <w:tl2br w:val="nil"/>
              <w:tr2bl w:val="nil"/>
            </w:tcBorders>
            <w:vAlign w:val="center"/>
          </w:tcPr>
          <w:p w14:paraId="053F1918">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环境功能区</w:t>
            </w:r>
          </w:p>
        </w:tc>
        <w:tc>
          <w:tcPr>
            <w:tcW w:w="514" w:type="pct"/>
            <w:tcBorders>
              <w:tl2br w:val="nil"/>
              <w:tr2bl w:val="nil"/>
            </w:tcBorders>
            <w:vAlign w:val="center"/>
          </w:tcPr>
          <w:p w14:paraId="23D3E6FB">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0类区□</w:t>
            </w:r>
          </w:p>
        </w:tc>
        <w:tc>
          <w:tcPr>
            <w:tcW w:w="604" w:type="pct"/>
            <w:gridSpan w:val="3"/>
            <w:tcBorders>
              <w:tl2br w:val="nil"/>
              <w:tr2bl w:val="nil"/>
            </w:tcBorders>
            <w:vAlign w:val="center"/>
          </w:tcPr>
          <w:p w14:paraId="4B30DBDC">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1类区</w:t>
            </w:r>
            <w:r>
              <w:rPr>
                <w:rFonts w:hint="default" w:ascii="Times New Roman" w:hAnsi="Times New Roman" w:eastAsia="宋体" w:cs="Times New Roman"/>
                <w:sz w:val="21"/>
                <w:szCs w:val="21"/>
                <w:highlight w:val="none"/>
              </w:rPr>
              <w:sym w:font="Wingdings 2" w:char="00A3"/>
            </w:r>
          </w:p>
        </w:tc>
        <w:tc>
          <w:tcPr>
            <w:tcW w:w="601" w:type="pct"/>
            <w:tcBorders>
              <w:tl2br w:val="nil"/>
              <w:tr2bl w:val="nil"/>
            </w:tcBorders>
            <w:vAlign w:val="center"/>
          </w:tcPr>
          <w:p w14:paraId="68AAEC5F">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2类区</w:t>
            </w:r>
            <w:r>
              <w:rPr>
                <w:rFonts w:hint="default" w:ascii="Times New Roman" w:hAnsi="Times New Roman" w:eastAsia="宋体" w:cs="Times New Roman"/>
                <w:sz w:val="21"/>
                <w:szCs w:val="21"/>
                <w:highlight w:val="none"/>
              </w:rPr>
              <w:sym w:font="Wingdings 2" w:char="0052"/>
            </w:r>
          </w:p>
        </w:tc>
        <w:tc>
          <w:tcPr>
            <w:tcW w:w="614" w:type="pct"/>
            <w:tcBorders>
              <w:tl2br w:val="nil"/>
              <w:tr2bl w:val="nil"/>
            </w:tcBorders>
            <w:vAlign w:val="center"/>
          </w:tcPr>
          <w:p w14:paraId="04A3DF8A">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3类区□</w:t>
            </w:r>
          </w:p>
        </w:tc>
        <w:tc>
          <w:tcPr>
            <w:tcW w:w="593" w:type="pct"/>
            <w:gridSpan w:val="2"/>
            <w:tcBorders>
              <w:tl2br w:val="nil"/>
              <w:tr2bl w:val="nil"/>
            </w:tcBorders>
            <w:vAlign w:val="center"/>
          </w:tcPr>
          <w:p w14:paraId="1E15EDAE">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4a类区□</w:t>
            </w:r>
          </w:p>
        </w:tc>
        <w:tc>
          <w:tcPr>
            <w:tcW w:w="651" w:type="pct"/>
            <w:tcBorders>
              <w:tl2br w:val="nil"/>
              <w:tr2bl w:val="nil"/>
            </w:tcBorders>
            <w:vAlign w:val="center"/>
          </w:tcPr>
          <w:p w14:paraId="75A57665">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4b类区□</w:t>
            </w:r>
          </w:p>
        </w:tc>
      </w:tr>
      <w:tr w14:paraId="2236A8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2B42A030">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5A64D4D4">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评价年度</w:t>
            </w:r>
          </w:p>
        </w:tc>
        <w:tc>
          <w:tcPr>
            <w:tcW w:w="820" w:type="pct"/>
            <w:gridSpan w:val="2"/>
            <w:tcBorders>
              <w:tl2br w:val="nil"/>
              <w:tr2bl w:val="nil"/>
            </w:tcBorders>
            <w:vAlign w:val="center"/>
          </w:tcPr>
          <w:p w14:paraId="42AA0440">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初期□</w:t>
            </w:r>
          </w:p>
        </w:tc>
        <w:tc>
          <w:tcPr>
            <w:tcW w:w="900" w:type="pct"/>
            <w:gridSpan w:val="3"/>
            <w:tcBorders>
              <w:tl2br w:val="nil"/>
              <w:tr2bl w:val="nil"/>
            </w:tcBorders>
            <w:vAlign w:val="center"/>
          </w:tcPr>
          <w:p w14:paraId="5F74FCAD">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近期□</w:t>
            </w:r>
          </w:p>
        </w:tc>
        <w:tc>
          <w:tcPr>
            <w:tcW w:w="922" w:type="pct"/>
            <w:gridSpan w:val="2"/>
            <w:tcBorders>
              <w:tl2br w:val="nil"/>
              <w:tr2bl w:val="nil"/>
            </w:tcBorders>
            <w:vAlign w:val="center"/>
          </w:tcPr>
          <w:p w14:paraId="3927C940">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中期□</w:t>
            </w:r>
          </w:p>
        </w:tc>
        <w:tc>
          <w:tcPr>
            <w:tcW w:w="936" w:type="pct"/>
            <w:gridSpan w:val="2"/>
            <w:tcBorders>
              <w:tl2br w:val="nil"/>
              <w:tr2bl w:val="nil"/>
            </w:tcBorders>
            <w:vAlign w:val="center"/>
          </w:tcPr>
          <w:p w14:paraId="527982A9">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远期□</w:t>
            </w:r>
          </w:p>
        </w:tc>
      </w:tr>
      <w:tr w14:paraId="389FA8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05DFBD8F">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0E568E53">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现状调查方法</w:t>
            </w:r>
          </w:p>
        </w:tc>
        <w:tc>
          <w:tcPr>
            <w:tcW w:w="3580" w:type="pct"/>
            <w:gridSpan w:val="9"/>
            <w:tcBorders>
              <w:tl2br w:val="nil"/>
              <w:tr2bl w:val="nil"/>
            </w:tcBorders>
            <w:vAlign w:val="center"/>
          </w:tcPr>
          <w:p w14:paraId="187C53A4">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现场实测法</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现场实测加模型计算法□</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收集资料□</w:t>
            </w:r>
          </w:p>
        </w:tc>
      </w:tr>
      <w:tr w14:paraId="1BFB7D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0AFF3FC8">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4B3F3A55">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现状评价</w:t>
            </w:r>
          </w:p>
        </w:tc>
        <w:tc>
          <w:tcPr>
            <w:tcW w:w="996" w:type="pct"/>
            <w:gridSpan w:val="3"/>
            <w:tcBorders>
              <w:tl2br w:val="nil"/>
              <w:tr2bl w:val="nil"/>
            </w:tcBorders>
            <w:vAlign w:val="center"/>
          </w:tcPr>
          <w:p w14:paraId="2DFB876D">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达标百分比</w:t>
            </w:r>
          </w:p>
        </w:tc>
        <w:tc>
          <w:tcPr>
            <w:tcW w:w="2583" w:type="pct"/>
            <w:gridSpan w:val="6"/>
            <w:tcBorders>
              <w:tl2br w:val="nil"/>
              <w:tr2bl w:val="nil"/>
            </w:tcBorders>
            <w:vAlign w:val="center"/>
          </w:tcPr>
          <w:p w14:paraId="19605EB4">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100%</w:t>
            </w:r>
          </w:p>
        </w:tc>
      </w:tr>
      <w:tr w14:paraId="332210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tcBorders>
              <w:tl2br w:val="nil"/>
              <w:tr2bl w:val="nil"/>
            </w:tcBorders>
            <w:vAlign w:val="center"/>
          </w:tcPr>
          <w:p w14:paraId="00F270F6">
            <w:pPr>
              <w:pStyle w:val="227"/>
              <w:keepNext w:val="0"/>
              <w:keepLines w:val="0"/>
              <w:pageBreakBefore w:val="0"/>
              <w:widowControl w:val="0"/>
              <w:kinsoku/>
              <w:wordWrap/>
              <w:overflowPunct/>
              <w:topLinePunct w:val="0"/>
              <w:bidi w:val="0"/>
              <w:snapToGrid/>
              <w:spacing w:line="240" w:lineRule="atLeast"/>
              <w:ind w:left="0" w:right="0" w:hanging="89"/>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噪声源调查</w:t>
            </w:r>
          </w:p>
        </w:tc>
        <w:tc>
          <w:tcPr>
            <w:tcW w:w="815" w:type="pct"/>
            <w:tcBorders>
              <w:tl2br w:val="nil"/>
              <w:tr2bl w:val="nil"/>
            </w:tcBorders>
            <w:vAlign w:val="center"/>
          </w:tcPr>
          <w:p w14:paraId="44BD5AC6">
            <w:pPr>
              <w:pStyle w:val="227"/>
              <w:keepNext w:val="0"/>
              <w:keepLines w:val="0"/>
              <w:pageBreakBefore w:val="0"/>
              <w:widowControl w:val="0"/>
              <w:kinsoku/>
              <w:wordWrap/>
              <w:overflowPunct/>
              <w:topLinePunct w:val="0"/>
              <w:bidi w:val="0"/>
              <w:snapToGrid/>
              <w:spacing w:line="240" w:lineRule="atLeast"/>
              <w:ind w:left="0" w:right="0" w:hanging="452"/>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噪声源调查方法</w:t>
            </w:r>
          </w:p>
        </w:tc>
        <w:tc>
          <w:tcPr>
            <w:tcW w:w="3580" w:type="pct"/>
            <w:gridSpan w:val="9"/>
            <w:tcBorders>
              <w:tl2br w:val="nil"/>
              <w:tr2bl w:val="nil"/>
            </w:tcBorders>
            <w:vAlign w:val="center"/>
          </w:tcPr>
          <w:p w14:paraId="5A229469">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现场实测□</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已有资料□</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研究成果</w:t>
            </w:r>
            <w:r>
              <w:rPr>
                <w:rFonts w:hint="default" w:ascii="Times New Roman" w:hAnsi="Times New Roman" w:eastAsia="宋体" w:cs="Times New Roman"/>
                <w:sz w:val="21"/>
                <w:szCs w:val="21"/>
                <w:highlight w:val="none"/>
              </w:rPr>
              <w:sym w:font="Wingdings 2" w:char="0052"/>
            </w:r>
          </w:p>
        </w:tc>
      </w:tr>
      <w:tr w14:paraId="225563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restart"/>
            <w:tcBorders>
              <w:tl2br w:val="nil"/>
              <w:tr2bl w:val="nil"/>
            </w:tcBorders>
            <w:vAlign w:val="center"/>
          </w:tcPr>
          <w:p w14:paraId="4B1FAA5C">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声环境影响预测与评价</w:t>
            </w:r>
          </w:p>
        </w:tc>
        <w:tc>
          <w:tcPr>
            <w:tcW w:w="815" w:type="pct"/>
            <w:tcBorders>
              <w:tl2br w:val="nil"/>
              <w:tr2bl w:val="nil"/>
            </w:tcBorders>
            <w:vAlign w:val="center"/>
          </w:tcPr>
          <w:p w14:paraId="37CFEEB1">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预测模型</w:t>
            </w:r>
          </w:p>
        </w:tc>
        <w:tc>
          <w:tcPr>
            <w:tcW w:w="3580" w:type="pct"/>
            <w:gridSpan w:val="9"/>
            <w:tcBorders>
              <w:tl2br w:val="nil"/>
              <w:tr2bl w:val="nil"/>
            </w:tcBorders>
            <w:vAlign w:val="center"/>
          </w:tcPr>
          <w:p w14:paraId="00F5B2BA">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导则推荐模型</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其他□</w:t>
            </w:r>
          </w:p>
        </w:tc>
      </w:tr>
      <w:tr w14:paraId="375C93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440763AF">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152E73A8">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预测范围</w:t>
            </w:r>
          </w:p>
        </w:tc>
        <w:tc>
          <w:tcPr>
            <w:tcW w:w="3580" w:type="pct"/>
            <w:gridSpan w:val="9"/>
            <w:tcBorders>
              <w:tl2br w:val="nil"/>
              <w:tr2bl w:val="nil"/>
            </w:tcBorders>
            <w:vAlign w:val="center"/>
          </w:tcPr>
          <w:p w14:paraId="12E69969">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200m</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大于200m□</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小于200m□</w:t>
            </w:r>
          </w:p>
        </w:tc>
      </w:tr>
      <w:tr w14:paraId="3ECD46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1EB4263C">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5A1BEE35">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预测因子</w:t>
            </w:r>
          </w:p>
        </w:tc>
        <w:tc>
          <w:tcPr>
            <w:tcW w:w="3580" w:type="pct"/>
            <w:gridSpan w:val="9"/>
            <w:tcBorders>
              <w:tl2br w:val="nil"/>
              <w:tr2bl w:val="nil"/>
            </w:tcBorders>
            <w:vAlign w:val="center"/>
          </w:tcPr>
          <w:p w14:paraId="2E0E65CD">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等效连续A声级</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最大A声级□</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计权等效连续感觉噪声级□</w:t>
            </w:r>
          </w:p>
        </w:tc>
      </w:tr>
      <w:tr w14:paraId="42CA16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76074F6F">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0D866F0A">
            <w:pPr>
              <w:pStyle w:val="227"/>
              <w:keepNext w:val="0"/>
              <w:keepLines w:val="0"/>
              <w:pageBreakBefore w:val="0"/>
              <w:widowControl w:val="0"/>
              <w:kinsoku/>
              <w:wordWrap/>
              <w:overflowPunct/>
              <w:topLinePunct w:val="0"/>
              <w:bidi w:val="0"/>
              <w:snapToGrid/>
              <w:spacing w:line="240" w:lineRule="atLeast"/>
              <w:ind w:left="0" w:right="0" w:hanging="452"/>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厂界噪声贡献值</w:t>
            </w:r>
          </w:p>
        </w:tc>
        <w:tc>
          <w:tcPr>
            <w:tcW w:w="3580" w:type="pct"/>
            <w:gridSpan w:val="9"/>
            <w:tcBorders>
              <w:tl2br w:val="nil"/>
              <w:tr2bl w:val="nil"/>
            </w:tcBorders>
            <w:vAlign w:val="center"/>
          </w:tcPr>
          <w:p w14:paraId="44517800">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达标</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不达标□</w:t>
            </w:r>
          </w:p>
        </w:tc>
      </w:tr>
      <w:tr w14:paraId="23F5C9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4B5A6503">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6598A541">
            <w:pPr>
              <w:pStyle w:val="227"/>
              <w:keepNext w:val="0"/>
              <w:keepLines w:val="0"/>
              <w:pageBreakBefore w:val="0"/>
              <w:widowControl w:val="0"/>
              <w:kinsoku/>
              <w:wordWrap/>
              <w:overflowPunct/>
              <w:topLinePunct w:val="0"/>
              <w:bidi w:val="0"/>
              <w:snapToGrid/>
              <w:spacing w:line="240" w:lineRule="atLeast"/>
              <w:ind w:left="0" w:right="0" w:hanging="92"/>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声环境保护目标处噪声值</w:t>
            </w:r>
          </w:p>
        </w:tc>
        <w:tc>
          <w:tcPr>
            <w:tcW w:w="3580" w:type="pct"/>
            <w:gridSpan w:val="9"/>
            <w:tcBorders>
              <w:tl2br w:val="nil"/>
              <w:tr2bl w:val="nil"/>
            </w:tcBorders>
            <w:vAlign w:val="center"/>
          </w:tcPr>
          <w:p w14:paraId="00261426">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达标</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不达标□</w:t>
            </w:r>
          </w:p>
        </w:tc>
      </w:tr>
      <w:tr w14:paraId="531DB8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restart"/>
            <w:tcBorders>
              <w:tl2br w:val="nil"/>
              <w:tr2bl w:val="nil"/>
            </w:tcBorders>
            <w:vAlign w:val="center"/>
          </w:tcPr>
          <w:p w14:paraId="21C00E73">
            <w:pPr>
              <w:pStyle w:val="227"/>
              <w:keepNext w:val="0"/>
              <w:keepLines w:val="0"/>
              <w:pageBreakBefore w:val="0"/>
              <w:widowControl w:val="0"/>
              <w:kinsoku/>
              <w:wordWrap/>
              <w:overflowPunct/>
              <w:topLinePunct w:val="0"/>
              <w:bidi w:val="0"/>
              <w:snapToGrid/>
              <w:spacing w:line="240" w:lineRule="atLeast"/>
              <w:ind w:left="0" w:right="0" w:hanging="18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环境监测计划</w:t>
            </w:r>
          </w:p>
        </w:tc>
        <w:tc>
          <w:tcPr>
            <w:tcW w:w="815" w:type="pct"/>
            <w:tcBorders>
              <w:tl2br w:val="nil"/>
              <w:tr2bl w:val="nil"/>
            </w:tcBorders>
            <w:vAlign w:val="center"/>
          </w:tcPr>
          <w:p w14:paraId="18805BE0">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排放监测</w:t>
            </w:r>
          </w:p>
        </w:tc>
        <w:tc>
          <w:tcPr>
            <w:tcW w:w="3580" w:type="pct"/>
            <w:gridSpan w:val="9"/>
            <w:tcBorders>
              <w:tl2br w:val="nil"/>
              <w:tr2bl w:val="nil"/>
            </w:tcBorders>
            <w:vAlign w:val="center"/>
          </w:tcPr>
          <w:p w14:paraId="22626472">
            <w:pPr>
              <w:pStyle w:val="227"/>
              <w:keepNext w:val="0"/>
              <w:keepLines w:val="0"/>
              <w:pageBreakBefore w:val="0"/>
              <w:widowControl w:val="0"/>
              <w:tabs>
                <w:tab w:val="left" w:pos="1621"/>
              </w:tabs>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厂界监测</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固定位置监</w:t>
            </w:r>
            <w:r>
              <w:rPr>
                <w:rFonts w:hint="default" w:ascii="Times New Roman" w:hAnsi="Times New Roman" w:eastAsia="宋体" w:cs="Times New Roman"/>
                <w:spacing w:val="-3"/>
                <w:sz w:val="21"/>
                <w:szCs w:val="21"/>
                <w:highlight w:val="none"/>
              </w:rPr>
              <w:t>测</w:t>
            </w:r>
            <w:r>
              <w:rPr>
                <w:rFonts w:hint="default" w:ascii="Times New Roman" w:hAnsi="Times New Roman" w:eastAsia="宋体" w:cs="Times New Roman"/>
                <w:sz w:val="21"/>
                <w:szCs w:val="21"/>
                <w:highlight w:val="none"/>
              </w:rPr>
              <w:t>□</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自动监测□ 手动监测</w:t>
            </w:r>
            <w:r>
              <w:rPr>
                <w:rFonts w:hint="default" w:ascii="Times New Roman" w:hAnsi="Times New Roman" w:eastAsia="宋体" w:cs="Times New Roman"/>
                <w:sz w:val="21"/>
                <w:szCs w:val="21"/>
                <w:highlight w:val="none"/>
              </w:rPr>
              <w:sym w:font="Wingdings 2" w:char="0052"/>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无监测□</w:t>
            </w:r>
          </w:p>
        </w:tc>
      </w:tr>
      <w:tr w14:paraId="00B22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vMerge w:val="continue"/>
            <w:tcBorders>
              <w:tl2br w:val="nil"/>
              <w:tr2bl w:val="nil"/>
            </w:tcBorders>
            <w:vAlign w:val="center"/>
          </w:tcPr>
          <w:p w14:paraId="1733F43D">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815" w:type="pct"/>
            <w:tcBorders>
              <w:tl2br w:val="nil"/>
              <w:tr2bl w:val="nil"/>
            </w:tcBorders>
            <w:vAlign w:val="center"/>
          </w:tcPr>
          <w:p w14:paraId="4C8AA233">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声环境保护目标处噪声监测</w:t>
            </w:r>
          </w:p>
        </w:tc>
        <w:tc>
          <w:tcPr>
            <w:tcW w:w="1721" w:type="pct"/>
            <w:gridSpan w:val="5"/>
            <w:tcBorders>
              <w:tl2br w:val="nil"/>
              <w:tr2bl w:val="nil"/>
            </w:tcBorders>
            <w:vAlign w:val="center"/>
          </w:tcPr>
          <w:p w14:paraId="01430FA9">
            <w:pPr>
              <w:pStyle w:val="227"/>
              <w:keepNext w:val="0"/>
              <w:keepLines w:val="0"/>
              <w:pageBreakBefore w:val="0"/>
              <w:widowControl w:val="0"/>
              <w:tabs>
                <w:tab w:val="left" w:pos="2252"/>
              </w:tabs>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监测因子</w:t>
            </w:r>
            <w:r>
              <w:rPr>
                <w:rFonts w:hint="default" w:ascii="Times New Roman" w:hAnsi="Times New Roman" w:eastAsia="宋体" w:cs="Times New Roman"/>
                <w:spacing w:val="-92"/>
                <w:sz w:val="21"/>
                <w:szCs w:val="21"/>
                <w:highlight w:val="none"/>
              </w:rPr>
              <w:t>：</w:t>
            </w:r>
            <w:r>
              <w:rPr>
                <w:rFonts w:hint="default" w:ascii="Times New Roman" w:hAnsi="Times New Roman" w:eastAsia="宋体" w:cs="Times New Roman"/>
                <w:sz w:val="21"/>
                <w:szCs w:val="21"/>
                <w:highlight w:val="none"/>
              </w:rPr>
              <w:t>（）</w:t>
            </w:r>
          </w:p>
        </w:tc>
        <w:tc>
          <w:tcPr>
            <w:tcW w:w="1207" w:type="pct"/>
            <w:gridSpan w:val="3"/>
            <w:tcBorders>
              <w:tl2br w:val="nil"/>
              <w:tr2bl w:val="nil"/>
            </w:tcBorders>
            <w:vAlign w:val="center"/>
          </w:tcPr>
          <w:p w14:paraId="7E13F20B">
            <w:pPr>
              <w:pStyle w:val="227"/>
              <w:keepNext w:val="0"/>
              <w:keepLines w:val="0"/>
              <w:pageBreakBefore w:val="0"/>
              <w:widowControl w:val="0"/>
              <w:tabs>
                <w:tab w:val="left" w:pos="1735"/>
              </w:tabs>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监测点位数（）</w:t>
            </w:r>
          </w:p>
        </w:tc>
        <w:tc>
          <w:tcPr>
            <w:tcW w:w="651" w:type="pct"/>
            <w:tcBorders>
              <w:tl2br w:val="nil"/>
              <w:tr2bl w:val="nil"/>
            </w:tcBorders>
            <w:vAlign w:val="center"/>
          </w:tcPr>
          <w:p w14:paraId="0946D0E7">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无监测</w:t>
            </w:r>
            <w:r>
              <w:rPr>
                <w:rFonts w:hint="default" w:ascii="Times New Roman" w:hAnsi="Times New Roman" w:eastAsia="宋体" w:cs="Times New Roman"/>
                <w:sz w:val="21"/>
                <w:szCs w:val="21"/>
                <w:highlight w:val="none"/>
              </w:rPr>
              <w:sym w:font="Wingdings 2" w:char="0052"/>
            </w:r>
          </w:p>
        </w:tc>
      </w:tr>
      <w:tr w14:paraId="6B679D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4" w:type="pct"/>
            <w:tcBorders>
              <w:tl2br w:val="nil"/>
              <w:tr2bl w:val="nil"/>
            </w:tcBorders>
            <w:vAlign w:val="center"/>
          </w:tcPr>
          <w:p w14:paraId="7E5C6646">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评价结论</w:t>
            </w:r>
          </w:p>
        </w:tc>
        <w:tc>
          <w:tcPr>
            <w:tcW w:w="815" w:type="pct"/>
            <w:tcBorders>
              <w:tl2br w:val="nil"/>
              <w:tr2bl w:val="nil"/>
            </w:tcBorders>
            <w:vAlign w:val="center"/>
          </w:tcPr>
          <w:p w14:paraId="27C73501">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环境影响</w:t>
            </w:r>
          </w:p>
        </w:tc>
        <w:tc>
          <w:tcPr>
            <w:tcW w:w="3580" w:type="pct"/>
            <w:gridSpan w:val="9"/>
            <w:tcBorders>
              <w:tl2br w:val="nil"/>
              <w:tr2bl w:val="nil"/>
            </w:tcBorders>
            <w:vAlign w:val="center"/>
          </w:tcPr>
          <w:p w14:paraId="5AF09A4F">
            <w:pPr>
              <w:pStyle w:val="227"/>
              <w:keepNext w:val="0"/>
              <w:keepLines w:val="0"/>
              <w:pageBreakBefore w:val="0"/>
              <w:widowControl w:val="0"/>
              <w:tabs>
                <w:tab w:val="left" w:pos="1202"/>
              </w:tabs>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可行</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不可行□</w:t>
            </w:r>
          </w:p>
        </w:tc>
      </w:tr>
      <w:tr w14:paraId="19B55E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11"/>
            <w:tcBorders>
              <w:tl2br w:val="nil"/>
              <w:tr2bl w:val="nil"/>
            </w:tcBorders>
            <w:vAlign w:val="center"/>
          </w:tcPr>
          <w:p w14:paraId="5DB01860">
            <w:pPr>
              <w:pStyle w:val="227"/>
              <w:keepNext w:val="0"/>
              <w:keepLines w:val="0"/>
              <w:pageBreakBefore w:val="0"/>
              <w:widowControl w:val="0"/>
              <w:tabs>
                <w:tab w:val="left" w:pos="3079"/>
              </w:tabs>
              <w:kinsoku/>
              <w:wordWrap/>
              <w:overflowPunct/>
              <w:topLinePunct w:val="0"/>
              <w:bidi w:val="0"/>
              <w:snapToGrid/>
              <w:spacing w:line="240" w:lineRule="atLeast"/>
              <w:ind w:left="0" w:right="0"/>
              <w:jc w:val="left"/>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注</w:t>
            </w:r>
            <w:r>
              <w:rPr>
                <w:rFonts w:hint="default" w:ascii="Times New Roman" w:hAnsi="Times New Roman" w:eastAsia="宋体" w:cs="Times New Roman"/>
                <w:spacing w:val="-92"/>
                <w:sz w:val="21"/>
                <w:szCs w:val="21"/>
                <w:highlight w:val="none"/>
              </w:rPr>
              <w:t>：</w:t>
            </w:r>
            <w:r>
              <w:rPr>
                <w:rFonts w:hint="default" w:ascii="Times New Roman" w:hAnsi="Times New Roman" w:eastAsia="宋体" w:cs="Times New Roman"/>
                <w:sz w:val="21"/>
                <w:szCs w:val="21"/>
                <w:highlight w:val="none"/>
              </w:rPr>
              <w:t>“□”为勾选项，可√；</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）”为内容填写项。</w:t>
            </w:r>
          </w:p>
        </w:tc>
      </w:tr>
    </w:tbl>
    <w:p w14:paraId="1421FAFE">
      <w:pPr>
        <w:pStyle w:val="6"/>
        <w:pageBreakBefore w:val="0"/>
        <w:widowControl w:val="0"/>
        <w:kinsoku/>
        <w:wordWrap/>
        <w:overflowPunct/>
        <w:topLinePunct w:val="0"/>
        <w:bidi w:val="0"/>
        <w:spacing w:before="0" w:beforeLines="0" w:line="360" w:lineRule="auto"/>
        <w:textAlignment w:val="auto"/>
        <w:rPr>
          <w:rFonts w:hint="default" w:ascii="Times New Roman" w:hAnsi="Times New Roman" w:eastAsia="宋体" w:cs="Times New Roman"/>
          <w:b/>
          <w:bCs/>
          <w:color w:val="000000"/>
          <w:highlight w:val="none"/>
          <w:lang w:val="en-US" w:eastAsia="zh-CN"/>
        </w:rPr>
      </w:pPr>
      <w:bookmarkStart w:id="322" w:name="_Toc18499"/>
      <w:bookmarkStart w:id="323" w:name="_Toc5084"/>
      <w:r>
        <w:rPr>
          <w:rFonts w:hint="default" w:ascii="Times New Roman" w:hAnsi="Times New Roman" w:eastAsia="宋体" w:cs="Times New Roman"/>
          <w:b/>
          <w:bCs/>
          <w:color w:val="000000"/>
          <w:highlight w:val="none"/>
          <w:lang w:val="en-US" w:eastAsia="zh-CN"/>
        </w:rPr>
        <w:t>生产运行阶段固体废物环境影响分析</w:t>
      </w:r>
      <w:bookmarkEnd w:id="322"/>
      <w:bookmarkEnd w:id="323"/>
    </w:p>
    <w:p w14:paraId="41D62C42">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4"/>
          <w:highlight w:val="none"/>
          <w:lang w:val="zh-CN"/>
        </w:rPr>
      </w:pPr>
      <w:r>
        <w:rPr>
          <w:rFonts w:ascii="Times New Roman"/>
          <w:color w:val="auto"/>
          <w:sz w:val="24"/>
          <w:szCs w:val="24"/>
          <w:highlight w:val="none"/>
        </w:rPr>
        <w:t>本项目固废主要为排土场内贮存的废石</w:t>
      </w:r>
      <w:r>
        <w:rPr>
          <w:rFonts w:hint="eastAsia"/>
          <w:color w:val="auto"/>
          <w:sz w:val="24"/>
          <w:szCs w:val="24"/>
          <w:highlight w:val="none"/>
          <w:lang w:eastAsia="zh-CN"/>
        </w:rPr>
        <w:t>，</w:t>
      </w:r>
      <w:r>
        <w:rPr>
          <w:rFonts w:hint="eastAsia"/>
          <w:sz w:val="24"/>
          <w:szCs w:val="24"/>
          <w:highlight w:val="none"/>
          <w:lang w:val="en-US" w:eastAsia="zh-CN"/>
        </w:rPr>
        <w:t>废石总量为</w:t>
      </w:r>
      <w:r>
        <w:rPr>
          <w:rFonts w:hint="eastAsia" w:cs="Times New Roman"/>
          <w:color w:val="auto"/>
          <w:sz w:val="24"/>
          <w:highlight w:val="none"/>
          <w:lang w:val="en-US" w:eastAsia="zh-CN"/>
        </w:rPr>
        <w:t>130.5万m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w:t>
      </w:r>
      <w:r>
        <w:rPr>
          <w:rFonts w:ascii="Times New Roman"/>
          <w:color w:val="auto"/>
          <w:sz w:val="24"/>
          <w:szCs w:val="24"/>
          <w:highlight w:val="none"/>
        </w:rPr>
        <w:t>。项目废石妥善处置，不会对周围环境产生明显影响。</w:t>
      </w:r>
    </w:p>
    <w:p w14:paraId="16053DC1">
      <w:pPr>
        <w:pStyle w:val="6"/>
        <w:rPr>
          <w:rFonts w:hint="default" w:ascii="Times New Roman" w:hAnsi="Times New Roman" w:eastAsia="宋体" w:cs="Times New Roman"/>
          <w:b/>
          <w:bCs/>
          <w:color w:val="auto"/>
          <w:highlight w:val="none"/>
          <w:lang w:val="en-US" w:eastAsia="zh-CN"/>
        </w:rPr>
      </w:pPr>
      <w:bookmarkStart w:id="324" w:name="_Toc8638"/>
      <w:r>
        <w:rPr>
          <w:rFonts w:hint="default" w:ascii="Times New Roman" w:hAnsi="Times New Roman" w:eastAsia="宋体" w:cs="Times New Roman"/>
          <w:b/>
          <w:bCs/>
          <w:color w:val="auto"/>
          <w:highlight w:val="none"/>
          <w:lang w:val="en-US" w:eastAsia="zh-CN"/>
        </w:rPr>
        <w:t>生产运行阶段土壤环境影响分析</w:t>
      </w:r>
      <w:r>
        <w:rPr>
          <w:rFonts w:hint="eastAsia" w:ascii="Times New Roman" w:hAnsi="Times New Roman" w:eastAsia="宋体" w:cs="Times New Roman"/>
          <w:b/>
          <w:bCs/>
          <w:color w:val="auto"/>
          <w:highlight w:val="none"/>
          <w:lang w:val="en-US" w:eastAsia="zh-CN"/>
        </w:rPr>
        <w:t>与评价</w:t>
      </w:r>
      <w:bookmarkEnd w:id="324"/>
    </w:p>
    <w:p w14:paraId="32FA461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6</w:t>
      </w:r>
      <w:r>
        <w:rPr>
          <w:rFonts w:hint="eastAsia" w:ascii="Times New Roman" w:hAnsi="Times New Roman" w:eastAsia="宋体" w:cs="Times New Roman"/>
          <w:b/>
          <w:sz w:val="24"/>
          <w:szCs w:val="24"/>
          <w:highlight w:val="none"/>
          <w:lang w:val="en-US" w:eastAsia="zh-CN"/>
        </w:rPr>
        <w:t>.1</w:t>
      </w:r>
      <w:r>
        <w:rPr>
          <w:rFonts w:hint="eastAsia" w:cs="Times New Roman"/>
          <w:b/>
          <w:sz w:val="24"/>
          <w:szCs w:val="24"/>
          <w:highlight w:val="none"/>
          <w:lang w:val="en-US" w:eastAsia="zh-CN"/>
        </w:rPr>
        <w:t xml:space="preserve"> 土壤污染影响预测与评价</w:t>
      </w:r>
    </w:p>
    <w:p w14:paraId="6E3705C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sz w:val="24"/>
          <w:szCs w:val="24"/>
          <w:highlight w:val="none"/>
          <w:lang w:val="en-US" w:eastAsia="zh-CN"/>
        </w:rPr>
      </w:pPr>
      <w:r>
        <w:rPr>
          <w:rFonts w:hint="eastAsia"/>
          <w:b/>
          <w:bCs/>
          <w:sz w:val="24"/>
          <w:szCs w:val="24"/>
          <w:highlight w:val="none"/>
          <w:lang w:val="en-US" w:eastAsia="zh-CN"/>
        </w:rPr>
        <w:t>（1）</w:t>
      </w:r>
      <w:r>
        <w:rPr>
          <w:rFonts w:hint="default"/>
          <w:b/>
          <w:bCs/>
          <w:sz w:val="24"/>
          <w:szCs w:val="24"/>
          <w:highlight w:val="none"/>
          <w:lang w:val="en-US" w:eastAsia="zh-CN"/>
        </w:rPr>
        <w:t>环境影响类型、途径及影响因子识别</w:t>
      </w:r>
    </w:p>
    <w:p w14:paraId="47F904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运营期生产过程中，</w:t>
      </w:r>
      <w:r>
        <w:rPr>
          <w:rFonts w:hint="default" w:ascii="Times New Roman" w:hAnsi="Times New Roman" w:eastAsia="宋体" w:cs="Times New Roman"/>
          <w:i w:val="0"/>
          <w:iCs w:val="0"/>
          <w:color w:val="auto"/>
          <w:kern w:val="2"/>
          <w:sz w:val="24"/>
          <w:szCs w:val="24"/>
          <w:highlight w:val="none"/>
          <w:lang w:val="en-US" w:eastAsia="zh-CN" w:bidi="ar-SA"/>
        </w:rPr>
        <w:t>排土场扬尘</w:t>
      </w:r>
      <w:r>
        <w:rPr>
          <w:rFonts w:hint="default" w:ascii="Times New Roman" w:hAnsi="Times New Roman" w:cs="Times New Roman"/>
          <w:color w:val="auto"/>
          <w:sz w:val="24"/>
          <w:szCs w:val="24"/>
          <w:highlight w:val="none"/>
        </w:rPr>
        <w:t>中的重金属元素可能通过大气沉降对周边土壤环境造成影响；</w:t>
      </w:r>
      <w:r>
        <w:rPr>
          <w:rFonts w:hint="default" w:ascii="Times New Roman" w:hAnsi="Times New Roman" w:eastAsia="宋体" w:cs="Times New Roman"/>
          <w:color w:val="auto"/>
          <w:kern w:val="2"/>
          <w:sz w:val="24"/>
          <w:szCs w:val="24"/>
          <w:highlight w:val="none"/>
          <w:lang w:val="en-US" w:eastAsia="zh-CN" w:bidi="ar-SA"/>
        </w:rPr>
        <w:t>废水主要为</w:t>
      </w:r>
      <w:r>
        <w:rPr>
          <w:rFonts w:hint="eastAsia" w:cs="Times New Roman"/>
          <w:color w:val="auto"/>
          <w:kern w:val="2"/>
          <w:sz w:val="24"/>
          <w:szCs w:val="24"/>
          <w:highlight w:val="none"/>
          <w:lang w:val="en-US" w:eastAsia="zh-CN" w:bidi="ar-SA"/>
        </w:rPr>
        <w:t>排土场</w:t>
      </w:r>
      <w:r>
        <w:rPr>
          <w:rFonts w:hint="default" w:ascii="Times New Roman" w:hAnsi="Times New Roman" w:eastAsia="宋体" w:cs="Times New Roman"/>
          <w:color w:val="auto"/>
          <w:kern w:val="2"/>
          <w:sz w:val="24"/>
          <w:szCs w:val="24"/>
          <w:highlight w:val="none"/>
          <w:lang w:val="en-US" w:eastAsia="zh-CN" w:bidi="ar-SA"/>
        </w:rPr>
        <w:t>淋溶废水，</w:t>
      </w:r>
      <w:r>
        <w:rPr>
          <w:rFonts w:hint="eastAsia" w:cs="Times New Roman"/>
          <w:color w:val="auto"/>
          <w:kern w:val="2"/>
          <w:sz w:val="24"/>
          <w:szCs w:val="24"/>
          <w:highlight w:val="none"/>
          <w:lang w:val="en-US" w:eastAsia="zh-CN" w:bidi="ar-SA"/>
        </w:rPr>
        <w:t>淋溶废水回用降尘，不外排</w:t>
      </w:r>
      <w:r>
        <w:rPr>
          <w:rFonts w:hint="default" w:ascii="Times New Roman" w:hAnsi="Times New Roman" w:eastAsia="宋体" w:cs="Times New Roman"/>
          <w:color w:val="auto"/>
          <w:kern w:val="2"/>
          <w:sz w:val="24"/>
          <w:szCs w:val="24"/>
          <w:highlight w:val="none"/>
          <w:lang w:val="en-US" w:eastAsia="zh-CN" w:bidi="ar-SA"/>
        </w:rPr>
        <w:t>。正常情况下，不会形成地表漫流，对土壤环境的潜在影响主要是垂直入渗。土壤环境影响类型与影响途径情况见</w:t>
      </w:r>
      <w:r>
        <w:rPr>
          <w:rFonts w:hint="eastAsia" w:ascii="Times New Roman" w:hAnsi="Times New Roman" w:eastAsia="宋体" w:cs="Times New Roman"/>
          <w:color w:val="auto"/>
          <w:kern w:val="2"/>
          <w:sz w:val="24"/>
          <w:szCs w:val="24"/>
          <w:highlight w:val="none"/>
          <w:lang w:val="en-US" w:eastAsia="zh-CN" w:bidi="ar-SA"/>
        </w:rPr>
        <w:t>下表。</w:t>
      </w:r>
    </w:p>
    <w:p w14:paraId="72D0BE01">
      <w:pPr>
        <w:numPr>
          <w:ilvl w:val="0"/>
          <w:numId w:val="24"/>
        </w:numPr>
        <w:ind w:left="0" w:leftChars="0" w:firstLine="0" w:firstLineChars="0"/>
        <w:jc w:val="center"/>
        <w:rPr>
          <w:rStyle w:val="66"/>
          <w:rFonts w:hint="default" w:ascii="Times New Roman" w:hAnsi="Times New Roman" w:cs="Times New Roman"/>
          <w:b/>
          <w:color w:val="auto"/>
          <w:highlight w:val="none"/>
        </w:rPr>
      </w:pPr>
      <w:r>
        <w:rPr>
          <w:rStyle w:val="66"/>
          <w:rFonts w:hint="default" w:ascii="Times New Roman" w:hAnsi="Times New Roman" w:cs="Times New Roman"/>
          <w:b/>
          <w:color w:val="auto"/>
          <w:highlight w:val="none"/>
        </w:rPr>
        <w:t>本项目土壤环境影响途径表</w:t>
      </w:r>
    </w:p>
    <w:tbl>
      <w:tblPr>
        <w:tblStyle w:val="58"/>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12"/>
        <w:gridCol w:w="1067"/>
        <w:gridCol w:w="1933"/>
        <w:gridCol w:w="1779"/>
        <w:gridCol w:w="2131"/>
      </w:tblGrid>
      <w:tr w14:paraId="6C33B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612" w:type="dxa"/>
            <w:vMerge w:val="restart"/>
            <w:tcBorders>
              <w:top w:val="single" w:color="000000" w:sz="2" w:space="0"/>
              <w:left w:val="single" w:color="000000" w:sz="2" w:space="0"/>
              <w:bottom w:val="single" w:color="000000" w:sz="2" w:space="0"/>
              <w:right w:val="single" w:color="000000" w:sz="2" w:space="0"/>
            </w:tcBorders>
            <w:noWrap w:val="0"/>
            <w:vAlign w:val="center"/>
          </w:tcPr>
          <w:p w14:paraId="31A8B9CF">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不同时段</w:t>
            </w:r>
          </w:p>
        </w:tc>
        <w:tc>
          <w:tcPr>
            <w:tcW w:w="6910" w:type="dxa"/>
            <w:gridSpan w:val="4"/>
            <w:tcBorders>
              <w:top w:val="single" w:color="000000" w:sz="2" w:space="0"/>
              <w:left w:val="single" w:color="000000" w:sz="2" w:space="0"/>
              <w:bottom w:val="single" w:color="000000" w:sz="2" w:space="0"/>
              <w:right w:val="single" w:color="000000" w:sz="2" w:space="0"/>
            </w:tcBorders>
            <w:noWrap w:val="0"/>
            <w:vAlign w:val="center"/>
          </w:tcPr>
          <w:p w14:paraId="0B413546">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影响途径</w:t>
            </w:r>
          </w:p>
        </w:tc>
      </w:tr>
      <w:tr w14:paraId="17E88A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612" w:type="dxa"/>
            <w:vMerge w:val="continue"/>
            <w:tcBorders>
              <w:top w:val="single" w:color="000000" w:sz="2" w:space="0"/>
              <w:left w:val="single" w:color="000000" w:sz="2" w:space="0"/>
              <w:bottom w:val="single" w:color="000000" w:sz="2" w:space="0"/>
              <w:right w:val="single" w:color="000000" w:sz="2" w:space="0"/>
            </w:tcBorders>
            <w:noWrap w:val="0"/>
            <w:vAlign w:val="center"/>
          </w:tcPr>
          <w:p w14:paraId="2CC00AE8">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p>
        </w:tc>
        <w:tc>
          <w:tcPr>
            <w:tcW w:w="1067" w:type="dxa"/>
            <w:tcBorders>
              <w:top w:val="single" w:color="000000" w:sz="2" w:space="0"/>
              <w:left w:val="single" w:color="000000" w:sz="2" w:space="0"/>
              <w:bottom w:val="single" w:color="000000" w:sz="2" w:space="0"/>
              <w:right w:val="single" w:color="000000" w:sz="2" w:space="0"/>
            </w:tcBorders>
            <w:noWrap w:val="0"/>
            <w:vAlign w:val="center"/>
          </w:tcPr>
          <w:p w14:paraId="354F7DD0">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大气沉降</w:t>
            </w:r>
          </w:p>
        </w:tc>
        <w:tc>
          <w:tcPr>
            <w:tcW w:w="1933" w:type="dxa"/>
            <w:tcBorders>
              <w:top w:val="single" w:color="000000" w:sz="2" w:space="0"/>
              <w:left w:val="single" w:color="000000" w:sz="2" w:space="0"/>
              <w:bottom w:val="single" w:color="000000" w:sz="2" w:space="0"/>
              <w:right w:val="single" w:color="000000" w:sz="2" w:space="0"/>
            </w:tcBorders>
            <w:noWrap w:val="0"/>
            <w:vAlign w:val="center"/>
          </w:tcPr>
          <w:p w14:paraId="4E3D0C6C">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地面漫流</w:t>
            </w:r>
          </w:p>
        </w:tc>
        <w:tc>
          <w:tcPr>
            <w:tcW w:w="1779" w:type="dxa"/>
            <w:tcBorders>
              <w:top w:val="single" w:color="000000" w:sz="2" w:space="0"/>
              <w:left w:val="single" w:color="000000" w:sz="2" w:space="0"/>
              <w:bottom w:val="single" w:color="000000" w:sz="2" w:space="0"/>
              <w:right w:val="single" w:color="000000" w:sz="2" w:space="0"/>
            </w:tcBorders>
            <w:noWrap w:val="0"/>
            <w:vAlign w:val="center"/>
          </w:tcPr>
          <w:p w14:paraId="2A6482CF">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垂直入渗</w:t>
            </w:r>
          </w:p>
        </w:tc>
        <w:tc>
          <w:tcPr>
            <w:tcW w:w="2131" w:type="dxa"/>
            <w:tcBorders>
              <w:top w:val="single" w:color="000000" w:sz="2" w:space="0"/>
              <w:left w:val="single" w:color="000000" w:sz="2" w:space="0"/>
              <w:bottom w:val="single" w:color="000000" w:sz="2" w:space="0"/>
              <w:right w:val="single" w:color="000000" w:sz="2" w:space="0"/>
            </w:tcBorders>
            <w:noWrap w:val="0"/>
            <w:vAlign w:val="center"/>
          </w:tcPr>
          <w:p w14:paraId="26E29160">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其他</w:t>
            </w:r>
          </w:p>
        </w:tc>
      </w:tr>
      <w:tr w14:paraId="07F45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612" w:type="dxa"/>
            <w:tcBorders>
              <w:top w:val="single" w:color="000000" w:sz="2" w:space="0"/>
              <w:left w:val="single" w:color="000000" w:sz="2" w:space="0"/>
              <w:bottom w:val="single" w:color="000000" w:sz="2" w:space="0"/>
              <w:right w:val="single" w:color="000000" w:sz="2" w:space="0"/>
            </w:tcBorders>
            <w:noWrap w:val="0"/>
            <w:vAlign w:val="center"/>
          </w:tcPr>
          <w:p w14:paraId="70EAF373">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运营期</w:t>
            </w:r>
          </w:p>
        </w:tc>
        <w:tc>
          <w:tcPr>
            <w:tcW w:w="1067" w:type="dxa"/>
            <w:tcBorders>
              <w:top w:val="single" w:color="000000" w:sz="2" w:space="0"/>
              <w:left w:val="single" w:color="000000" w:sz="2" w:space="0"/>
              <w:bottom w:val="single" w:color="000000" w:sz="2" w:space="0"/>
              <w:right w:val="single" w:color="000000" w:sz="2" w:space="0"/>
            </w:tcBorders>
            <w:noWrap w:val="0"/>
            <w:vAlign w:val="center"/>
          </w:tcPr>
          <w:p w14:paraId="64D0D907">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3" w:type="dxa"/>
            <w:tcBorders>
              <w:top w:val="single" w:color="000000" w:sz="2" w:space="0"/>
              <w:left w:val="single" w:color="000000" w:sz="2" w:space="0"/>
              <w:bottom w:val="single" w:color="000000" w:sz="2" w:space="0"/>
              <w:right w:val="single" w:color="000000" w:sz="2" w:space="0"/>
            </w:tcBorders>
            <w:noWrap w:val="0"/>
            <w:vAlign w:val="center"/>
          </w:tcPr>
          <w:p w14:paraId="735AC054">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w:t>
            </w:r>
          </w:p>
        </w:tc>
        <w:tc>
          <w:tcPr>
            <w:tcW w:w="1779" w:type="dxa"/>
            <w:tcBorders>
              <w:top w:val="single" w:color="000000" w:sz="2" w:space="0"/>
              <w:left w:val="single" w:color="000000" w:sz="2" w:space="0"/>
              <w:bottom w:val="single" w:color="000000" w:sz="2" w:space="0"/>
              <w:right w:val="single" w:color="000000" w:sz="2" w:space="0"/>
            </w:tcBorders>
            <w:noWrap w:val="0"/>
            <w:vAlign w:val="center"/>
          </w:tcPr>
          <w:p w14:paraId="0D1C857C">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2131" w:type="dxa"/>
            <w:tcBorders>
              <w:top w:val="single" w:color="000000" w:sz="2" w:space="0"/>
              <w:left w:val="single" w:color="000000" w:sz="2" w:space="0"/>
              <w:bottom w:val="single" w:color="000000" w:sz="2" w:space="0"/>
              <w:right w:val="single" w:color="000000" w:sz="2" w:space="0"/>
            </w:tcBorders>
            <w:noWrap w:val="0"/>
            <w:vAlign w:val="center"/>
          </w:tcPr>
          <w:p w14:paraId="7B611D9E">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w:t>
            </w:r>
          </w:p>
        </w:tc>
      </w:tr>
    </w:tbl>
    <w:p w14:paraId="0F6433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根据项目工程特点，结合项目工程分析与土壤环境质量现状监测结果，本次评价项目土壤环境影响的影响源与影响因子见下表</w:t>
      </w:r>
      <w:r>
        <w:rPr>
          <w:rFonts w:hint="eastAsia" w:cs="Times New Roman"/>
          <w:color w:val="auto"/>
          <w:kern w:val="2"/>
          <w:sz w:val="24"/>
          <w:szCs w:val="24"/>
          <w:highlight w:val="none"/>
          <w:lang w:val="en-US" w:eastAsia="zh-CN" w:bidi="ar-SA"/>
        </w:rPr>
        <w:t>。</w:t>
      </w:r>
    </w:p>
    <w:p w14:paraId="01DAB243">
      <w:pPr>
        <w:keepNext w:val="0"/>
        <w:keepLines w:val="0"/>
        <w:pageBreakBefore w:val="0"/>
        <w:widowControl w:val="0"/>
        <w:numPr>
          <w:ilvl w:val="0"/>
          <w:numId w:val="24"/>
        </w:numPr>
        <w:kinsoku/>
        <w:wordWrap/>
        <w:overflowPunct/>
        <w:topLinePunct w:val="0"/>
        <w:autoSpaceDE/>
        <w:autoSpaceDN/>
        <w:bidi w:val="0"/>
        <w:spacing w:line="360" w:lineRule="auto"/>
        <w:ind w:left="0" w:leftChars="0" w:firstLine="0" w:firstLineChars="0"/>
        <w:jc w:val="center"/>
        <w:textAlignment w:val="auto"/>
        <w:rPr>
          <w:rStyle w:val="66"/>
          <w:rFonts w:hint="default" w:ascii="Times New Roman" w:hAnsi="Times New Roman" w:cs="Times New Roman"/>
          <w:b/>
          <w:color w:val="auto"/>
          <w:highlight w:val="none"/>
        </w:rPr>
      </w:pPr>
      <w:r>
        <w:rPr>
          <w:rStyle w:val="66"/>
          <w:rFonts w:hint="default" w:ascii="Times New Roman" w:hAnsi="Times New Roman" w:cs="Times New Roman"/>
          <w:b/>
          <w:color w:val="auto"/>
          <w:highlight w:val="none"/>
        </w:rPr>
        <w:t>本项目土壤环境影响源及影响因子识别表</w:t>
      </w:r>
    </w:p>
    <w:tbl>
      <w:tblPr>
        <w:tblStyle w:val="58"/>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10"/>
        <w:gridCol w:w="1688"/>
        <w:gridCol w:w="1181"/>
        <w:gridCol w:w="1435"/>
        <w:gridCol w:w="1460"/>
        <w:gridCol w:w="1648"/>
      </w:tblGrid>
      <w:tr w14:paraId="260B48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10" w:type="dxa"/>
            <w:tcBorders>
              <w:top w:val="single" w:color="000000" w:sz="2" w:space="0"/>
              <w:left w:val="single" w:color="000000" w:sz="2" w:space="0"/>
              <w:bottom w:val="single" w:color="000000" w:sz="2" w:space="0"/>
              <w:right w:val="single" w:color="000000" w:sz="2" w:space="0"/>
            </w:tcBorders>
            <w:noWrap w:val="0"/>
            <w:vAlign w:val="center"/>
          </w:tcPr>
          <w:p w14:paraId="091ABB12">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1688" w:type="dxa"/>
            <w:tcBorders>
              <w:top w:val="single" w:color="000000" w:sz="2" w:space="0"/>
              <w:left w:val="single" w:color="000000" w:sz="2" w:space="0"/>
              <w:bottom w:val="single" w:color="000000" w:sz="2" w:space="0"/>
              <w:right w:val="single" w:color="000000" w:sz="2" w:space="0"/>
            </w:tcBorders>
            <w:noWrap w:val="0"/>
            <w:vAlign w:val="center"/>
          </w:tcPr>
          <w:p w14:paraId="3ECDA106">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工艺流程/节点</w:t>
            </w:r>
          </w:p>
        </w:tc>
        <w:tc>
          <w:tcPr>
            <w:tcW w:w="1181" w:type="dxa"/>
            <w:tcBorders>
              <w:top w:val="single" w:color="000000" w:sz="2" w:space="0"/>
              <w:left w:val="single" w:color="000000" w:sz="2" w:space="0"/>
              <w:bottom w:val="single" w:color="000000" w:sz="2" w:space="0"/>
              <w:right w:val="single" w:color="000000" w:sz="2" w:space="0"/>
            </w:tcBorders>
            <w:noWrap w:val="0"/>
            <w:vAlign w:val="center"/>
          </w:tcPr>
          <w:p w14:paraId="27BBD5F5">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污染途径</w:t>
            </w:r>
          </w:p>
        </w:tc>
        <w:tc>
          <w:tcPr>
            <w:tcW w:w="1435" w:type="dxa"/>
            <w:tcBorders>
              <w:top w:val="single" w:color="000000" w:sz="2" w:space="0"/>
              <w:left w:val="single" w:color="000000" w:sz="2" w:space="0"/>
              <w:bottom w:val="single" w:color="000000" w:sz="2" w:space="0"/>
              <w:right w:val="single" w:color="000000" w:sz="2" w:space="0"/>
            </w:tcBorders>
            <w:noWrap w:val="0"/>
            <w:vAlign w:val="center"/>
          </w:tcPr>
          <w:p w14:paraId="65603A14">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全部污染物指标</w:t>
            </w:r>
          </w:p>
        </w:tc>
        <w:tc>
          <w:tcPr>
            <w:tcW w:w="1460" w:type="dxa"/>
            <w:tcBorders>
              <w:top w:val="single" w:color="000000" w:sz="2" w:space="0"/>
              <w:left w:val="single" w:color="000000" w:sz="2" w:space="0"/>
              <w:bottom w:val="single" w:color="000000" w:sz="2" w:space="0"/>
              <w:right w:val="single" w:color="000000" w:sz="2" w:space="0"/>
            </w:tcBorders>
            <w:noWrap w:val="0"/>
            <w:vAlign w:val="center"/>
          </w:tcPr>
          <w:p w14:paraId="4C0F81DB">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特征因子</w:t>
            </w:r>
          </w:p>
        </w:tc>
        <w:tc>
          <w:tcPr>
            <w:tcW w:w="1648" w:type="dxa"/>
            <w:tcBorders>
              <w:top w:val="single" w:color="000000" w:sz="2" w:space="0"/>
              <w:left w:val="single" w:color="000000" w:sz="2" w:space="0"/>
              <w:bottom w:val="single" w:color="000000" w:sz="2" w:space="0"/>
              <w:right w:val="single" w:color="000000" w:sz="2" w:space="0"/>
            </w:tcBorders>
            <w:noWrap w:val="0"/>
            <w:vAlign w:val="center"/>
          </w:tcPr>
          <w:p w14:paraId="65A93CA6">
            <w:pPr>
              <w:widowControl w:val="0"/>
              <w:bidi w:val="0"/>
              <w:adjustRightInd w:val="0"/>
              <w:snapToGrid w:val="0"/>
              <w:spacing w:line="0" w:lineRule="atLeast"/>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备注</w:t>
            </w:r>
          </w:p>
        </w:tc>
      </w:tr>
      <w:tr w14:paraId="39F5F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10" w:type="dxa"/>
            <w:vMerge w:val="restart"/>
            <w:tcBorders>
              <w:top w:val="single" w:color="000000" w:sz="2" w:space="0"/>
              <w:left w:val="single" w:color="000000" w:sz="2" w:space="0"/>
              <w:bottom w:val="single" w:color="000000" w:sz="2" w:space="0"/>
              <w:right w:val="single" w:color="000000" w:sz="2" w:space="0"/>
            </w:tcBorders>
            <w:noWrap w:val="0"/>
            <w:vAlign w:val="center"/>
          </w:tcPr>
          <w:p w14:paraId="572FECF9">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排土场</w:t>
            </w:r>
          </w:p>
        </w:tc>
        <w:tc>
          <w:tcPr>
            <w:tcW w:w="1688"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122E0862">
            <w:pPr>
              <w:adjustRightInd w:val="0"/>
              <w:snapToGrid w:val="0"/>
              <w:spacing w:line="0" w:lineRule="atLeast"/>
              <w:jc w:val="center"/>
              <w:rPr>
                <w:rFonts w:hint="default" w:ascii="Times New Roman" w:hAnsi="Times New Roman" w:eastAsia="宋体" w:cs="Times New Roman"/>
                <w:color w:val="auto"/>
                <w:kern w:val="2"/>
                <w:sz w:val="21"/>
                <w:szCs w:val="16"/>
                <w:highlight w:val="none"/>
                <w:lang w:val="en-US" w:eastAsia="zh-CN" w:bidi="ar-SA"/>
              </w:rPr>
            </w:pPr>
            <w:r>
              <w:rPr>
                <w:rFonts w:hint="default" w:ascii="Times New Roman" w:hAnsi="Times New Roman" w:cs="Times New Roman"/>
                <w:color w:val="auto"/>
                <w:sz w:val="21"/>
                <w:szCs w:val="16"/>
                <w:highlight w:val="none"/>
                <w:lang w:val="en-US" w:eastAsia="zh-CN"/>
              </w:rPr>
              <w:t>废石堆存</w:t>
            </w:r>
          </w:p>
        </w:tc>
        <w:tc>
          <w:tcPr>
            <w:tcW w:w="1181"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45ADD791">
            <w:pPr>
              <w:adjustRightInd w:val="0"/>
              <w:snapToGrid w:val="0"/>
              <w:spacing w:line="0" w:lineRule="atLeast"/>
              <w:jc w:val="center"/>
              <w:rPr>
                <w:rFonts w:hint="default" w:ascii="Times New Roman" w:hAnsi="Times New Roman" w:eastAsia="宋体" w:cs="Times New Roman"/>
                <w:color w:val="auto"/>
                <w:kern w:val="2"/>
                <w:sz w:val="21"/>
                <w:szCs w:val="16"/>
                <w:highlight w:val="none"/>
                <w:lang w:val="en-US" w:eastAsia="zh-CN" w:bidi="ar-SA"/>
              </w:rPr>
            </w:pPr>
            <w:r>
              <w:rPr>
                <w:rFonts w:hint="default" w:ascii="Times New Roman" w:hAnsi="Times New Roman" w:cs="Times New Roman"/>
                <w:color w:val="auto"/>
                <w:sz w:val="21"/>
                <w:szCs w:val="16"/>
                <w:highlight w:val="none"/>
              </w:rPr>
              <w:t>大气沉降</w:t>
            </w:r>
          </w:p>
        </w:tc>
        <w:tc>
          <w:tcPr>
            <w:tcW w:w="1435"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772C8619">
            <w:pPr>
              <w:pStyle w:val="17"/>
              <w:ind w:left="0" w:leftChars="0" w:firstLine="0" w:firstLineChars="0"/>
              <w:jc w:val="center"/>
              <w:rPr>
                <w:rFonts w:hint="default" w:ascii="Times New Roman" w:hAnsi="Times New Roman" w:eastAsia="宋体" w:cs="Times New Roman"/>
                <w:color w:val="auto"/>
                <w:kern w:val="2"/>
                <w:sz w:val="21"/>
                <w:szCs w:val="16"/>
                <w:highlight w:val="none"/>
                <w:lang w:val="en-US" w:eastAsia="zh-CN" w:bidi="ar-SA"/>
              </w:rPr>
            </w:pPr>
            <w:r>
              <w:rPr>
                <w:rFonts w:hint="eastAsia"/>
                <w:highlight w:val="none"/>
                <w:lang w:val="en-US" w:eastAsia="zh-CN"/>
              </w:rPr>
              <w:t>Fe</w:t>
            </w:r>
          </w:p>
        </w:tc>
        <w:tc>
          <w:tcPr>
            <w:tcW w:w="1460"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3F975F5B">
            <w:pPr>
              <w:pStyle w:val="17"/>
              <w:ind w:left="0" w:leftChars="0" w:firstLine="0" w:firstLineChars="0"/>
              <w:jc w:val="center"/>
              <w:rPr>
                <w:rFonts w:hint="default" w:ascii="Times New Roman" w:hAnsi="Times New Roman" w:eastAsia="宋体" w:cs="Times New Roman"/>
                <w:color w:val="auto"/>
                <w:kern w:val="2"/>
                <w:sz w:val="21"/>
                <w:szCs w:val="16"/>
                <w:highlight w:val="none"/>
                <w:lang w:val="en-US" w:eastAsia="zh-CN" w:bidi="ar-SA"/>
              </w:rPr>
            </w:pPr>
            <w:r>
              <w:rPr>
                <w:rFonts w:hint="eastAsia"/>
                <w:highlight w:val="none"/>
                <w:lang w:val="en-US" w:eastAsia="zh-CN"/>
              </w:rPr>
              <w:t>Fe</w:t>
            </w:r>
          </w:p>
        </w:tc>
        <w:tc>
          <w:tcPr>
            <w:tcW w:w="1648"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68FFCA4D">
            <w:pPr>
              <w:adjustRightInd w:val="0"/>
              <w:snapToGrid w:val="0"/>
              <w:spacing w:line="0" w:lineRule="atLeast"/>
              <w:jc w:val="center"/>
              <w:rPr>
                <w:rFonts w:hint="default" w:ascii="Times New Roman" w:hAnsi="Times New Roman" w:eastAsia="宋体" w:cs="Times New Roman"/>
                <w:color w:val="auto"/>
                <w:kern w:val="2"/>
                <w:sz w:val="21"/>
                <w:szCs w:val="16"/>
                <w:highlight w:val="none"/>
                <w:lang w:val="en-US" w:eastAsia="zh-CN" w:bidi="ar-SA"/>
              </w:rPr>
            </w:pPr>
            <w:r>
              <w:rPr>
                <w:rFonts w:hint="default" w:ascii="Times New Roman" w:hAnsi="Times New Roman" w:cs="Times New Roman"/>
                <w:color w:val="auto"/>
                <w:sz w:val="21"/>
                <w:szCs w:val="16"/>
                <w:highlight w:val="none"/>
              </w:rPr>
              <w:t>正常工况</w:t>
            </w:r>
          </w:p>
        </w:tc>
      </w:tr>
      <w:tr w14:paraId="32C242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110" w:type="dxa"/>
            <w:vMerge w:val="continue"/>
            <w:tcBorders>
              <w:top w:val="single" w:color="000000" w:sz="2" w:space="0"/>
              <w:left w:val="single" w:color="000000" w:sz="2" w:space="0"/>
              <w:bottom w:val="single" w:color="000000" w:sz="2" w:space="0"/>
              <w:right w:val="single" w:color="000000" w:sz="2" w:space="0"/>
            </w:tcBorders>
            <w:noWrap w:val="0"/>
            <w:vAlign w:val="center"/>
          </w:tcPr>
          <w:p w14:paraId="4E3B6054">
            <w:pPr>
              <w:widowControl w:val="0"/>
              <w:bidi w:val="0"/>
              <w:adjustRightInd w:val="0"/>
              <w:snapToGrid w:val="0"/>
              <w:spacing w:line="0" w:lineRule="atLeast"/>
              <w:ind w:firstLine="0" w:firstLineChars="0"/>
              <w:jc w:val="center"/>
              <w:rPr>
                <w:rFonts w:hint="eastAsia" w:cs="Times New Roman"/>
                <w:color w:val="auto"/>
                <w:kern w:val="2"/>
                <w:sz w:val="21"/>
                <w:szCs w:val="21"/>
                <w:highlight w:val="none"/>
                <w:lang w:val="en-US" w:eastAsia="zh-CN" w:bidi="ar-SA"/>
              </w:rPr>
            </w:pPr>
          </w:p>
        </w:tc>
        <w:tc>
          <w:tcPr>
            <w:tcW w:w="1688"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3BA916B6">
            <w:pPr>
              <w:widowControl w:val="0"/>
              <w:bidi w:val="0"/>
              <w:adjustRightInd w:val="0"/>
              <w:snapToGrid w:val="0"/>
              <w:spacing w:line="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16"/>
                <w:highlight w:val="none"/>
                <w:lang w:val="en-US" w:eastAsia="zh-CN"/>
              </w:rPr>
              <w:t>废石堆存</w:t>
            </w:r>
          </w:p>
        </w:tc>
        <w:tc>
          <w:tcPr>
            <w:tcW w:w="1181"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0A0876F4">
            <w:pPr>
              <w:widowControl w:val="0"/>
              <w:bidi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垂直入渗</w:t>
            </w:r>
          </w:p>
        </w:tc>
        <w:tc>
          <w:tcPr>
            <w:tcW w:w="1435"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54286013">
            <w:pPr>
              <w:pStyle w:val="17"/>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highlight w:val="none"/>
                <w:lang w:val="en-US" w:eastAsia="zh-CN"/>
              </w:rPr>
              <w:t>Fe</w:t>
            </w:r>
          </w:p>
        </w:tc>
        <w:tc>
          <w:tcPr>
            <w:tcW w:w="1460"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0AC3934A">
            <w:pPr>
              <w:pStyle w:val="17"/>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highlight w:val="none"/>
                <w:lang w:val="en-US" w:eastAsia="zh-CN"/>
              </w:rPr>
              <w:t>Fe</w:t>
            </w:r>
          </w:p>
        </w:tc>
        <w:tc>
          <w:tcPr>
            <w:tcW w:w="1648" w:type="dxa"/>
            <w:tcBorders>
              <w:top w:val="single" w:color="000000" w:sz="2" w:space="0"/>
              <w:left w:val="single" w:color="000000" w:sz="2" w:space="0"/>
              <w:bottom w:val="single" w:color="000000" w:sz="2" w:space="0"/>
              <w:right w:val="single" w:color="000000" w:sz="2" w:space="0"/>
            </w:tcBorders>
            <w:shd w:val="clear" w:color="auto" w:fill="auto"/>
            <w:noWrap w:val="0"/>
            <w:vAlign w:val="center"/>
          </w:tcPr>
          <w:p w14:paraId="1E10E052">
            <w:pPr>
              <w:widowControl w:val="0"/>
              <w:bidi w:val="0"/>
              <w:adjustRightInd w:val="0"/>
              <w:snapToGrid w:val="0"/>
              <w:spacing w:line="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降雨产生的淋滤废水</w:t>
            </w:r>
            <w:r>
              <w:rPr>
                <w:rFonts w:hint="eastAsia" w:cs="Times New Roman"/>
                <w:color w:val="auto"/>
                <w:kern w:val="2"/>
                <w:sz w:val="21"/>
                <w:szCs w:val="21"/>
                <w:highlight w:val="none"/>
                <w:lang w:val="en-US" w:eastAsia="zh-CN" w:bidi="ar-SA"/>
              </w:rPr>
              <w:t>入渗</w:t>
            </w:r>
          </w:p>
        </w:tc>
      </w:tr>
    </w:tbl>
    <w:p w14:paraId="75DC305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sz w:val="24"/>
          <w:szCs w:val="24"/>
          <w:highlight w:val="none"/>
          <w:lang w:val="en-US" w:eastAsia="zh-CN"/>
        </w:rPr>
      </w:pPr>
      <w:r>
        <w:rPr>
          <w:rFonts w:hint="eastAsia" w:cs="Times New Roman"/>
          <w:b/>
          <w:sz w:val="24"/>
          <w:szCs w:val="24"/>
          <w:highlight w:val="none"/>
          <w:lang w:val="en-US" w:eastAsia="zh-CN"/>
        </w:rPr>
        <w:t>（2）</w:t>
      </w:r>
      <w:r>
        <w:rPr>
          <w:rFonts w:hint="eastAsia"/>
          <w:b/>
          <w:bCs/>
          <w:sz w:val="24"/>
          <w:szCs w:val="24"/>
          <w:highlight w:val="none"/>
          <w:lang w:val="en-US" w:eastAsia="zh-CN"/>
        </w:rPr>
        <w:t>预测范围、时段</w:t>
      </w:r>
    </w:p>
    <w:p w14:paraId="22190F8A">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本次预测范围与现状调查范围一致，污染影响型项目</w:t>
      </w:r>
      <w:r>
        <w:rPr>
          <w:rFonts w:hint="eastAsia" w:cs="Times New Roman"/>
          <w:color w:val="auto"/>
          <w:kern w:val="2"/>
          <w:sz w:val="24"/>
          <w:szCs w:val="24"/>
          <w:highlight w:val="none"/>
          <w:lang w:val="en-US" w:eastAsia="zh-CN" w:bidi="ar-SA"/>
        </w:rPr>
        <w:t>二</w:t>
      </w:r>
      <w:r>
        <w:rPr>
          <w:rFonts w:hint="default" w:ascii="Times New Roman" w:hAnsi="Times New Roman" w:eastAsia="宋体" w:cs="Times New Roman"/>
          <w:color w:val="auto"/>
          <w:kern w:val="2"/>
          <w:sz w:val="24"/>
          <w:szCs w:val="24"/>
          <w:highlight w:val="none"/>
          <w:lang w:val="en-US" w:eastAsia="zh-CN" w:bidi="ar-SA"/>
        </w:rPr>
        <w:t>级评价以</w:t>
      </w:r>
      <w:r>
        <w:rPr>
          <w:rFonts w:hint="eastAsia" w:cs="Times New Roman"/>
          <w:color w:val="auto"/>
          <w:kern w:val="2"/>
          <w:sz w:val="24"/>
          <w:szCs w:val="24"/>
          <w:highlight w:val="none"/>
          <w:lang w:val="en-US" w:eastAsia="zh-CN" w:bidi="ar-SA"/>
        </w:rPr>
        <w:t>排土场</w:t>
      </w:r>
      <w:r>
        <w:rPr>
          <w:rFonts w:hint="default" w:ascii="Times New Roman" w:hAnsi="Times New Roman" w:eastAsia="宋体" w:cs="Times New Roman"/>
          <w:color w:val="auto"/>
          <w:kern w:val="2"/>
          <w:sz w:val="24"/>
          <w:szCs w:val="24"/>
          <w:highlight w:val="none"/>
          <w:lang w:val="en-US" w:eastAsia="zh-CN" w:bidi="ar-SA"/>
        </w:rPr>
        <w:t>外扩</w:t>
      </w:r>
      <w:r>
        <w:rPr>
          <w:rFonts w:hint="eastAsia"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00m为评价范围。根据本项目土壤环境影响识别结果，本项目对土壤环境的影响类型主要为垂直入渗，确定重点评价时段为项目运营期。</w:t>
      </w:r>
    </w:p>
    <w:p w14:paraId="7A32B00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sz w:val="24"/>
          <w:szCs w:val="24"/>
          <w:highlight w:val="none"/>
          <w:lang w:val="en-US" w:eastAsia="zh-CN"/>
        </w:rPr>
      </w:pPr>
      <w:r>
        <w:rPr>
          <w:rFonts w:hint="eastAsia" w:cs="Times New Roman"/>
          <w:b/>
          <w:sz w:val="24"/>
          <w:szCs w:val="24"/>
          <w:highlight w:val="none"/>
          <w:lang w:val="en-US" w:eastAsia="zh-CN"/>
        </w:rPr>
        <w:t>（3）</w:t>
      </w:r>
      <w:r>
        <w:rPr>
          <w:rFonts w:hint="eastAsia" w:ascii="Times New Roman" w:hAnsi="Times New Roman" w:eastAsia="宋体" w:cs="Times New Roman"/>
          <w:b/>
          <w:sz w:val="24"/>
          <w:szCs w:val="24"/>
          <w:highlight w:val="none"/>
          <w:lang w:val="en-US" w:eastAsia="zh-CN"/>
        </w:rPr>
        <w:t>土壤环境</w:t>
      </w:r>
      <w:r>
        <w:rPr>
          <w:rFonts w:hint="default" w:ascii="Times New Roman" w:hAnsi="Times New Roman" w:eastAsia="宋体" w:cs="Times New Roman"/>
          <w:b/>
          <w:sz w:val="24"/>
          <w:szCs w:val="24"/>
          <w:highlight w:val="none"/>
          <w:lang w:val="en-US" w:eastAsia="zh-CN"/>
        </w:rPr>
        <w:t>影响</w:t>
      </w:r>
      <w:r>
        <w:rPr>
          <w:rFonts w:hint="eastAsia" w:ascii="Times New Roman" w:hAnsi="Times New Roman" w:eastAsia="宋体" w:cs="Times New Roman"/>
          <w:b/>
          <w:sz w:val="24"/>
          <w:szCs w:val="24"/>
          <w:highlight w:val="none"/>
          <w:lang w:val="en-US" w:eastAsia="zh-CN"/>
        </w:rPr>
        <w:t>分析</w:t>
      </w:r>
    </w:p>
    <w:p w14:paraId="5E123202">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根据《环境影响评价技术导则 土壤环境（试行）》（HJ964-2018）8.7.3条，污染影响型建设项目，其评价工作等级为一、二级的，预测方法可参见附录E或进行类比分析</w:t>
      </w:r>
      <w:r>
        <w:rPr>
          <w:rFonts w:hint="eastAsia" w:ascii="Times New Roman" w:hAnsi="Times New Roman" w:eastAsia="宋体" w:cs="Times New Roman"/>
          <w:color w:val="auto"/>
          <w:kern w:val="2"/>
          <w:sz w:val="24"/>
          <w:szCs w:val="24"/>
          <w:highlight w:val="none"/>
          <w:lang w:val="en-US" w:eastAsia="zh-CN" w:bidi="ar-SA"/>
        </w:rPr>
        <w:t>，本次评价采用类比分析进行土壤影响分析。</w:t>
      </w:r>
    </w:p>
    <w:p w14:paraId="773004DB">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评价</w:t>
      </w:r>
      <w:r>
        <w:rPr>
          <w:rFonts w:hint="eastAsia" w:ascii="Times New Roman" w:hAnsi="Times New Roman" w:eastAsia="宋体" w:cs="Times New Roman"/>
          <w:color w:val="auto"/>
          <w:kern w:val="2"/>
          <w:sz w:val="24"/>
          <w:szCs w:val="24"/>
          <w:highlight w:val="none"/>
          <w:lang w:val="en-US" w:eastAsia="zh-CN" w:bidi="ar-SA"/>
        </w:rPr>
        <w:t>范围内</w:t>
      </w:r>
      <w:r>
        <w:rPr>
          <w:rFonts w:hint="default" w:ascii="Times New Roman" w:hAnsi="Times New Roman" w:eastAsia="宋体" w:cs="Times New Roman"/>
          <w:color w:val="auto"/>
          <w:kern w:val="2"/>
          <w:sz w:val="24"/>
          <w:szCs w:val="24"/>
          <w:highlight w:val="none"/>
          <w:lang w:val="en-US" w:eastAsia="zh-CN" w:bidi="ar-SA"/>
        </w:rPr>
        <w:t>土壤环境质量现状监测</w:t>
      </w:r>
      <w:r>
        <w:rPr>
          <w:rFonts w:hint="eastAsia" w:ascii="Times New Roman" w:hAnsi="Times New Roman" w:eastAsia="宋体" w:cs="Times New Roman"/>
          <w:color w:val="auto"/>
          <w:kern w:val="2"/>
          <w:sz w:val="24"/>
          <w:szCs w:val="24"/>
          <w:highlight w:val="none"/>
          <w:lang w:val="en-US" w:eastAsia="zh-CN" w:bidi="ar-SA"/>
        </w:rPr>
        <w:t>结果可知</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建设用地</w:t>
      </w:r>
      <w:r>
        <w:rPr>
          <w:rFonts w:hint="default" w:ascii="Times New Roman" w:hAnsi="Times New Roman" w:eastAsia="宋体" w:cs="Times New Roman"/>
          <w:color w:val="auto"/>
          <w:kern w:val="2"/>
          <w:sz w:val="24"/>
          <w:szCs w:val="24"/>
          <w:highlight w:val="none"/>
          <w:lang w:val="en-US" w:eastAsia="zh-CN" w:bidi="ar-SA"/>
        </w:rPr>
        <w:t>监测点位各监测因子均满足《土壤环境质量建设用地土壤污染风险管控标准（试行）》（GB 36600-2018）</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sz w:val="24"/>
          <w:highlight w:val="none"/>
        </w:rPr>
        <w:t>《建设用地土壤污染风险筛选值》（</w:t>
      </w:r>
      <w:r>
        <w:rPr>
          <w:rFonts w:hint="eastAsia" w:cs="Times New Roman"/>
          <w:color w:val="auto"/>
          <w:sz w:val="24"/>
          <w:highlight w:val="none"/>
          <w:lang w:eastAsia="zh-CN"/>
        </w:rPr>
        <w:t>DB13/T5216-2022</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kern w:val="2"/>
          <w:sz w:val="24"/>
          <w:szCs w:val="24"/>
          <w:highlight w:val="none"/>
          <w:lang w:val="en-US" w:eastAsia="zh-CN" w:bidi="ar-SA"/>
        </w:rPr>
        <w:t>标准要求，</w:t>
      </w:r>
      <w:r>
        <w:rPr>
          <w:rFonts w:hint="eastAsia" w:ascii="Times New Roman" w:hAnsi="Times New Roman" w:eastAsia="宋体" w:cs="Times New Roman"/>
          <w:color w:val="auto"/>
          <w:kern w:val="2"/>
          <w:sz w:val="24"/>
          <w:szCs w:val="24"/>
          <w:highlight w:val="none"/>
          <w:lang w:val="en-US" w:eastAsia="zh-CN" w:bidi="ar-SA"/>
        </w:rPr>
        <w:t>各农用地监测点位</w:t>
      </w:r>
      <w:r>
        <w:rPr>
          <w:rFonts w:hint="default" w:ascii="Times New Roman" w:hAnsi="Times New Roman" w:eastAsia="宋体" w:cs="Times New Roman"/>
          <w:color w:val="auto"/>
          <w:kern w:val="2"/>
          <w:sz w:val="24"/>
          <w:szCs w:val="24"/>
          <w:highlight w:val="none"/>
          <w:lang w:val="en-US" w:eastAsia="zh-CN" w:bidi="ar-SA"/>
        </w:rPr>
        <w:t>各监测因子均满足</w:t>
      </w:r>
      <w:r>
        <w:rPr>
          <w:rFonts w:hint="default" w:ascii="Times New Roman" w:hAnsi="Times New Roman" w:cs="Times New Roman"/>
          <w:color w:val="auto"/>
          <w:sz w:val="24"/>
          <w:highlight w:val="none"/>
        </w:rPr>
        <w:t>《土壤环境质量 农用地土壤污染风险管控标准（试行）》（GB15618-2018）</w:t>
      </w:r>
      <w:r>
        <w:rPr>
          <w:rFonts w:hint="default" w:ascii="Times New Roman" w:hAnsi="Times New Roman" w:eastAsia="宋体" w:cs="Times New Roman"/>
          <w:color w:val="auto"/>
          <w:kern w:val="2"/>
          <w:sz w:val="24"/>
          <w:szCs w:val="24"/>
          <w:highlight w:val="none"/>
          <w:lang w:val="en-US" w:eastAsia="zh-CN" w:bidi="ar-SA"/>
        </w:rPr>
        <w:t>标准要求。</w:t>
      </w:r>
    </w:p>
    <w:p w14:paraId="3F67838F">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排土场作业区采取洒水降尘</w:t>
      </w:r>
      <w:r>
        <w:rPr>
          <w:rFonts w:hint="default" w:ascii="Times New Roman" w:hAnsi="Times New Roman" w:cs="Times New Roman"/>
          <w:color w:val="auto"/>
          <w:sz w:val="24"/>
          <w:szCs w:val="24"/>
          <w:highlight w:val="none"/>
        </w:rPr>
        <w:t>等措施</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降低扬尘产生量。根据项目估算结果可知，颗粒物最大落地浓度为</w:t>
      </w:r>
      <w:r>
        <w:rPr>
          <w:rFonts w:hint="eastAsia" w:ascii="Times New Roman" w:hAnsi="Times New Roman" w:cs="Times New Roman"/>
          <w:color w:val="auto"/>
          <w:kern w:val="0"/>
          <w:sz w:val="24"/>
          <w:szCs w:val="24"/>
          <w:highlight w:val="none"/>
          <w:lang w:val="en-US" w:eastAsia="zh-CN"/>
        </w:rPr>
        <w:t>为</w:t>
      </w:r>
      <w:r>
        <w:rPr>
          <w:rFonts w:hint="eastAsia" w:cs="Times New Roman"/>
          <w:color w:val="auto"/>
          <w:kern w:val="0"/>
          <w:sz w:val="24"/>
          <w:szCs w:val="24"/>
          <w:highlight w:val="none"/>
          <w:lang w:val="en-US" w:eastAsia="zh-CN"/>
        </w:rPr>
        <w:t>0.0626</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，项目大气扬尘沉降对场地外土壤环境质量影响较小</w:t>
      </w:r>
      <w:r>
        <w:rPr>
          <w:rFonts w:hint="eastAsia" w:cs="Times New Roman"/>
          <w:color w:val="auto"/>
          <w:sz w:val="24"/>
          <w:szCs w:val="24"/>
          <w:highlight w:val="none"/>
          <w:lang w:eastAsia="zh-CN"/>
        </w:rPr>
        <w:t>；</w:t>
      </w:r>
      <w:r>
        <w:rPr>
          <w:rFonts w:hint="eastAsia" w:cs="Times New Roman"/>
          <w:color w:val="auto"/>
          <w:kern w:val="2"/>
          <w:sz w:val="24"/>
          <w:szCs w:val="24"/>
          <w:highlight w:val="none"/>
          <w:lang w:val="en-US" w:eastAsia="zh-CN" w:bidi="ar-SA"/>
        </w:rPr>
        <w:t>排土场产生的淋溶废水回用降尘，不外排</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olor w:val="auto"/>
          <w:sz w:val="24"/>
          <w:szCs w:val="24"/>
          <w:highlight w:val="none"/>
        </w:rPr>
        <w:t>对区域土壤环境影响较小</w:t>
      </w:r>
      <w:r>
        <w:rPr>
          <w:rFonts w:hint="eastAsia" w:ascii="Times New Roman" w:hAnsi="Times New Roman"/>
          <w:color w:val="auto"/>
          <w:sz w:val="24"/>
          <w:szCs w:val="24"/>
          <w:highlight w:val="none"/>
          <w:lang w:eastAsia="zh-CN"/>
        </w:rPr>
        <w:t>。</w:t>
      </w:r>
    </w:p>
    <w:p w14:paraId="4DBDFE2B">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eastAsia"/>
          <w:color w:val="auto"/>
          <w:sz w:val="24"/>
          <w:szCs w:val="24"/>
          <w:highlight w:val="none"/>
          <w:lang w:val="en-US" w:eastAsia="zh-CN"/>
        </w:rPr>
      </w:pPr>
      <w:r>
        <w:rPr>
          <w:rFonts w:hint="eastAsia" w:ascii="Times New Roman" w:hAnsi="Times New Roman"/>
          <w:color w:val="auto"/>
          <w:sz w:val="24"/>
          <w:szCs w:val="24"/>
          <w:highlight w:val="none"/>
        </w:rPr>
        <w:t>本项目采取“源头控制”、“分区防控”的对策，有效保证污染物不会进入土壤环境，防止污染土壤</w:t>
      </w:r>
      <w:r>
        <w:rPr>
          <w:rFonts w:hint="eastAsia" w:ascii="Times New Roman" w:hAnsi="Times New Roman"/>
          <w:color w:val="auto"/>
          <w:sz w:val="24"/>
          <w:szCs w:val="24"/>
          <w:highlight w:val="none"/>
          <w:lang w:eastAsia="zh-CN"/>
        </w:rPr>
        <w:t>，项目对土壤环境影响可接受。</w:t>
      </w:r>
    </w:p>
    <w:p w14:paraId="692A5803">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6</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2土壤环境</w:t>
      </w:r>
      <w:r>
        <w:rPr>
          <w:rFonts w:hint="default" w:ascii="Times New Roman" w:hAnsi="Times New Roman" w:eastAsia="宋体" w:cs="Times New Roman"/>
          <w:b/>
          <w:sz w:val="24"/>
          <w:szCs w:val="24"/>
          <w:highlight w:val="none"/>
          <w:lang w:val="en-US" w:eastAsia="zh-CN"/>
        </w:rPr>
        <w:t>保护措施与对策</w:t>
      </w:r>
    </w:p>
    <w:p w14:paraId="0879B62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b/>
          <w:bCs/>
          <w:color w:val="auto"/>
          <w:sz w:val="24"/>
          <w:szCs w:val="24"/>
          <w:highlight w:val="none"/>
        </w:rPr>
      </w:pPr>
      <w:r>
        <w:rPr>
          <w:rFonts w:hint="eastAsia"/>
          <w:color w:val="auto"/>
          <w:sz w:val="24"/>
          <w:szCs w:val="24"/>
          <w:highlight w:val="none"/>
          <w:lang w:eastAsia="zh-CN"/>
        </w:rPr>
        <w:t>（</w:t>
      </w:r>
      <w:r>
        <w:rPr>
          <w:rFonts w:hint="eastAsia"/>
          <w:color w:val="auto"/>
          <w:sz w:val="24"/>
          <w:szCs w:val="24"/>
          <w:highlight w:val="none"/>
          <w:lang w:val="en-US" w:eastAsia="zh-CN"/>
        </w:rPr>
        <w:t>1</w:t>
      </w:r>
      <w:r>
        <w:rPr>
          <w:rFonts w:hint="eastAsia"/>
          <w:color w:val="auto"/>
          <w:sz w:val="24"/>
          <w:szCs w:val="24"/>
          <w:highlight w:val="none"/>
          <w:lang w:eastAsia="zh-CN"/>
        </w:rPr>
        <w:t>）</w:t>
      </w:r>
      <w:r>
        <w:rPr>
          <w:rFonts w:hint="eastAsia"/>
          <w:color w:val="auto"/>
          <w:sz w:val="24"/>
          <w:szCs w:val="24"/>
          <w:highlight w:val="none"/>
        </w:rPr>
        <w:t>源头控制措施</w:t>
      </w:r>
    </w:p>
    <w:p w14:paraId="5963E0C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24"/>
          <w:highlight w:val="none"/>
        </w:rPr>
      </w:pPr>
      <w:r>
        <w:rPr>
          <w:rFonts w:hint="eastAsia"/>
          <w:color w:val="auto"/>
          <w:sz w:val="24"/>
          <w:szCs w:val="24"/>
          <w:highlight w:val="none"/>
        </w:rPr>
        <w:t>企业采取的从源头控制措施：对进厂废石</w:t>
      </w:r>
      <w:r>
        <w:rPr>
          <w:color w:val="auto"/>
          <w:sz w:val="24"/>
          <w:szCs w:val="24"/>
          <w:highlight w:val="none"/>
        </w:rPr>
        <w:t>严格检查，禁止工业垃圾、生活垃圾、</w:t>
      </w:r>
      <w:r>
        <w:rPr>
          <w:rFonts w:hint="eastAsia"/>
          <w:color w:val="auto"/>
          <w:sz w:val="24"/>
          <w:szCs w:val="24"/>
          <w:highlight w:val="none"/>
        </w:rPr>
        <w:t>建筑垃圾、</w:t>
      </w:r>
      <w:r>
        <w:rPr>
          <w:color w:val="auto"/>
          <w:sz w:val="24"/>
          <w:szCs w:val="24"/>
          <w:highlight w:val="none"/>
        </w:rPr>
        <w:t>医疗垃圾及有毒有害垃圾进入本</w:t>
      </w:r>
      <w:r>
        <w:rPr>
          <w:rFonts w:hint="eastAsia"/>
          <w:color w:val="auto"/>
          <w:sz w:val="24"/>
          <w:szCs w:val="24"/>
          <w:highlight w:val="none"/>
        </w:rPr>
        <w:t>排土场。</w:t>
      </w:r>
    </w:p>
    <w:p w14:paraId="67B9714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24"/>
          <w:highlight w:val="none"/>
        </w:rPr>
      </w:pPr>
      <w:r>
        <w:rPr>
          <w:rFonts w:hint="eastAsia"/>
          <w:color w:val="auto"/>
          <w:sz w:val="24"/>
          <w:szCs w:val="24"/>
          <w:highlight w:val="none"/>
          <w:lang w:eastAsia="zh-CN"/>
        </w:rPr>
        <w:t>（</w:t>
      </w:r>
      <w:r>
        <w:rPr>
          <w:rFonts w:hint="eastAsia"/>
          <w:color w:val="auto"/>
          <w:sz w:val="24"/>
          <w:szCs w:val="24"/>
          <w:highlight w:val="none"/>
          <w:lang w:val="en-US" w:eastAsia="zh-CN"/>
        </w:rPr>
        <w:t>2</w:t>
      </w:r>
      <w:r>
        <w:rPr>
          <w:rFonts w:hint="eastAsia"/>
          <w:color w:val="auto"/>
          <w:sz w:val="24"/>
          <w:szCs w:val="24"/>
          <w:highlight w:val="none"/>
          <w:lang w:eastAsia="zh-CN"/>
        </w:rPr>
        <w:t>）</w:t>
      </w:r>
      <w:r>
        <w:rPr>
          <w:rFonts w:hint="eastAsia"/>
          <w:color w:val="auto"/>
          <w:sz w:val="24"/>
          <w:szCs w:val="24"/>
          <w:highlight w:val="none"/>
        </w:rPr>
        <w:t>定期监测</w:t>
      </w:r>
    </w:p>
    <w:p w14:paraId="4719391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24"/>
          <w:highlight w:val="none"/>
        </w:rPr>
      </w:pPr>
      <w:r>
        <w:rPr>
          <w:rFonts w:hint="eastAsia"/>
          <w:color w:val="auto"/>
          <w:sz w:val="24"/>
          <w:szCs w:val="24"/>
          <w:highlight w:val="none"/>
        </w:rPr>
        <w:t>企业应制定监测计划，定期跟踪场区内土壤环境质量，建立跟踪监测制度，以便及时发现问题，采取有效措施。</w:t>
      </w:r>
    </w:p>
    <w:p w14:paraId="5478B07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24"/>
          <w:highlight w:val="none"/>
        </w:rPr>
      </w:pPr>
      <w:r>
        <w:rPr>
          <w:color w:val="auto"/>
          <w:sz w:val="24"/>
          <w:szCs w:val="24"/>
          <w:highlight w:val="none"/>
        </w:rPr>
        <w:t>监测点位及频次</w:t>
      </w:r>
      <w:r>
        <w:rPr>
          <w:rFonts w:hint="eastAsia"/>
          <w:color w:val="auto"/>
          <w:sz w:val="24"/>
          <w:szCs w:val="24"/>
          <w:highlight w:val="none"/>
        </w:rPr>
        <w:t>：场区</w:t>
      </w:r>
      <w:r>
        <w:rPr>
          <w:color w:val="auto"/>
          <w:sz w:val="24"/>
          <w:szCs w:val="24"/>
          <w:highlight w:val="none"/>
        </w:rPr>
        <w:t>土壤环境，每</w:t>
      </w:r>
      <w:r>
        <w:rPr>
          <w:rFonts w:hint="eastAsia"/>
          <w:color w:val="auto"/>
          <w:sz w:val="24"/>
          <w:szCs w:val="24"/>
          <w:highlight w:val="none"/>
          <w:lang w:val="en-US" w:eastAsia="zh-CN"/>
        </w:rPr>
        <w:t>3</w:t>
      </w:r>
      <w:r>
        <w:rPr>
          <w:rFonts w:hint="eastAsia"/>
          <w:color w:val="auto"/>
          <w:sz w:val="24"/>
          <w:szCs w:val="24"/>
          <w:highlight w:val="none"/>
        </w:rPr>
        <w:t>年</w:t>
      </w:r>
      <w:r>
        <w:rPr>
          <w:color w:val="auto"/>
          <w:sz w:val="24"/>
          <w:szCs w:val="24"/>
          <w:highlight w:val="none"/>
        </w:rPr>
        <w:t>一次。</w:t>
      </w:r>
    </w:p>
    <w:p w14:paraId="6F023F0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highlight w:val="none"/>
          <w:lang w:val="en-US" w:eastAsia="zh-CN"/>
        </w:rPr>
      </w:pPr>
      <w:r>
        <w:rPr>
          <w:rFonts w:hint="eastAsia"/>
          <w:color w:val="auto"/>
          <w:sz w:val="24"/>
          <w:szCs w:val="24"/>
          <w:highlight w:val="none"/>
        </w:rPr>
        <w:t>场区监测</w:t>
      </w:r>
      <w:r>
        <w:rPr>
          <w:color w:val="auto"/>
          <w:sz w:val="24"/>
          <w:szCs w:val="24"/>
          <w:highlight w:val="none"/>
        </w:rPr>
        <w:t>因子</w:t>
      </w:r>
      <w:r>
        <w:rPr>
          <w:rFonts w:hint="eastAsia"/>
          <w:color w:val="auto"/>
          <w:sz w:val="24"/>
          <w:szCs w:val="24"/>
          <w:highlight w:val="none"/>
        </w:rPr>
        <w:t>：</w:t>
      </w:r>
      <w:r>
        <w:rPr>
          <w:rFonts w:hint="eastAsia" w:cs="Times New Roman"/>
          <w:b w:val="0"/>
          <w:bCs w:val="0"/>
          <w:color w:val="auto"/>
          <w:sz w:val="24"/>
          <w:szCs w:val="24"/>
          <w:highlight w:val="none"/>
          <w:lang w:val="en-US" w:eastAsia="zh-CN"/>
        </w:rPr>
        <w:t>铁</w:t>
      </w:r>
      <w:r>
        <w:rPr>
          <w:rFonts w:hint="eastAsia" w:ascii="Times New Roman" w:hAnsi="Times New Roman"/>
          <w:color w:val="auto"/>
          <w:sz w:val="24"/>
          <w:szCs w:val="24"/>
          <w:highlight w:val="none"/>
        </w:rPr>
        <w:t>。</w:t>
      </w:r>
    </w:p>
    <w:p w14:paraId="211983A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6</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en-US" w:eastAsia="zh-CN"/>
        </w:rPr>
        <w:t>土壤环境影响评价结论</w:t>
      </w:r>
    </w:p>
    <w:p w14:paraId="24E5BFE4">
      <w:pPr>
        <w:keepNext w:val="0"/>
        <w:keepLines w:val="0"/>
        <w:pageBreakBefore w:val="0"/>
        <w:widowControl w:val="0"/>
        <w:numPr>
          <w:ilvl w:val="0"/>
          <w:numId w:val="0"/>
        </w:numPr>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olor w:val="auto"/>
          <w:sz w:val="24"/>
          <w:szCs w:val="24"/>
          <w:highlight w:val="none"/>
        </w:rPr>
        <w:t>项目属于土壤污染影响型建设项目，产生的影响途径为垂直入渗，通过影响分析分析可知，</w:t>
      </w:r>
      <w:r>
        <w:rPr>
          <w:rFonts w:hint="eastAsia"/>
          <w:color w:val="auto"/>
          <w:sz w:val="24"/>
          <w:szCs w:val="24"/>
          <w:highlight w:val="none"/>
          <w:lang w:eastAsia="zh-CN"/>
        </w:rPr>
        <w:t>项目对土壤环境影响可接受</w:t>
      </w:r>
      <w:r>
        <w:rPr>
          <w:rFonts w:hint="eastAsia"/>
          <w:color w:val="auto"/>
          <w:sz w:val="24"/>
          <w:szCs w:val="24"/>
          <w:highlight w:val="none"/>
        </w:rPr>
        <w:t>。</w:t>
      </w:r>
    </w:p>
    <w:p w14:paraId="4ACC3A70">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bookmarkStart w:id="325" w:name="_Toc30472"/>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6</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4</w:t>
      </w:r>
      <w:r>
        <w:rPr>
          <w:rFonts w:hint="eastAsia" w:ascii="Times New Roman" w:hAnsi="Times New Roman" w:eastAsia="宋体" w:cs="Times New Roman"/>
          <w:b/>
          <w:sz w:val="24"/>
          <w:szCs w:val="24"/>
          <w:highlight w:val="none"/>
          <w:lang w:val="en-US" w:eastAsia="zh-CN"/>
        </w:rPr>
        <w:t>土壤环境影响评价自查表</w:t>
      </w:r>
      <w:bookmarkEnd w:id="325"/>
    </w:p>
    <w:p w14:paraId="50CF04B5">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本项</w:t>
      </w:r>
      <w:r>
        <w:rPr>
          <w:rFonts w:hint="default" w:ascii="Times New Roman" w:hAnsi="Times New Roman" w:eastAsia="宋体" w:cs="Times New Roman"/>
          <w:color w:val="auto"/>
          <w:kern w:val="2"/>
          <w:sz w:val="24"/>
          <w:szCs w:val="24"/>
          <w:highlight w:val="none"/>
          <w:lang w:val="en-US" w:eastAsia="zh-CN" w:bidi="ar-SA"/>
        </w:rPr>
        <w:t>土壤环境影响评价自查表见</w:t>
      </w:r>
      <w:r>
        <w:rPr>
          <w:rFonts w:hint="eastAsia" w:ascii="Times New Roman" w:hAnsi="Times New Roman" w:eastAsia="宋体" w:cs="Times New Roman"/>
          <w:color w:val="auto"/>
          <w:kern w:val="2"/>
          <w:sz w:val="24"/>
          <w:szCs w:val="24"/>
          <w:highlight w:val="none"/>
          <w:lang w:val="en-US" w:eastAsia="zh-CN" w:bidi="ar-SA"/>
        </w:rPr>
        <w:t>下</w:t>
      </w:r>
      <w:r>
        <w:rPr>
          <w:rFonts w:hint="default" w:ascii="Times New Roman" w:hAnsi="Times New Roman" w:eastAsia="宋体" w:cs="Times New Roman"/>
          <w:color w:val="auto"/>
          <w:kern w:val="2"/>
          <w:sz w:val="24"/>
          <w:szCs w:val="24"/>
          <w:highlight w:val="none"/>
          <w:lang w:val="en-US" w:eastAsia="zh-CN" w:bidi="ar-SA"/>
        </w:rPr>
        <w:t>表</w:t>
      </w:r>
      <w:r>
        <w:rPr>
          <w:rFonts w:hint="eastAsia" w:ascii="Times New Roman" w:hAnsi="Times New Roman" w:eastAsia="宋体" w:cs="Times New Roman"/>
          <w:color w:val="auto"/>
          <w:kern w:val="2"/>
          <w:sz w:val="24"/>
          <w:szCs w:val="24"/>
          <w:highlight w:val="none"/>
          <w:lang w:val="en-US" w:eastAsia="zh-CN" w:bidi="ar-SA"/>
        </w:rPr>
        <w:t>：</w:t>
      </w:r>
    </w:p>
    <w:p w14:paraId="4605F295">
      <w:pPr>
        <w:numPr>
          <w:ilvl w:val="0"/>
          <w:numId w:val="24"/>
        </w:numPr>
        <w:ind w:left="0" w:leftChars="0" w:firstLine="0" w:firstLineChars="0"/>
        <w:jc w:val="center"/>
        <w:rPr>
          <w:rStyle w:val="66"/>
          <w:rFonts w:hint="default" w:ascii="Times New Roman" w:hAnsi="Times New Roman" w:cs="Times New Roman"/>
          <w:b/>
          <w:color w:val="auto"/>
          <w:highlight w:val="none"/>
          <w:lang w:eastAsia="zh-CN"/>
        </w:rPr>
      </w:pPr>
      <w:r>
        <w:rPr>
          <w:rStyle w:val="66"/>
          <w:rFonts w:hint="eastAsia" w:cs="Times New Roman"/>
          <w:b/>
          <w:color w:val="auto"/>
          <w:highlight w:val="none"/>
          <w:lang w:val="en-US" w:eastAsia="zh-CN"/>
        </w:rPr>
        <w:t>项目</w:t>
      </w:r>
      <w:r>
        <w:rPr>
          <w:rStyle w:val="66"/>
          <w:rFonts w:hint="default" w:ascii="Times New Roman" w:hAnsi="Times New Roman" w:cs="Times New Roman"/>
          <w:b/>
          <w:color w:val="auto"/>
          <w:highlight w:val="none"/>
          <w:lang w:eastAsia="zh-CN"/>
        </w:rPr>
        <w:t>土壤环境影响评价自查表</w:t>
      </w:r>
    </w:p>
    <w:tbl>
      <w:tblPr>
        <w:tblStyle w:val="317"/>
        <w:tblW w:w="507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268"/>
        <w:gridCol w:w="1252"/>
        <w:gridCol w:w="1361"/>
        <w:gridCol w:w="840"/>
        <w:gridCol w:w="2832"/>
        <w:gridCol w:w="135"/>
        <w:gridCol w:w="854"/>
        <w:gridCol w:w="892"/>
      </w:tblGrid>
      <w:tr w14:paraId="28E20F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901" w:type="pct"/>
            <w:gridSpan w:val="2"/>
            <w:tcBorders>
              <w:tl2br w:val="nil"/>
              <w:tr2bl w:val="nil"/>
            </w:tcBorders>
            <w:noWrap w:val="0"/>
            <w:vAlign w:val="center"/>
          </w:tcPr>
          <w:p w14:paraId="4AB73F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工作内容</w:t>
            </w:r>
          </w:p>
        </w:tc>
        <w:tc>
          <w:tcPr>
            <w:tcW w:w="3570" w:type="pct"/>
            <w:gridSpan w:val="5"/>
            <w:tcBorders>
              <w:tl2br w:val="nil"/>
              <w:tr2bl w:val="nil"/>
            </w:tcBorders>
            <w:noWrap w:val="0"/>
            <w:vAlign w:val="center"/>
          </w:tcPr>
          <w:p w14:paraId="4EC34E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完成情况</w:t>
            </w:r>
          </w:p>
        </w:tc>
        <w:tc>
          <w:tcPr>
            <w:tcW w:w="527" w:type="pct"/>
            <w:tcBorders>
              <w:tl2br w:val="nil"/>
              <w:tr2bl w:val="nil"/>
            </w:tcBorders>
            <w:noWrap w:val="0"/>
            <w:vAlign w:val="center"/>
          </w:tcPr>
          <w:p w14:paraId="22F35E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备注</w:t>
            </w:r>
          </w:p>
        </w:tc>
      </w:tr>
      <w:tr w14:paraId="67C5AD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restart"/>
            <w:tcBorders>
              <w:tl2br w:val="nil"/>
              <w:tr2bl w:val="nil"/>
            </w:tcBorders>
            <w:noWrap w:val="0"/>
            <w:vAlign w:val="center"/>
          </w:tcPr>
          <w:p w14:paraId="4F5551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影响识别</w:t>
            </w:r>
          </w:p>
        </w:tc>
        <w:tc>
          <w:tcPr>
            <w:tcW w:w="742" w:type="pct"/>
            <w:tcBorders>
              <w:tl2br w:val="nil"/>
              <w:tr2bl w:val="nil"/>
            </w:tcBorders>
            <w:noWrap w:val="0"/>
            <w:vAlign w:val="center"/>
          </w:tcPr>
          <w:p w14:paraId="0D004E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影响类型</w:t>
            </w:r>
          </w:p>
        </w:tc>
        <w:tc>
          <w:tcPr>
            <w:tcW w:w="3570" w:type="pct"/>
            <w:gridSpan w:val="5"/>
            <w:tcBorders>
              <w:tl2br w:val="nil"/>
              <w:tr2bl w:val="nil"/>
            </w:tcBorders>
            <w:noWrap w:val="0"/>
            <w:vAlign w:val="center"/>
          </w:tcPr>
          <w:p w14:paraId="3E32E6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污染影响型☑；生态影响型□；两种兼有□</w:t>
            </w:r>
          </w:p>
        </w:tc>
        <w:tc>
          <w:tcPr>
            <w:tcW w:w="527" w:type="pct"/>
            <w:tcBorders>
              <w:tl2br w:val="nil"/>
              <w:tr2bl w:val="nil"/>
            </w:tcBorders>
            <w:noWrap w:val="0"/>
            <w:vAlign w:val="center"/>
          </w:tcPr>
          <w:p w14:paraId="47391A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025C99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4E3A27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742" w:type="pct"/>
            <w:tcBorders>
              <w:tl2br w:val="nil"/>
              <w:tr2bl w:val="nil"/>
            </w:tcBorders>
            <w:noWrap w:val="0"/>
            <w:vAlign w:val="center"/>
          </w:tcPr>
          <w:p w14:paraId="4FF29F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土地利用类型</w:t>
            </w:r>
          </w:p>
        </w:tc>
        <w:tc>
          <w:tcPr>
            <w:tcW w:w="3570" w:type="pct"/>
            <w:gridSpan w:val="5"/>
            <w:tcBorders>
              <w:tl2br w:val="nil"/>
              <w:tr2bl w:val="nil"/>
            </w:tcBorders>
            <w:noWrap w:val="0"/>
            <w:vAlign w:val="center"/>
          </w:tcPr>
          <w:p w14:paraId="2E9CB5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建设用地</w:t>
            </w:r>
            <w:r>
              <w:rPr>
                <w:rFonts w:hint="eastAsia" w:cs="Times New Roman"/>
                <w:color w:val="auto"/>
                <w:kern w:val="2"/>
                <w:sz w:val="21"/>
                <w:szCs w:val="21"/>
                <w:highlight w:val="none"/>
                <w:lang w:val="en-US" w:eastAsia="zh-CN" w:bidi="ar-SA"/>
              </w:rPr>
              <w:sym w:font="Wingdings 2" w:char="0052"/>
            </w:r>
            <w:r>
              <w:rPr>
                <w:rFonts w:hint="default" w:ascii="Times New Roman" w:hAnsi="Times New Roman" w:eastAsia="宋体" w:cs="Times New Roman"/>
                <w:color w:val="auto"/>
                <w:kern w:val="2"/>
                <w:sz w:val="21"/>
                <w:szCs w:val="21"/>
                <w:highlight w:val="none"/>
                <w:lang w:val="en-US" w:eastAsia="zh-CN" w:bidi="ar-SA"/>
              </w:rPr>
              <w:t>；农用地□；未利用地□</w:t>
            </w:r>
          </w:p>
        </w:tc>
        <w:tc>
          <w:tcPr>
            <w:tcW w:w="527" w:type="pct"/>
            <w:tcBorders>
              <w:tl2br w:val="nil"/>
              <w:tr2bl w:val="nil"/>
            </w:tcBorders>
            <w:noWrap w:val="0"/>
            <w:vAlign w:val="center"/>
          </w:tcPr>
          <w:p w14:paraId="0D4E59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551B47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7D41FE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495728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占地规模</w:t>
            </w:r>
          </w:p>
        </w:tc>
        <w:tc>
          <w:tcPr>
            <w:tcW w:w="3570" w:type="pct"/>
            <w:gridSpan w:val="5"/>
            <w:tcBorders>
              <w:tl2br w:val="nil"/>
              <w:tr2bl w:val="nil"/>
            </w:tcBorders>
            <w:noWrap w:val="0"/>
            <w:vAlign w:val="center"/>
          </w:tcPr>
          <w:p w14:paraId="579062F4">
            <w:pPr>
              <w:keepNext w:val="0"/>
              <w:keepLines w:val="0"/>
              <w:pageBreakBefore w:val="0"/>
              <w:widowControl w:val="0"/>
              <w:tabs>
                <w:tab w:val="left" w:pos="136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39</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Times New Roman" w:cs="Times New Roman"/>
                <w:color w:val="auto"/>
                <w:kern w:val="2"/>
                <w:sz w:val="21"/>
                <w:szCs w:val="21"/>
                <w:highlight w:val="none"/>
                <w:lang w:val="en-US" w:eastAsia="zh-CN" w:bidi="ar-SA"/>
              </w:rPr>
              <w:t>hm</w:t>
            </w:r>
            <w:r>
              <w:rPr>
                <w:rFonts w:hint="eastAsia" w:eastAsia="Times New Roman" w:cs="Times New Roman"/>
                <w:color w:val="auto"/>
                <w:kern w:val="2"/>
                <w:sz w:val="21"/>
                <w:szCs w:val="21"/>
                <w:highlight w:val="none"/>
                <w:vertAlign w:val="superscript"/>
                <w:lang w:val="en-US" w:eastAsia="zh-CN" w:bidi="ar-SA"/>
              </w:rPr>
              <w:t>2</w:t>
            </w:r>
          </w:p>
        </w:tc>
        <w:tc>
          <w:tcPr>
            <w:tcW w:w="527" w:type="pct"/>
            <w:tcBorders>
              <w:tl2br w:val="nil"/>
              <w:tr2bl w:val="nil"/>
            </w:tcBorders>
            <w:noWrap w:val="0"/>
            <w:vAlign w:val="center"/>
          </w:tcPr>
          <w:p w14:paraId="3205D5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08A78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49FD41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7E624B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敏感目标信息</w:t>
            </w:r>
          </w:p>
        </w:tc>
        <w:tc>
          <w:tcPr>
            <w:tcW w:w="3570" w:type="pct"/>
            <w:gridSpan w:val="5"/>
            <w:tcBorders>
              <w:tl2br w:val="nil"/>
              <w:tr2bl w:val="nil"/>
            </w:tcBorders>
            <w:noWrap w:val="0"/>
            <w:vAlign w:val="center"/>
          </w:tcPr>
          <w:p w14:paraId="76B7387A">
            <w:pPr>
              <w:keepNext w:val="0"/>
              <w:keepLines w:val="0"/>
              <w:pageBreakBefore w:val="0"/>
              <w:widowControl w:val="0"/>
              <w:tabs>
                <w:tab w:val="left" w:pos="1629"/>
                <w:tab w:val="left" w:pos="3520"/>
                <w:tab w:val="left" w:pos="514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敏感目标（）、方位（ ）、距离（/m）</w:t>
            </w:r>
          </w:p>
        </w:tc>
        <w:tc>
          <w:tcPr>
            <w:tcW w:w="527" w:type="pct"/>
            <w:tcBorders>
              <w:tl2br w:val="nil"/>
              <w:tr2bl w:val="nil"/>
            </w:tcBorders>
            <w:noWrap w:val="0"/>
            <w:vAlign w:val="center"/>
          </w:tcPr>
          <w:p w14:paraId="688FF8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见表2-</w:t>
            </w:r>
            <w:r>
              <w:rPr>
                <w:rFonts w:hint="eastAsia" w:cs="Times New Roman"/>
                <w:color w:val="auto"/>
                <w:sz w:val="21"/>
                <w:szCs w:val="21"/>
                <w:highlight w:val="none"/>
                <w:lang w:val="en-US" w:eastAsia="zh-CN"/>
              </w:rPr>
              <w:t>21</w:t>
            </w:r>
          </w:p>
        </w:tc>
      </w:tr>
      <w:tr w14:paraId="4AE248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3F18C7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742" w:type="pct"/>
            <w:tcBorders>
              <w:tl2br w:val="nil"/>
              <w:tr2bl w:val="nil"/>
            </w:tcBorders>
            <w:noWrap w:val="0"/>
            <w:vAlign w:val="center"/>
          </w:tcPr>
          <w:p w14:paraId="71D9A2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影响途径</w:t>
            </w:r>
          </w:p>
        </w:tc>
        <w:tc>
          <w:tcPr>
            <w:tcW w:w="3570" w:type="pct"/>
            <w:gridSpan w:val="5"/>
            <w:tcBorders>
              <w:tl2br w:val="nil"/>
              <w:tr2bl w:val="nil"/>
            </w:tcBorders>
            <w:noWrap w:val="0"/>
            <w:vAlign w:val="center"/>
          </w:tcPr>
          <w:p w14:paraId="452DFF0C">
            <w:pPr>
              <w:keepNext w:val="0"/>
              <w:keepLines w:val="0"/>
              <w:pageBreakBefore w:val="0"/>
              <w:widowControl w:val="0"/>
              <w:tabs>
                <w:tab w:val="left" w:pos="5229"/>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大气沉降</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；地面漫流□；垂直入渗☑；地下水位□；其他</w:t>
            </w:r>
            <w:r>
              <w:rPr>
                <w:rFonts w:hint="eastAsia" w:cs="Times New Roman"/>
                <w:color w:val="auto"/>
                <w:kern w:val="2"/>
                <w:sz w:val="21"/>
                <w:szCs w:val="21"/>
                <w:highlight w:val="none"/>
                <w:lang w:val="en-US" w:eastAsia="zh-CN" w:bidi="ar-SA"/>
              </w:rPr>
              <w:t>（）</w:t>
            </w:r>
          </w:p>
        </w:tc>
        <w:tc>
          <w:tcPr>
            <w:tcW w:w="527" w:type="pct"/>
            <w:tcBorders>
              <w:tl2br w:val="nil"/>
              <w:tr2bl w:val="nil"/>
            </w:tcBorders>
            <w:noWrap w:val="0"/>
            <w:vAlign w:val="center"/>
          </w:tcPr>
          <w:p w14:paraId="0D1EF9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05D71E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0DAEBB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742" w:type="pct"/>
            <w:tcBorders>
              <w:tl2br w:val="nil"/>
              <w:tr2bl w:val="nil"/>
            </w:tcBorders>
            <w:noWrap w:val="0"/>
            <w:vAlign w:val="center"/>
          </w:tcPr>
          <w:p w14:paraId="017735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全部污染物</w:t>
            </w:r>
          </w:p>
        </w:tc>
        <w:tc>
          <w:tcPr>
            <w:tcW w:w="3570" w:type="pct"/>
            <w:gridSpan w:val="5"/>
            <w:tcBorders>
              <w:tl2br w:val="nil"/>
              <w:tr2bl w:val="nil"/>
            </w:tcBorders>
            <w:noWrap w:val="0"/>
            <w:vAlign w:val="center"/>
          </w:tcPr>
          <w:p w14:paraId="63C41F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sz w:val="21"/>
                <w:szCs w:val="21"/>
                <w:highlight w:val="none"/>
                <w:lang w:val="en-US" w:eastAsia="zh-CN"/>
              </w:rPr>
              <w:t>Fe</w:t>
            </w:r>
          </w:p>
        </w:tc>
        <w:tc>
          <w:tcPr>
            <w:tcW w:w="527" w:type="pct"/>
            <w:tcBorders>
              <w:tl2br w:val="nil"/>
              <w:tr2bl w:val="nil"/>
            </w:tcBorders>
            <w:noWrap w:val="0"/>
            <w:vAlign w:val="center"/>
          </w:tcPr>
          <w:p w14:paraId="2181B5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737E1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06C6C3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670361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特征因子</w:t>
            </w:r>
          </w:p>
        </w:tc>
        <w:tc>
          <w:tcPr>
            <w:tcW w:w="3570" w:type="pct"/>
            <w:gridSpan w:val="5"/>
            <w:tcBorders>
              <w:tl2br w:val="nil"/>
              <w:tr2bl w:val="nil"/>
            </w:tcBorders>
            <w:noWrap w:val="0"/>
            <w:vAlign w:val="center"/>
          </w:tcPr>
          <w:p w14:paraId="7A9870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sz w:val="21"/>
                <w:szCs w:val="21"/>
                <w:highlight w:val="none"/>
                <w:lang w:val="en-US" w:eastAsia="zh-CN"/>
              </w:rPr>
              <w:t>Fe</w:t>
            </w:r>
          </w:p>
        </w:tc>
        <w:tc>
          <w:tcPr>
            <w:tcW w:w="527" w:type="pct"/>
            <w:tcBorders>
              <w:tl2br w:val="nil"/>
              <w:tr2bl w:val="nil"/>
            </w:tcBorders>
            <w:noWrap w:val="0"/>
            <w:vAlign w:val="center"/>
          </w:tcPr>
          <w:p w14:paraId="19C866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B9B81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144C68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688FEF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所属土壤环境影响评价项目类别</w:t>
            </w:r>
          </w:p>
        </w:tc>
        <w:tc>
          <w:tcPr>
            <w:tcW w:w="3570" w:type="pct"/>
            <w:gridSpan w:val="5"/>
            <w:tcBorders>
              <w:tl2br w:val="nil"/>
              <w:tr2bl w:val="nil"/>
            </w:tcBorders>
            <w:noWrap w:val="0"/>
            <w:vAlign w:val="center"/>
          </w:tcPr>
          <w:p w14:paraId="667800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Ⅰ</w:t>
            </w:r>
            <w:r>
              <w:rPr>
                <w:rFonts w:hint="default" w:ascii="Times New Roman" w:hAnsi="Times New Roman" w:eastAsia="宋体" w:cs="Times New Roman"/>
                <w:color w:val="auto"/>
                <w:kern w:val="2"/>
                <w:sz w:val="21"/>
                <w:szCs w:val="21"/>
                <w:highlight w:val="none"/>
                <w:lang w:val="en-US" w:eastAsia="zh-CN" w:bidi="ar-SA"/>
              </w:rPr>
              <w:t>类</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Times New Roman" w:cs="Times New Roman"/>
                <w:color w:val="auto"/>
                <w:kern w:val="2"/>
                <w:sz w:val="21"/>
                <w:szCs w:val="21"/>
                <w:highlight w:val="none"/>
                <w:lang w:val="en-US" w:eastAsia="zh-CN" w:bidi="ar-SA"/>
              </w:rPr>
              <w:t>Ⅱ</w:t>
            </w:r>
            <w:r>
              <w:rPr>
                <w:rFonts w:hint="default" w:ascii="Times New Roman" w:hAnsi="Times New Roman" w:eastAsia="宋体" w:cs="Times New Roman"/>
                <w:color w:val="auto"/>
                <w:kern w:val="2"/>
                <w:sz w:val="21"/>
                <w:szCs w:val="21"/>
                <w:highlight w:val="none"/>
                <w:lang w:val="en-US" w:eastAsia="zh-CN" w:bidi="ar-SA"/>
              </w:rPr>
              <w:t>类</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Times New Roman" w:cs="Times New Roman"/>
                <w:color w:val="auto"/>
                <w:kern w:val="2"/>
                <w:sz w:val="21"/>
                <w:szCs w:val="21"/>
                <w:highlight w:val="none"/>
                <w:lang w:val="en-US" w:eastAsia="zh-CN" w:bidi="ar-SA"/>
              </w:rPr>
              <w:t>Ⅲ</w:t>
            </w:r>
            <w:r>
              <w:rPr>
                <w:rFonts w:hint="default" w:ascii="Times New Roman" w:hAnsi="Times New Roman" w:eastAsia="宋体" w:cs="Times New Roman"/>
                <w:color w:val="auto"/>
                <w:kern w:val="2"/>
                <w:sz w:val="21"/>
                <w:szCs w:val="21"/>
                <w:highlight w:val="none"/>
                <w:lang w:val="en-US" w:eastAsia="zh-CN" w:bidi="ar-SA"/>
              </w:rPr>
              <w:t>类</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Times New Roman" w:cs="Times New Roman"/>
                <w:color w:val="auto"/>
                <w:kern w:val="2"/>
                <w:sz w:val="21"/>
                <w:szCs w:val="21"/>
                <w:highlight w:val="none"/>
                <w:lang w:val="en-US" w:eastAsia="zh-CN" w:bidi="ar-SA"/>
              </w:rPr>
              <w:t>Ⅳ</w:t>
            </w:r>
            <w:r>
              <w:rPr>
                <w:rFonts w:hint="default" w:ascii="Times New Roman" w:hAnsi="Times New Roman" w:eastAsia="宋体" w:cs="Times New Roman"/>
                <w:color w:val="auto"/>
                <w:kern w:val="2"/>
                <w:sz w:val="21"/>
                <w:szCs w:val="21"/>
                <w:highlight w:val="none"/>
                <w:lang w:val="en-US" w:eastAsia="zh-CN" w:bidi="ar-SA"/>
              </w:rPr>
              <w:t>类</w:t>
            </w:r>
            <w:r>
              <w:rPr>
                <w:rFonts w:hint="eastAsia" w:ascii="Times New Roman" w:hAnsi="Times New Roman" w:eastAsia="宋体" w:cs="Times New Roman"/>
                <w:color w:val="auto"/>
                <w:kern w:val="2"/>
                <w:sz w:val="21"/>
                <w:szCs w:val="21"/>
                <w:highlight w:val="none"/>
                <w:lang w:val="en-US" w:eastAsia="zh-CN" w:bidi="ar-SA"/>
              </w:rPr>
              <w:t>□</w:t>
            </w:r>
          </w:p>
        </w:tc>
        <w:tc>
          <w:tcPr>
            <w:tcW w:w="527" w:type="pct"/>
            <w:tcBorders>
              <w:tl2br w:val="nil"/>
              <w:tr2bl w:val="nil"/>
            </w:tcBorders>
            <w:noWrap w:val="0"/>
            <w:vAlign w:val="center"/>
          </w:tcPr>
          <w:p w14:paraId="43BBF6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199D4D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33DE69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742" w:type="pct"/>
            <w:tcBorders>
              <w:tl2br w:val="nil"/>
              <w:tr2bl w:val="nil"/>
            </w:tcBorders>
            <w:noWrap w:val="0"/>
            <w:vAlign w:val="center"/>
          </w:tcPr>
          <w:p w14:paraId="3AE4AF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敏感程度</w:t>
            </w:r>
          </w:p>
        </w:tc>
        <w:tc>
          <w:tcPr>
            <w:tcW w:w="3570" w:type="pct"/>
            <w:gridSpan w:val="5"/>
            <w:tcBorders>
              <w:tl2br w:val="nil"/>
              <w:tr2bl w:val="nil"/>
            </w:tcBorders>
            <w:noWrap w:val="0"/>
            <w:vAlign w:val="center"/>
          </w:tcPr>
          <w:p w14:paraId="354645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敏感</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；较敏感</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；不敏感</w:t>
            </w:r>
            <w:r>
              <w:rPr>
                <w:rFonts w:hint="eastAsia" w:cs="Times New Roman"/>
                <w:color w:val="auto"/>
                <w:kern w:val="2"/>
                <w:sz w:val="21"/>
                <w:szCs w:val="21"/>
                <w:highlight w:val="none"/>
                <w:lang w:val="en-US" w:eastAsia="zh-CN" w:bidi="ar-SA"/>
              </w:rPr>
              <w:t>☑</w:t>
            </w:r>
          </w:p>
        </w:tc>
        <w:tc>
          <w:tcPr>
            <w:tcW w:w="527" w:type="pct"/>
            <w:tcBorders>
              <w:tl2br w:val="nil"/>
              <w:tr2bl w:val="nil"/>
            </w:tcBorders>
            <w:noWrap w:val="0"/>
            <w:vAlign w:val="center"/>
          </w:tcPr>
          <w:p w14:paraId="4D4492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7C5FC9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901" w:type="pct"/>
            <w:gridSpan w:val="2"/>
            <w:tcBorders>
              <w:tl2br w:val="nil"/>
              <w:tr2bl w:val="nil"/>
            </w:tcBorders>
            <w:noWrap w:val="0"/>
            <w:vAlign w:val="center"/>
          </w:tcPr>
          <w:p w14:paraId="1A0391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评价工作等级</w:t>
            </w:r>
          </w:p>
        </w:tc>
        <w:tc>
          <w:tcPr>
            <w:tcW w:w="3570" w:type="pct"/>
            <w:gridSpan w:val="5"/>
            <w:tcBorders>
              <w:tl2br w:val="nil"/>
              <w:tr2bl w:val="nil"/>
            </w:tcBorders>
            <w:noWrap w:val="0"/>
            <w:vAlign w:val="center"/>
          </w:tcPr>
          <w:p w14:paraId="1D2B09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一级</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；二级</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；三级</w:t>
            </w:r>
            <w:r>
              <w:rPr>
                <w:rFonts w:hint="eastAsia" w:cs="Times New Roman"/>
                <w:color w:val="auto"/>
                <w:kern w:val="2"/>
                <w:sz w:val="21"/>
                <w:szCs w:val="21"/>
                <w:highlight w:val="none"/>
                <w:lang w:val="en-US" w:eastAsia="zh-CN" w:bidi="ar-SA"/>
              </w:rPr>
              <w:t>☑</w:t>
            </w:r>
          </w:p>
        </w:tc>
        <w:tc>
          <w:tcPr>
            <w:tcW w:w="527" w:type="pct"/>
            <w:tcBorders>
              <w:tl2br w:val="nil"/>
              <w:tr2bl w:val="nil"/>
            </w:tcBorders>
            <w:noWrap w:val="0"/>
            <w:vAlign w:val="center"/>
          </w:tcPr>
          <w:p w14:paraId="7CAE80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01F0087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restart"/>
            <w:tcBorders>
              <w:tl2br w:val="nil"/>
              <w:tr2bl w:val="nil"/>
            </w:tcBorders>
            <w:noWrap w:val="0"/>
            <w:vAlign w:val="center"/>
          </w:tcPr>
          <w:p w14:paraId="4F3648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现状调查内容</w:t>
            </w:r>
          </w:p>
        </w:tc>
        <w:tc>
          <w:tcPr>
            <w:tcW w:w="742" w:type="pct"/>
            <w:tcBorders>
              <w:tl2br w:val="nil"/>
              <w:tr2bl w:val="nil"/>
            </w:tcBorders>
            <w:noWrap w:val="0"/>
            <w:vAlign w:val="center"/>
          </w:tcPr>
          <w:p w14:paraId="5D0539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资料收集</w:t>
            </w:r>
          </w:p>
        </w:tc>
        <w:tc>
          <w:tcPr>
            <w:tcW w:w="3570" w:type="pct"/>
            <w:gridSpan w:val="5"/>
            <w:tcBorders>
              <w:tl2br w:val="nil"/>
              <w:tr2bl w:val="nil"/>
            </w:tcBorders>
            <w:noWrap w:val="0"/>
            <w:vAlign w:val="center"/>
          </w:tcPr>
          <w:p w14:paraId="1D91D0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Times New Roman" w:cs="Times New Roman"/>
                <w:color w:val="auto"/>
                <w:spacing w:val="-1"/>
                <w:kern w:val="2"/>
                <w:sz w:val="21"/>
                <w:szCs w:val="21"/>
                <w:highlight w:val="none"/>
                <w:lang w:val="en-US" w:eastAsia="zh-CN" w:bidi="ar-SA"/>
              </w:rPr>
              <w:t>a</w:t>
            </w:r>
            <w:r>
              <w:rPr>
                <w:rFonts w:hint="default"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b</w:t>
            </w:r>
            <w:r>
              <w:rPr>
                <w:rFonts w:hint="default"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c</w:t>
            </w:r>
            <w:r>
              <w:rPr>
                <w:rFonts w:hint="default" w:ascii="Times New Roman" w:hAnsi="Times New Roman" w:eastAsia="宋体" w:cs="Times New Roman"/>
                <w:color w:val="auto"/>
                <w:spacing w:val="-1"/>
                <w:kern w:val="2"/>
                <w:sz w:val="21"/>
                <w:szCs w:val="21"/>
                <w:highlight w:val="none"/>
                <w:lang w:val="en-US" w:eastAsia="zh-CN" w:bidi="ar-SA"/>
              </w:rPr>
              <w:t>）☑；d）□</w:t>
            </w:r>
          </w:p>
        </w:tc>
        <w:tc>
          <w:tcPr>
            <w:tcW w:w="527" w:type="pct"/>
            <w:tcBorders>
              <w:tl2br w:val="nil"/>
              <w:tr2bl w:val="nil"/>
            </w:tcBorders>
            <w:noWrap w:val="0"/>
            <w:vAlign w:val="center"/>
          </w:tcPr>
          <w:p w14:paraId="2CA5CD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63380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47FC40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199C78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理化特性</w:t>
            </w:r>
          </w:p>
        </w:tc>
        <w:tc>
          <w:tcPr>
            <w:tcW w:w="3570" w:type="pct"/>
            <w:gridSpan w:val="5"/>
            <w:tcBorders>
              <w:tl2br w:val="nil"/>
              <w:tr2bl w:val="nil"/>
            </w:tcBorders>
            <w:noWrap w:val="0"/>
            <w:vAlign w:val="center"/>
          </w:tcPr>
          <w:p w14:paraId="2C3A88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527" w:type="pct"/>
            <w:tcBorders>
              <w:tl2br w:val="nil"/>
              <w:tr2bl w:val="nil"/>
            </w:tcBorders>
            <w:noWrap w:val="0"/>
            <w:vAlign w:val="center"/>
          </w:tcPr>
          <w:p w14:paraId="4C3E1A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同附录</w:t>
            </w:r>
            <w:r>
              <w:rPr>
                <w:rFonts w:hint="default" w:ascii="Times New Roman" w:hAnsi="Times New Roman" w:eastAsia="Times New Roman" w:cs="Times New Roman"/>
                <w:color w:val="auto"/>
                <w:kern w:val="2"/>
                <w:sz w:val="21"/>
                <w:szCs w:val="21"/>
                <w:highlight w:val="none"/>
                <w:lang w:val="en-US" w:eastAsia="zh-CN" w:bidi="ar-SA"/>
              </w:rPr>
              <w:t>C</w:t>
            </w:r>
          </w:p>
        </w:tc>
      </w:tr>
      <w:tr w14:paraId="6CAF19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3EBE0E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vMerge w:val="restart"/>
            <w:tcBorders>
              <w:tl2br w:val="nil"/>
              <w:tr2bl w:val="nil"/>
            </w:tcBorders>
            <w:noWrap w:val="0"/>
            <w:vAlign w:val="center"/>
          </w:tcPr>
          <w:p w14:paraId="5AE83E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现状监测点位</w:t>
            </w:r>
          </w:p>
        </w:tc>
        <w:tc>
          <w:tcPr>
            <w:tcW w:w="807" w:type="pct"/>
            <w:tcBorders>
              <w:tl2br w:val="nil"/>
              <w:tr2bl w:val="nil"/>
            </w:tcBorders>
            <w:noWrap w:val="0"/>
            <w:vAlign w:val="center"/>
          </w:tcPr>
          <w:p w14:paraId="0B6C3B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497" w:type="pct"/>
            <w:tcBorders>
              <w:tl2br w:val="nil"/>
              <w:tr2bl w:val="nil"/>
            </w:tcBorders>
            <w:noWrap w:val="0"/>
            <w:vAlign w:val="center"/>
          </w:tcPr>
          <w:p w14:paraId="6FFB45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占地范围内</w:t>
            </w:r>
          </w:p>
        </w:tc>
        <w:tc>
          <w:tcPr>
            <w:tcW w:w="1759" w:type="pct"/>
            <w:gridSpan w:val="2"/>
            <w:tcBorders>
              <w:tl2br w:val="nil"/>
              <w:tr2bl w:val="nil"/>
            </w:tcBorders>
            <w:noWrap w:val="0"/>
            <w:vAlign w:val="center"/>
          </w:tcPr>
          <w:p w14:paraId="59B360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占地范围外</w:t>
            </w:r>
          </w:p>
        </w:tc>
        <w:tc>
          <w:tcPr>
            <w:tcW w:w="505" w:type="pct"/>
            <w:tcBorders>
              <w:tl2br w:val="nil"/>
              <w:tr2bl w:val="nil"/>
            </w:tcBorders>
            <w:noWrap w:val="0"/>
            <w:vAlign w:val="center"/>
          </w:tcPr>
          <w:p w14:paraId="719D03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深度</w:t>
            </w:r>
          </w:p>
        </w:tc>
        <w:tc>
          <w:tcPr>
            <w:tcW w:w="527" w:type="pct"/>
            <w:vMerge w:val="restart"/>
            <w:tcBorders>
              <w:tl2br w:val="nil"/>
              <w:tr2bl w:val="nil"/>
            </w:tcBorders>
            <w:noWrap w:val="0"/>
            <w:vAlign w:val="center"/>
          </w:tcPr>
          <w:p w14:paraId="3C7221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7C4205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606A73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vMerge w:val="continue"/>
            <w:tcBorders>
              <w:tl2br w:val="nil"/>
              <w:tr2bl w:val="nil"/>
            </w:tcBorders>
            <w:noWrap w:val="0"/>
            <w:vAlign w:val="center"/>
          </w:tcPr>
          <w:p w14:paraId="34242B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07" w:type="pct"/>
            <w:tcBorders>
              <w:tl2br w:val="nil"/>
              <w:tr2bl w:val="nil"/>
            </w:tcBorders>
            <w:noWrap w:val="0"/>
            <w:vAlign w:val="center"/>
          </w:tcPr>
          <w:p w14:paraId="7EFEF4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表层样点数</w:t>
            </w:r>
          </w:p>
        </w:tc>
        <w:tc>
          <w:tcPr>
            <w:tcW w:w="497" w:type="pct"/>
            <w:tcBorders>
              <w:tl2br w:val="nil"/>
              <w:tr2bl w:val="nil"/>
            </w:tcBorders>
            <w:noWrap w:val="0"/>
            <w:vAlign w:val="center"/>
          </w:tcPr>
          <w:p w14:paraId="6247CA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spacing w:val="-1"/>
                <w:kern w:val="2"/>
                <w:sz w:val="21"/>
                <w:szCs w:val="21"/>
                <w:highlight w:val="none"/>
                <w:lang w:val="en-US" w:eastAsia="zh-CN" w:bidi="ar-SA"/>
              </w:rPr>
            </w:pPr>
            <w:r>
              <w:rPr>
                <w:rFonts w:hint="eastAsia" w:eastAsia="Times New Roman" w:cs="Times New Roman"/>
                <w:color w:val="auto"/>
                <w:spacing w:val="-1"/>
                <w:kern w:val="2"/>
                <w:sz w:val="21"/>
                <w:szCs w:val="21"/>
                <w:highlight w:val="none"/>
                <w:lang w:val="en-US" w:eastAsia="zh-CN" w:bidi="ar-SA"/>
              </w:rPr>
              <w:t>2</w:t>
            </w:r>
          </w:p>
        </w:tc>
        <w:tc>
          <w:tcPr>
            <w:tcW w:w="1759" w:type="pct"/>
            <w:gridSpan w:val="2"/>
            <w:tcBorders>
              <w:tl2br w:val="nil"/>
              <w:tr2bl w:val="nil"/>
            </w:tcBorders>
            <w:noWrap w:val="0"/>
            <w:vAlign w:val="center"/>
          </w:tcPr>
          <w:p w14:paraId="300B5F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spacing w:val="-1"/>
                <w:kern w:val="2"/>
                <w:sz w:val="21"/>
                <w:szCs w:val="21"/>
                <w:highlight w:val="none"/>
                <w:lang w:val="en-US" w:eastAsia="zh-CN" w:bidi="ar-SA"/>
              </w:rPr>
            </w:pPr>
            <w:r>
              <w:rPr>
                <w:rFonts w:hint="eastAsia" w:eastAsia="Times New Roman" w:cs="Times New Roman"/>
                <w:color w:val="auto"/>
                <w:spacing w:val="-1"/>
                <w:kern w:val="2"/>
                <w:sz w:val="21"/>
                <w:szCs w:val="21"/>
                <w:highlight w:val="none"/>
                <w:lang w:val="en-US" w:eastAsia="zh-CN" w:bidi="ar-SA"/>
              </w:rPr>
              <w:t>2</w:t>
            </w:r>
          </w:p>
        </w:tc>
        <w:tc>
          <w:tcPr>
            <w:tcW w:w="505" w:type="pct"/>
            <w:tcBorders>
              <w:tl2br w:val="nil"/>
              <w:tr2bl w:val="nil"/>
            </w:tcBorders>
            <w:noWrap w:val="0"/>
            <w:vAlign w:val="center"/>
          </w:tcPr>
          <w:p w14:paraId="4B07E1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spacing w:val="-1"/>
                <w:kern w:val="2"/>
                <w:sz w:val="21"/>
                <w:szCs w:val="21"/>
                <w:highlight w:val="none"/>
                <w:lang w:val="en-US" w:eastAsia="zh-CN" w:bidi="ar-SA"/>
              </w:rPr>
            </w:pPr>
            <w:r>
              <w:rPr>
                <w:rFonts w:hint="default" w:ascii="Times New Roman" w:hAnsi="Times New Roman" w:eastAsia="Times New Roman" w:cs="Times New Roman"/>
                <w:color w:val="auto"/>
                <w:spacing w:val="-1"/>
                <w:kern w:val="2"/>
                <w:sz w:val="21"/>
                <w:szCs w:val="21"/>
                <w:highlight w:val="none"/>
                <w:lang w:val="en-US" w:eastAsia="zh-CN" w:bidi="ar-SA"/>
              </w:rPr>
              <w:t>0-0.2m</w:t>
            </w:r>
          </w:p>
        </w:tc>
        <w:tc>
          <w:tcPr>
            <w:tcW w:w="527" w:type="pct"/>
            <w:vMerge w:val="continue"/>
            <w:tcBorders>
              <w:tl2br w:val="nil"/>
              <w:tr2bl w:val="nil"/>
            </w:tcBorders>
            <w:noWrap w:val="0"/>
            <w:vAlign w:val="center"/>
          </w:tcPr>
          <w:p w14:paraId="67F2B5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A1B4B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1BA8FE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vMerge w:val="continue"/>
            <w:tcBorders>
              <w:tl2br w:val="nil"/>
              <w:tr2bl w:val="nil"/>
            </w:tcBorders>
            <w:noWrap w:val="0"/>
            <w:vAlign w:val="center"/>
          </w:tcPr>
          <w:p w14:paraId="6304C2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07" w:type="pct"/>
            <w:tcBorders>
              <w:tl2br w:val="nil"/>
              <w:tr2bl w:val="nil"/>
            </w:tcBorders>
            <w:noWrap w:val="0"/>
            <w:vAlign w:val="center"/>
          </w:tcPr>
          <w:p w14:paraId="6B17F5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柱状样点数</w:t>
            </w:r>
          </w:p>
        </w:tc>
        <w:tc>
          <w:tcPr>
            <w:tcW w:w="497" w:type="pct"/>
            <w:tcBorders>
              <w:tl2br w:val="nil"/>
              <w:tr2bl w:val="nil"/>
            </w:tcBorders>
            <w:noWrap w:val="0"/>
            <w:vAlign w:val="center"/>
          </w:tcPr>
          <w:p w14:paraId="249E60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eastAsia" w:cs="Times New Roman"/>
                <w:color w:val="auto"/>
                <w:spacing w:val="-1"/>
                <w:kern w:val="2"/>
                <w:sz w:val="21"/>
                <w:szCs w:val="21"/>
                <w:highlight w:val="none"/>
                <w:lang w:val="en-US" w:eastAsia="zh-CN" w:bidi="ar-SA"/>
              </w:rPr>
              <w:t>1</w:t>
            </w:r>
          </w:p>
        </w:tc>
        <w:tc>
          <w:tcPr>
            <w:tcW w:w="1759" w:type="pct"/>
            <w:gridSpan w:val="2"/>
            <w:tcBorders>
              <w:tl2br w:val="nil"/>
              <w:tr2bl w:val="nil"/>
            </w:tcBorders>
            <w:noWrap w:val="0"/>
            <w:vAlign w:val="center"/>
          </w:tcPr>
          <w:p w14:paraId="5EA157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eastAsia" w:ascii="Times New Roman" w:hAnsi="Times New Roman" w:eastAsia="宋体" w:cs="Times New Roman"/>
                <w:color w:val="auto"/>
                <w:spacing w:val="-1"/>
                <w:kern w:val="2"/>
                <w:sz w:val="21"/>
                <w:szCs w:val="21"/>
                <w:highlight w:val="none"/>
                <w:lang w:val="en-US" w:eastAsia="zh-CN" w:bidi="ar-SA"/>
              </w:rPr>
              <w:t>0</w:t>
            </w:r>
          </w:p>
        </w:tc>
        <w:tc>
          <w:tcPr>
            <w:tcW w:w="505" w:type="pct"/>
            <w:tcBorders>
              <w:tl2br w:val="nil"/>
              <w:tr2bl w:val="nil"/>
            </w:tcBorders>
            <w:noWrap w:val="0"/>
            <w:vAlign w:val="center"/>
          </w:tcPr>
          <w:p w14:paraId="32EBBF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spacing w:val="-1"/>
                <w:kern w:val="2"/>
                <w:sz w:val="21"/>
                <w:szCs w:val="21"/>
                <w:highlight w:val="none"/>
                <w:lang w:val="en-US" w:eastAsia="zh-CN" w:bidi="ar-SA"/>
              </w:rPr>
            </w:pPr>
            <w:r>
              <w:rPr>
                <w:rFonts w:hint="eastAsia" w:ascii="Times New Roman" w:hAnsi="Times New Roman" w:eastAsia="Times New Roman" w:cs="Times New Roman"/>
                <w:color w:val="auto"/>
                <w:spacing w:val="-1"/>
                <w:kern w:val="2"/>
                <w:sz w:val="21"/>
                <w:szCs w:val="21"/>
                <w:highlight w:val="none"/>
                <w:lang w:val="en-US" w:eastAsia="zh-CN" w:bidi="ar-SA"/>
              </w:rPr>
              <w:t>0-</w:t>
            </w:r>
            <w:r>
              <w:rPr>
                <w:rFonts w:hint="eastAsia" w:eastAsia="Times New Roman" w:cs="Times New Roman"/>
                <w:color w:val="auto"/>
                <w:spacing w:val="-1"/>
                <w:kern w:val="2"/>
                <w:sz w:val="21"/>
                <w:szCs w:val="21"/>
                <w:highlight w:val="none"/>
                <w:lang w:val="en-US" w:eastAsia="zh-CN" w:bidi="ar-SA"/>
              </w:rPr>
              <w:t>6</w:t>
            </w:r>
            <w:r>
              <w:rPr>
                <w:rFonts w:hint="eastAsia" w:ascii="Times New Roman" w:hAnsi="Times New Roman" w:eastAsia="Times New Roman" w:cs="Times New Roman"/>
                <w:color w:val="auto"/>
                <w:spacing w:val="-1"/>
                <w:kern w:val="2"/>
                <w:sz w:val="21"/>
                <w:szCs w:val="21"/>
                <w:highlight w:val="none"/>
                <w:lang w:val="en-US" w:eastAsia="zh-CN" w:bidi="ar-SA"/>
              </w:rPr>
              <w:t>m</w:t>
            </w:r>
          </w:p>
        </w:tc>
        <w:tc>
          <w:tcPr>
            <w:tcW w:w="527" w:type="pct"/>
            <w:vMerge w:val="continue"/>
            <w:tcBorders>
              <w:tl2br w:val="nil"/>
              <w:tr2bl w:val="nil"/>
            </w:tcBorders>
            <w:noWrap w:val="0"/>
            <w:vAlign w:val="center"/>
          </w:tcPr>
          <w:p w14:paraId="32ADF7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0F538F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502BBC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63C5A6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现状监测因子</w:t>
            </w:r>
          </w:p>
        </w:tc>
        <w:tc>
          <w:tcPr>
            <w:tcW w:w="3570" w:type="pct"/>
            <w:gridSpan w:val="5"/>
            <w:vMerge w:val="restart"/>
            <w:tcBorders>
              <w:tl2br w:val="nil"/>
              <w:tr2bl w:val="nil"/>
            </w:tcBorders>
            <w:noWrap w:val="0"/>
            <w:vAlign w:val="center"/>
          </w:tcPr>
          <w:p w14:paraId="508505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eastAsia="Times New Roman" w:cs="Times New Roman"/>
                <w:color w:val="auto"/>
                <w:spacing w:val="-1"/>
                <w:kern w:val="2"/>
                <w:sz w:val="21"/>
                <w:szCs w:val="21"/>
                <w:highlight w:val="none"/>
                <w:lang w:val="en-US" w:eastAsia="zh-CN" w:bidi="ar-SA"/>
              </w:rPr>
              <w:t>砷、镉、</w:t>
            </w:r>
            <w:r>
              <w:rPr>
                <w:rFonts w:hint="eastAsia" w:ascii="Times New Roman" w:hAnsi="Times New Roman" w:eastAsia="宋体" w:cs="Times New Roman"/>
                <w:sz w:val="21"/>
                <w:szCs w:val="21"/>
                <w:highlight w:val="none"/>
                <w:lang w:val="en-US" w:eastAsia="zh-CN"/>
              </w:rPr>
              <w:t>铬、</w:t>
            </w:r>
            <w:r>
              <w:rPr>
                <w:rFonts w:hint="default" w:ascii="Times New Roman" w:hAnsi="Times New Roman" w:eastAsia="Times New Roman" w:cs="Times New Roman"/>
                <w:color w:val="auto"/>
                <w:spacing w:val="-1"/>
                <w:kern w:val="2"/>
                <w:sz w:val="21"/>
                <w:szCs w:val="21"/>
                <w:highlight w:val="none"/>
                <w:lang w:val="en-US" w:eastAsia="zh-CN" w:bidi="ar-SA"/>
              </w:rPr>
              <w:t>铬（六价）、铜、铅、汞、镍、四氯化碳、氯仿、氯甲烷、1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1-二氯乙烷、1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1-二氯乙烯、顺-1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2-二氯乙烯、反-1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2-二氯乙烯、二氯甲烷、1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2-四氯乙烷、1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2-四氯乙烷、四氯乙烯、1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1-三氯乙烷、1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2-三氯乙烷、三氯乙烯、1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3-三氯丙烷、氯乙烯、苯、氯苯、1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4-二氯苯、乙苯、苯乙烯、甲苯、间二甲苯+对二甲苯、邻二甲苯、硝基苯、苯胺、2-氯酚、苯并[a]蒽、苯并[a]芘、苯并[b]荧蒽、苯并荧[k]蒽、䓛、二苯并[a</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h]蒽、茚并[1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3-cd]芘、萘</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cs="Times New Roman"/>
                <w:b w:val="0"/>
                <w:bCs w:val="0"/>
                <w:color w:val="auto"/>
                <w:sz w:val="21"/>
                <w:szCs w:val="21"/>
                <w:highlight w:val="none"/>
              </w:rPr>
              <w:t>钒</w:t>
            </w:r>
            <w:r>
              <w:rPr>
                <w:rFonts w:hint="eastAsia" w:ascii="Times New Roman" w:hAnsi="Times New Roman" w:cs="Times New Roman"/>
                <w:b w:val="0"/>
                <w:bCs w:val="0"/>
                <w:sz w:val="21"/>
                <w:szCs w:val="21"/>
                <w:highlight w:val="none"/>
                <w:lang w:val="en-US" w:eastAsia="zh-CN"/>
              </w:rPr>
              <w:t>、</w:t>
            </w:r>
            <w:r>
              <w:rPr>
                <w:rFonts w:hint="default" w:ascii="Times New Roman" w:hAnsi="Times New Roman" w:cs="Times New Roman"/>
                <w:b w:val="0"/>
                <w:bCs w:val="0"/>
                <w:sz w:val="21"/>
                <w:szCs w:val="21"/>
                <w:highlight w:val="none"/>
              </w:rPr>
              <w:t>石油烃（C</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rPr>
              <w:t>-C</w:t>
            </w:r>
            <w:r>
              <w:rPr>
                <w:rFonts w:hint="default" w:ascii="Times New Roman" w:hAnsi="Times New Roman" w:cs="Times New Roman"/>
                <w:b w:val="0"/>
                <w:bCs w:val="0"/>
                <w:sz w:val="21"/>
                <w:szCs w:val="21"/>
                <w:highlight w:val="none"/>
                <w:vertAlign w:val="subscript"/>
              </w:rPr>
              <w:t>40</w:t>
            </w:r>
            <w:r>
              <w:rPr>
                <w:rFonts w:hint="default" w:ascii="Times New Roman" w:hAnsi="Times New Roman" w:cs="Times New Roman"/>
                <w:b w:val="0"/>
                <w:bCs w:val="0"/>
                <w:sz w:val="21"/>
                <w:szCs w:val="21"/>
                <w:highlight w:val="none"/>
              </w:rPr>
              <w:t>）</w:t>
            </w:r>
            <w:r>
              <w:rPr>
                <w:rFonts w:hint="eastAsia" w:ascii="Times New Roman" w:hAnsi="Times New Roman" w:cs="Times New Roman"/>
                <w:b w:val="0"/>
                <w:bCs w:val="0"/>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水溶性氟化物、氨氮</w:t>
            </w:r>
            <w:r>
              <w:rPr>
                <w:rFonts w:hint="eastAsia" w:cs="Times New Roman"/>
                <w:b w:val="0"/>
                <w:bCs w:val="0"/>
                <w:color w:val="auto"/>
                <w:sz w:val="21"/>
                <w:szCs w:val="21"/>
                <w:highlight w:val="none"/>
                <w:lang w:val="en-US" w:eastAsia="zh-CN"/>
              </w:rPr>
              <w:t>、铁、磷、钛</w:t>
            </w:r>
          </w:p>
        </w:tc>
        <w:tc>
          <w:tcPr>
            <w:tcW w:w="527" w:type="pct"/>
            <w:vMerge w:val="restart"/>
            <w:tcBorders>
              <w:tl2br w:val="nil"/>
              <w:tr2bl w:val="nil"/>
            </w:tcBorders>
            <w:noWrap w:val="0"/>
            <w:vAlign w:val="center"/>
          </w:tcPr>
          <w:p w14:paraId="4915AD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9DB61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restart"/>
            <w:tcBorders>
              <w:tl2br w:val="nil"/>
              <w:tr2bl w:val="nil"/>
            </w:tcBorders>
            <w:noWrap w:val="0"/>
            <w:vAlign w:val="center"/>
          </w:tcPr>
          <w:p w14:paraId="7FD2EF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现状评价</w:t>
            </w:r>
          </w:p>
        </w:tc>
        <w:tc>
          <w:tcPr>
            <w:tcW w:w="742" w:type="pct"/>
            <w:tcBorders>
              <w:tl2br w:val="nil"/>
              <w:tr2bl w:val="nil"/>
            </w:tcBorders>
            <w:noWrap w:val="0"/>
            <w:vAlign w:val="center"/>
          </w:tcPr>
          <w:p w14:paraId="7920C5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评价因子</w:t>
            </w:r>
          </w:p>
        </w:tc>
        <w:tc>
          <w:tcPr>
            <w:tcW w:w="3570" w:type="pct"/>
            <w:gridSpan w:val="5"/>
            <w:vMerge w:val="continue"/>
            <w:tcBorders>
              <w:tl2br w:val="nil"/>
              <w:tr2bl w:val="nil"/>
            </w:tcBorders>
            <w:noWrap w:val="0"/>
            <w:vAlign w:val="center"/>
          </w:tcPr>
          <w:p w14:paraId="6FD965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spacing w:val="-1"/>
                <w:kern w:val="2"/>
                <w:sz w:val="21"/>
                <w:szCs w:val="21"/>
                <w:highlight w:val="none"/>
                <w:lang w:val="en-US" w:eastAsia="zh-CN" w:bidi="ar-SA"/>
              </w:rPr>
            </w:pPr>
          </w:p>
        </w:tc>
        <w:tc>
          <w:tcPr>
            <w:tcW w:w="527" w:type="pct"/>
            <w:vMerge w:val="continue"/>
            <w:tcBorders>
              <w:tl2br w:val="nil"/>
              <w:tr2bl w:val="nil"/>
            </w:tcBorders>
            <w:noWrap w:val="0"/>
            <w:vAlign w:val="center"/>
          </w:tcPr>
          <w:p w14:paraId="0F90F3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88B26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7520A2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35732E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评价标准</w:t>
            </w:r>
          </w:p>
        </w:tc>
        <w:tc>
          <w:tcPr>
            <w:tcW w:w="3570" w:type="pct"/>
            <w:gridSpan w:val="5"/>
            <w:tcBorders>
              <w:tl2br w:val="nil"/>
              <w:tr2bl w:val="nil"/>
            </w:tcBorders>
            <w:noWrap w:val="0"/>
            <w:vAlign w:val="center"/>
          </w:tcPr>
          <w:p w14:paraId="6748EC9B">
            <w:pPr>
              <w:keepNext w:val="0"/>
              <w:keepLines w:val="0"/>
              <w:pageBreakBefore w:val="0"/>
              <w:widowControl w:val="0"/>
              <w:tabs>
                <w:tab w:val="left" w:pos="509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Times New Roman" w:cs="Times New Roman"/>
                <w:color w:val="auto"/>
                <w:spacing w:val="-1"/>
                <w:kern w:val="2"/>
                <w:sz w:val="21"/>
                <w:szCs w:val="21"/>
                <w:highlight w:val="none"/>
                <w:lang w:val="en-US" w:eastAsia="zh-CN" w:bidi="ar-SA"/>
              </w:rPr>
              <w:t>GB15618</w:t>
            </w:r>
            <w:r>
              <w:rPr>
                <w:rFonts w:hint="default" w:ascii="Times New Roman" w:hAnsi="Times New Roman" w:eastAsia="宋体" w:cs="Times New Roman"/>
                <w:b/>
                <w:bCs/>
                <w:color w:val="auto"/>
                <w:spacing w:val="-1"/>
                <w:kern w:val="2"/>
                <w:sz w:val="21"/>
                <w:szCs w:val="21"/>
                <w:highlight w:val="none"/>
                <w:lang w:val="en-US" w:eastAsia="zh-CN" w:bidi="ar-SA"/>
              </w:rPr>
              <w:sym w:font="Wingdings 2" w:char="0052"/>
            </w:r>
            <w:r>
              <w:rPr>
                <w:rFonts w:hint="default"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GB36600</w:t>
            </w:r>
            <w:r>
              <w:rPr>
                <w:rFonts w:hint="default" w:ascii="Times New Roman" w:hAnsi="Times New Roman" w:eastAsia="宋体" w:cs="Times New Roman"/>
                <w:color w:val="auto"/>
                <w:spacing w:val="-1"/>
                <w:kern w:val="2"/>
                <w:sz w:val="21"/>
                <w:szCs w:val="21"/>
                <w:highlight w:val="none"/>
                <w:lang w:val="en-US" w:eastAsia="zh-CN" w:bidi="ar-SA"/>
              </w:rPr>
              <w:t>☑；表</w:t>
            </w:r>
            <w:r>
              <w:rPr>
                <w:rFonts w:hint="default" w:ascii="Times New Roman" w:hAnsi="Times New Roman" w:eastAsia="Times New Roman" w:cs="Times New Roman"/>
                <w:color w:val="auto"/>
                <w:kern w:val="2"/>
                <w:sz w:val="21"/>
                <w:szCs w:val="21"/>
                <w:highlight w:val="none"/>
                <w:lang w:val="en-US" w:eastAsia="zh-CN" w:bidi="ar-SA"/>
              </w:rPr>
              <w:t>D.1</w:t>
            </w:r>
            <w:r>
              <w:rPr>
                <w:rFonts w:hint="default" w:ascii="Times New Roman" w:hAnsi="Times New Roman" w:eastAsia="宋体" w:cs="Times New Roman"/>
                <w:color w:val="auto"/>
                <w:kern w:val="2"/>
                <w:sz w:val="21"/>
                <w:szCs w:val="21"/>
                <w:highlight w:val="none"/>
                <w:lang w:val="en-US" w:eastAsia="zh-CN" w:bidi="ar-SA"/>
              </w:rPr>
              <w:t>□；表</w:t>
            </w:r>
            <w:r>
              <w:rPr>
                <w:rFonts w:hint="default" w:ascii="Times New Roman" w:hAnsi="Times New Roman" w:eastAsia="Times New Roman" w:cs="Times New Roman"/>
                <w:color w:val="auto"/>
                <w:spacing w:val="-1"/>
                <w:kern w:val="2"/>
                <w:sz w:val="21"/>
                <w:szCs w:val="21"/>
                <w:highlight w:val="none"/>
                <w:lang w:val="en-US" w:eastAsia="zh-CN" w:bidi="ar-SA"/>
              </w:rPr>
              <w:t>D.2</w:t>
            </w:r>
            <w:r>
              <w:rPr>
                <w:rFonts w:hint="default" w:ascii="Times New Roman" w:hAnsi="Times New Roman" w:eastAsia="宋体" w:cs="Times New Roman"/>
                <w:color w:val="auto"/>
                <w:spacing w:val="-1"/>
                <w:kern w:val="2"/>
                <w:sz w:val="21"/>
                <w:szCs w:val="21"/>
                <w:highlight w:val="none"/>
                <w:lang w:val="en-US" w:eastAsia="zh-CN" w:bidi="ar-SA"/>
              </w:rPr>
              <w:t>□；其他</w:t>
            </w:r>
            <w:r>
              <w:rPr>
                <w:rFonts w:hint="eastAsia" w:cs="Times New Roman"/>
                <w:color w:val="auto"/>
                <w:spacing w:val="-1"/>
                <w:kern w:val="2"/>
                <w:sz w:val="21"/>
                <w:szCs w:val="21"/>
                <w:highlight w:val="none"/>
                <w:lang w:val="en-US" w:eastAsia="zh-CN" w:bidi="ar-SA"/>
              </w:rPr>
              <w:t>DB13/T5216-2022</w:t>
            </w:r>
          </w:p>
        </w:tc>
        <w:tc>
          <w:tcPr>
            <w:tcW w:w="527" w:type="pct"/>
            <w:tcBorders>
              <w:tl2br w:val="nil"/>
              <w:tr2bl w:val="nil"/>
            </w:tcBorders>
            <w:noWrap w:val="0"/>
            <w:vAlign w:val="center"/>
          </w:tcPr>
          <w:p w14:paraId="1EEE21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C1647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31211B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416995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现状评价结论</w:t>
            </w:r>
          </w:p>
        </w:tc>
        <w:tc>
          <w:tcPr>
            <w:tcW w:w="3570" w:type="pct"/>
            <w:gridSpan w:val="5"/>
            <w:tcBorders>
              <w:tl2br w:val="nil"/>
              <w:tr2bl w:val="nil"/>
            </w:tcBorders>
            <w:noWrap w:val="0"/>
            <w:vAlign w:val="center"/>
          </w:tcPr>
          <w:p w14:paraId="38D1D73B">
            <w:pPr>
              <w:keepNext w:val="0"/>
              <w:keepLines w:val="0"/>
              <w:pageBreakBefore w:val="0"/>
              <w:widowControl w:val="0"/>
              <w:tabs>
                <w:tab w:val="left" w:pos="1629"/>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土壤中各监测因子</w:t>
            </w:r>
            <w:r>
              <w:rPr>
                <w:rFonts w:hint="eastAsia" w:ascii="Times New Roman" w:hAnsi="Times New Roman" w:eastAsia="宋体" w:cs="Times New Roman"/>
                <w:color w:val="auto"/>
                <w:kern w:val="2"/>
                <w:sz w:val="21"/>
                <w:szCs w:val="21"/>
                <w:highlight w:val="none"/>
                <w:lang w:val="en-US" w:eastAsia="zh-CN" w:bidi="ar-SA"/>
              </w:rPr>
              <w:t>分别满足《土壤环境质量 农用地土壤污染风险管控标准（试行）》（GB15618-2018）、</w:t>
            </w:r>
            <w:r>
              <w:rPr>
                <w:rFonts w:hint="default" w:ascii="Times New Roman" w:hAnsi="Times New Roman" w:eastAsia="宋体" w:cs="Times New Roman"/>
                <w:color w:val="auto"/>
                <w:kern w:val="2"/>
                <w:sz w:val="21"/>
                <w:szCs w:val="21"/>
                <w:highlight w:val="none"/>
                <w:lang w:val="en-US" w:eastAsia="zh-CN" w:bidi="ar-SA"/>
              </w:rPr>
              <w:t>《土壤环境质量建设用地土壤污染风险管控标准（试行）》（GB36600-2018）</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《建设用地土壤污染风险筛选值》（</w:t>
            </w:r>
            <w:r>
              <w:rPr>
                <w:rFonts w:hint="eastAsia" w:cs="Times New Roman"/>
                <w:color w:val="auto"/>
                <w:kern w:val="2"/>
                <w:sz w:val="21"/>
                <w:szCs w:val="21"/>
                <w:highlight w:val="none"/>
                <w:lang w:val="en-US" w:eastAsia="zh-CN" w:bidi="ar-SA"/>
              </w:rPr>
              <w:t>DB13/T5216-2022</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要求</w:t>
            </w:r>
            <w:r>
              <w:rPr>
                <w:rFonts w:hint="default" w:ascii="Times New Roman" w:hAnsi="Times New Roman" w:eastAsia="宋体" w:cs="Times New Roman"/>
                <w:color w:val="auto"/>
                <w:kern w:val="2"/>
                <w:sz w:val="21"/>
                <w:szCs w:val="21"/>
                <w:highlight w:val="none"/>
                <w:lang w:val="en-US" w:eastAsia="zh-CN" w:bidi="ar-SA"/>
              </w:rPr>
              <w:t>，土壤环境质量良好。</w:t>
            </w:r>
          </w:p>
        </w:tc>
        <w:tc>
          <w:tcPr>
            <w:tcW w:w="527" w:type="pct"/>
            <w:tcBorders>
              <w:tl2br w:val="nil"/>
              <w:tr2bl w:val="nil"/>
            </w:tcBorders>
            <w:noWrap w:val="0"/>
            <w:vAlign w:val="center"/>
          </w:tcPr>
          <w:p w14:paraId="430BFE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6127D2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restart"/>
            <w:tcBorders>
              <w:tl2br w:val="nil"/>
              <w:tr2bl w:val="nil"/>
            </w:tcBorders>
            <w:noWrap w:val="0"/>
            <w:vAlign w:val="center"/>
          </w:tcPr>
          <w:p w14:paraId="301572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影响预测</w:t>
            </w:r>
          </w:p>
        </w:tc>
        <w:tc>
          <w:tcPr>
            <w:tcW w:w="742" w:type="pct"/>
            <w:tcBorders>
              <w:tl2br w:val="nil"/>
              <w:tr2bl w:val="nil"/>
            </w:tcBorders>
            <w:noWrap w:val="0"/>
            <w:vAlign w:val="center"/>
          </w:tcPr>
          <w:p w14:paraId="333DBD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预测因子</w:t>
            </w:r>
          </w:p>
        </w:tc>
        <w:tc>
          <w:tcPr>
            <w:tcW w:w="3570" w:type="pct"/>
            <w:gridSpan w:val="5"/>
            <w:tcBorders>
              <w:tl2br w:val="nil"/>
              <w:tr2bl w:val="nil"/>
            </w:tcBorders>
            <w:noWrap w:val="0"/>
            <w:vAlign w:val="center"/>
          </w:tcPr>
          <w:p w14:paraId="42D23AEC">
            <w:pPr>
              <w:keepNext w:val="0"/>
              <w:keepLines w:val="0"/>
              <w:pageBreakBefore w:val="0"/>
              <w:widowControl w:val="0"/>
              <w:tabs>
                <w:tab w:val="left" w:pos="1629"/>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27" w:type="pct"/>
            <w:tcBorders>
              <w:tl2br w:val="nil"/>
              <w:tr2bl w:val="nil"/>
            </w:tcBorders>
            <w:noWrap w:val="0"/>
            <w:vAlign w:val="center"/>
          </w:tcPr>
          <w:p w14:paraId="0F4285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1F2D60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1E83F3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53FCC9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预测方法</w:t>
            </w:r>
          </w:p>
        </w:tc>
        <w:tc>
          <w:tcPr>
            <w:tcW w:w="3570" w:type="pct"/>
            <w:gridSpan w:val="5"/>
            <w:tcBorders>
              <w:tl2br w:val="nil"/>
              <w:tr2bl w:val="nil"/>
            </w:tcBorders>
            <w:noWrap w:val="0"/>
            <w:vAlign w:val="center"/>
          </w:tcPr>
          <w:p w14:paraId="232140EE">
            <w:pPr>
              <w:keepNext w:val="0"/>
              <w:keepLines w:val="0"/>
              <w:pageBreakBefore w:val="0"/>
              <w:widowControl w:val="0"/>
              <w:tabs>
                <w:tab w:val="left" w:pos="292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附录</w:t>
            </w:r>
            <w:r>
              <w:rPr>
                <w:rFonts w:hint="default" w:ascii="Times New Roman" w:hAnsi="Times New Roman" w:eastAsia="Times New Roman" w:cs="Times New Roman"/>
                <w:color w:val="auto"/>
                <w:spacing w:val="-1"/>
                <w:kern w:val="2"/>
                <w:sz w:val="21"/>
                <w:szCs w:val="21"/>
                <w:highlight w:val="none"/>
                <w:lang w:val="en-US" w:eastAsia="zh-CN" w:bidi="ar-SA"/>
              </w:rPr>
              <w:t>E</w:t>
            </w:r>
            <w:r>
              <w:rPr>
                <w:rFonts w:hint="default" w:ascii="Times New Roman" w:hAnsi="Times New Roman" w:eastAsia="宋体" w:cs="Times New Roman"/>
                <w:color w:val="auto"/>
                <w:spacing w:val="-1"/>
                <w:kern w:val="2"/>
                <w:sz w:val="21"/>
                <w:szCs w:val="21"/>
                <w:highlight w:val="none"/>
                <w:lang w:val="en-US" w:eastAsia="zh-CN" w:bidi="ar-SA"/>
              </w:rPr>
              <w:t>□；附录</w:t>
            </w:r>
            <w:r>
              <w:rPr>
                <w:rFonts w:hint="default" w:ascii="Times New Roman" w:hAnsi="Times New Roman" w:eastAsia="Times New Roman" w:cs="Times New Roman"/>
                <w:color w:val="auto"/>
                <w:kern w:val="2"/>
                <w:sz w:val="21"/>
                <w:szCs w:val="21"/>
                <w:highlight w:val="none"/>
                <w:lang w:val="en-US" w:eastAsia="zh-CN" w:bidi="ar-SA"/>
              </w:rPr>
              <w:t>F</w:t>
            </w:r>
            <w:r>
              <w:rPr>
                <w:rFonts w:hint="default" w:ascii="Times New Roman" w:hAnsi="Times New Roman" w:eastAsia="宋体" w:cs="Times New Roman"/>
                <w:color w:val="auto"/>
                <w:kern w:val="2"/>
                <w:sz w:val="21"/>
                <w:szCs w:val="21"/>
                <w:highlight w:val="none"/>
                <w:lang w:val="en-US" w:eastAsia="zh-CN" w:bidi="ar-SA"/>
              </w:rPr>
              <w:t>□；其他（类比分析）</w:t>
            </w:r>
          </w:p>
        </w:tc>
        <w:tc>
          <w:tcPr>
            <w:tcW w:w="527" w:type="pct"/>
            <w:tcBorders>
              <w:tl2br w:val="nil"/>
              <w:tr2bl w:val="nil"/>
            </w:tcBorders>
            <w:noWrap w:val="0"/>
            <w:vAlign w:val="center"/>
          </w:tcPr>
          <w:p w14:paraId="6055C6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40995F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392264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742" w:type="pct"/>
            <w:tcBorders>
              <w:tl2br w:val="nil"/>
              <w:tr2bl w:val="nil"/>
            </w:tcBorders>
            <w:noWrap w:val="0"/>
            <w:vAlign w:val="center"/>
          </w:tcPr>
          <w:p w14:paraId="2CF69C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预测分析内容</w:t>
            </w:r>
          </w:p>
        </w:tc>
        <w:tc>
          <w:tcPr>
            <w:tcW w:w="3570" w:type="pct"/>
            <w:gridSpan w:val="5"/>
            <w:tcBorders>
              <w:tl2br w:val="nil"/>
              <w:tr2bl w:val="nil"/>
            </w:tcBorders>
            <w:noWrap w:val="0"/>
            <w:vAlign w:val="center"/>
          </w:tcPr>
          <w:p w14:paraId="4EFBAD68">
            <w:pPr>
              <w:keepNext w:val="0"/>
              <w:keepLines w:val="0"/>
              <w:pageBreakBefore w:val="0"/>
              <w:widowControl w:val="0"/>
              <w:tabs>
                <w:tab w:val="left" w:pos="1629"/>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影响范围（</w:t>
            </w:r>
            <w:r>
              <w:rPr>
                <w:rFonts w:hint="eastAsia" w:ascii="Times New Roman" w:hAnsi="Times New Roman" w:eastAsia="宋体" w:cs="Times New Roman"/>
                <w:color w:val="auto"/>
                <w:kern w:val="2"/>
                <w:sz w:val="21"/>
                <w:szCs w:val="21"/>
                <w:highlight w:val="none"/>
                <w:lang w:val="en-US" w:eastAsia="zh-CN" w:bidi="ar-SA"/>
              </w:rPr>
              <w:t>场地外</w:t>
            </w:r>
            <w:r>
              <w:rPr>
                <w:rFonts w:hint="eastAsia" w:cs="Times New Roman"/>
                <w:color w:val="auto"/>
                <w:kern w:val="2"/>
                <w:sz w:val="21"/>
                <w:szCs w:val="21"/>
                <w:highlight w:val="none"/>
                <w:lang w:val="en-US" w:eastAsia="zh-CN" w:bidi="ar-SA"/>
              </w:rPr>
              <w:t>338</w:t>
            </w:r>
            <w:r>
              <w:rPr>
                <w:rFonts w:hint="eastAsia"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lang w:val="en-US" w:eastAsia="zh-CN" w:bidi="ar-SA"/>
              </w:rPr>
              <w:tab/>
            </w:r>
            <w:r>
              <w:rPr>
                <w:rFonts w:hint="default" w:ascii="Times New Roman" w:hAnsi="Times New Roman" w:eastAsia="宋体" w:cs="Times New Roman"/>
                <w:color w:val="auto"/>
                <w:kern w:val="2"/>
                <w:sz w:val="21"/>
                <w:szCs w:val="21"/>
                <w:highlight w:val="none"/>
                <w:lang w:val="en-US" w:eastAsia="zh-CN" w:bidi="ar-SA"/>
              </w:rPr>
              <w:t>）</w:t>
            </w:r>
          </w:p>
          <w:p w14:paraId="4C8BF2CF">
            <w:pPr>
              <w:keepNext w:val="0"/>
              <w:keepLines w:val="0"/>
              <w:pageBreakBefore w:val="0"/>
              <w:widowControl w:val="0"/>
              <w:tabs>
                <w:tab w:val="left" w:pos="1629"/>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影响程度（</w:t>
            </w:r>
            <w:r>
              <w:rPr>
                <w:rFonts w:hint="eastAsia" w:ascii="Times New Roman" w:hAnsi="Times New Roman" w:eastAsia="宋体" w:cs="Times New Roman"/>
                <w:color w:val="auto"/>
                <w:kern w:val="2"/>
                <w:sz w:val="21"/>
                <w:szCs w:val="21"/>
                <w:highlight w:val="none"/>
                <w:lang w:val="en-US" w:eastAsia="zh-CN" w:bidi="ar-SA"/>
              </w:rPr>
              <w:t>较小</w:t>
            </w:r>
            <w:r>
              <w:rPr>
                <w:rFonts w:hint="default" w:ascii="Times New Roman" w:hAnsi="Times New Roman" w:eastAsia="宋体" w:cs="Times New Roman"/>
                <w:color w:val="auto"/>
                <w:kern w:val="2"/>
                <w:sz w:val="21"/>
                <w:szCs w:val="21"/>
                <w:highlight w:val="none"/>
                <w:lang w:val="en-US" w:eastAsia="zh-CN" w:bidi="ar-SA"/>
              </w:rPr>
              <w:tab/>
            </w:r>
            <w:r>
              <w:rPr>
                <w:rFonts w:hint="default" w:ascii="Times New Roman" w:hAnsi="Times New Roman" w:eastAsia="宋体" w:cs="Times New Roman"/>
                <w:color w:val="auto"/>
                <w:kern w:val="2"/>
                <w:sz w:val="21"/>
                <w:szCs w:val="21"/>
                <w:highlight w:val="none"/>
                <w:lang w:val="en-US" w:eastAsia="zh-CN" w:bidi="ar-SA"/>
              </w:rPr>
              <w:t>）</w:t>
            </w:r>
          </w:p>
        </w:tc>
        <w:tc>
          <w:tcPr>
            <w:tcW w:w="527" w:type="pct"/>
            <w:tcBorders>
              <w:tl2br w:val="nil"/>
              <w:tr2bl w:val="nil"/>
            </w:tcBorders>
            <w:noWrap w:val="0"/>
            <w:vAlign w:val="center"/>
          </w:tcPr>
          <w:p w14:paraId="1B622A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089407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28D4DA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742" w:type="pct"/>
            <w:tcBorders>
              <w:tl2br w:val="nil"/>
              <w:tr2bl w:val="nil"/>
            </w:tcBorders>
            <w:noWrap w:val="0"/>
            <w:vAlign w:val="center"/>
          </w:tcPr>
          <w:p w14:paraId="2FBAE7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预测结论</w:t>
            </w:r>
          </w:p>
        </w:tc>
        <w:tc>
          <w:tcPr>
            <w:tcW w:w="3570" w:type="pct"/>
            <w:gridSpan w:val="5"/>
            <w:tcBorders>
              <w:tl2br w:val="nil"/>
              <w:tr2bl w:val="nil"/>
            </w:tcBorders>
            <w:noWrap w:val="0"/>
            <w:vAlign w:val="center"/>
          </w:tcPr>
          <w:p w14:paraId="311F05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kern w:val="2"/>
                <w:sz w:val="21"/>
                <w:szCs w:val="21"/>
                <w:highlight w:val="none"/>
                <w:lang w:val="en-US" w:eastAsia="zh-CN" w:bidi="ar-SA"/>
              </w:rPr>
              <w:t>达标结论：</w:t>
            </w:r>
            <w:r>
              <w:rPr>
                <w:rFonts w:hint="default" w:ascii="Times New Roman" w:hAnsi="Times New Roman" w:eastAsia="Times New Roman" w:cs="Times New Roman"/>
                <w:color w:val="auto"/>
                <w:spacing w:val="-1"/>
                <w:kern w:val="2"/>
                <w:sz w:val="21"/>
                <w:szCs w:val="21"/>
                <w:highlight w:val="none"/>
                <w:lang w:val="en-US" w:eastAsia="zh-CN" w:bidi="ar-SA"/>
              </w:rPr>
              <w:t>a</w:t>
            </w:r>
            <w:r>
              <w:rPr>
                <w:rFonts w:hint="default" w:ascii="Times New Roman" w:hAnsi="Times New Roman" w:eastAsia="宋体" w:cs="Times New Roman"/>
                <w:color w:val="auto"/>
                <w:spacing w:val="-1"/>
                <w:kern w:val="2"/>
                <w:sz w:val="21"/>
                <w:szCs w:val="21"/>
                <w:highlight w:val="none"/>
                <w:lang w:val="en-US" w:eastAsia="zh-CN" w:bidi="ar-SA"/>
              </w:rPr>
              <w:t>）</w:t>
            </w:r>
            <w:r>
              <w:rPr>
                <w:rFonts w:hint="eastAsia"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b</w:t>
            </w:r>
            <w:r>
              <w:rPr>
                <w:rFonts w:hint="default" w:ascii="Times New Roman" w:hAnsi="Times New Roman" w:eastAsia="宋体" w:cs="Times New Roman"/>
                <w:color w:val="auto"/>
                <w:spacing w:val="-1"/>
                <w:kern w:val="2"/>
                <w:sz w:val="21"/>
                <w:szCs w:val="21"/>
                <w:highlight w:val="none"/>
                <w:lang w:val="en-US" w:eastAsia="zh-CN" w:bidi="ar-SA"/>
              </w:rPr>
              <w:t>）</w:t>
            </w:r>
            <w:r>
              <w:rPr>
                <w:rFonts w:hint="eastAsia"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c</w:t>
            </w:r>
            <w:r>
              <w:rPr>
                <w:rFonts w:hint="default" w:ascii="Times New Roman" w:hAnsi="Times New Roman" w:eastAsia="宋体" w:cs="Times New Roman"/>
                <w:color w:val="auto"/>
                <w:spacing w:val="-1"/>
                <w:kern w:val="2"/>
                <w:sz w:val="21"/>
                <w:szCs w:val="21"/>
                <w:highlight w:val="none"/>
                <w:lang w:val="en-US" w:eastAsia="zh-CN" w:bidi="ar-SA"/>
              </w:rPr>
              <w:t>）</w:t>
            </w:r>
            <w:r>
              <w:rPr>
                <w:rFonts w:hint="eastAsia"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宋体" w:cs="Times New Roman"/>
                <w:color w:val="auto"/>
                <w:spacing w:val="-1"/>
                <w:kern w:val="2"/>
                <w:sz w:val="21"/>
                <w:szCs w:val="21"/>
                <w:highlight w:val="none"/>
                <w:lang w:val="en-US" w:eastAsia="zh-CN" w:bidi="ar-SA"/>
              </w:rPr>
              <w:t>不达标结论：</w:t>
            </w:r>
            <w:r>
              <w:rPr>
                <w:rFonts w:hint="default" w:ascii="Times New Roman" w:hAnsi="Times New Roman" w:eastAsia="Times New Roman" w:cs="Times New Roman"/>
                <w:color w:val="auto"/>
                <w:spacing w:val="-1"/>
                <w:kern w:val="2"/>
                <w:sz w:val="21"/>
                <w:szCs w:val="21"/>
                <w:highlight w:val="none"/>
                <w:lang w:val="en-US" w:eastAsia="zh-CN" w:bidi="ar-SA"/>
              </w:rPr>
              <w:t>a</w:t>
            </w:r>
            <w:r>
              <w:rPr>
                <w:rFonts w:hint="default" w:ascii="Times New Roman" w:hAnsi="Times New Roman" w:eastAsia="宋体"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b</w:t>
            </w:r>
            <w:r>
              <w:rPr>
                <w:rFonts w:hint="default" w:ascii="Times New Roman" w:hAnsi="Times New Roman" w:eastAsia="宋体" w:cs="Times New Roman"/>
                <w:color w:val="auto"/>
                <w:spacing w:val="-1"/>
                <w:kern w:val="2"/>
                <w:sz w:val="21"/>
                <w:szCs w:val="21"/>
                <w:highlight w:val="none"/>
                <w:lang w:val="en-US" w:eastAsia="zh-CN" w:bidi="ar-SA"/>
              </w:rPr>
              <w:t>）□</w:t>
            </w:r>
          </w:p>
        </w:tc>
        <w:tc>
          <w:tcPr>
            <w:tcW w:w="527" w:type="pct"/>
            <w:tcBorders>
              <w:tl2br w:val="nil"/>
              <w:tr2bl w:val="nil"/>
            </w:tcBorders>
            <w:noWrap w:val="0"/>
            <w:vAlign w:val="center"/>
          </w:tcPr>
          <w:p w14:paraId="0A4768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733FB1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restart"/>
            <w:tcBorders>
              <w:tl2br w:val="nil"/>
              <w:tr2bl w:val="nil"/>
            </w:tcBorders>
            <w:noWrap w:val="0"/>
            <w:vAlign w:val="center"/>
          </w:tcPr>
          <w:p w14:paraId="11526D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防治措施</w:t>
            </w:r>
          </w:p>
        </w:tc>
        <w:tc>
          <w:tcPr>
            <w:tcW w:w="742" w:type="pct"/>
            <w:tcBorders>
              <w:tl2br w:val="nil"/>
              <w:tr2bl w:val="nil"/>
            </w:tcBorders>
            <w:noWrap w:val="0"/>
            <w:vAlign w:val="center"/>
          </w:tcPr>
          <w:p w14:paraId="0F6213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防控措施</w:t>
            </w:r>
          </w:p>
        </w:tc>
        <w:tc>
          <w:tcPr>
            <w:tcW w:w="3570" w:type="pct"/>
            <w:gridSpan w:val="5"/>
            <w:tcBorders>
              <w:tl2br w:val="nil"/>
              <w:tr2bl w:val="nil"/>
            </w:tcBorders>
            <w:noWrap w:val="0"/>
            <w:vAlign w:val="center"/>
          </w:tcPr>
          <w:p w14:paraId="10AA550C">
            <w:pPr>
              <w:keepNext w:val="0"/>
              <w:keepLines w:val="0"/>
              <w:pageBreakBefore w:val="0"/>
              <w:widowControl w:val="0"/>
              <w:tabs>
                <w:tab w:val="left" w:pos="550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土壤环境质量现状保障□；源头控制☑；过程防控☑；其他</w:t>
            </w:r>
            <w:r>
              <w:rPr>
                <w:rFonts w:hint="eastAsia" w:cs="Times New Roman"/>
                <w:color w:val="auto"/>
                <w:kern w:val="2"/>
                <w:sz w:val="21"/>
                <w:szCs w:val="21"/>
                <w:highlight w:val="none"/>
                <w:lang w:val="en-US" w:eastAsia="zh-CN" w:bidi="ar-SA"/>
              </w:rPr>
              <w:t>（）</w:t>
            </w:r>
          </w:p>
        </w:tc>
        <w:tc>
          <w:tcPr>
            <w:tcW w:w="527" w:type="pct"/>
            <w:tcBorders>
              <w:tl2br w:val="nil"/>
              <w:tr2bl w:val="nil"/>
            </w:tcBorders>
            <w:noWrap w:val="0"/>
            <w:vAlign w:val="center"/>
          </w:tcPr>
          <w:p w14:paraId="5A9B4F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5A83DE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5BF457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742" w:type="pct"/>
            <w:vMerge w:val="restart"/>
            <w:tcBorders>
              <w:tl2br w:val="nil"/>
              <w:tr2bl w:val="nil"/>
            </w:tcBorders>
            <w:noWrap w:val="0"/>
            <w:vAlign w:val="center"/>
          </w:tcPr>
          <w:p w14:paraId="341AC8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跟踪监测</w:t>
            </w:r>
          </w:p>
        </w:tc>
        <w:tc>
          <w:tcPr>
            <w:tcW w:w="1305" w:type="pct"/>
            <w:gridSpan w:val="2"/>
            <w:tcBorders>
              <w:tl2br w:val="nil"/>
              <w:tr2bl w:val="nil"/>
            </w:tcBorders>
            <w:noWrap w:val="0"/>
            <w:vAlign w:val="center"/>
          </w:tcPr>
          <w:p w14:paraId="3A7138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监测点数</w:t>
            </w:r>
          </w:p>
        </w:tc>
        <w:tc>
          <w:tcPr>
            <w:tcW w:w="1679" w:type="pct"/>
            <w:tcBorders>
              <w:tl2br w:val="nil"/>
              <w:tr2bl w:val="nil"/>
            </w:tcBorders>
            <w:noWrap w:val="0"/>
            <w:vAlign w:val="center"/>
          </w:tcPr>
          <w:p w14:paraId="088C78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监测指标</w:t>
            </w:r>
          </w:p>
        </w:tc>
        <w:tc>
          <w:tcPr>
            <w:tcW w:w="586" w:type="pct"/>
            <w:gridSpan w:val="2"/>
            <w:tcBorders>
              <w:tl2br w:val="nil"/>
              <w:tr2bl w:val="nil"/>
            </w:tcBorders>
            <w:noWrap w:val="0"/>
            <w:vAlign w:val="center"/>
          </w:tcPr>
          <w:p w14:paraId="4A95D1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监测频次</w:t>
            </w:r>
          </w:p>
        </w:tc>
        <w:tc>
          <w:tcPr>
            <w:tcW w:w="527" w:type="pct"/>
            <w:vMerge w:val="restart"/>
            <w:tcBorders>
              <w:tl2br w:val="nil"/>
              <w:tr2bl w:val="nil"/>
            </w:tcBorders>
            <w:noWrap w:val="0"/>
            <w:vAlign w:val="center"/>
          </w:tcPr>
          <w:p w14:paraId="57CA9F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56B2D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153CED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vMerge w:val="continue"/>
            <w:tcBorders>
              <w:tl2br w:val="nil"/>
              <w:tr2bl w:val="nil"/>
            </w:tcBorders>
            <w:noWrap w:val="0"/>
            <w:vAlign w:val="center"/>
          </w:tcPr>
          <w:p w14:paraId="0E0CE1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05" w:type="pct"/>
            <w:gridSpan w:val="2"/>
            <w:tcBorders>
              <w:tl2br w:val="nil"/>
              <w:tr2bl w:val="nil"/>
            </w:tcBorders>
            <w:noWrap w:val="0"/>
            <w:vAlign w:val="center"/>
          </w:tcPr>
          <w:p w14:paraId="666CEF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w:t>
            </w:r>
          </w:p>
        </w:tc>
        <w:tc>
          <w:tcPr>
            <w:tcW w:w="1679" w:type="pct"/>
            <w:tcBorders>
              <w:tl2br w:val="nil"/>
              <w:tr2bl w:val="nil"/>
            </w:tcBorders>
            <w:noWrap w:val="0"/>
            <w:vAlign w:val="center"/>
          </w:tcPr>
          <w:p w14:paraId="0CAC02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Times New Roman" w:cs="Times New Roman"/>
                <w:color w:val="auto"/>
                <w:spacing w:val="-1"/>
                <w:kern w:val="2"/>
                <w:sz w:val="21"/>
                <w:szCs w:val="21"/>
                <w:highlight w:val="none"/>
                <w:lang w:val="en-US" w:eastAsia="zh-CN" w:bidi="ar-SA"/>
              </w:rPr>
              <w:t>砷、镉、</w:t>
            </w:r>
            <w:r>
              <w:rPr>
                <w:rFonts w:hint="eastAsia" w:ascii="Times New Roman" w:hAnsi="Times New Roman" w:eastAsia="宋体" w:cs="Times New Roman"/>
                <w:sz w:val="21"/>
                <w:szCs w:val="21"/>
                <w:highlight w:val="none"/>
                <w:lang w:val="en-US" w:eastAsia="zh-CN"/>
              </w:rPr>
              <w:t>铬、</w:t>
            </w:r>
            <w:r>
              <w:rPr>
                <w:rFonts w:hint="default" w:ascii="Times New Roman" w:hAnsi="Times New Roman" w:eastAsia="Times New Roman" w:cs="Times New Roman"/>
                <w:color w:val="auto"/>
                <w:spacing w:val="-1"/>
                <w:kern w:val="2"/>
                <w:sz w:val="21"/>
                <w:szCs w:val="21"/>
                <w:highlight w:val="none"/>
                <w:lang w:val="en-US" w:eastAsia="zh-CN" w:bidi="ar-SA"/>
              </w:rPr>
              <w:t>铬（六价）、铜、铅、汞、镍、四氯化碳、氯仿、氯甲烷、1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1-二氯乙烷、1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1-二氯乙烯、顺-1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2-二氯乙烯、反-1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2-二氯乙烯、二氯甲烷、1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2-四氯乙烷、1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2-四氯乙烷、四氯乙烯、1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1-三氯乙烷、1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2-三氯乙烷、三氯乙烯、1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3-三氯丙烷、氯乙烯、苯、氯苯、1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4-二氯苯、乙苯、苯乙烯、甲苯、间二甲苯+对二甲苯、邻二甲苯、硝基苯、苯胺、2-氯酚、苯并[a]蒽、苯并[a]芘、苯并[b]荧蒽、苯并荧[k]蒽、䓛、二苯并[a</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h]蒽、茚并[1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3-cd]芘、萘</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cs="Times New Roman"/>
                <w:b w:val="0"/>
                <w:bCs w:val="0"/>
                <w:color w:val="auto"/>
                <w:sz w:val="21"/>
                <w:szCs w:val="21"/>
                <w:highlight w:val="none"/>
              </w:rPr>
              <w:t>钒</w:t>
            </w:r>
            <w:r>
              <w:rPr>
                <w:rFonts w:hint="eastAsia" w:ascii="Times New Roman" w:hAnsi="Times New Roman" w:cs="Times New Roman"/>
                <w:b w:val="0"/>
                <w:bCs w:val="0"/>
                <w:sz w:val="21"/>
                <w:szCs w:val="21"/>
                <w:highlight w:val="none"/>
                <w:lang w:val="en-US" w:eastAsia="zh-CN"/>
              </w:rPr>
              <w:t>、</w:t>
            </w:r>
            <w:r>
              <w:rPr>
                <w:rFonts w:hint="default" w:ascii="Times New Roman" w:hAnsi="Times New Roman" w:cs="Times New Roman"/>
                <w:b w:val="0"/>
                <w:bCs w:val="0"/>
                <w:sz w:val="21"/>
                <w:szCs w:val="21"/>
                <w:highlight w:val="none"/>
              </w:rPr>
              <w:t>石油烃（C</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rPr>
              <w:t>-C</w:t>
            </w:r>
            <w:r>
              <w:rPr>
                <w:rFonts w:hint="default" w:ascii="Times New Roman" w:hAnsi="Times New Roman" w:cs="Times New Roman"/>
                <w:b w:val="0"/>
                <w:bCs w:val="0"/>
                <w:sz w:val="21"/>
                <w:szCs w:val="21"/>
                <w:highlight w:val="none"/>
                <w:vertAlign w:val="subscript"/>
              </w:rPr>
              <w:t>40</w:t>
            </w:r>
            <w:r>
              <w:rPr>
                <w:rFonts w:hint="default" w:ascii="Times New Roman" w:hAnsi="Times New Roman" w:cs="Times New Roman"/>
                <w:b w:val="0"/>
                <w:bCs w:val="0"/>
                <w:sz w:val="21"/>
                <w:szCs w:val="21"/>
                <w:highlight w:val="none"/>
              </w:rPr>
              <w:t>）</w:t>
            </w:r>
            <w:r>
              <w:rPr>
                <w:rFonts w:hint="eastAsia" w:ascii="Times New Roman" w:hAnsi="Times New Roman" w:cs="Times New Roman"/>
                <w:b w:val="0"/>
                <w:bCs w:val="0"/>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水溶性氟化物、氨氮</w:t>
            </w:r>
            <w:r>
              <w:rPr>
                <w:rFonts w:hint="eastAsia" w:cs="Times New Roman"/>
                <w:b w:val="0"/>
                <w:bCs w:val="0"/>
                <w:color w:val="auto"/>
                <w:sz w:val="21"/>
                <w:szCs w:val="21"/>
                <w:highlight w:val="none"/>
                <w:lang w:val="en-US" w:eastAsia="zh-CN"/>
              </w:rPr>
              <w:t>、铁</w:t>
            </w:r>
          </w:p>
        </w:tc>
        <w:tc>
          <w:tcPr>
            <w:tcW w:w="586" w:type="pct"/>
            <w:gridSpan w:val="2"/>
            <w:tcBorders>
              <w:tl2br w:val="nil"/>
              <w:tr2bl w:val="nil"/>
            </w:tcBorders>
            <w:noWrap w:val="0"/>
            <w:vAlign w:val="center"/>
          </w:tcPr>
          <w:p w14:paraId="1955A4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ascii="Times New Roman" w:hAnsi="Times New Roman" w:eastAsia="Times New Roman" w:cs="Times New Roman"/>
                <w:spacing w:val="-2"/>
                <w:sz w:val="21"/>
                <w:szCs w:val="21"/>
                <w:highlight w:val="none"/>
              </w:rPr>
              <w:t>1</w:t>
            </w:r>
            <w:r>
              <w:rPr>
                <w:rFonts w:ascii="宋体" w:hAnsi="宋体" w:eastAsia="宋体" w:cs="宋体"/>
                <w:spacing w:val="-2"/>
                <w:sz w:val="21"/>
                <w:szCs w:val="21"/>
                <w:highlight w:val="none"/>
              </w:rPr>
              <w:t>次</w:t>
            </w:r>
            <w:r>
              <w:rPr>
                <w:rFonts w:ascii="Times New Roman" w:hAnsi="Times New Roman" w:eastAsia="Times New Roman" w:cs="Times New Roman"/>
                <w:spacing w:val="-2"/>
                <w:sz w:val="21"/>
                <w:szCs w:val="21"/>
                <w:highlight w:val="none"/>
              </w:rPr>
              <w:t>/</w:t>
            </w:r>
            <w:r>
              <w:rPr>
                <w:rFonts w:hint="eastAsia" w:cs="Times New Roman"/>
                <w:spacing w:val="-2"/>
                <w:sz w:val="21"/>
                <w:szCs w:val="21"/>
                <w:highlight w:val="none"/>
                <w:lang w:val="en-US" w:eastAsia="zh-CN"/>
              </w:rPr>
              <w:t>5</w:t>
            </w:r>
            <w:r>
              <w:rPr>
                <w:rFonts w:ascii="宋体" w:hAnsi="宋体" w:eastAsia="宋体" w:cs="宋体"/>
                <w:spacing w:val="-1"/>
                <w:sz w:val="21"/>
                <w:szCs w:val="21"/>
                <w:highlight w:val="none"/>
              </w:rPr>
              <w:t>年</w:t>
            </w:r>
          </w:p>
        </w:tc>
        <w:tc>
          <w:tcPr>
            <w:tcW w:w="527" w:type="pct"/>
            <w:vMerge w:val="continue"/>
            <w:tcBorders>
              <w:tl2br w:val="nil"/>
              <w:tr2bl w:val="nil"/>
            </w:tcBorders>
            <w:noWrap w:val="0"/>
            <w:vAlign w:val="center"/>
          </w:tcPr>
          <w:p w14:paraId="01D036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936C6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159" w:type="pct"/>
            <w:vMerge w:val="continue"/>
            <w:tcBorders>
              <w:tl2br w:val="nil"/>
              <w:tr2bl w:val="nil"/>
            </w:tcBorders>
            <w:noWrap w:val="0"/>
            <w:vAlign w:val="center"/>
          </w:tcPr>
          <w:p w14:paraId="510C71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42" w:type="pct"/>
            <w:tcBorders>
              <w:tl2br w:val="nil"/>
              <w:tr2bl w:val="nil"/>
            </w:tcBorders>
            <w:noWrap w:val="0"/>
            <w:vAlign w:val="center"/>
          </w:tcPr>
          <w:p w14:paraId="06D389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信息公开指标</w:t>
            </w:r>
          </w:p>
        </w:tc>
        <w:tc>
          <w:tcPr>
            <w:tcW w:w="3570" w:type="pct"/>
            <w:gridSpan w:val="5"/>
            <w:tcBorders>
              <w:tl2br w:val="nil"/>
              <w:tr2bl w:val="nil"/>
            </w:tcBorders>
            <w:noWrap w:val="0"/>
            <w:vAlign w:val="center"/>
          </w:tcPr>
          <w:p w14:paraId="1DA7D9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sz w:val="21"/>
                <w:szCs w:val="21"/>
                <w:highlight w:val="none"/>
                <w:lang w:val="en-US" w:eastAsia="zh-CN"/>
              </w:rPr>
              <w:t>土壤环境质量检测结果</w:t>
            </w:r>
          </w:p>
        </w:tc>
        <w:tc>
          <w:tcPr>
            <w:tcW w:w="527" w:type="pct"/>
            <w:vMerge w:val="continue"/>
            <w:tcBorders>
              <w:tl2br w:val="nil"/>
              <w:tr2bl w:val="nil"/>
            </w:tcBorders>
            <w:noWrap w:val="0"/>
            <w:vAlign w:val="center"/>
          </w:tcPr>
          <w:p w14:paraId="587704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65A2C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901" w:type="pct"/>
            <w:gridSpan w:val="2"/>
            <w:tcBorders>
              <w:tl2br w:val="nil"/>
              <w:tr2bl w:val="nil"/>
            </w:tcBorders>
            <w:noWrap w:val="0"/>
            <w:vAlign w:val="center"/>
          </w:tcPr>
          <w:p w14:paraId="035542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评价结论</w:t>
            </w:r>
          </w:p>
        </w:tc>
        <w:tc>
          <w:tcPr>
            <w:tcW w:w="3570" w:type="pct"/>
            <w:gridSpan w:val="5"/>
            <w:tcBorders>
              <w:tl2br w:val="nil"/>
              <w:tr2bl w:val="nil"/>
            </w:tcBorders>
            <w:noWrap w:val="0"/>
            <w:vAlign w:val="center"/>
          </w:tcPr>
          <w:p w14:paraId="0DE325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bidi="ar-SA"/>
              </w:rPr>
              <w:t>项目对周边土壤影响较小</w:t>
            </w:r>
          </w:p>
        </w:tc>
        <w:tc>
          <w:tcPr>
            <w:tcW w:w="527" w:type="pct"/>
            <w:tcBorders>
              <w:tl2br w:val="nil"/>
              <w:tr2bl w:val="nil"/>
            </w:tcBorders>
            <w:noWrap w:val="0"/>
            <w:vAlign w:val="center"/>
          </w:tcPr>
          <w:p w14:paraId="1550FC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6032B3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34" w:hRule="atLeast"/>
        </w:trPr>
        <w:tc>
          <w:tcPr>
            <w:tcW w:w="5000" w:type="pct"/>
            <w:gridSpan w:val="8"/>
            <w:tcBorders>
              <w:tl2br w:val="nil"/>
              <w:tr2bl w:val="nil"/>
            </w:tcBorders>
            <w:noWrap w:val="0"/>
            <w:vAlign w:val="center"/>
          </w:tcPr>
          <w:p w14:paraId="397DEB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注</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default" w:ascii="Times New Roman" w:hAnsi="Times New Roman" w:eastAsia="宋体" w:cs="Times New Roman"/>
                <w:color w:val="auto"/>
                <w:spacing w:val="-1"/>
                <w:kern w:val="2"/>
                <w:sz w:val="21"/>
                <w:szCs w:val="21"/>
                <w:highlight w:val="none"/>
                <w:lang w:val="en-US" w:eastAsia="zh-CN" w:bidi="ar-SA"/>
              </w:rPr>
              <w:t>：“□”为勾选项，可√；“（</w:t>
            </w:r>
            <w:r>
              <w:rPr>
                <w:rFonts w:hint="default" w:ascii="Times New Roman" w:hAnsi="Times New Roman" w:eastAsia="宋体" w:cs="Times New Roman"/>
                <w:color w:val="auto"/>
                <w:spacing w:val="1"/>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）”为内容填写项；“备注”为其他补充内容。</w:t>
            </w:r>
          </w:p>
          <w:p w14:paraId="5F33CE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注2：需要分别开展土壤环境影响评级工作的，分别填写自查表。</w:t>
            </w:r>
          </w:p>
        </w:tc>
      </w:tr>
    </w:tbl>
    <w:p w14:paraId="6EFE79D9">
      <w:pPr>
        <w:pStyle w:val="6"/>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auto"/>
          <w:highlight w:val="none"/>
          <w:lang w:val="en-US" w:eastAsia="zh-CN"/>
        </w:rPr>
      </w:pPr>
      <w:bookmarkStart w:id="326" w:name="_Toc26404"/>
      <w:bookmarkStart w:id="327" w:name="_Toc8579"/>
      <w:bookmarkStart w:id="328" w:name="_Toc527729496"/>
      <w:bookmarkStart w:id="329" w:name="_Toc27953"/>
      <w:bookmarkStart w:id="330" w:name="_Toc23349"/>
      <w:r>
        <w:rPr>
          <w:rFonts w:hint="default" w:ascii="Times New Roman" w:hAnsi="Times New Roman" w:eastAsia="宋体" w:cs="Times New Roman"/>
          <w:b/>
          <w:bCs/>
          <w:color w:val="auto"/>
          <w:highlight w:val="none"/>
          <w:lang w:val="en-US" w:eastAsia="zh-CN"/>
        </w:rPr>
        <w:t>环境风险分析</w:t>
      </w:r>
      <w:bookmarkEnd w:id="326"/>
      <w:bookmarkEnd w:id="327"/>
      <w:bookmarkEnd w:id="328"/>
    </w:p>
    <w:p w14:paraId="3334E50C">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根据《建设项目环境风险评价技术导则》（HJ169-2018），本项目不涉及附录B中所列危险物质和《危险化学品重大危险源辨识》（GB18218-2018）中所规定的危险化学品，因此，本次环评只进行环境风险影响分析。</w:t>
      </w:r>
    </w:p>
    <w:p w14:paraId="078FD07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.1</w:t>
      </w:r>
      <w:r>
        <w:rPr>
          <w:rFonts w:hint="default" w:ascii="Times New Roman" w:hAnsi="Times New Roman" w:eastAsia="宋体" w:cs="Times New Roman"/>
          <w:b/>
          <w:sz w:val="24"/>
          <w:szCs w:val="24"/>
          <w:highlight w:val="none"/>
          <w:lang w:val="en-US" w:eastAsia="zh-CN"/>
        </w:rPr>
        <w:t>环境风险识别</w:t>
      </w:r>
    </w:p>
    <w:p w14:paraId="29A2516E">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排土场在运行过程存在着一定的环境风险，如排土场溃坝、强降雨等，</w:t>
      </w:r>
      <w:r>
        <w:rPr>
          <w:rFonts w:ascii="Times New Roman"/>
          <w:color w:val="auto"/>
          <w:sz w:val="24"/>
          <w:szCs w:val="24"/>
          <w:highlight w:val="none"/>
        </w:rPr>
        <w:t>引起排土场滑坡或进而引起排土场滑坡或泥石流的发生，产生新的水土流失，</w:t>
      </w:r>
      <w:r>
        <w:rPr>
          <w:rFonts w:hint="eastAsia" w:ascii="Times New Roman" w:hAnsi="Times New Roman" w:cs="Times New Roman"/>
          <w:color w:val="000000"/>
          <w:sz w:val="24"/>
          <w:highlight w:val="none"/>
          <w:lang w:val="en-US" w:eastAsia="zh-CN"/>
        </w:rPr>
        <w:t>可能会对排土场周围的空气、地下水、土壤和生态环境等造成不利影响，以及对其下游的选厂、东兴村、耕地等造成不利影响，排土场坝址距离下游东兴村最近村民住户为960m。因此必须采取多种措施进行预防，杜绝或减少事故风险的发生。</w:t>
      </w:r>
    </w:p>
    <w:p w14:paraId="266ACA8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5.2.7.2源项分析</w:t>
      </w:r>
    </w:p>
    <w:p w14:paraId="2DDF54A4">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本项目属一般工业固体废物处置，填埋场内不存在危险物质。根据本项目工程特点，其南侧紧邻</w:t>
      </w:r>
      <w:r>
        <w:rPr>
          <w:rFonts w:hint="eastAsia" w:cs="Times New Roman"/>
          <w:color w:val="auto"/>
          <w:sz w:val="24"/>
          <w:szCs w:val="24"/>
          <w:highlight w:val="none"/>
          <w:lang w:eastAsia="zh-CN"/>
        </w:rPr>
        <w:t>东北沟尾矿库</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发生事故造成环境风险的因素主要有以下几个方面：</w:t>
      </w:r>
    </w:p>
    <w:p w14:paraId="5152CADF">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（1）滚石：堆积体边坡上的石头在暴雨、地震时可能滚落：</w:t>
      </w:r>
    </w:p>
    <w:p w14:paraId="74CDAD2F">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（2）滑坡：堆积在场内的堆积体，在地震或特大暴雨时可能出现滑坡及表层小规模的泥石流现象</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对尾矿库稳定性造成影响</w:t>
      </w:r>
      <w:r>
        <w:rPr>
          <w:rFonts w:hint="eastAsia" w:ascii="Times New Roman" w:hAnsi="Times New Roman" w:eastAsia="宋体" w:cs="Times New Roman"/>
          <w:color w:val="auto"/>
          <w:sz w:val="24"/>
          <w:szCs w:val="24"/>
          <w:highlight w:val="none"/>
        </w:rPr>
        <w:t>；</w:t>
      </w:r>
    </w:p>
    <w:p w14:paraId="46F9643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eastAsia="宋体"/>
          <w:color w:val="auto"/>
          <w:sz w:val="24"/>
          <w:szCs w:val="24"/>
          <w:highlight w:val="none"/>
          <w:lang w:eastAsia="zh-CN"/>
        </w:rPr>
      </w:pPr>
      <w:r>
        <w:rPr>
          <w:rFonts w:hint="eastAsia" w:ascii="Times New Roman" w:hAnsi="Times New Roman" w:eastAsia="宋体" w:cs="Times New Roman"/>
          <w:color w:val="auto"/>
          <w:sz w:val="24"/>
          <w:szCs w:val="24"/>
          <w:highlight w:val="none"/>
        </w:rPr>
        <w:t>（3）溃坝：堆积体边坡可能出现溃坝的风险</w:t>
      </w:r>
      <w:r>
        <w:rPr>
          <w:rFonts w:hint="eastAsia" w:ascii="Times New Roman" w:hAnsi="Times New Roman" w:eastAsia="宋体" w:cs="Times New Roman"/>
          <w:color w:val="auto"/>
          <w:sz w:val="24"/>
          <w:szCs w:val="24"/>
          <w:highlight w:val="none"/>
          <w:lang w:eastAsia="zh-CN"/>
        </w:rPr>
        <w:t>。</w:t>
      </w:r>
    </w:p>
    <w:p w14:paraId="3E4D1E3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5.2.7.3风险后果分析</w:t>
      </w:r>
    </w:p>
    <w:p w14:paraId="11FFBBF7">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由于地质灾害是瞬时的，与地理位置、地形地貌、工程地质和当地气象特征等因素有关，准确预测地质灾害影响的难度大。地质灾害的事故后果，主要由项目区的排土场容量和堆体高度以及周围地形地貌、下游居民密度、农田和工业设施等情况来决定。衡量堆存区能量的两个指标即是排土场容量和堆体高度。</w:t>
      </w:r>
    </w:p>
    <w:p w14:paraId="7B66036D">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假设发生地质灾害时，堆存区已经达到最大的堆存量，根据项目的周围地形地貌和平面布置情况，发生地质灾害的最大可能性是堆体崩塌、滑坡、泥石流、溃坝。如果是堆体由于地震或本身发生塌陷，则泄露物仅仅在发生崩塌的堆体方向出现废物流现象，而且由于堆存物含水量不高，废物流动的距离则在场址附近不远。</w:t>
      </w:r>
    </w:p>
    <w:p w14:paraId="1689EB09">
      <w:pPr>
        <w:pStyle w:val="185"/>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由于不可抗的自然灾害洪水等造成堆体塌陷、滑坡和泥石流，堆存废物将迅速下泄，冲击下游选厂，及周边植被、耕地等，进而影响下游选厂、东兴村。因此，堆存区必需做好地质灾害的风险防范措施和应急预案。</w:t>
      </w:r>
    </w:p>
    <w:p w14:paraId="1AD269C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4</w:t>
      </w:r>
      <w:r>
        <w:rPr>
          <w:rFonts w:hint="default" w:ascii="Times New Roman" w:hAnsi="Times New Roman" w:eastAsia="宋体" w:cs="Times New Roman"/>
          <w:b/>
          <w:sz w:val="24"/>
          <w:szCs w:val="24"/>
          <w:highlight w:val="none"/>
          <w:lang w:val="en-US" w:eastAsia="zh-CN"/>
        </w:rPr>
        <w:t>风险</w:t>
      </w:r>
      <w:r>
        <w:rPr>
          <w:rFonts w:hint="eastAsia" w:cs="Times New Roman"/>
          <w:b/>
          <w:sz w:val="24"/>
          <w:szCs w:val="24"/>
          <w:highlight w:val="none"/>
          <w:lang w:val="en-US" w:eastAsia="zh-CN"/>
        </w:rPr>
        <w:t>防范措施</w:t>
      </w:r>
    </w:p>
    <w:p w14:paraId="6C0254FE">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000000"/>
          <w:sz w:val="24"/>
          <w:highlight w:val="none"/>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1</w:t>
      </w:r>
      <w:r>
        <w:rPr>
          <w:rFonts w:hint="eastAsia" w:ascii="Times New Roman" w:hAnsi="Times New Roman" w:cs="Times New Roman"/>
          <w:b/>
          <w:bCs/>
          <w:color w:val="000000"/>
          <w:sz w:val="24"/>
          <w:highlight w:val="none"/>
          <w:lang w:eastAsia="zh-CN"/>
        </w:rPr>
        <w:t>）</w:t>
      </w:r>
      <w:r>
        <w:rPr>
          <w:rFonts w:hint="default" w:ascii="Times New Roman" w:hAnsi="Times New Roman" w:cs="Times New Roman"/>
          <w:b/>
          <w:bCs/>
          <w:color w:val="000000"/>
          <w:sz w:val="24"/>
          <w:highlight w:val="none"/>
        </w:rPr>
        <w:t>完善管理措施</w:t>
      </w:r>
    </w:p>
    <w:p w14:paraId="58E8773A">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根据现场实际情况，认真开展项目地地质灾害调查、勘察与评价工作，掌握地质灾害的成因、发育情况与分布特点，准确圈出地质灾害易发区与危险区，提出防治与保护的措施和方法，提供给有关部门设计与施工。建立健全地地质灾害防治机构，重视防灾资金的投入。</w:t>
      </w:r>
    </w:p>
    <w:p w14:paraId="0129C5D9">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000000"/>
          <w:sz w:val="24"/>
          <w:highlight w:val="none"/>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2</w:t>
      </w:r>
      <w:r>
        <w:rPr>
          <w:rFonts w:hint="eastAsia" w:ascii="Times New Roman" w:hAnsi="Times New Roman" w:cs="Times New Roman"/>
          <w:b/>
          <w:bCs/>
          <w:color w:val="000000"/>
          <w:sz w:val="24"/>
          <w:highlight w:val="none"/>
          <w:lang w:eastAsia="zh-CN"/>
        </w:rPr>
        <w:t>）</w:t>
      </w:r>
      <w:r>
        <w:rPr>
          <w:rFonts w:hint="default" w:ascii="Times New Roman" w:hAnsi="Times New Roman" w:cs="Times New Roman"/>
          <w:b/>
          <w:bCs/>
          <w:color w:val="000000"/>
          <w:sz w:val="24"/>
          <w:highlight w:val="none"/>
        </w:rPr>
        <w:t>滑坡防治措施</w:t>
      </w:r>
    </w:p>
    <w:p w14:paraId="74C0BC90">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①在废石排弃前应对排土场坡角30m范围内进行清表，并将尾矿库堆积坝外坡面植被清除，以防软弱地基引发的排土场滑坡</w:t>
      </w:r>
      <w:r>
        <w:rPr>
          <w:rFonts w:hint="default" w:ascii="Times New Roman" w:hAnsi="Times New Roman" w:cs="Times New Roman"/>
          <w:color w:val="000000"/>
          <w:sz w:val="24"/>
          <w:highlight w:val="none"/>
        </w:rPr>
        <w:t>。</w:t>
      </w:r>
    </w:p>
    <w:p w14:paraId="2CAE4A87">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②排土场坡脚建设挡石坝，确保坝体稳定性，有效防治对下游影响。</w:t>
      </w:r>
      <w:r>
        <w:rPr>
          <w:rFonts w:hint="default" w:ascii="Times New Roman" w:hAnsi="Times New Roman" w:cs="Times New Roman"/>
          <w:color w:val="000000"/>
          <w:sz w:val="24"/>
          <w:highlight w:val="none"/>
        </w:rPr>
        <w:t>企业应严格按照设计施工，确保挡石坝强度、孔隙率符合设计要求，对上游滚石进行有效遮挡。</w:t>
      </w:r>
    </w:p>
    <w:p w14:paraId="54386203">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③</w:t>
      </w:r>
      <w:r>
        <w:rPr>
          <w:rFonts w:hint="default" w:ascii="Times New Roman" w:hAnsi="Times New Roman" w:cs="Times New Roman"/>
          <w:color w:val="000000"/>
          <w:sz w:val="24"/>
          <w:highlight w:val="none"/>
        </w:rPr>
        <w:t>严格按照设计进行排土场施工，按要求在排土场两侧设置场肩排水沟，各平台修建平台排水沟，将排土场上游汇水以及平台汇水排出场外，保证雨季排水的畅通。</w:t>
      </w:r>
    </w:p>
    <w:p w14:paraId="03179200">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④</w:t>
      </w:r>
      <w:r>
        <w:rPr>
          <w:rFonts w:hint="eastAsia" w:ascii="Times New Roman" w:hAnsi="Times New Roman" w:cs="Times New Roman"/>
          <w:b w:val="0"/>
          <w:bCs w:val="0"/>
          <w:color w:val="000000"/>
          <w:sz w:val="24"/>
          <w:highlight w:val="none"/>
          <w:lang w:eastAsia="zh-CN"/>
        </w:rPr>
        <w:t>排土场坡脚处采用大块石填筑5m~10m高的渗水层，控制排土场最大排土高度为15m。</w:t>
      </w:r>
    </w:p>
    <w:p w14:paraId="640B43B9">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⑤</w:t>
      </w:r>
      <w:r>
        <w:rPr>
          <w:rFonts w:hint="default" w:ascii="Times New Roman" w:hAnsi="Times New Roman" w:cs="Times New Roman"/>
          <w:color w:val="000000"/>
          <w:sz w:val="24"/>
          <w:highlight w:val="none"/>
        </w:rPr>
        <w:t>排土场采用覆盖式堆置方式，由下而上，逐层堆置，排土过程中底部以及中间区域排放采区剥岩大块石，形成排渗通道，</w:t>
      </w:r>
      <w:r>
        <w:rPr>
          <w:rFonts w:hint="eastAsia" w:ascii="Times New Roman" w:hAnsi="Times New Roman" w:cs="Times New Roman"/>
          <w:b w:val="0"/>
          <w:bCs w:val="0"/>
          <w:color w:val="000000"/>
          <w:sz w:val="24"/>
          <w:highlight w:val="none"/>
          <w:lang w:eastAsia="zh-CN"/>
        </w:rPr>
        <w:t>各平台边坡向内侧50.0m范围排放力学性质良好的废石，</w:t>
      </w:r>
      <w:r>
        <w:rPr>
          <w:rFonts w:hint="default" w:ascii="Times New Roman" w:hAnsi="Times New Roman" w:cs="Times New Roman"/>
          <w:color w:val="000000"/>
          <w:sz w:val="24"/>
          <w:highlight w:val="none"/>
        </w:rPr>
        <w:t>应尽量保证细颗粒堆积至尾部，粗颗粒堆积至外部。在排放过程中，每个台阶要保持整体平整，并留有2%～5%的反坡，采用推土机及重载车辆对已排放废石区域进行碾压，在各平台坡脚位置设置排水沟，拦截平台表面及坡面汇水。</w:t>
      </w:r>
    </w:p>
    <w:p w14:paraId="12BE0CA0">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⑥</w:t>
      </w:r>
      <w:r>
        <w:rPr>
          <w:rFonts w:hint="default" w:ascii="Times New Roman" w:hAnsi="Times New Roman" w:cs="Times New Roman"/>
          <w:color w:val="000000"/>
          <w:sz w:val="24"/>
          <w:highlight w:val="none"/>
        </w:rPr>
        <w:t>一旦发生滑坡事故，现场人员立即撤离，对滑坡位置清方减载，在滑体前部适度清方，以增加边坡稳定性，为实施支挡工程创造良好基础条件，解决局部稳定问题；对于滑坡中、后部，同样采取清方减载措施，以保证整体达到稳定安全标准。若清方减载后边坡依然不稳定，应设置重力式挡土墙或抗滑桩等抗滑支挡构筑物，确保边坡稳定。</w:t>
      </w:r>
    </w:p>
    <w:p w14:paraId="77351FC1">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cs="Times New Roman"/>
          <w:b/>
          <w:bCs/>
          <w:color w:val="000000"/>
          <w:sz w:val="24"/>
          <w:highlight w:val="none"/>
          <w:lang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3</w:t>
      </w:r>
      <w:r>
        <w:rPr>
          <w:rFonts w:hint="eastAsia" w:ascii="Times New Roman" w:hAnsi="Times New Roman" w:cs="Times New Roman"/>
          <w:b/>
          <w:bCs/>
          <w:color w:val="000000"/>
          <w:sz w:val="24"/>
          <w:highlight w:val="none"/>
          <w:lang w:eastAsia="zh-CN"/>
        </w:rPr>
        <w:t>）泥石流防治措施</w:t>
      </w:r>
    </w:p>
    <w:p w14:paraId="799F6514">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①排土场所处沟底平均纵坡较小，地形坡度较缓，可有效避免泥石流的发生。</w:t>
      </w:r>
    </w:p>
    <w:p w14:paraId="07BD08AB">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②排土场</w:t>
      </w:r>
      <w:r>
        <w:rPr>
          <w:rFonts w:hint="eastAsia" w:ascii="Times New Roman"/>
          <w:color w:val="auto"/>
          <w:sz w:val="24"/>
          <w:szCs w:val="24"/>
          <w:highlight w:val="none"/>
        </w:rPr>
        <w:t>挡石坝</w:t>
      </w:r>
      <w:r>
        <w:rPr>
          <w:rFonts w:hint="eastAsia"/>
          <w:color w:val="auto"/>
          <w:sz w:val="24"/>
          <w:szCs w:val="24"/>
          <w:highlight w:val="none"/>
          <w:lang w:val="en-US" w:eastAsia="zh-CN"/>
        </w:rPr>
        <w:t>下游南侧</w:t>
      </w:r>
      <w:r>
        <w:rPr>
          <w:rFonts w:hint="eastAsia" w:ascii="Times New Roman" w:hAnsi="Times New Roman" w:cs="Times New Roman"/>
          <w:color w:val="000000"/>
          <w:sz w:val="24"/>
          <w:highlight w:val="none"/>
          <w:lang w:val="en-US" w:eastAsia="zh-CN"/>
        </w:rPr>
        <w:t>10m处设置了拦碴坝，可有效进行泥石的拦截。</w:t>
      </w:r>
    </w:p>
    <w:p w14:paraId="7F1C7CF4">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③排洪设施</w:t>
      </w:r>
      <w:r>
        <w:rPr>
          <w:rFonts w:hint="eastAsia" w:ascii="Times New Roman" w:hAnsi="Times New Roman" w:cs="Times New Roman"/>
          <w:color w:val="000000"/>
          <w:sz w:val="24"/>
          <w:highlight w:val="none"/>
          <w:lang w:eastAsia="zh-CN"/>
        </w:rPr>
        <w:t>严格按照设计进行施工，</w:t>
      </w:r>
      <w:r>
        <w:rPr>
          <w:rFonts w:hint="eastAsia" w:ascii="Times New Roman"/>
          <w:color w:val="auto"/>
          <w:kern w:val="44"/>
          <w:sz w:val="24"/>
          <w:szCs w:val="24"/>
          <w:highlight w:val="none"/>
        </w:rPr>
        <w:t>在排土场场区外侧修建截水沟。截水沟分十个区建设，截水沟采用钢筋混凝土结构</w:t>
      </w:r>
      <w:r>
        <w:rPr>
          <w:rFonts w:hint="eastAsia"/>
          <w:color w:val="auto"/>
          <w:kern w:val="44"/>
          <w:sz w:val="24"/>
          <w:szCs w:val="24"/>
          <w:highlight w:val="none"/>
          <w:lang w:eastAsia="zh-CN"/>
        </w:rPr>
        <w:t>，汇集到截水沟内的汇水在消力池沉淀后</w:t>
      </w:r>
      <w:r>
        <w:rPr>
          <w:rFonts w:hint="eastAsia"/>
          <w:color w:val="auto"/>
          <w:kern w:val="44"/>
          <w:sz w:val="24"/>
          <w:szCs w:val="24"/>
          <w:highlight w:val="none"/>
          <w:lang w:val="en-US" w:eastAsia="zh-CN"/>
        </w:rPr>
        <w:t>经山体两侧截水沟</w:t>
      </w:r>
      <w:r>
        <w:rPr>
          <w:rFonts w:hint="eastAsia"/>
          <w:color w:val="auto"/>
          <w:kern w:val="44"/>
          <w:sz w:val="24"/>
          <w:szCs w:val="24"/>
          <w:highlight w:val="none"/>
          <w:lang w:eastAsia="zh-CN"/>
        </w:rPr>
        <w:t>导至下游</w:t>
      </w:r>
      <w:r>
        <w:rPr>
          <w:rFonts w:hint="eastAsia" w:ascii="Times New Roman" w:hAnsi="Times New Roman" w:cs="Times New Roman"/>
          <w:color w:val="000000"/>
          <w:sz w:val="24"/>
          <w:highlight w:val="none"/>
          <w:lang w:val="en-US" w:eastAsia="zh-CN"/>
        </w:rPr>
        <w:t>。有效避免降水、融雪、融冰对排土场的影响。</w:t>
      </w:r>
    </w:p>
    <w:p w14:paraId="3780B6EA">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④排放过程中颗粒较大的废石堆积在底层以稳固基底，并有利于减少排弃物料的湿化和泥化作用。</w:t>
      </w:r>
    </w:p>
    <w:p w14:paraId="587A6859">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⑤排土场排弃作业时，各平台设置2%的反坡，每年雨季来临前在排土场平台上修筑临时排水沟将平台少量地表水引出排土场，以拦截平台表面少量汇水防止其冲刷坡面形成坡面型泥石流。</w:t>
      </w:r>
    </w:p>
    <w:p w14:paraId="6CEC5B4E">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000000"/>
          <w:sz w:val="24"/>
          <w:highlight w:val="none"/>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4</w:t>
      </w:r>
      <w:r>
        <w:rPr>
          <w:rFonts w:hint="eastAsia" w:ascii="Times New Roman" w:hAnsi="Times New Roman" w:cs="Times New Roman"/>
          <w:b/>
          <w:bCs/>
          <w:color w:val="000000"/>
          <w:sz w:val="24"/>
          <w:highlight w:val="none"/>
          <w:lang w:eastAsia="zh-CN"/>
        </w:rPr>
        <w:t>）</w:t>
      </w:r>
      <w:r>
        <w:rPr>
          <w:rFonts w:hint="default" w:ascii="Times New Roman" w:hAnsi="Times New Roman" w:cs="Times New Roman"/>
          <w:b/>
          <w:bCs/>
          <w:color w:val="000000"/>
          <w:sz w:val="24"/>
          <w:highlight w:val="none"/>
        </w:rPr>
        <w:t>堆体塌陷防治措施</w:t>
      </w:r>
    </w:p>
    <w:p w14:paraId="55375A66">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①</w:t>
      </w:r>
      <w:r>
        <w:rPr>
          <w:rFonts w:hint="default" w:ascii="Times New Roman" w:hAnsi="Times New Roman" w:cs="Times New Roman"/>
          <w:color w:val="000000"/>
          <w:sz w:val="24"/>
          <w:highlight w:val="none"/>
        </w:rPr>
        <w:t>不同粒径的废石按比例混排，有效避免沿堆体内部的滑坡，避免细颗粒的岩石同一时间段和同一部位排放。</w:t>
      </w:r>
    </w:p>
    <w:p w14:paraId="2FC0C679">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②</w:t>
      </w:r>
      <w:r>
        <w:rPr>
          <w:rFonts w:hint="default" w:ascii="Times New Roman" w:hAnsi="Times New Roman" w:cs="Times New Roman"/>
          <w:color w:val="000000"/>
          <w:sz w:val="24"/>
          <w:highlight w:val="none"/>
        </w:rPr>
        <w:t>按照设计排放量控制段高、设置安全平台，控制排土强度，各分段平台、坡面和顶面按要求进行复垦和绿化，恢复生态平衡，再现自然景观，防止水土流失。</w:t>
      </w:r>
    </w:p>
    <w:p w14:paraId="10361A64">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③</w:t>
      </w:r>
      <w:r>
        <w:rPr>
          <w:rFonts w:hint="default" w:ascii="Times New Roman" w:hAnsi="Times New Roman" w:cs="Times New Roman"/>
          <w:color w:val="000000"/>
          <w:sz w:val="24"/>
          <w:highlight w:val="none"/>
        </w:rPr>
        <w:t>排土过程中设置监测点，对边坡位移情况进行监测。</w:t>
      </w:r>
    </w:p>
    <w:p w14:paraId="1AB39D0E">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④</w:t>
      </w:r>
      <w:r>
        <w:rPr>
          <w:rFonts w:hint="default" w:ascii="Times New Roman" w:hAnsi="Times New Roman" w:cs="Times New Roman"/>
          <w:color w:val="000000"/>
          <w:sz w:val="24"/>
          <w:highlight w:val="none"/>
        </w:rPr>
        <w:t>控制排土强度，采用间歇式排土。在排土作业过程中应经常检查排土场上一期排土的沉降情况，特别是在雨后及时观测排土不均匀沉降情况。发现前期堆存的排土体有不均匀沉降后，应及时采用排土对不均匀沉降出现的沉降坑进行填补，保证排土体顶面向坡顶线方向有2%-5%的反坡，防止雨水沿坝坡冲刷。</w:t>
      </w:r>
    </w:p>
    <w:p w14:paraId="285F6DB4">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Times New Roman"/>
          <w:b/>
          <w:bCs/>
          <w:color w:val="000000"/>
          <w:sz w:val="24"/>
          <w:highlight w:val="none"/>
          <w:lang w:eastAsia="zh-CN"/>
        </w:rPr>
      </w:pPr>
      <w:r>
        <w:rPr>
          <w:rFonts w:hint="eastAsia" w:ascii="Times New Roman" w:hAnsi="Times New Roman" w:cs="Times New Roman"/>
          <w:b/>
          <w:bCs/>
          <w:color w:val="000000"/>
          <w:sz w:val="24"/>
          <w:highlight w:val="none"/>
          <w:lang w:eastAsia="zh-CN"/>
        </w:rPr>
        <w:t>（</w:t>
      </w:r>
      <w:r>
        <w:rPr>
          <w:rFonts w:hint="eastAsia" w:ascii="Times New Roman" w:hAnsi="Times New Roman" w:cs="Times New Roman"/>
          <w:b/>
          <w:bCs/>
          <w:color w:val="000000"/>
          <w:sz w:val="24"/>
          <w:highlight w:val="none"/>
          <w:lang w:val="en-US" w:eastAsia="zh-CN"/>
        </w:rPr>
        <w:t>5</w:t>
      </w:r>
      <w:r>
        <w:rPr>
          <w:rFonts w:hint="eastAsia" w:ascii="Times New Roman" w:hAnsi="Times New Roman" w:cs="Times New Roman"/>
          <w:b/>
          <w:bCs/>
          <w:color w:val="000000"/>
          <w:sz w:val="24"/>
          <w:highlight w:val="none"/>
          <w:lang w:eastAsia="zh-CN"/>
        </w:rPr>
        <w:t>）</w:t>
      </w:r>
      <w:r>
        <w:rPr>
          <w:rFonts w:hint="default" w:ascii="Times New Roman" w:hAnsi="Times New Roman" w:cs="Times New Roman"/>
          <w:b/>
          <w:bCs/>
          <w:color w:val="000000"/>
          <w:sz w:val="24"/>
          <w:highlight w:val="none"/>
        </w:rPr>
        <w:t>应急预案</w:t>
      </w:r>
    </w:p>
    <w:p w14:paraId="5D70EF91">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制定事故风险应急预案，实时对排土堆场进行检查，及时发现存在的问题，确保将环境事故风险降到最低。</w:t>
      </w:r>
    </w:p>
    <w:p w14:paraId="39D9BFC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5.2.</w:t>
      </w:r>
      <w:r>
        <w:rPr>
          <w:rFonts w:hint="eastAsia" w:ascii="Times New Roman" w:hAnsi="Times New Roman" w:eastAsia="宋体" w:cs="Times New Roman"/>
          <w:b/>
          <w:sz w:val="24"/>
          <w:szCs w:val="24"/>
          <w:highlight w:val="none"/>
          <w:lang w:val="en-US" w:eastAsia="zh-CN"/>
        </w:rPr>
        <w:t>7</w:t>
      </w:r>
      <w:r>
        <w:rPr>
          <w:rFonts w:hint="default" w:ascii="Times New Roman" w:hAnsi="Times New Roman" w:eastAsia="宋体" w:cs="Times New Roman"/>
          <w:b/>
          <w:sz w:val="24"/>
          <w:szCs w:val="24"/>
          <w:highlight w:val="none"/>
          <w:lang w:val="en-US" w:eastAsia="zh-CN"/>
        </w:rPr>
        <w:t>.5应急处置措施</w:t>
      </w:r>
    </w:p>
    <w:p w14:paraId="68F84845">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①本着预防为主、防重于抢的原则，当突然出现地震险情时，首先查明险情情况，根据险情程度确定组织抢险和组织下游</w:t>
      </w:r>
      <w:r>
        <w:rPr>
          <w:rFonts w:hint="eastAsia" w:ascii="Times New Roman" w:hAnsi="Times New Roman" w:cs="Times New Roman"/>
          <w:color w:val="000000"/>
          <w:sz w:val="24"/>
          <w:highlight w:val="none"/>
          <w:lang w:val="en-US" w:eastAsia="zh-CN"/>
        </w:rPr>
        <w:t>东兴村村民</w:t>
      </w:r>
      <w:r>
        <w:rPr>
          <w:rFonts w:hint="default" w:ascii="Times New Roman" w:hAnsi="Times New Roman" w:cs="Times New Roman"/>
          <w:color w:val="000000"/>
          <w:sz w:val="24"/>
          <w:highlight w:val="none"/>
        </w:rPr>
        <w:t>转移，当出现险情时，立即向下游预警。</w:t>
      </w:r>
    </w:p>
    <w:p w14:paraId="503A1956">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②发生地质灾害后，应立即启动应急预案，做好人员救助，清理填埋渣的工作。</w:t>
      </w:r>
    </w:p>
    <w:p w14:paraId="1DD7089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6应急预案</w:t>
      </w:r>
    </w:p>
    <w:p w14:paraId="6B56BC5F">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制定风险事故应急预案的目的是为了在发生风险事故时，能以最快的速度发挥最大的效能，有序的实施救援，尽快控制事态的发展，降低事故造成的危害，减少事故造成的损失。从应急工作程序上，可以分为预防预警、应急回应、应急处理、应急终止、信息发布五个步骤。建设单位编制的环境事故应急预案应对以下内容进行细化，并明确各项工作的负责人。</w:t>
      </w:r>
    </w:p>
    <w:p w14:paraId="672B9AF8">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（1）预防预警</w:t>
      </w:r>
    </w:p>
    <w:p w14:paraId="6F8E820F">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预防与预警是处理环境安全突发性事件的必要前提。根据突发事故的严重性、紧急程度和可能波及的范围，划分预警级别，并根据事态的发展情况和采取措施的效果，提高或者降低应急预警级别。</w:t>
      </w:r>
    </w:p>
    <w:p w14:paraId="5DDEE638">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（2）应急回应</w:t>
      </w:r>
    </w:p>
    <w:p w14:paraId="50EE112B">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环境安全突发事件发生后，应立即启动并实施相应应急预案，及时向相关部门上报；同时，启动建设单位应急专业指挥机构；应急救援力量应立即开展应急救援工作；需要其他应急救援力量支援时，应及时向相关部门提出中请。</w:t>
      </w:r>
    </w:p>
    <w:p w14:paraId="29B407E1">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（3）应急处理</w:t>
      </w:r>
    </w:p>
    <w:p w14:paraId="649615E3">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对各类环境事故，根据回应的救援方案进行救援的处理，同时应进行应急环境监测。根据监测结果，综合分析突发环境事件污染变化趋势，并通过专家咨询和讨论的方式，预测并报告突发环境事件的发展情况和污染物的变化情况，作为突发环境事件应急决策的依据。</w:t>
      </w:r>
    </w:p>
    <w:p w14:paraId="47EAC798">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（4）应急终止</w:t>
      </w:r>
    </w:p>
    <w:p w14:paraId="5888E400">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应急终止须经现场救援指挥部确认，由现场救援指挥部向所属各专业应急救援队伍下达应急终止命令。应急状态终止后，建设单位应根据上级有关指示和实际情况，继续进行环境监测和评价工作，直至其他补救措施无需继续进行为止。</w:t>
      </w:r>
    </w:p>
    <w:p w14:paraId="0B1B1CE0">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（5）信息发布</w:t>
      </w:r>
    </w:p>
    <w:p w14:paraId="3BB937C9">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突发环境安全事件终止后，要通过报纸、广播、电视和网络等多种媒体方式，及时发布准确、权威的信息，正确引导社会奥论，增强对于环境安全应急措施的透明度。</w:t>
      </w:r>
    </w:p>
    <w:p w14:paraId="5798115D">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default" w:ascii="Times New Roman" w:hAnsi="Times New Roman" w:cs="Times New Roman"/>
          <w:color w:val="000000"/>
          <w:sz w:val="24"/>
          <w:highlight w:val="none"/>
        </w:rPr>
        <w:t>建设单位制定风险应急预案，采用源头治理、强化管理、设事故应急设施等防范措施，在此基础上，项目环境风险可控，一旦发生事故导致环境风险产生，可在较短时间内应急处理，将环境风险尽快消除</w:t>
      </w:r>
      <w:r>
        <w:rPr>
          <w:rFonts w:hint="eastAsia" w:ascii="Times New Roman" w:hAnsi="Times New Roman" w:cs="Times New Roman"/>
          <w:color w:val="000000"/>
          <w:sz w:val="24"/>
          <w:highlight w:val="none"/>
          <w:lang w:eastAsia="zh-CN"/>
        </w:rPr>
        <w:t>。</w:t>
      </w:r>
    </w:p>
    <w:p w14:paraId="59CDA3E1">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7稳定性分析</w:t>
      </w:r>
    </w:p>
    <w:p w14:paraId="16783AF9">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lang w:val="en-US" w:eastAsia="zh-CN"/>
        </w:rPr>
        <w:t>根据</w:t>
      </w:r>
      <w:r>
        <w:rPr>
          <w:rFonts w:hint="default" w:ascii="Times New Roman" w:hAnsi="Times New Roman" w:cs="Times New Roman"/>
          <w:sz w:val="24"/>
          <w:szCs w:val="24"/>
          <w:highlight w:val="none"/>
          <w:lang w:eastAsia="zh-CN"/>
        </w:rPr>
        <w:t>《承德天宝矿业集团大昌矿业有限公司东北沟排土场建设项目安全设施设计》（铜源国际工程设计研究有限公司，2025年3月）</w:t>
      </w: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本项目排土场稳定性分析如下：</w:t>
      </w:r>
    </w:p>
    <w:p w14:paraId="18CB0919">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000000"/>
          <w:sz w:val="24"/>
          <w:highlight w:val="none"/>
          <w:lang w:val="en-US" w:eastAsia="zh-CN"/>
        </w:rPr>
      </w:pPr>
      <w:r>
        <w:rPr>
          <w:rFonts w:hint="eastAsia" w:ascii="Times New Roman" w:hAnsi="Times New Roman" w:cs="Times New Roman"/>
          <w:b/>
          <w:bCs/>
          <w:color w:val="000000"/>
          <w:sz w:val="24"/>
          <w:highlight w:val="none"/>
          <w:lang w:val="en-US" w:eastAsia="zh-CN"/>
        </w:rPr>
        <w:t>1、排土场结构特征</w:t>
      </w:r>
    </w:p>
    <w:p w14:paraId="08A142CA">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拟建东北沟排土场沟谷横断面呈“V”型，库区走向西北～东南，区内山峦起伏，沟谷较发育，山顶基岩部分裸露，该区区域地貌为燕山山脉中段构造剥蚀低山区，地形较简单，地貌较复杂，植被较发育，沟谷及冲沟两侧以第四系坡洪积层为主。现状东北沟尾矿库外坡地形坡度为17°。</w:t>
      </w:r>
    </w:p>
    <w:p w14:paraId="3C3D2050">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场地地层为第四系人工填土、第四系冲洪积、残坡积角砾、片麻岩基岩。按土的物质组成、结构构造特征、物理力学性质、成因类型等，场区地层自上而下划分为10个地质层，分别为：①杂填土、②素填土、②1素填土、③块石、④尾中砂、⑤尾细砂、⑥尾粉砂、⑦尾粉土、⑧角砾、⑨1强风化片麻岩、⑨2中风化片麻岩。</w:t>
      </w:r>
    </w:p>
    <w:p w14:paraId="1FB1026F">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①层杂填土：呈松散状态，在拟建排土场下游拦挡坝及附近沟底地段分布。</w:t>
      </w:r>
    </w:p>
    <w:p w14:paraId="60C7BD7A">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②层素填土：呈稍密-中密状态，为现有排土场堆存废物。</w:t>
      </w:r>
    </w:p>
    <w:p w14:paraId="35074AB4">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③层块石：初期坝筑坝材料。</w:t>
      </w:r>
    </w:p>
    <w:p w14:paraId="2B6C5D69">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④-⑦层尾矿堆积层：为闭库尾矿库堆填地层。</w:t>
      </w:r>
    </w:p>
    <w:p w14:paraId="212EFDB5">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⑧角砾：呈中密状态，该层主要分布在沟谷下游坡地及谷底位置。厚度较大，局部夹有粉土及砂薄层，工程性质较好。</w:t>
      </w:r>
    </w:p>
    <w:p w14:paraId="006E6136">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⑨1层强风化片麻岩：岩石节理裂隙发育，呈破碎状，遇水软化，岩体基本质量等级为IV级。</w:t>
      </w:r>
    </w:p>
    <w:p w14:paraId="343F70DB">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val="0"/>
          <w:color w:val="000000"/>
          <w:sz w:val="24"/>
          <w:highlight w:val="none"/>
          <w:lang w:val="en-US" w:eastAsia="zh-CN"/>
        </w:rPr>
      </w:pPr>
      <w:r>
        <w:rPr>
          <w:rFonts w:hint="eastAsia" w:ascii="Times New Roman" w:hAnsi="Times New Roman" w:cs="Times New Roman"/>
          <w:b w:val="0"/>
          <w:bCs w:val="0"/>
          <w:color w:val="000000"/>
          <w:sz w:val="24"/>
          <w:highlight w:val="none"/>
          <w:lang w:val="en-US" w:eastAsia="zh-CN"/>
        </w:rPr>
        <w:t>⑨2层中风化片麻岩：岩石节理裂隙较发育，岩体基本质量等级为III级。</w:t>
      </w:r>
    </w:p>
    <w:p w14:paraId="3AD41765">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000000"/>
          <w:sz w:val="24"/>
          <w:highlight w:val="none"/>
          <w:lang w:val="en-US" w:eastAsia="zh-CN"/>
        </w:rPr>
      </w:pPr>
      <w:r>
        <w:rPr>
          <w:rFonts w:hint="eastAsia" w:ascii="Times New Roman" w:hAnsi="Times New Roman" w:cs="Times New Roman"/>
          <w:b/>
          <w:bCs/>
          <w:color w:val="000000"/>
          <w:sz w:val="24"/>
          <w:highlight w:val="none"/>
          <w:lang w:val="en-US" w:eastAsia="zh-CN"/>
        </w:rPr>
        <w:t>2、场区稳定性</w:t>
      </w:r>
    </w:p>
    <w:p w14:paraId="7670602B">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val="en-US" w:eastAsia="zh-CN"/>
        </w:rPr>
        <w:t>排土场</w:t>
      </w:r>
      <w:r>
        <w:rPr>
          <w:rFonts w:hint="eastAsia" w:ascii="Times New Roman" w:hAnsi="Times New Roman" w:cs="Times New Roman"/>
          <w:color w:val="000000"/>
          <w:sz w:val="24"/>
          <w:highlight w:val="none"/>
          <w:lang w:eastAsia="zh-CN"/>
        </w:rPr>
        <w:t>场区未发现有新近构造活动痕迹，构造环境相对稳定；区域抗震设防烈度为6度，场地属对建筑抗震一般地段，历史上没有大的地震活动记录；不良地质作用弱发育，地质灾害危险性较小。综合判定，场地基本稳定。</w:t>
      </w:r>
    </w:p>
    <w:p w14:paraId="0BD9D6CE">
      <w:pPr>
        <w:pStyle w:val="185"/>
        <w:keepNext w:val="0"/>
        <w:keepLines w:val="0"/>
        <w:pageBreakBefore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000000"/>
          <w:sz w:val="24"/>
          <w:highlight w:val="none"/>
          <w:lang w:val="en-US" w:eastAsia="zh-CN"/>
        </w:rPr>
      </w:pPr>
      <w:r>
        <w:rPr>
          <w:rFonts w:hint="eastAsia" w:ascii="Times New Roman" w:hAnsi="Times New Roman" w:cs="Times New Roman"/>
          <w:b/>
          <w:bCs/>
          <w:color w:val="000000"/>
          <w:sz w:val="24"/>
          <w:highlight w:val="none"/>
          <w:lang w:val="en-US" w:eastAsia="zh-CN"/>
        </w:rPr>
        <w:t>3、安全稳定性分析</w:t>
      </w:r>
    </w:p>
    <w:p w14:paraId="468279C6">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挡石坝施工前需清除地表素填土及角砾层，且地基承载力不小于500kPa，保证基础坐落在强风化层，可有效避免排土场沿接触面滑坡。场区外侧修建截水沟，平台坡面修建排水沟，减弱了降雨对排土场稳定性影响，增加了稳定性。</w:t>
      </w:r>
    </w:p>
    <w:p w14:paraId="5DD05B95">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根据《承德天宝矿业集团大昌矿业有限公司东北沟排土场边坡稳定性分析研究报告》（河北华勘资环勘测有限公司，2025年2月），拟建排土场自然工况下边坡稳定性满足规范要求，边坡稳定；降雨工况下边坡稳定性满足规范要求，边坡稳定；地震工况下边坡稳定性满足规范要求，边坡稳定。</w:t>
      </w:r>
    </w:p>
    <w:p w14:paraId="6C331A9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8安全事故风险及应急措施</w:t>
      </w:r>
    </w:p>
    <w:p w14:paraId="247792BF">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根据《承德天宝矿业集团大昌矿业有限公司东北沟排土场工程安全预评价报告》（2025年3月），排土场安全事故风险因素分析见下表。</w:t>
      </w:r>
    </w:p>
    <w:p w14:paraId="05831A44">
      <w:pPr>
        <w:numPr>
          <w:ilvl w:val="0"/>
          <w:numId w:val="24"/>
        </w:numPr>
        <w:ind w:left="0" w:leftChars="0" w:firstLine="0" w:firstLineChars="0"/>
        <w:jc w:val="center"/>
        <w:rPr>
          <w:rFonts w:hint="default" w:ascii="Times New Roman" w:hAnsi="Times New Roman" w:cs="Times New Roman"/>
          <w:b/>
          <w:bCs/>
          <w:color w:val="000000"/>
          <w:sz w:val="21"/>
          <w:szCs w:val="18"/>
          <w:highlight w:val="none"/>
          <w:lang w:val="en-US" w:eastAsia="zh-CN"/>
        </w:rPr>
      </w:pPr>
      <w:r>
        <w:rPr>
          <w:rFonts w:hint="eastAsia" w:cs="Times New Roman"/>
          <w:b/>
          <w:bCs/>
          <w:color w:val="000000"/>
          <w:sz w:val="21"/>
          <w:szCs w:val="18"/>
          <w:highlight w:val="none"/>
          <w:lang w:val="en-US" w:eastAsia="zh-CN"/>
        </w:rPr>
        <w:t>排土场安全事故风险因素</w:t>
      </w:r>
    </w:p>
    <w:tbl>
      <w:tblPr>
        <w:tblStyle w:val="59"/>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228"/>
        <w:gridCol w:w="930"/>
        <w:gridCol w:w="1065"/>
        <w:gridCol w:w="1305"/>
      </w:tblGrid>
      <w:tr w14:paraId="535D36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228" w:type="dxa"/>
            <w:tcBorders>
              <w:tl2br w:val="nil"/>
              <w:tr2bl w:val="nil"/>
            </w:tcBorders>
            <w:vAlign w:val="center"/>
          </w:tcPr>
          <w:p w14:paraId="6959C61F">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cs="Times New Roman"/>
                <w:b/>
                <w:bCs/>
                <w:color w:val="000000"/>
                <w:sz w:val="21"/>
                <w:szCs w:val="21"/>
                <w:highlight w:val="none"/>
                <w:vertAlign w:val="baseline"/>
                <w:lang w:eastAsia="zh-CN"/>
              </w:rPr>
            </w:pPr>
            <w:r>
              <w:rPr>
                <w:rFonts w:hint="eastAsia" w:ascii="Times New Roman" w:hAnsi="Times New Roman" w:cs="Times New Roman"/>
                <w:b/>
                <w:bCs/>
                <w:color w:val="000000"/>
                <w:sz w:val="21"/>
                <w:szCs w:val="21"/>
                <w:highlight w:val="none"/>
                <w:vertAlign w:val="baseline"/>
                <w:lang w:eastAsia="zh-CN"/>
              </w:rPr>
              <w:t>可能存在的危险有害因素</w:t>
            </w:r>
          </w:p>
        </w:tc>
        <w:tc>
          <w:tcPr>
            <w:tcW w:w="930" w:type="dxa"/>
            <w:tcBorders>
              <w:tl2br w:val="nil"/>
              <w:tr2bl w:val="nil"/>
            </w:tcBorders>
            <w:vAlign w:val="center"/>
          </w:tcPr>
          <w:p w14:paraId="38F1F0A5">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位置</w:t>
            </w:r>
          </w:p>
        </w:tc>
        <w:tc>
          <w:tcPr>
            <w:tcW w:w="1065" w:type="dxa"/>
            <w:tcBorders>
              <w:tl2br w:val="nil"/>
              <w:tr2bl w:val="nil"/>
            </w:tcBorders>
            <w:vAlign w:val="center"/>
          </w:tcPr>
          <w:p w14:paraId="4156770C">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事故类型</w:t>
            </w:r>
          </w:p>
        </w:tc>
        <w:tc>
          <w:tcPr>
            <w:tcW w:w="1305" w:type="dxa"/>
            <w:tcBorders>
              <w:tl2br w:val="nil"/>
              <w:tr2bl w:val="nil"/>
            </w:tcBorders>
            <w:vAlign w:val="center"/>
          </w:tcPr>
          <w:p w14:paraId="4C073CF8">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事故后果</w:t>
            </w:r>
          </w:p>
        </w:tc>
      </w:tr>
      <w:tr w14:paraId="79F120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228" w:type="dxa"/>
            <w:tcBorders>
              <w:tl2br w:val="nil"/>
              <w:tr2bl w:val="nil"/>
            </w:tcBorders>
            <w:vAlign w:val="center"/>
          </w:tcPr>
          <w:p w14:paraId="2A8827D1">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eastAsia="zh-CN"/>
              </w:rPr>
              <w:t>1、人员在高处跌落；2、运输车辆或铲装设备司机操作失误，导致车辆坠落；3、指挥人员指挥失误；4、作业平台宽度不够；5、作业平台无挡车堆；6、车辆转向、制动失灵；7、冰雪和多雨季节，地面较滑；8、雾天和烟尘弥漫影响能见度低；9、作业场地杂乱；10、排土场边缘未设安全护栏或警示标识；11、排土作业培训不到</w:t>
            </w:r>
            <w:r>
              <w:rPr>
                <w:rFonts w:hint="eastAsia" w:ascii="Times New Roman" w:hAnsi="Times New Roman" w:cs="Times New Roman"/>
                <w:color w:val="000000"/>
                <w:sz w:val="21"/>
                <w:szCs w:val="21"/>
                <w:highlight w:val="none"/>
                <w:vertAlign w:val="baseline"/>
                <w:lang w:val="en-US" w:eastAsia="zh-CN"/>
              </w:rPr>
              <w:t>位。</w:t>
            </w:r>
          </w:p>
        </w:tc>
        <w:tc>
          <w:tcPr>
            <w:tcW w:w="930" w:type="dxa"/>
            <w:tcBorders>
              <w:tl2br w:val="nil"/>
              <w:tr2bl w:val="nil"/>
            </w:tcBorders>
            <w:vAlign w:val="center"/>
          </w:tcPr>
          <w:p w14:paraId="22E03453">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eastAsia="zh-CN"/>
              </w:rPr>
              <w:t>边坡、运输道路、排土场</w:t>
            </w:r>
          </w:p>
        </w:tc>
        <w:tc>
          <w:tcPr>
            <w:tcW w:w="1065" w:type="dxa"/>
            <w:tcBorders>
              <w:tl2br w:val="nil"/>
              <w:tr2bl w:val="nil"/>
            </w:tcBorders>
            <w:vAlign w:val="center"/>
          </w:tcPr>
          <w:p w14:paraId="08D2F799">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高处坠落</w:t>
            </w:r>
          </w:p>
        </w:tc>
        <w:tc>
          <w:tcPr>
            <w:tcW w:w="1305" w:type="dxa"/>
            <w:tcBorders>
              <w:tl2br w:val="nil"/>
              <w:tr2bl w:val="nil"/>
            </w:tcBorders>
            <w:vAlign w:val="center"/>
          </w:tcPr>
          <w:p w14:paraId="35DEE38E">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eastAsia="zh-CN"/>
              </w:rPr>
              <w:t>会切断运输道路，人员伤亡，设备</w:t>
            </w:r>
            <w:r>
              <w:rPr>
                <w:rFonts w:hint="eastAsia" w:ascii="Times New Roman" w:hAnsi="Times New Roman" w:cs="Times New Roman"/>
                <w:color w:val="000000"/>
                <w:sz w:val="21"/>
                <w:szCs w:val="21"/>
                <w:highlight w:val="none"/>
                <w:vertAlign w:val="baseline"/>
                <w:lang w:val="en-US" w:eastAsia="zh-CN"/>
              </w:rPr>
              <w:t>损坏</w:t>
            </w:r>
          </w:p>
        </w:tc>
      </w:tr>
      <w:tr w14:paraId="1ABDED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228" w:type="dxa"/>
            <w:tcBorders>
              <w:tl2br w:val="nil"/>
              <w:tr2bl w:val="nil"/>
            </w:tcBorders>
            <w:vAlign w:val="center"/>
          </w:tcPr>
          <w:p w14:paraId="32FC8D4B">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eastAsia="zh-CN"/>
              </w:rPr>
              <w:t>1、在雨季未进行降雨量监测；2、未对堵塞排水沟、截水沟进行清理疏通；3、排土场上游未修建排水沟；4、排水沟堵塞；5、排水沟损坏；6、暴雨天气引发山洪；7、暴雨冲刷排土场边坡；8、未按设计施工修建场区截排水沟；9、防排水应急预案缺陷；10、防水物资不全；11、工作场地出现塌陷征兆继续工作；12、未对最终边坡进行长期监测；13、未按设计要求进行排土；14、排洪构筑物、排渗设施遭损坏，又未及时修复，使排洪、排渗的功能不能满足要求。</w:t>
            </w:r>
          </w:p>
        </w:tc>
        <w:tc>
          <w:tcPr>
            <w:tcW w:w="930" w:type="dxa"/>
            <w:tcBorders>
              <w:tl2br w:val="nil"/>
              <w:tr2bl w:val="nil"/>
            </w:tcBorders>
            <w:vAlign w:val="center"/>
          </w:tcPr>
          <w:p w14:paraId="2A763813">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eastAsia="zh-CN"/>
              </w:rPr>
              <w:t>排土场平台</w:t>
            </w:r>
          </w:p>
        </w:tc>
        <w:tc>
          <w:tcPr>
            <w:tcW w:w="1065" w:type="dxa"/>
            <w:tcBorders>
              <w:tl2br w:val="nil"/>
              <w:tr2bl w:val="nil"/>
            </w:tcBorders>
            <w:vAlign w:val="center"/>
          </w:tcPr>
          <w:p w14:paraId="1BA0D417">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eastAsia="zh-CN"/>
              </w:rPr>
              <w:t>坍塌</w:t>
            </w:r>
          </w:p>
        </w:tc>
        <w:tc>
          <w:tcPr>
            <w:tcW w:w="1305" w:type="dxa"/>
            <w:tcBorders>
              <w:tl2br w:val="nil"/>
              <w:tr2bl w:val="nil"/>
            </w:tcBorders>
            <w:vAlign w:val="center"/>
          </w:tcPr>
          <w:p w14:paraId="58516CE4">
            <w:pPr>
              <w:pStyle w:val="185"/>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eastAsia" w:ascii="Times New Roman" w:hAnsi="Times New Roman"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eastAsia="zh-CN"/>
              </w:rPr>
              <w:t>人员伤亡，财产损失，设备损坏</w:t>
            </w:r>
          </w:p>
        </w:tc>
      </w:tr>
    </w:tbl>
    <w:p w14:paraId="05CD7151">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拟采取的安全对策措施建议为：</w:t>
      </w:r>
    </w:p>
    <w:p w14:paraId="512C9DA8">
      <w:pPr>
        <w:pStyle w:val="185"/>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000000"/>
          <w:sz w:val="24"/>
          <w:highlight w:val="none"/>
          <w:lang w:eastAsia="zh-CN"/>
        </w:rPr>
      </w:pPr>
      <w:r>
        <w:rPr>
          <w:rFonts w:hint="eastAsia" w:ascii="Times New Roman" w:hAnsi="Times New Roman" w:cs="Times New Roman"/>
          <w:color w:val="000000"/>
          <w:sz w:val="24"/>
          <w:highlight w:val="none"/>
          <w:lang w:val="en-US" w:eastAsia="zh-CN"/>
        </w:rPr>
        <w:t>1、严格安装排土场设计中的台阶高度、台阶坡面角、最小平台宽度、作业平台宽度等堆置参数作业，明确排土工作面向坡顶线方向应有2%～5%的反坡等内容；2、挡石坝进行地基处理；3、严格执行设计中位移监测基点、边坡监测预警值等相关内容；4、考虑对有回收利用价值的表土单独堆存。</w:t>
      </w:r>
    </w:p>
    <w:p w14:paraId="661218C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9</w:t>
      </w:r>
      <w:r>
        <w:rPr>
          <w:rFonts w:hint="default" w:ascii="Times New Roman" w:hAnsi="Times New Roman" w:eastAsia="宋体" w:cs="Times New Roman"/>
          <w:b/>
          <w:sz w:val="24"/>
          <w:szCs w:val="24"/>
          <w:highlight w:val="none"/>
          <w:lang w:val="en-US" w:eastAsia="zh-CN"/>
        </w:rPr>
        <w:t>环境风险评价结论</w:t>
      </w:r>
    </w:p>
    <w:p w14:paraId="220FFBF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排土场虽然存在事故风险的可能性，但建设单位只要按照设计要求严格施工，并认真执行评价所提出的各项综合风险防范措施后，可把事故发生的几率降低至最低，采取有效的风险应急预案，对工程风险事故的环境影响控制在可接受范围内</w:t>
      </w:r>
      <w:r>
        <w:rPr>
          <w:rFonts w:hint="eastAsia" w:cs="Times New Roman"/>
          <w:color w:val="auto"/>
          <w:sz w:val="24"/>
          <w:szCs w:val="24"/>
          <w:highlight w:val="none"/>
          <w:lang w:val="en-US" w:eastAsia="zh-CN"/>
        </w:rPr>
        <w:t>。</w:t>
      </w:r>
    </w:p>
    <w:p w14:paraId="5FE9D900">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en-US" w:eastAsia="zh-CN"/>
        </w:rPr>
      </w:pPr>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10</w:t>
      </w:r>
      <w:r>
        <w:rPr>
          <w:rFonts w:hint="default" w:ascii="Times New Roman" w:hAnsi="Times New Roman" w:eastAsia="宋体" w:cs="Times New Roman"/>
          <w:b/>
          <w:sz w:val="24"/>
          <w:szCs w:val="24"/>
          <w:highlight w:val="none"/>
          <w:lang w:val="en-US" w:eastAsia="zh-CN"/>
        </w:rPr>
        <w:t>建设项目环境风险简单分析内容表</w:t>
      </w:r>
    </w:p>
    <w:p w14:paraId="69701BFC">
      <w:pPr>
        <w:keepNext w:val="0"/>
        <w:keepLines w:val="0"/>
        <w:pageBreakBefore w:val="0"/>
        <w:widowControl w:val="0"/>
        <w:tabs>
          <w:tab w:val="left" w:pos="2700"/>
        </w:tabs>
        <w:kinsoku/>
        <w:wordWrap/>
        <w:overflowPunct/>
        <w:topLinePunct w:val="0"/>
        <w:autoSpaceDE/>
        <w:autoSpaceDN/>
        <w:bidi w:val="0"/>
        <w:spacing w:line="360" w:lineRule="auto"/>
        <w:ind w:firstLine="480"/>
        <w:textAlignment w:val="auto"/>
        <w:rPr>
          <w:rFonts w:ascii="Times New Roman"/>
          <w:highlight w:val="none"/>
        </w:rPr>
      </w:pPr>
      <w:r>
        <w:rPr>
          <w:rFonts w:ascii="Times New Roman" w:eastAsia="宋体"/>
          <w:highlight w:val="none"/>
        </w:rPr>
        <w:t>本项目的建设项目环境风险简单分析内容表如下表所示。</w:t>
      </w:r>
    </w:p>
    <w:p w14:paraId="01E54E47">
      <w:pPr>
        <w:numPr>
          <w:ilvl w:val="0"/>
          <w:numId w:val="24"/>
        </w:numPr>
        <w:ind w:left="0" w:leftChars="0" w:firstLine="0" w:firstLineChars="0"/>
        <w:jc w:val="center"/>
        <w:rPr>
          <w:rFonts w:ascii="Times New Roman"/>
          <w:b/>
          <w:sz w:val="21"/>
          <w:szCs w:val="21"/>
          <w:highlight w:val="none"/>
        </w:rPr>
      </w:pPr>
      <w:r>
        <w:rPr>
          <w:rFonts w:ascii="Times New Roman" w:eastAsia="宋体"/>
          <w:b/>
          <w:sz w:val="21"/>
          <w:szCs w:val="21"/>
          <w:highlight w:val="none"/>
        </w:rPr>
        <w:t>建设项目环境风险简单分析内容表</w:t>
      </w:r>
    </w:p>
    <w:tbl>
      <w:tblPr>
        <w:tblStyle w:val="58"/>
        <w:tblW w:w="5022"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64"/>
        <w:gridCol w:w="1638"/>
        <w:gridCol w:w="1668"/>
        <w:gridCol w:w="1288"/>
        <w:gridCol w:w="1076"/>
        <w:gridCol w:w="1121"/>
      </w:tblGrid>
      <w:tr w14:paraId="4ACB56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36" w:type="pct"/>
            <w:tcBorders>
              <w:tl2br w:val="nil"/>
              <w:tr2bl w:val="nil"/>
            </w:tcBorders>
            <w:noWrap w:val="0"/>
            <w:vAlign w:val="center"/>
          </w:tcPr>
          <w:p w14:paraId="087DA655">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建设项目名称</w:t>
            </w:r>
          </w:p>
        </w:tc>
        <w:tc>
          <w:tcPr>
            <w:tcW w:w="4063" w:type="pct"/>
            <w:gridSpan w:val="5"/>
            <w:tcBorders>
              <w:tl2br w:val="nil"/>
              <w:tr2bl w:val="nil"/>
            </w:tcBorders>
            <w:noWrap w:val="0"/>
            <w:vAlign w:val="center"/>
          </w:tcPr>
          <w:p w14:paraId="7BAFA6BA">
            <w:pPr>
              <w:adjustRightInd w:val="0"/>
              <w:snapToGrid w:val="0"/>
              <w:spacing w:line="240" w:lineRule="auto"/>
              <w:jc w:val="center"/>
              <w:rPr>
                <w:rFonts w:hint="eastAsia" w:ascii="Times New Roman" w:eastAsia="宋体"/>
                <w:sz w:val="21"/>
                <w:szCs w:val="21"/>
                <w:highlight w:val="none"/>
                <w:lang w:eastAsia="zh-CN"/>
              </w:rPr>
            </w:pPr>
            <w:r>
              <w:rPr>
                <w:rFonts w:hint="eastAsia"/>
                <w:sz w:val="21"/>
                <w:szCs w:val="21"/>
                <w:highlight w:val="none"/>
                <w:lang w:eastAsia="zh-CN"/>
              </w:rPr>
              <w:t>承德天宝矿业集团大昌矿业有限公司东北沟排土场建设项目</w:t>
            </w:r>
          </w:p>
        </w:tc>
      </w:tr>
      <w:tr w14:paraId="0FB333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36" w:type="pct"/>
            <w:tcBorders>
              <w:tl2br w:val="nil"/>
              <w:tr2bl w:val="nil"/>
            </w:tcBorders>
            <w:noWrap w:val="0"/>
            <w:vAlign w:val="center"/>
          </w:tcPr>
          <w:p w14:paraId="1D80F055">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建设地点</w:t>
            </w:r>
          </w:p>
        </w:tc>
        <w:tc>
          <w:tcPr>
            <w:tcW w:w="980" w:type="pct"/>
            <w:tcBorders>
              <w:tl2br w:val="nil"/>
              <w:tr2bl w:val="nil"/>
            </w:tcBorders>
            <w:noWrap w:val="0"/>
            <w:vAlign w:val="center"/>
          </w:tcPr>
          <w:p w14:paraId="1ECC8106">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（河北）省</w:t>
            </w:r>
          </w:p>
        </w:tc>
        <w:tc>
          <w:tcPr>
            <w:tcW w:w="998" w:type="pct"/>
            <w:tcBorders>
              <w:tl2br w:val="nil"/>
              <w:tr2bl w:val="nil"/>
            </w:tcBorders>
            <w:noWrap w:val="0"/>
            <w:vAlign w:val="center"/>
          </w:tcPr>
          <w:p w14:paraId="1CF6945D">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w:t>
            </w:r>
            <w:r>
              <w:rPr>
                <w:rFonts w:ascii="Times New Roman" w:eastAsia="宋体"/>
                <w:sz w:val="21"/>
                <w:szCs w:val="21"/>
                <w:highlight w:val="none"/>
              </w:rPr>
              <w:t>承德</w:t>
            </w:r>
            <w:r>
              <w:rPr>
                <w:rFonts w:ascii="Times New Roman" w:eastAsia="宋体"/>
                <w:sz w:val="21"/>
                <w:szCs w:val="21"/>
                <w:highlight w:val="none"/>
                <w:lang w:eastAsia="en-US"/>
              </w:rPr>
              <w:t>）市</w:t>
            </w:r>
          </w:p>
        </w:tc>
        <w:tc>
          <w:tcPr>
            <w:tcW w:w="771" w:type="pct"/>
            <w:tcBorders>
              <w:tl2br w:val="nil"/>
              <w:tr2bl w:val="nil"/>
            </w:tcBorders>
            <w:noWrap w:val="0"/>
            <w:vAlign w:val="center"/>
          </w:tcPr>
          <w:p w14:paraId="1CBE86B0">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w:t>
            </w:r>
            <w:r>
              <w:rPr>
                <w:rFonts w:ascii="Times New Roman" w:eastAsia="宋体"/>
                <w:sz w:val="21"/>
                <w:szCs w:val="21"/>
                <w:highlight w:val="none"/>
              </w:rPr>
              <w:t>/</w:t>
            </w:r>
            <w:r>
              <w:rPr>
                <w:rFonts w:ascii="Times New Roman" w:eastAsia="宋体"/>
                <w:sz w:val="21"/>
                <w:szCs w:val="21"/>
                <w:highlight w:val="none"/>
                <w:lang w:eastAsia="en-US"/>
              </w:rPr>
              <w:t>）区</w:t>
            </w:r>
          </w:p>
        </w:tc>
        <w:tc>
          <w:tcPr>
            <w:tcW w:w="644" w:type="pct"/>
            <w:tcBorders>
              <w:tl2br w:val="nil"/>
              <w:tr2bl w:val="nil"/>
            </w:tcBorders>
            <w:noWrap w:val="0"/>
            <w:vAlign w:val="center"/>
          </w:tcPr>
          <w:p w14:paraId="5CF1D11C">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w:t>
            </w:r>
            <w:r>
              <w:rPr>
                <w:rFonts w:hint="eastAsia"/>
                <w:sz w:val="21"/>
                <w:szCs w:val="21"/>
                <w:highlight w:val="none"/>
                <w:lang w:val="en-US" w:eastAsia="zh-CN"/>
              </w:rPr>
              <w:t>隆化县</w:t>
            </w:r>
            <w:r>
              <w:rPr>
                <w:rFonts w:ascii="Times New Roman" w:eastAsia="宋体"/>
                <w:sz w:val="21"/>
                <w:szCs w:val="21"/>
                <w:highlight w:val="none"/>
                <w:lang w:eastAsia="en-US"/>
              </w:rPr>
              <w:t>）</w:t>
            </w:r>
          </w:p>
        </w:tc>
        <w:tc>
          <w:tcPr>
            <w:tcW w:w="669" w:type="pct"/>
            <w:tcBorders>
              <w:tl2br w:val="nil"/>
              <w:tr2bl w:val="nil"/>
            </w:tcBorders>
            <w:noWrap w:val="0"/>
            <w:vAlign w:val="center"/>
          </w:tcPr>
          <w:p w14:paraId="55C59F69">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w:t>
            </w:r>
            <w:r>
              <w:rPr>
                <w:rFonts w:ascii="Times New Roman" w:eastAsia="宋体"/>
                <w:sz w:val="21"/>
                <w:szCs w:val="21"/>
                <w:highlight w:val="none"/>
              </w:rPr>
              <w:t>/</w:t>
            </w:r>
            <w:r>
              <w:rPr>
                <w:rFonts w:ascii="Times New Roman" w:eastAsia="宋体"/>
                <w:sz w:val="21"/>
                <w:szCs w:val="21"/>
                <w:highlight w:val="none"/>
                <w:lang w:eastAsia="en-US"/>
              </w:rPr>
              <w:t>）园区</w:t>
            </w:r>
          </w:p>
        </w:tc>
      </w:tr>
      <w:tr w14:paraId="644850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36" w:type="pct"/>
            <w:tcBorders>
              <w:tl2br w:val="nil"/>
              <w:tr2bl w:val="nil"/>
            </w:tcBorders>
            <w:noWrap w:val="0"/>
            <w:vAlign w:val="center"/>
          </w:tcPr>
          <w:p w14:paraId="30A60C1F">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地理坐标</w:t>
            </w:r>
          </w:p>
        </w:tc>
        <w:tc>
          <w:tcPr>
            <w:tcW w:w="980" w:type="pct"/>
            <w:tcBorders>
              <w:tl2br w:val="nil"/>
              <w:tr2bl w:val="nil"/>
            </w:tcBorders>
            <w:noWrap w:val="0"/>
            <w:vAlign w:val="center"/>
          </w:tcPr>
          <w:p w14:paraId="4B62ADE2">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经度</w:t>
            </w:r>
          </w:p>
        </w:tc>
        <w:tc>
          <w:tcPr>
            <w:tcW w:w="998" w:type="pct"/>
            <w:tcBorders>
              <w:tl2br w:val="nil"/>
              <w:tr2bl w:val="nil"/>
            </w:tcBorders>
            <w:noWrap w:val="0"/>
            <w:vAlign w:val="center"/>
          </w:tcPr>
          <w:p w14:paraId="19FBC0AD">
            <w:pPr>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sz w:val="21"/>
                <w:szCs w:val="21"/>
                <w:highlight w:val="none"/>
              </w:rPr>
              <w:t>117°47′38.06737″</w:t>
            </w:r>
          </w:p>
        </w:tc>
        <w:tc>
          <w:tcPr>
            <w:tcW w:w="771" w:type="pct"/>
            <w:tcBorders>
              <w:tl2br w:val="nil"/>
              <w:tr2bl w:val="nil"/>
            </w:tcBorders>
            <w:noWrap w:val="0"/>
            <w:vAlign w:val="center"/>
          </w:tcPr>
          <w:p w14:paraId="53BC6C6E">
            <w:pPr>
              <w:adjustRightInd w:val="0"/>
              <w:snapToGrid w:val="0"/>
              <w:spacing w:line="240" w:lineRule="auto"/>
              <w:jc w:val="center"/>
              <w:rPr>
                <w:rFonts w:hint="default" w:ascii="Times New Roman" w:hAnsi="Times New Roman" w:cs="Times New Roman"/>
                <w:sz w:val="21"/>
                <w:szCs w:val="21"/>
                <w:highlight w:val="none"/>
                <w:lang w:eastAsia="en-US"/>
              </w:rPr>
            </w:pPr>
            <w:r>
              <w:rPr>
                <w:rFonts w:hint="default" w:ascii="Times New Roman" w:hAnsi="Times New Roman" w:eastAsia="宋体" w:cs="Times New Roman"/>
                <w:sz w:val="21"/>
                <w:szCs w:val="21"/>
                <w:highlight w:val="none"/>
                <w:lang w:eastAsia="en-US"/>
              </w:rPr>
              <w:t>纬度</w:t>
            </w:r>
          </w:p>
        </w:tc>
        <w:tc>
          <w:tcPr>
            <w:tcW w:w="1313" w:type="pct"/>
            <w:gridSpan w:val="2"/>
            <w:tcBorders>
              <w:tl2br w:val="nil"/>
              <w:tr2bl w:val="nil"/>
            </w:tcBorders>
            <w:noWrap w:val="0"/>
            <w:vAlign w:val="center"/>
          </w:tcPr>
          <w:p w14:paraId="5991BA6C">
            <w:pPr>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eastAsia="宋体" w:cs="Times New Roman"/>
                <w:sz w:val="21"/>
                <w:szCs w:val="21"/>
                <w:highlight w:val="none"/>
              </w:rPr>
              <w:t>41°14′34.20675″</w:t>
            </w:r>
          </w:p>
        </w:tc>
      </w:tr>
      <w:tr w14:paraId="686820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36" w:type="pct"/>
            <w:tcBorders>
              <w:tl2br w:val="nil"/>
              <w:tr2bl w:val="nil"/>
            </w:tcBorders>
            <w:noWrap w:val="0"/>
            <w:vAlign w:val="center"/>
          </w:tcPr>
          <w:p w14:paraId="559B485C">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主要危险物质及分布</w:t>
            </w:r>
          </w:p>
        </w:tc>
        <w:tc>
          <w:tcPr>
            <w:tcW w:w="4063" w:type="pct"/>
            <w:gridSpan w:val="5"/>
            <w:tcBorders>
              <w:tl2br w:val="nil"/>
              <w:tr2bl w:val="nil"/>
            </w:tcBorders>
            <w:noWrap w:val="0"/>
            <w:vAlign w:val="center"/>
          </w:tcPr>
          <w:p w14:paraId="4315F6D7">
            <w:pPr>
              <w:adjustRightInd w:val="0"/>
              <w:snapToGrid w:val="0"/>
              <w:spacing w:line="240" w:lineRule="auto"/>
              <w:jc w:val="center"/>
              <w:rPr>
                <w:rFonts w:ascii="Times New Roman"/>
                <w:sz w:val="21"/>
                <w:szCs w:val="21"/>
                <w:highlight w:val="none"/>
              </w:rPr>
            </w:pPr>
            <w:r>
              <w:rPr>
                <w:rFonts w:ascii="Times New Roman" w:eastAsia="宋体"/>
                <w:sz w:val="21"/>
                <w:szCs w:val="21"/>
                <w:highlight w:val="none"/>
              </w:rPr>
              <w:t>经识别，本项目不存在环境风险物质</w:t>
            </w:r>
          </w:p>
        </w:tc>
      </w:tr>
      <w:tr w14:paraId="5FBCC8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36" w:type="pct"/>
            <w:tcBorders>
              <w:tl2br w:val="nil"/>
              <w:tr2bl w:val="nil"/>
            </w:tcBorders>
            <w:noWrap w:val="0"/>
            <w:vAlign w:val="center"/>
          </w:tcPr>
          <w:p w14:paraId="1BA0A45A">
            <w:pPr>
              <w:adjustRightInd w:val="0"/>
              <w:snapToGrid w:val="0"/>
              <w:spacing w:line="240" w:lineRule="auto"/>
              <w:jc w:val="center"/>
              <w:rPr>
                <w:rFonts w:ascii="Times New Roman"/>
                <w:sz w:val="21"/>
                <w:szCs w:val="21"/>
                <w:highlight w:val="none"/>
              </w:rPr>
            </w:pPr>
            <w:r>
              <w:rPr>
                <w:rFonts w:ascii="Times New Roman" w:eastAsia="宋体"/>
                <w:sz w:val="21"/>
                <w:szCs w:val="21"/>
                <w:highlight w:val="none"/>
              </w:rPr>
              <w:t>环境影响途径及危害后果</w:t>
            </w:r>
          </w:p>
          <w:p w14:paraId="724748BD">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（大气、地表水、地下水等）</w:t>
            </w:r>
          </w:p>
        </w:tc>
        <w:tc>
          <w:tcPr>
            <w:tcW w:w="4063" w:type="pct"/>
            <w:gridSpan w:val="5"/>
            <w:tcBorders>
              <w:tl2br w:val="nil"/>
              <w:tr2bl w:val="nil"/>
            </w:tcBorders>
            <w:noWrap w:val="0"/>
            <w:vAlign w:val="center"/>
          </w:tcPr>
          <w:p w14:paraId="452301ED">
            <w:pPr>
              <w:adjustRightInd w:val="0"/>
              <w:snapToGrid w:val="0"/>
              <w:spacing w:line="240" w:lineRule="auto"/>
              <w:rPr>
                <w:rFonts w:ascii="Times New Roman"/>
                <w:sz w:val="21"/>
                <w:szCs w:val="21"/>
                <w:highlight w:val="none"/>
              </w:rPr>
            </w:pPr>
            <w:r>
              <w:rPr>
                <w:rFonts w:ascii="Times New Roman" w:eastAsia="宋体"/>
                <w:sz w:val="21"/>
                <w:szCs w:val="21"/>
                <w:highlight w:val="none"/>
              </w:rPr>
              <w:t>本项目排土场溃坝事故主要由于区域汇流面积过大、流量强，造成的排土场溃解，进而引起排土场滑坡或进而引起排土场滑坡或泥石流的发生，产生新的水土流失，影响周边大气环、水环境及生态环境。</w:t>
            </w:r>
          </w:p>
          <w:p w14:paraId="04304D5C">
            <w:pPr>
              <w:adjustRightInd w:val="0"/>
              <w:snapToGrid w:val="0"/>
              <w:spacing w:line="240" w:lineRule="auto"/>
              <w:rPr>
                <w:rFonts w:ascii="Times New Roman"/>
                <w:sz w:val="21"/>
                <w:szCs w:val="21"/>
                <w:highlight w:val="none"/>
              </w:rPr>
            </w:pPr>
            <w:r>
              <w:rPr>
                <w:rFonts w:ascii="Times New Roman" w:eastAsia="宋体"/>
                <w:sz w:val="21"/>
                <w:szCs w:val="21"/>
                <w:highlight w:val="none"/>
              </w:rPr>
              <w:t>本项目设立容量可满足年均场区污水产生量的截洪沟，但如果降暴雨时截洪沟剩余容积不够时，未经处理的场区污水会将排土场内废石带出场外，流入排水沟，造成沟渠堵塞，进入农田，造成水质污染。</w:t>
            </w:r>
          </w:p>
          <w:p w14:paraId="2B30F824">
            <w:pPr>
              <w:adjustRightInd w:val="0"/>
              <w:snapToGrid w:val="0"/>
              <w:spacing w:line="240" w:lineRule="auto"/>
              <w:rPr>
                <w:rFonts w:ascii="Times New Roman"/>
                <w:szCs w:val="22"/>
                <w:highlight w:val="none"/>
              </w:rPr>
            </w:pPr>
            <w:r>
              <w:rPr>
                <w:rFonts w:ascii="Times New Roman" w:eastAsia="宋体"/>
                <w:sz w:val="21"/>
                <w:szCs w:val="21"/>
                <w:highlight w:val="none"/>
              </w:rPr>
              <w:t>假如不慎混入危险废物，通过入渗则将对排土场及其周边土壤及地下水环境产生严重污染。</w:t>
            </w:r>
          </w:p>
        </w:tc>
      </w:tr>
      <w:tr w14:paraId="7AAFCF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36" w:type="pct"/>
            <w:tcBorders>
              <w:tl2br w:val="nil"/>
              <w:tr2bl w:val="nil"/>
            </w:tcBorders>
            <w:noWrap w:val="0"/>
            <w:vAlign w:val="center"/>
          </w:tcPr>
          <w:p w14:paraId="1A748D92">
            <w:pPr>
              <w:adjustRightInd w:val="0"/>
              <w:snapToGrid w:val="0"/>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风险防范措施要求</w:t>
            </w:r>
          </w:p>
        </w:tc>
        <w:tc>
          <w:tcPr>
            <w:tcW w:w="4063" w:type="pct"/>
            <w:gridSpan w:val="5"/>
            <w:tcBorders>
              <w:tl2br w:val="nil"/>
              <w:tr2bl w:val="nil"/>
            </w:tcBorders>
            <w:noWrap w:val="0"/>
            <w:vAlign w:val="center"/>
          </w:tcPr>
          <w:p w14:paraId="14D092AB">
            <w:pPr>
              <w:adjustRightInd w:val="0"/>
              <w:snapToGrid w:val="0"/>
              <w:spacing w:line="240" w:lineRule="auto"/>
              <w:rPr>
                <w:rFonts w:ascii="Times New Roman"/>
                <w:sz w:val="21"/>
                <w:szCs w:val="21"/>
                <w:highlight w:val="none"/>
              </w:rPr>
            </w:pPr>
            <w:r>
              <w:rPr>
                <w:rFonts w:ascii="Times New Roman" w:eastAsia="宋体"/>
                <w:sz w:val="21"/>
                <w:szCs w:val="21"/>
                <w:highlight w:val="none"/>
              </w:rPr>
              <w:t>（1）排土场溃坝风险防范措施</w:t>
            </w:r>
          </w:p>
          <w:p w14:paraId="4B259A69">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①</w:t>
            </w:r>
            <w:r>
              <w:rPr>
                <w:rFonts w:ascii="Times New Roman" w:eastAsia="宋体"/>
                <w:sz w:val="21"/>
                <w:szCs w:val="21"/>
                <w:highlight w:val="none"/>
              </w:rPr>
              <w:t>评价建议按照</w:t>
            </w:r>
            <w:r>
              <w:rPr>
                <w:rFonts w:hint="eastAsia" w:ascii="Times New Roman" w:eastAsia="宋体"/>
                <w:sz w:val="21"/>
                <w:szCs w:val="21"/>
                <w:highlight w:val="none"/>
              </w:rPr>
              <w:t>大雨</w:t>
            </w:r>
            <w:r>
              <w:rPr>
                <w:rFonts w:ascii="Times New Roman" w:eastAsia="宋体"/>
                <w:sz w:val="21"/>
                <w:szCs w:val="21"/>
                <w:highlight w:val="none"/>
              </w:rPr>
              <w:t>的降雨量设计，以保证在正常情况下不会发生排土场坍塌事故；</w:t>
            </w:r>
          </w:p>
          <w:p w14:paraId="6BCDAE9B">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②</w:t>
            </w:r>
            <w:r>
              <w:rPr>
                <w:rFonts w:ascii="Times New Roman" w:eastAsia="宋体"/>
                <w:sz w:val="21"/>
                <w:szCs w:val="21"/>
                <w:highlight w:val="none"/>
              </w:rPr>
              <w:t>建设单位给与高度重视，对排土场从选址设计、施工、工程验收到运营应层层把关，并派专人负责管理，在固废堆放过程中配备管理人员，随时观察、监测，发现各种可能发生或正在发生的危害，及时进行处理，确保排土工作安全可靠，避免事故发生、扩大；</w:t>
            </w:r>
          </w:p>
          <w:p w14:paraId="05FB3A02">
            <w:pPr>
              <w:adjustRightInd w:val="0"/>
              <w:snapToGrid w:val="0"/>
              <w:spacing w:line="240" w:lineRule="auto"/>
              <w:rPr>
                <w:rFonts w:hint="eastAsia" w:ascii="Times New Roman"/>
                <w:sz w:val="21"/>
                <w:szCs w:val="21"/>
                <w:highlight w:val="none"/>
              </w:rPr>
            </w:pPr>
            <w:r>
              <w:rPr>
                <w:rFonts w:hint="eastAsia" w:ascii="Times New Roman" w:eastAsia="宋体"/>
                <w:sz w:val="21"/>
                <w:szCs w:val="21"/>
                <w:highlight w:val="none"/>
              </w:rPr>
              <w:t>③</w:t>
            </w:r>
            <w:r>
              <w:rPr>
                <w:rFonts w:ascii="Times New Roman" w:eastAsia="宋体"/>
                <w:sz w:val="21"/>
                <w:szCs w:val="21"/>
                <w:highlight w:val="none"/>
              </w:rPr>
              <w:t>固废堆弃时应规范操作、严格管理，及时进行水士保持治理，并应对其定期维护</w:t>
            </w:r>
            <w:r>
              <w:rPr>
                <w:rFonts w:hint="eastAsia" w:ascii="Times New Roman" w:eastAsia="宋体"/>
                <w:sz w:val="21"/>
                <w:szCs w:val="21"/>
                <w:highlight w:val="none"/>
              </w:rPr>
              <w:t>；</w:t>
            </w:r>
          </w:p>
          <w:p w14:paraId="1BCD912A">
            <w:pPr>
              <w:adjustRightInd w:val="0"/>
              <w:snapToGrid w:val="0"/>
              <w:spacing w:line="240" w:lineRule="auto"/>
              <w:rPr>
                <w:rFonts w:hint="eastAsia" w:ascii="Times New Roman"/>
                <w:sz w:val="21"/>
                <w:szCs w:val="21"/>
                <w:highlight w:val="none"/>
              </w:rPr>
            </w:pPr>
            <w:r>
              <w:rPr>
                <w:rFonts w:hint="eastAsia" w:ascii="Times New Roman" w:eastAsia="宋体"/>
                <w:sz w:val="21"/>
                <w:szCs w:val="21"/>
                <w:highlight w:val="none"/>
              </w:rPr>
              <w:t>④</w:t>
            </w:r>
            <w:r>
              <w:rPr>
                <w:rFonts w:ascii="Times New Roman" w:eastAsia="宋体"/>
                <w:sz w:val="21"/>
                <w:szCs w:val="21"/>
                <w:highlight w:val="none"/>
              </w:rPr>
              <w:t>当区域出现强降雨时，则有可能出现坍塌，发生滑坡或泥石流，此时建设单位应全力以赴，组织有关人员在最短时间内进行排土场修复、加固；滑坡后应及时组织人员对溃流土岩进行堵截，</w:t>
            </w:r>
            <w:r>
              <w:rPr>
                <w:rFonts w:hint="eastAsia" w:ascii="Times New Roman" w:eastAsia="宋体"/>
                <w:sz w:val="21"/>
                <w:szCs w:val="21"/>
                <w:highlight w:val="none"/>
              </w:rPr>
              <w:t>及时对受影响人员进行撤离，</w:t>
            </w:r>
            <w:r>
              <w:rPr>
                <w:rFonts w:ascii="Times New Roman" w:eastAsia="宋体"/>
                <w:sz w:val="21"/>
                <w:szCs w:val="21"/>
                <w:highlight w:val="none"/>
              </w:rPr>
              <w:t>最大限度减小对外环境可能造成的影响，同时妥善解决有关事故的其他问题</w:t>
            </w:r>
            <w:r>
              <w:rPr>
                <w:rFonts w:hint="eastAsia" w:ascii="Times New Roman" w:eastAsia="宋体"/>
                <w:sz w:val="21"/>
                <w:szCs w:val="21"/>
                <w:highlight w:val="none"/>
              </w:rPr>
              <w:t>；</w:t>
            </w:r>
          </w:p>
          <w:p w14:paraId="1038D248">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⑤在排土场停止使用后及时进行生态恢复治理设计，保证不污染环境，消除污染事故隐患。</w:t>
            </w:r>
          </w:p>
          <w:p w14:paraId="2F02B8BC">
            <w:pPr>
              <w:adjustRightInd w:val="0"/>
              <w:snapToGrid w:val="0"/>
              <w:spacing w:line="240" w:lineRule="auto"/>
              <w:rPr>
                <w:rFonts w:ascii="Times New Roman"/>
                <w:sz w:val="21"/>
                <w:szCs w:val="21"/>
                <w:highlight w:val="none"/>
              </w:rPr>
            </w:pPr>
            <w:r>
              <w:rPr>
                <w:rFonts w:ascii="Times New Roman" w:eastAsia="宋体"/>
                <w:sz w:val="21"/>
                <w:szCs w:val="21"/>
                <w:highlight w:val="none"/>
              </w:rPr>
              <w:t>（2）强降雨风险防范措施</w:t>
            </w:r>
          </w:p>
          <w:p w14:paraId="2D271089">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①</w:t>
            </w:r>
            <w:r>
              <w:rPr>
                <w:rFonts w:ascii="Times New Roman" w:eastAsia="宋体"/>
                <w:sz w:val="21"/>
                <w:szCs w:val="21"/>
                <w:highlight w:val="none"/>
              </w:rPr>
              <w:t>场区截洪沟应按设计要求先行构筑，确保未被污染的强降水直接导出场外，减少暴雨对污水处理系统的冲击；</w:t>
            </w:r>
          </w:p>
          <w:p w14:paraId="6726F9A0">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②</w:t>
            </w:r>
            <w:r>
              <w:rPr>
                <w:rFonts w:ascii="Times New Roman" w:eastAsia="宋体"/>
                <w:sz w:val="21"/>
                <w:szCs w:val="21"/>
                <w:highlight w:val="none"/>
              </w:rPr>
              <w:t>截洪沟应加水混盖板，并经常疏通，防止截洪沟堵塞；</w:t>
            </w:r>
          </w:p>
          <w:p w14:paraId="5B82E0D0">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③</w:t>
            </w:r>
            <w:r>
              <w:rPr>
                <w:rFonts w:ascii="Times New Roman" w:eastAsia="宋体"/>
                <w:sz w:val="21"/>
                <w:szCs w:val="21"/>
                <w:highlight w:val="none"/>
              </w:rPr>
              <w:t>雨水导流系统施工一定要按有关规定进行，建筑垃圾压实要严格按规程操作；</w:t>
            </w:r>
          </w:p>
          <w:p w14:paraId="2E895C28">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④</w:t>
            </w:r>
            <w:r>
              <w:rPr>
                <w:rFonts w:ascii="Times New Roman" w:eastAsia="宋体"/>
                <w:sz w:val="21"/>
                <w:szCs w:val="21"/>
                <w:highlight w:val="none"/>
              </w:rPr>
              <w:t>日常运行时，特别是在雨季时，应留出截洪沟的剩余容积以调节强暴雨时场区产生的污水。</w:t>
            </w:r>
          </w:p>
          <w:p w14:paraId="02F2504F">
            <w:pPr>
              <w:adjustRightInd w:val="0"/>
              <w:snapToGrid w:val="0"/>
              <w:spacing w:line="240" w:lineRule="auto"/>
              <w:rPr>
                <w:rFonts w:ascii="Times New Roman"/>
                <w:sz w:val="21"/>
                <w:szCs w:val="21"/>
                <w:highlight w:val="none"/>
              </w:rPr>
            </w:pPr>
            <w:r>
              <w:rPr>
                <w:rFonts w:ascii="Times New Roman" w:eastAsia="宋体"/>
                <w:sz w:val="21"/>
                <w:szCs w:val="21"/>
                <w:highlight w:val="none"/>
              </w:rPr>
              <w:t>（3）危险性废物混入风险防范措施</w:t>
            </w:r>
          </w:p>
          <w:p w14:paraId="48214440">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①</w:t>
            </w:r>
            <w:r>
              <w:rPr>
                <w:rFonts w:ascii="Times New Roman" w:eastAsia="宋体"/>
                <w:sz w:val="21"/>
                <w:szCs w:val="21"/>
                <w:highlight w:val="none"/>
              </w:rPr>
              <w:t>认真识别，不能与危险性废弃物混合一起堆存于本排土场；</w:t>
            </w:r>
          </w:p>
          <w:p w14:paraId="368DD32A">
            <w:pPr>
              <w:adjustRightInd w:val="0"/>
              <w:snapToGrid w:val="0"/>
              <w:spacing w:line="240" w:lineRule="auto"/>
              <w:rPr>
                <w:rFonts w:ascii="Times New Roman"/>
                <w:sz w:val="21"/>
                <w:szCs w:val="21"/>
                <w:highlight w:val="none"/>
              </w:rPr>
            </w:pPr>
            <w:r>
              <w:rPr>
                <w:rFonts w:hint="eastAsia" w:ascii="Times New Roman" w:eastAsia="宋体"/>
                <w:sz w:val="21"/>
                <w:szCs w:val="21"/>
                <w:highlight w:val="none"/>
              </w:rPr>
              <w:t>②</w:t>
            </w:r>
            <w:r>
              <w:rPr>
                <w:rFonts w:ascii="Times New Roman" w:eastAsia="宋体"/>
                <w:sz w:val="21"/>
                <w:szCs w:val="21"/>
                <w:highlight w:val="none"/>
              </w:rPr>
              <w:t>严禁将其他有害有毒废弃物送至排土场，如发现不按规定执行，应按有关法律法规予以经济处罚，直至追究法律责任。</w:t>
            </w:r>
          </w:p>
        </w:tc>
      </w:tr>
      <w:tr w14:paraId="1AEA07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5000" w:type="pct"/>
            <w:gridSpan w:val="6"/>
            <w:tcBorders>
              <w:tl2br w:val="nil"/>
              <w:tr2bl w:val="nil"/>
            </w:tcBorders>
            <w:noWrap w:val="0"/>
            <w:vAlign w:val="center"/>
          </w:tcPr>
          <w:p w14:paraId="1752C23F">
            <w:pPr>
              <w:adjustRightInd w:val="0"/>
              <w:snapToGrid w:val="0"/>
              <w:spacing w:line="240" w:lineRule="auto"/>
              <w:rPr>
                <w:rFonts w:ascii="Times New Roman"/>
                <w:sz w:val="21"/>
                <w:szCs w:val="21"/>
                <w:highlight w:val="none"/>
              </w:rPr>
            </w:pPr>
            <w:r>
              <w:rPr>
                <w:rFonts w:ascii="Times New Roman" w:eastAsia="宋体"/>
                <w:sz w:val="21"/>
                <w:szCs w:val="21"/>
                <w:highlight w:val="none"/>
              </w:rPr>
              <w:t>填表说明（列出项目相关信息及评价说明</w:t>
            </w:r>
            <w:r>
              <w:rPr>
                <w:rFonts w:ascii="Times New Roman" w:eastAsia="宋体"/>
                <w:spacing w:val="-90"/>
                <w:sz w:val="21"/>
                <w:szCs w:val="21"/>
                <w:highlight w:val="none"/>
              </w:rPr>
              <w:t>）</w:t>
            </w:r>
            <w:r>
              <w:rPr>
                <w:rFonts w:ascii="Times New Roman" w:eastAsia="宋体"/>
                <w:sz w:val="21"/>
                <w:szCs w:val="21"/>
                <w:highlight w:val="none"/>
              </w:rPr>
              <w:t>：由于事故触发因素具有不确定性，因此事故情形的设定并不能包含全部可能的环境风险，但通过具有代表性的事故情形分析可为风险管理提供科学依据。</w:t>
            </w:r>
          </w:p>
        </w:tc>
      </w:tr>
    </w:tbl>
    <w:p w14:paraId="2A17EB3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bookmarkStart w:id="331" w:name="_Toc16979"/>
      <w:bookmarkStart w:id="332" w:name="_Toc21785"/>
      <w:r>
        <w:rPr>
          <w:rFonts w:hint="eastAsia" w:ascii="Times New Roman" w:hAnsi="Times New Roman" w:eastAsia="宋体" w:cs="Times New Roman"/>
          <w:b/>
          <w:sz w:val="24"/>
          <w:szCs w:val="24"/>
          <w:highlight w:val="none"/>
          <w:lang w:val="en-US" w:eastAsia="zh-CN"/>
        </w:rPr>
        <w:t>5.2.</w:t>
      </w:r>
      <w:r>
        <w:rPr>
          <w:rFonts w:hint="eastAsia" w:cs="Times New Roman"/>
          <w:b/>
          <w:sz w:val="24"/>
          <w:szCs w:val="24"/>
          <w:highlight w:val="none"/>
          <w:lang w:val="en-US" w:eastAsia="zh-CN"/>
        </w:rPr>
        <w:t>7</w:t>
      </w:r>
      <w:r>
        <w:rPr>
          <w:rFonts w:hint="eastAsia" w:ascii="Times New Roman" w:hAnsi="Times New Roman" w:eastAsia="宋体" w:cs="Times New Roman"/>
          <w:b/>
          <w:sz w:val="24"/>
          <w:szCs w:val="24"/>
          <w:highlight w:val="none"/>
          <w:lang w:val="en-US" w:eastAsia="zh-CN"/>
        </w:rPr>
        <w:t>.</w:t>
      </w:r>
      <w:r>
        <w:rPr>
          <w:rFonts w:hint="eastAsia" w:cs="Times New Roman"/>
          <w:b/>
          <w:sz w:val="24"/>
          <w:szCs w:val="24"/>
          <w:highlight w:val="none"/>
          <w:lang w:val="en-US" w:eastAsia="zh-CN"/>
        </w:rPr>
        <w:t>11</w:t>
      </w:r>
      <w:r>
        <w:rPr>
          <w:rFonts w:hint="eastAsia" w:ascii="Times New Roman" w:hAnsi="Times New Roman" w:eastAsia="宋体" w:cs="Times New Roman"/>
          <w:b/>
          <w:sz w:val="24"/>
          <w:szCs w:val="24"/>
          <w:highlight w:val="none"/>
          <w:lang w:val="en-US" w:eastAsia="zh-CN"/>
        </w:rPr>
        <w:t>环境风险评价自查表</w:t>
      </w:r>
      <w:bookmarkEnd w:id="331"/>
      <w:bookmarkEnd w:id="332"/>
    </w:p>
    <w:p w14:paraId="1D8EF344">
      <w:pPr>
        <w:keepNext w:val="0"/>
        <w:keepLines w:val="0"/>
        <w:pageBreakBefore w:val="0"/>
        <w:widowControl w:val="0"/>
        <w:tabs>
          <w:tab w:val="left" w:pos="2700"/>
        </w:tabs>
        <w:kinsoku/>
        <w:wordWrap/>
        <w:overflowPunct/>
        <w:topLinePunct w:val="0"/>
        <w:autoSpaceDE/>
        <w:autoSpaceDN/>
        <w:bidi w:val="0"/>
        <w:spacing w:line="360" w:lineRule="auto"/>
        <w:ind w:firstLine="480"/>
        <w:textAlignment w:val="auto"/>
        <w:rPr>
          <w:rFonts w:ascii="Times New Roman"/>
          <w:highlight w:val="none"/>
        </w:rPr>
      </w:pPr>
      <w:r>
        <w:rPr>
          <w:rFonts w:ascii="Times New Roman" w:eastAsia="宋体"/>
          <w:highlight w:val="none"/>
        </w:rPr>
        <w:t>本项目的环境风险评价自查表如下表所示。</w:t>
      </w:r>
    </w:p>
    <w:p w14:paraId="218A0851">
      <w:pPr>
        <w:numPr>
          <w:ilvl w:val="0"/>
          <w:numId w:val="24"/>
        </w:numPr>
        <w:ind w:left="0" w:leftChars="0" w:firstLine="0" w:firstLineChars="0"/>
        <w:jc w:val="center"/>
        <w:rPr>
          <w:rFonts w:ascii="Times New Roman"/>
          <w:b/>
          <w:sz w:val="21"/>
          <w:szCs w:val="21"/>
          <w:highlight w:val="none"/>
        </w:rPr>
      </w:pPr>
      <w:r>
        <w:rPr>
          <w:rFonts w:ascii="Times New Roman" w:eastAsia="宋体"/>
          <w:b/>
          <w:sz w:val="21"/>
          <w:szCs w:val="21"/>
          <w:highlight w:val="none"/>
        </w:rPr>
        <w:t>建设项目环境风险评价自查表</w:t>
      </w:r>
    </w:p>
    <w:tbl>
      <w:tblPr>
        <w:tblStyle w:val="58"/>
        <w:tblW w:w="5011" w:type="pct"/>
        <w:tblInd w:w="-1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42"/>
        <w:gridCol w:w="1034"/>
        <w:gridCol w:w="1092"/>
        <w:gridCol w:w="273"/>
        <w:gridCol w:w="477"/>
        <w:gridCol w:w="750"/>
        <w:gridCol w:w="78"/>
        <w:gridCol w:w="569"/>
        <w:gridCol w:w="52"/>
        <w:gridCol w:w="704"/>
        <w:gridCol w:w="664"/>
        <w:gridCol w:w="85"/>
        <w:gridCol w:w="797"/>
        <w:gridCol w:w="710"/>
        <w:gridCol w:w="709"/>
      </w:tblGrid>
      <w:tr w14:paraId="60D168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tcBorders>
              <w:tl2br w:val="nil"/>
              <w:tr2bl w:val="nil"/>
            </w:tcBorders>
            <w:noWrap w:val="0"/>
            <w:vAlign w:val="center"/>
          </w:tcPr>
          <w:p w14:paraId="52F7E2CF">
            <w:pPr>
              <w:spacing w:line="240" w:lineRule="auto"/>
              <w:jc w:val="center"/>
              <w:rPr>
                <w:rFonts w:ascii="Times New Roman"/>
                <w:b/>
                <w:sz w:val="21"/>
                <w:szCs w:val="21"/>
                <w:highlight w:val="none"/>
                <w:lang w:eastAsia="en-US"/>
              </w:rPr>
            </w:pPr>
            <w:r>
              <w:rPr>
                <w:rFonts w:ascii="Times New Roman" w:eastAsia="宋体"/>
                <w:b/>
                <w:sz w:val="21"/>
                <w:szCs w:val="21"/>
                <w:highlight w:val="none"/>
                <w:lang w:eastAsia="en-US"/>
              </w:rPr>
              <w:t>工作内容</w:t>
            </w:r>
          </w:p>
        </w:tc>
        <w:tc>
          <w:tcPr>
            <w:tcW w:w="4173" w:type="pct"/>
            <w:gridSpan w:val="13"/>
            <w:tcBorders>
              <w:tl2br w:val="nil"/>
              <w:tr2bl w:val="nil"/>
            </w:tcBorders>
            <w:noWrap w:val="0"/>
            <w:vAlign w:val="center"/>
          </w:tcPr>
          <w:p w14:paraId="3CED175C">
            <w:pPr>
              <w:spacing w:line="240" w:lineRule="auto"/>
              <w:jc w:val="center"/>
              <w:rPr>
                <w:rFonts w:ascii="Times New Roman"/>
                <w:b/>
                <w:sz w:val="21"/>
                <w:szCs w:val="21"/>
                <w:highlight w:val="none"/>
                <w:lang w:eastAsia="en-US"/>
              </w:rPr>
            </w:pPr>
            <w:r>
              <w:rPr>
                <w:rFonts w:ascii="Times New Roman" w:eastAsia="宋体"/>
                <w:b/>
                <w:sz w:val="21"/>
                <w:szCs w:val="21"/>
                <w:highlight w:val="none"/>
                <w:lang w:eastAsia="en-US"/>
              </w:rPr>
              <w:t>完成情况</w:t>
            </w:r>
          </w:p>
        </w:tc>
      </w:tr>
      <w:tr w14:paraId="406311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restart"/>
            <w:tcBorders>
              <w:tl2br w:val="nil"/>
              <w:tr2bl w:val="nil"/>
            </w:tcBorders>
            <w:noWrap w:val="0"/>
            <w:vAlign w:val="center"/>
          </w:tcPr>
          <w:p w14:paraId="44AEE3EB">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风险调查</w:t>
            </w:r>
          </w:p>
        </w:tc>
        <w:tc>
          <w:tcPr>
            <w:tcW w:w="619" w:type="pct"/>
            <w:vMerge w:val="restart"/>
            <w:tcBorders>
              <w:tl2br w:val="nil"/>
              <w:tr2bl w:val="nil"/>
            </w:tcBorders>
            <w:noWrap w:val="0"/>
            <w:vAlign w:val="center"/>
          </w:tcPr>
          <w:p w14:paraId="4F2641A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危险物质</w:t>
            </w:r>
          </w:p>
        </w:tc>
        <w:tc>
          <w:tcPr>
            <w:tcW w:w="655" w:type="pct"/>
            <w:tcBorders>
              <w:tl2br w:val="nil"/>
              <w:tr2bl w:val="nil"/>
            </w:tcBorders>
            <w:noWrap w:val="0"/>
            <w:vAlign w:val="center"/>
          </w:tcPr>
          <w:p w14:paraId="3EABAD94">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名称</w:t>
            </w:r>
          </w:p>
        </w:tc>
        <w:tc>
          <w:tcPr>
            <w:tcW w:w="450" w:type="pct"/>
            <w:gridSpan w:val="2"/>
            <w:tcBorders>
              <w:tl2br w:val="nil"/>
              <w:tr2bl w:val="nil"/>
            </w:tcBorders>
            <w:noWrap w:val="0"/>
            <w:vAlign w:val="center"/>
          </w:tcPr>
          <w:p w14:paraId="2C12D4BA">
            <w:pPr>
              <w:spacing w:line="240" w:lineRule="auto"/>
              <w:jc w:val="center"/>
              <w:rPr>
                <w:rFonts w:ascii="Times New Roman"/>
                <w:sz w:val="21"/>
                <w:szCs w:val="21"/>
                <w:highlight w:val="none"/>
                <w:lang w:eastAsia="en-US"/>
              </w:rPr>
            </w:pPr>
          </w:p>
        </w:tc>
        <w:tc>
          <w:tcPr>
            <w:tcW w:w="450" w:type="pct"/>
            <w:tcBorders>
              <w:tl2br w:val="nil"/>
              <w:tr2bl w:val="nil"/>
            </w:tcBorders>
            <w:noWrap w:val="0"/>
            <w:vAlign w:val="center"/>
          </w:tcPr>
          <w:p w14:paraId="30E58C43">
            <w:pPr>
              <w:spacing w:line="240" w:lineRule="auto"/>
              <w:jc w:val="center"/>
              <w:rPr>
                <w:rFonts w:ascii="Times New Roman"/>
                <w:sz w:val="21"/>
                <w:szCs w:val="21"/>
                <w:highlight w:val="none"/>
                <w:lang w:eastAsia="en-US"/>
              </w:rPr>
            </w:pPr>
          </w:p>
        </w:tc>
        <w:tc>
          <w:tcPr>
            <w:tcW w:w="387" w:type="pct"/>
            <w:gridSpan w:val="2"/>
            <w:tcBorders>
              <w:tl2br w:val="nil"/>
              <w:tr2bl w:val="nil"/>
            </w:tcBorders>
            <w:noWrap w:val="0"/>
            <w:vAlign w:val="center"/>
          </w:tcPr>
          <w:p w14:paraId="11F64B3F">
            <w:pPr>
              <w:spacing w:line="240" w:lineRule="auto"/>
              <w:jc w:val="center"/>
              <w:rPr>
                <w:rFonts w:ascii="Times New Roman"/>
                <w:sz w:val="21"/>
                <w:szCs w:val="21"/>
                <w:highlight w:val="none"/>
                <w:lang w:eastAsia="en-US"/>
              </w:rPr>
            </w:pPr>
          </w:p>
        </w:tc>
        <w:tc>
          <w:tcPr>
            <w:tcW w:w="453" w:type="pct"/>
            <w:gridSpan w:val="2"/>
            <w:tcBorders>
              <w:tl2br w:val="nil"/>
              <w:tr2bl w:val="nil"/>
            </w:tcBorders>
            <w:noWrap w:val="0"/>
            <w:vAlign w:val="center"/>
          </w:tcPr>
          <w:p w14:paraId="6FB86BB3">
            <w:pPr>
              <w:spacing w:line="240" w:lineRule="auto"/>
              <w:jc w:val="center"/>
              <w:rPr>
                <w:rFonts w:ascii="Times New Roman"/>
                <w:sz w:val="21"/>
                <w:szCs w:val="21"/>
                <w:highlight w:val="none"/>
                <w:lang w:eastAsia="en-US"/>
              </w:rPr>
            </w:pPr>
          </w:p>
        </w:tc>
        <w:tc>
          <w:tcPr>
            <w:tcW w:w="449" w:type="pct"/>
            <w:gridSpan w:val="2"/>
            <w:tcBorders>
              <w:tl2br w:val="nil"/>
              <w:tr2bl w:val="nil"/>
            </w:tcBorders>
            <w:noWrap w:val="0"/>
            <w:vAlign w:val="center"/>
          </w:tcPr>
          <w:p w14:paraId="14CB4AF0">
            <w:pPr>
              <w:spacing w:line="240" w:lineRule="auto"/>
              <w:jc w:val="center"/>
              <w:rPr>
                <w:rFonts w:ascii="Times New Roman"/>
                <w:sz w:val="21"/>
                <w:szCs w:val="21"/>
                <w:highlight w:val="none"/>
                <w:lang w:eastAsia="en-US"/>
              </w:rPr>
            </w:pPr>
          </w:p>
        </w:tc>
        <w:tc>
          <w:tcPr>
            <w:tcW w:w="478" w:type="pct"/>
            <w:tcBorders>
              <w:tl2br w:val="nil"/>
              <w:tr2bl w:val="nil"/>
            </w:tcBorders>
            <w:noWrap w:val="0"/>
            <w:vAlign w:val="center"/>
          </w:tcPr>
          <w:p w14:paraId="338D1141">
            <w:pPr>
              <w:spacing w:line="240" w:lineRule="auto"/>
              <w:jc w:val="center"/>
              <w:rPr>
                <w:rFonts w:ascii="Times New Roman"/>
                <w:sz w:val="21"/>
                <w:szCs w:val="21"/>
                <w:highlight w:val="none"/>
                <w:lang w:eastAsia="en-US"/>
              </w:rPr>
            </w:pPr>
          </w:p>
        </w:tc>
        <w:tc>
          <w:tcPr>
            <w:tcW w:w="426" w:type="pct"/>
            <w:tcBorders>
              <w:tl2br w:val="nil"/>
              <w:tr2bl w:val="nil"/>
            </w:tcBorders>
            <w:noWrap w:val="0"/>
            <w:vAlign w:val="center"/>
          </w:tcPr>
          <w:p w14:paraId="10A96A78">
            <w:pPr>
              <w:spacing w:line="240" w:lineRule="auto"/>
              <w:jc w:val="center"/>
              <w:rPr>
                <w:rFonts w:ascii="Times New Roman"/>
                <w:sz w:val="21"/>
                <w:szCs w:val="21"/>
                <w:highlight w:val="none"/>
                <w:lang w:eastAsia="en-US"/>
              </w:rPr>
            </w:pPr>
          </w:p>
        </w:tc>
        <w:tc>
          <w:tcPr>
            <w:tcW w:w="422" w:type="pct"/>
            <w:tcBorders>
              <w:tl2br w:val="nil"/>
              <w:tr2bl w:val="nil"/>
            </w:tcBorders>
            <w:noWrap w:val="0"/>
            <w:vAlign w:val="center"/>
          </w:tcPr>
          <w:p w14:paraId="5D5E3F3A">
            <w:pPr>
              <w:spacing w:line="240" w:lineRule="auto"/>
              <w:jc w:val="center"/>
              <w:rPr>
                <w:rFonts w:ascii="Times New Roman"/>
                <w:sz w:val="21"/>
                <w:szCs w:val="21"/>
                <w:highlight w:val="none"/>
                <w:lang w:eastAsia="en-US"/>
              </w:rPr>
            </w:pPr>
          </w:p>
        </w:tc>
      </w:tr>
      <w:tr w14:paraId="31B87A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22B89A2C">
            <w:pPr>
              <w:spacing w:line="240" w:lineRule="auto"/>
              <w:jc w:val="center"/>
              <w:rPr>
                <w:rFonts w:ascii="Times New Roman"/>
                <w:sz w:val="21"/>
                <w:szCs w:val="21"/>
                <w:highlight w:val="none"/>
                <w:lang w:eastAsia="en-US"/>
              </w:rPr>
            </w:pPr>
          </w:p>
        </w:tc>
        <w:tc>
          <w:tcPr>
            <w:tcW w:w="619" w:type="pct"/>
            <w:vMerge w:val="continue"/>
            <w:tcBorders>
              <w:tl2br w:val="nil"/>
              <w:tr2bl w:val="nil"/>
            </w:tcBorders>
            <w:noWrap w:val="0"/>
            <w:vAlign w:val="center"/>
          </w:tcPr>
          <w:p w14:paraId="7C9D474E">
            <w:pPr>
              <w:spacing w:line="240" w:lineRule="auto"/>
              <w:jc w:val="center"/>
              <w:rPr>
                <w:rFonts w:ascii="Times New Roman"/>
                <w:sz w:val="21"/>
                <w:szCs w:val="21"/>
                <w:highlight w:val="none"/>
                <w:lang w:eastAsia="en-US"/>
              </w:rPr>
            </w:pPr>
          </w:p>
        </w:tc>
        <w:tc>
          <w:tcPr>
            <w:tcW w:w="655" w:type="pct"/>
            <w:tcBorders>
              <w:tl2br w:val="nil"/>
              <w:tr2bl w:val="nil"/>
            </w:tcBorders>
            <w:noWrap w:val="0"/>
            <w:vAlign w:val="center"/>
          </w:tcPr>
          <w:p w14:paraId="62D43FE8">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存在总量/t</w:t>
            </w:r>
          </w:p>
        </w:tc>
        <w:tc>
          <w:tcPr>
            <w:tcW w:w="450" w:type="pct"/>
            <w:gridSpan w:val="2"/>
            <w:tcBorders>
              <w:tl2br w:val="nil"/>
              <w:tr2bl w:val="nil"/>
            </w:tcBorders>
            <w:noWrap w:val="0"/>
            <w:vAlign w:val="center"/>
          </w:tcPr>
          <w:p w14:paraId="1EF875A6">
            <w:pPr>
              <w:spacing w:line="240" w:lineRule="auto"/>
              <w:jc w:val="center"/>
              <w:rPr>
                <w:rFonts w:ascii="Times New Roman"/>
                <w:sz w:val="21"/>
                <w:szCs w:val="21"/>
                <w:highlight w:val="none"/>
                <w:lang w:eastAsia="en-US"/>
              </w:rPr>
            </w:pPr>
          </w:p>
        </w:tc>
        <w:tc>
          <w:tcPr>
            <w:tcW w:w="450" w:type="pct"/>
            <w:tcBorders>
              <w:tl2br w:val="nil"/>
              <w:tr2bl w:val="nil"/>
            </w:tcBorders>
            <w:noWrap w:val="0"/>
            <w:vAlign w:val="center"/>
          </w:tcPr>
          <w:p w14:paraId="2B4C6D2A">
            <w:pPr>
              <w:spacing w:line="240" w:lineRule="auto"/>
              <w:jc w:val="center"/>
              <w:rPr>
                <w:rFonts w:ascii="Times New Roman"/>
                <w:sz w:val="21"/>
                <w:szCs w:val="21"/>
                <w:highlight w:val="none"/>
                <w:lang w:eastAsia="en-US"/>
              </w:rPr>
            </w:pPr>
          </w:p>
        </w:tc>
        <w:tc>
          <w:tcPr>
            <w:tcW w:w="387" w:type="pct"/>
            <w:gridSpan w:val="2"/>
            <w:tcBorders>
              <w:tl2br w:val="nil"/>
              <w:tr2bl w:val="nil"/>
            </w:tcBorders>
            <w:noWrap w:val="0"/>
            <w:vAlign w:val="center"/>
          </w:tcPr>
          <w:p w14:paraId="4B8524AC">
            <w:pPr>
              <w:spacing w:line="240" w:lineRule="auto"/>
              <w:jc w:val="center"/>
              <w:rPr>
                <w:rFonts w:ascii="Times New Roman"/>
                <w:sz w:val="21"/>
                <w:szCs w:val="21"/>
                <w:highlight w:val="none"/>
                <w:lang w:eastAsia="en-US"/>
              </w:rPr>
            </w:pPr>
          </w:p>
        </w:tc>
        <w:tc>
          <w:tcPr>
            <w:tcW w:w="453" w:type="pct"/>
            <w:gridSpan w:val="2"/>
            <w:tcBorders>
              <w:tl2br w:val="nil"/>
              <w:tr2bl w:val="nil"/>
            </w:tcBorders>
            <w:noWrap w:val="0"/>
            <w:vAlign w:val="center"/>
          </w:tcPr>
          <w:p w14:paraId="58EC4F38">
            <w:pPr>
              <w:spacing w:line="240" w:lineRule="auto"/>
              <w:jc w:val="center"/>
              <w:rPr>
                <w:rFonts w:ascii="Times New Roman"/>
                <w:sz w:val="21"/>
                <w:szCs w:val="21"/>
                <w:highlight w:val="none"/>
                <w:lang w:eastAsia="en-US"/>
              </w:rPr>
            </w:pPr>
          </w:p>
        </w:tc>
        <w:tc>
          <w:tcPr>
            <w:tcW w:w="449" w:type="pct"/>
            <w:gridSpan w:val="2"/>
            <w:tcBorders>
              <w:tl2br w:val="nil"/>
              <w:tr2bl w:val="nil"/>
            </w:tcBorders>
            <w:noWrap w:val="0"/>
            <w:vAlign w:val="center"/>
          </w:tcPr>
          <w:p w14:paraId="5F019B1A">
            <w:pPr>
              <w:spacing w:line="240" w:lineRule="auto"/>
              <w:jc w:val="center"/>
              <w:rPr>
                <w:rFonts w:ascii="Times New Roman"/>
                <w:sz w:val="21"/>
                <w:szCs w:val="21"/>
                <w:highlight w:val="none"/>
                <w:lang w:eastAsia="en-US"/>
              </w:rPr>
            </w:pPr>
          </w:p>
        </w:tc>
        <w:tc>
          <w:tcPr>
            <w:tcW w:w="478" w:type="pct"/>
            <w:tcBorders>
              <w:tl2br w:val="nil"/>
              <w:tr2bl w:val="nil"/>
            </w:tcBorders>
            <w:noWrap w:val="0"/>
            <w:vAlign w:val="center"/>
          </w:tcPr>
          <w:p w14:paraId="610D8633">
            <w:pPr>
              <w:spacing w:line="240" w:lineRule="auto"/>
              <w:jc w:val="center"/>
              <w:rPr>
                <w:rFonts w:ascii="Times New Roman"/>
                <w:sz w:val="21"/>
                <w:szCs w:val="21"/>
                <w:highlight w:val="none"/>
                <w:lang w:eastAsia="en-US"/>
              </w:rPr>
            </w:pPr>
          </w:p>
        </w:tc>
        <w:tc>
          <w:tcPr>
            <w:tcW w:w="426" w:type="pct"/>
            <w:tcBorders>
              <w:tl2br w:val="nil"/>
              <w:tr2bl w:val="nil"/>
            </w:tcBorders>
            <w:noWrap w:val="0"/>
            <w:vAlign w:val="center"/>
          </w:tcPr>
          <w:p w14:paraId="4FAE0717">
            <w:pPr>
              <w:spacing w:line="240" w:lineRule="auto"/>
              <w:jc w:val="center"/>
              <w:rPr>
                <w:rFonts w:ascii="Times New Roman"/>
                <w:sz w:val="21"/>
                <w:szCs w:val="21"/>
                <w:highlight w:val="none"/>
                <w:lang w:eastAsia="en-US"/>
              </w:rPr>
            </w:pPr>
          </w:p>
        </w:tc>
        <w:tc>
          <w:tcPr>
            <w:tcW w:w="422" w:type="pct"/>
            <w:tcBorders>
              <w:tl2br w:val="nil"/>
              <w:tr2bl w:val="nil"/>
            </w:tcBorders>
            <w:noWrap w:val="0"/>
            <w:vAlign w:val="center"/>
          </w:tcPr>
          <w:p w14:paraId="7C058E8D">
            <w:pPr>
              <w:spacing w:line="240" w:lineRule="auto"/>
              <w:jc w:val="center"/>
              <w:rPr>
                <w:rFonts w:ascii="Times New Roman"/>
                <w:sz w:val="21"/>
                <w:szCs w:val="21"/>
                <w:highlight w:val="none"/>
                <w:lang w:eastAsia="en-US"/>
              </w:rPr>
            </w:pPr>
          </w:p>
        </w:tc>
      </w:tr>
      <w:tr w14:paraId="41EB26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6B092A7D">
            <w:pPr>
              <w:spacing w:line="240" w:lineRule="auto"/>
              <w:jc w:val="center"/>
              <w:rPr>
                <w:rFonts w:ascii="Times New Roman"/>
                <w:sz w:val="21"/>
                <w:szCs w:val="21"/>
                <w:highlight w:val="none"/>
                <w:lang w:eastAsia="en-US"/>
              </w:rPr>
            </w:pPr>
          </w:p>
        </w:tc>
        <w:tc>
          <w:tcPr>
            <w:tcW w:w="619" w:type="pct"/>
            <w:vMerge w:val="restart"/>
            <w:tcBorders>
              <w:tl2br w:val="nil"/>
              <w:tr2bl w:val="nil"/>
            </w:tcBorders>
            <w:noWrap w:val="0"/>
            <w:vAlign w:val="center"/>
          </w:tcPr>
          <w:p w14:paraId="48D2E21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环境敏感性</w:t>
            </w:r>
          </w:p>
        </w:tc>
        <w:tc>
          <w:tcPr>
            <w:tcW w:w="655" w:type="pct"/>
            <w:vMerge w:val="restart"/>
            <w:tcBorders>
              <w:tl2br w:val="nil"/>
              <w:tr2bl w:val="nil"/>
            </w:tcBorders>
            <w:noWrap w:val="0"/>
            <w:vAlign w:val="center"/>
          </w:tcPr>
          <w:p w14:paraId="75FFBABB">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大气</w:t>
            </w:r>
          </w:p>
        </w:tc>
        <w:tc>
          <w:tcPr>
            <w:tcW w:w="1740" w:type="pct"/>
            <w:gridSpan w:val="7"/>
            <w:tcBorders>
              <w:tl2br w:val="nil"/>
              <w:tr2bl w:val="nil"/>
            </w:tcBorders>
            <w:noWrap w:val="0"/>
            <w:vAlign w:val="center"/>
          </w:tcPr>
          <w:p w14:paraId="2D49BB13">
            <w:pPr>
              <w:tabs>
                <w:tab w:val="left" w:pos="2610"/>
              </w:tabs>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500m范围内人口数</w:t>
            </w:r>
            <w:r>
              <w:rPr>
                <w:rFonts w:ascii="Times New Roman" w:eastAsia="宋体"/>
                <w:sz w:val="21"/>
                <w:szCs w:val="21"/>
                <w:highlight w:val="none"/>
                <w:u w:val="single"/>
              </w:rPr>
              <w:t xml:space="preserve">     </w:t>
            </w:r>
            <w:r>
              <w:rPr>
                <w:rFonts w:ascii="Times New Roman" w:eastAsia="宋体"/>
                <w:sz w:val="21"/>
                <w:szCs w:val="21"/>
                <w:highlight w:val="none"/>
                <w:lang w:eastAsia="en-US"/>
              </w:rPr>
              <w:t>人</w:t>
            </w:r>
          </w:p>
        </w:tc>
        <w:tc>
          <w:tcPr>
            <w:tcW w:w="1777" w:type="pct"/>
            <w:gridSpan w:val="5"/>
            <w:tcBorders>
              <w:tl2br w:val="nil"/>
              <w:tr2bl w:val="nil"/>
            </w:tcBorders>
            <w:noWrap w:val="0"/>
            <w:vAlign w:val="center"/>
          </w:tcPr>
          <w:p w14:paraId="0FFB5032">
            <w:pPr>
              <w:tabs>
                <w:tab w:val="left" w:pos="2602"/>
              </w:tabs>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5km范围内人口数</w:t>
            </w:r>
            <w:r>
              <w:rPr>
                <w:rFonts w:ascii="Times New Roman" w:eastAsia="宋体"/>
                <w:sz w:val="21"/>
                <w:szCs w:val="21"/>
                <w:highlight w:val="none"/>
                <w:u w:val="single"/>
                <w:lang w:eastAsia="en-US"/>
              </w:rPr>
              <w:t xml:space="preserve">     </w:t>
            </w:r>
            <w:r>
              <w:rPr>
                <w:rFonts w:ascii="Times New Roman" w:eastAsia="宋体"/>
                <w:sz w:val="21"/>
                <w:szCs w:val="21"/>
                <w:highlight w:val="none"/>
                <w:lang w:eastAsia="en-US"/>
              </w:rPr>
              <w:t>人</w:t>
            </w:r>
          </w:p>
        </w:tc>
      </w:tr>
      <w:tr w14:paraId="11144D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2719A541">
            <w:pPr>
              <w:spacing w:line="240" w:lineRule="auto"/>
              <w:jc w:val="center"/>
              <w:rPr>
                <w:rFonts w:ascii="Times New Roman"/>
                <w:sz w:val="21"/>
                <w:szCs w:val="21"/>
                <w:highlight w:val="none"/>
                <w:lang w:eastAsia="en-US"/>
              </w:rPr>
            </w:pPr>
          </w:p>
        </w:tc>
        <w:tc>
          <w:tcPr>
            <w:tcW w:w="619" w:type="pct"/>
            <w:vMerge w:val="continue"/>
            <w:tcBorders>
              <w:tl2br w:val="nil"/>
              <w:tr2bl w:val="nil"/>
            </w:tcBorders>
            <w:noWrap w:val="0"/>
            <w:vAlign w:val="center"/>
          </w:tcPr>
          <w:p w14:paraId="0A4191F6">
            <w:pPr>
              <w:spacing w:line="240" w:lineRule="auto"/>
              <w:jc w:val="center"/>
              <w:rPr>
                <w:rFonts w:ascii="Times New Roman"/>
                <w:sz w:val="21"/>
                <w:szCs w:val="21"/>
                <w:highlight w:val="none"/>
                <w:lang w:eastAsia="en-US"/>
              </w:rPr>
            </w:pPr>
          </w:p>
        </w:tc>
        <w:tc>
          <w:tcPr>
            <w:tcW w:w="655" w:type="pct"/>
            <w:vMerge w:val="continue"/>
            <w:tcBorders>
              <w:tl2br w:val="nil"/>
              <w:tr2bl w:val="nil"/>
            </w:tcBorders>
            <w:noWrap w:val="0"/>
            <w:vAlign w:val="center"/>
          </w:tcPr>
          <w:p w14:paraId="4F0C380E">
            <w:pPr>
              <w:spacing w:line="240" w:lineRule="auto"/>
              <w:jc w:val="center"/>
              <w:rPr>
                <w:rFonts w:ascii="Times New Roman"/>
                <w:sz w:val="21"/>
                <w:szCs w:val="21"/>
                <w:highlight w:val="none"/>
                <w:lang w:eastAsia="en-US"/>
              </w:rPr>
            </w:pPr>
          </w:p>
        </w:tc>
        <w:tc>
          <w:tcPr>
            <w:tcW w:w="2668" w:type="pct"/>
            <w:gridSpan w:val="10"/>
            <w:tcBorders>
              <w:tl2br w:val="nil"/>
              <w:tr2bl w:val="nil"/>
            </w:tcBorders>
            <w:noWrap w:val="0"/>
            <w:vAlign w:val="center"/>
          </w:tcPr>
          <w:p w14:paraId="74242853">
            <w:pPr>
              <w:spacing w:line="240" w:lineRule="auto"/>
              <w:jc w:val="center"/>
              <w:rPr>
                <w:rFonts w:ascii="Times New Roman"/>
                <w:sz w:val="21"/>
                <w:szCs w:val="21"/>
                <w:highlight w:val="none"/>
              </w:rPr>
            </w:pPr>
            <w:r>
              <w:rPr>
                <w:rFonts w:ascii="Times New Roman" w:eastAsia="宋体"/>
                <w:sz w:val="21"/>
                <w:szCs w:val="21"/>
                <w:highlight w:val="none"/>
              </w:rPr>
              <w:t>每公里管段周边 200 m 范围内人口数（最大）</w:t>
            </w:r>
          </w:p>
        </w:tc>
        <w:tc>
          <w:tcPr>
            <w:tcW w:w="849" w:type="pct"/>
            <w:gridSpan w:val="2"/>
            <w:tcBorders>
              <w:tl2br w:val="nil"/>
              <w:tr2bl w:val="nil"/>
            </w:tcBorders>
            <w:noWrap w:val="0"/>
            <w:vAlign w:val="center"/>
          </w:tcPr>
          <w:p w14:paraId="154751AE">
            <w:pPr>
              <w:tabs>
                <w:tab w:val="left" w:pos="1069"/>
              </w:tabs>
              <w:spacing w:line="240" w:lineRule="auto"/>
              <w:jc w:val="center"/>
              <w:rPr>
                <w:rFonts w:ascii="Times New Roman"/>
                <w:sz w:val="21"/>
                <w:szCs w:val="21"/>
                <w:highlight w:val="none"/>
                <w:lang w:eastAsia="en-US"/>
              </w:rPr>
            </w:pPr>
            <w:r>
              <w:rPr>
                <w:rFonts w:ascii="Times New Roman" w:eastAsia="宋体"/>
                <w:sz w:val="21"/>
                <w:szCs w:val="21"/>
                <w:highlight w:val="none"/>
                <w:u w:val="single" w:color="000000"/>
              </w:rPr>
              <w:t xml:space="preserve"> </w:t>
            </w:r>
            <w:r>
              <w:rPr>
                <w:rFonts w:ascii="Times New Roman"/>
                <w:sz w:val="21"/>
                <w:szCs w:val="21"/>
                <w:highlight w:val="none"/>
              </w:rPr>
              <w:tab/>
            </w:r>
            <w:r>
              <w:rPr>
                <w:rFonts w:ascii="Times New Roman" w:eastAsia="宋体"/>
                <w:sz w:val="21"/>
                <w:szCs w:val="21"/>
                <w:highlight w:val="none"/>
                <w:lang w:eastAsia="en-US"/>
              </w:rPr>
              <w:t>人</w:t>
            </w:r>
          </w:p>
        </w:tc>
      </w:tr>
      <w:tr w14:paraId="7FD15E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45EBA4AC">
            <w:pPr>
              <w:spacing w:line="240" w:lineRule="auto"/>
              <w:jc w:val="center"/>
              <w:rPr>
                <w:rFonts w:ascii="Times New Roman"/>
                <w:sz w:val="21"/>
                <w:szCs w:val="21"/>
                <w:highlight w:val="none"/>
                <w:lang w:eastAsia="en-US"/>
              </w:rPr>
            </w:pPr>
          </w:p>
        </w:tc>
        <w:tc>
          <w:tcPr>
            <w:tcW w:w="619" w:type="pct"/>
            <w:vMerge w:val="continue"/>
            <w:tcBorders>
              <w:tl2br w:val="nil"/>
              <w:tr2bl w:val="nil"/>
            </w:tcBorders>
            <w:noWrap w:val="0"/>
            <w:vAlign w:val="center"/>
          </w:tcPr>
          <w:p w14:paraId="4360CFA2">
            <w:pPr>
              <w:spacing w:line="240" w:lineRule="auto"/>
              <w:jc w:val="center"/>
              <w:rPr>
                <w:rFonts w:ascii="Times New Roman"/>
                <w:sz w:val="21"/>
                <w:szCs w:val="21"/>
                <w:highlight w:val="none"/>
                <w:lang w:eastAsia="en-US"/>
              </w:rPr>
            </w:pPr>
          </w:p>
        </w:tc>
        <w:tc>
          <w:tcPr>
            <w:tcW w:w="655" w:type="pct"/>
            <w:vMerge w:val="restart"/>
            <w:tcBorders>
              <w:tl2br w:val="nil"/>
              <w:tr2bl w:val="nil"/>
            </w:tcBorders>
            <w:noWrap w:val="0"/>
            <w:vAlign w:val="center"/>
          </w:tcPr>
          <w:p w14:paraId="395790E0">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地表水</w:t>
            </w:r>
          </w:p>
        </w:tc>
        <w:tc>
          <w:tcPr>
            <w:tcW w:w="946" w:type="pct"/>
            <w:gridSpan w:val="4"/>
            <w:tcBorders>
              <w:tl2br w:val="nil"/>
              <w:tr2bl w:val="nil"/>
            </w:tcBorders>
            <w:noWrap w:val="0"/>
            <w:vAlign w:val="center"/>
          </w:tcPr>
          <w:p w14:paraId="6E3F35FE">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地表水功能敏感性</w:t>
            </w:r>
          </w:p>
        </w:tc>
        <w:tc>
          <w:tcPr>
            <w:tcW w:w="794" w:type="pct"/>
            <w:gridSpan w:val="3"/>
            <w:tcBorders>
              <w:tl2br w:val="nil"/>
              <w:tr2bl w:val="nil"/>
            </w:tcBorders>
            <w:noWrap w:val="0"/>
            <w:vAlign w:val="center"/>
          </w:tcPr>
          <w:p w14:paraId="4F31ECF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F1 □</w:t>
            </w:r>
          </w:p>
        </w:tc>
        <w:tc>
          <w:tcPr>
            <w:tcW w:w="927" w:type="pct"/>
            <w:gridSpan w:val="3"/>
            <w:tcBorders>
              <w:tl2br w:val="nil"/>
              <w:tr2bl w:val="nil"/>
            </w:tcBorders>
            <w:noWrap w:val="0"/>
            <w:vAlign w:val="center"/>
          </w:tcPr>
          <w:p w14:paraId="06A5ADC4">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F2 □</w:t>
            </w:r>
          </w:p>
        </w:tc>
        <w:tc>
          <w:tcPr>
            <w:tcW w:w="849" w:type="pct"/>
            <w:gridSpan w:val="2"/>
            <w:tcBorders>
              <w:tl2br w:val="nil"/>
              <w:tr2bl w:val="nil"/>
            </w:tcBorders>
            <w:noWrap w:val="0"/>
            <w:vAlign w:val="center"/>
          </w:tcPr>
          <w:p w14:paraId="3764CA55">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F3 □</w:t>
            </w:r>
          </w:p>
        </w:tc>
      </w:tr>
      <w:tr w14:paraId="00B60B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331FA074">
            <w:pPr>
              <w:spacing w:line="240" w:lineRule="auto"/>
              <w:jc w:val="center"/>
              <w:rPr>
                <w:rFonts w:ascii="Times New Roman"/>
                <w:sz w:val="21"/>
                <w:szCs w:val="21"/>
                <w:highlight w:val="none"/>
                <w:lang w:eastAsia="en-US"/>
              </w:rPr>
            </w:pPr>
          </w:p>
        </w:tc>
        <w:tc>
          <w:tcPr>
            <w:tcW w:w="619" w:type="pct"/>
            <w:vMerge w:val="continue"/>
            <w:tcBorders>
              <w:tl2br w:val="nil"/>
              <w:tr2bl w:val="nil"/>
            </w:tcBorders>
            <w:noWrap w:val="0"/>
            <w:vAlign w:val="center"/>
          </w:tcPr>
          <w:p w14:paraId="75F8848D">
            <w:pPr>
              <w:spacing w:line="240" w:lineRule="auto"/>
              <w:jc w:val="center"/>
              <w:rPr>
                <w:rFonts w:ascii="Times New Roman"/>
                <w:sz w:val="21"/>
                <w:szCs w:val="21"/>
                <w:highlight w:val="none"/>
                <w:lang w:eastAsia="en-US"/>
              </w:rPr>
            </w:pPr>
          </w:p>
        </w:tc>
        <w:tc>
          <w:tcPr>
            <w:tcW w:w="655" w:type="pct"/>
            <w:vMerge w:val="continue"/>
            <w:tcBorders>
              <w:tl2br w:val="nil"/>
              <w:tr2bl w:val="nil"/>
            </w:tcBorders>
            <w:noWrap w:val="0"/>
            <w:vAlign w:val="center"/>
          </w:tcPr>
          <w:p w14:paraId="58D62EBF">
            <w:pPr>
              <w:spacing w:line="240" w:lineRule="auto"/>
              <w:jc w:val="center"/>
              <w:rPr>
                <w:rFonts w:ascii="Times New Roman"/>
                <w:sz w:val="21"/>
                <w:szCs w:val="21"/>
                <w:highlight w:val="none"/>
                <w:lang w:eastAsia="en-US"/>
              </w:rPr>
            </w:pPr>
          </w:p>
        </w:tc>
        <w:tc>
          <w:tcPr>
            <w:tcW w:w="946" w:type="pct"/>
            <w:gridSpan w:val="4"/>
            <w:tcBorders>
              <w:tl2br w:val="nil"/>
              <w:tr2bl w:val="nil"/>
            </w:tcBorders>
            <w:noWrap w:val="0"/>
            <w:vAlign w:val="center"/>
          </w:tcPr>
          <w:p w14:paraId="6D3E4DD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环境敏感目标分级</w:t>
            </w:r>
          </w:p>
        </w:tc>
        <w:tc>
          <w:tcPr>
            <w:tcW w:w="794" w:type="pct"/>
            <w:gridSpan w:val="3"/>
            <w:tcBorders>
              <w:tl2br w:val="nil"/>
              <w:tr2bl w:val="nil"/>
            </w:tcBorders>
            <w:noWrap w:val="0"/>
            <w:vAlign w:val="center"/>
          </w:tcPr>
          <w:p w14:paraId="282CB7F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S1 □</w:t>
            </w:r>
          </w:p>
        </w:tc>
        <w:tc>
          <w:tcPr>
            <w:tcW w:w="927" w:type="pct"/>
            <w:gridSpan w:val="3"/>
            <w:tcBorders>
              <w:tl2br w:val="nil"/>
              <w:tr2bl w:val="nil"/>
            </w:tcBorders>
            <w:noWrap w:val="0"/>
            <w:vAlign w:val="center"/>
          </w:tcPr>
          <w:p w14:paraId="781240F6">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S2 □</w:t>
            </w:r>
          </w:p>
        </w:tc>
        <w:tc>
          <w:tcPr>
            <w:tcW w:w="849" w:type="pct"/>
            <w:gridSpan w:val="2"/>
            <w:tcBorders>
              <w:tl2br w:val="nil"/>
              <w:tr2bl w:val="nil"/>
            </w:tcBorders>
            <w:noWrap w:val="0"/>
            <w:vAlign w:val="center"/>
          </w:tcPr>
          <w:p w14:paraId="4C55328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S3 □</w:t>
            </w:r>
          </w:p>
        </w:tc>
      </w:tr>
      <w:tr w14:paraId="24E54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787ABB14">
            <w:pPr>
              <w:spacing w:line="240" w:lineRule="auto"/>
              <w:jc w:val="center"/>
              <w:rPr>
                <w:rFonts w:ascii="Times New Roman"/>
                <w:sz w:val="21"/>
                <w:szCs w:val="21"/>
                <w:highlight w:val="none"/>
                <w:lang w:eastAsia="en-US"/>
              </w:rPr>
            </w:pPr>
          </w:p>
        </w:tc>
        <w:tc>
          <w:tcPr>
            <w:tcW w:w="619" w:type="pct"/>
            <w:vMerge w:val="continue"/>
            <w:tcBorders>
              <w:tl2br w:val="nil"/>
              <w:tr2bl w:val="nil"/>
            </w:tcBorders>
            <w:noWrap w:val="0"/>
            <w:vAlign w:val="center"/>
          </w:tcPr>
          <w:p w14:paraId="4F310194">
            <w:pPr>
              <w:spacing w:line="240" w:lineRule="auto"/>
              <w:jc w:val="center"/>
              <w:rPr>
                <w:rFonts w:ascii="Times New Roman"/>
                <w:sz w:val="21"/>
                <w:szCs w:val="21"/>
                <w:highlight w:val="none"/>
                <w:lang w:eastAsia="en-US"/>
              </w:rPr>
            </w:pPr>
          </w:p>
        </w:tc>
        <w:tc>
          <w:tcPr>
            <w:tcW w:w="655" w:type="pct"/>
            <w:vMerge w:val="restart"/>
            <w:tcBorders>
              <w:tl2br w:val="nil"/>
              <w:tr2bl w:val="nil"/>
            </w:tcBorders>
            <w:noWrap w:val="0"/>
            <w:vAlign w:val="center"/>
          </w:tcPr>
          <w:p w14:paraId="2FF32C3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地下水</w:t>
            </w:r>
          </w:p>
        </w:tc>
        <w:tc>
          <w:tcPr>
            <w:tcW w:w="946" w:type="pct"/>
            <w:gridSpan w:val="4"/>
            <w:tcBorders>
              <w:tl2br w:val="nil"/>
              <w:tr2bl w:val="nil"/>
            </w:tcBorders>
            <w:noWrap w:val="0"/>
            <w:vAlign w:val="center"/>
          </w:tcPr>
          <w:p w14:paraId="4D4F320B">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地下水功能敏感性</w:t>
            </w:r>
          </w:p>
        </w:tc>
        <w:tc>
          <w:tcPr>
            <w:tcW w:w="794" w:type="pct"/>
            <w:gridSpan w:val="3"/>
            <w:tcBorders>
              <w:tl2br w:val="nil"/>
              <w:tr2bl w:val="nil"/>
            </w:tcBorders>
            <w:noWrap w:val="0"/>
            <w:vAlign w:val="center"/>
          </w:tcPr>
          <w:p w14:paraId="68A7F36D">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G1 □</w:t>
            </w:r>
          </w:p>
        </w:tc>
        <w:tc>
          <w:tcPr>
            <w:tcW w:w="927" w:type="pct"/>
            <w:gridSpan w:val="3"/>
            <w:tcBorders>
              <w:tl2br w:val="nil"/>
              <w:tr2bl w:val="nil"/>
            </w:tcBorders>
            <w:noWrap w:val="0"/>
            <w:vAlign w:val="center"/>
          </w:tcPr>
          <w:p w14:paraId="19E731E5">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G2 □</w:t>
            </w:r>
          </w:p>
        </w:tc>
        <w:tc>
          <w:tcPr>
            <w:tcW w:w="849" w:type="pct"/>
            <w:gridSpan w:val="2"/>
            <w:tcBorders>
              <w:tl2br w:val="nil"/>
              <w:tr2bl w:val="nil"/>
            </w:tcBorders>
            <w:noWrap w:val="0"/>
            <w:vAlign w:val="center"/>
          </w:tcPr>
          <w:p w14:paraId="2AA655FE">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G3 □</w:t>
            </w:r>
          </w:p>
        </w:tc>
      </w:tr>
      <w:tr w14:paraId="4D8541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38C4AC41">
            <w:pPr>
              <w:spacing w:line="240" w:lineRule="auto"/>
              <w:jc w:val="center"/>
              <w:rPr>
                <w:rFonts w:ascii="Times New Roman"/>
                <w:sz w:val="21"/>
                <w:szCs w:val="21"/>
                <w:highlight w:val="none"/>
                <w:lang w:eastAsia="en-US"/>
              </w:rPr>
            </w:pPr>
          </w:p>
        </w:tc>
        <w:tc>
          <w:tcPr>
            <w:tcW w:w="619" w:type="pct"/>
            <w:vMerge w:val="continue"/>
            <w:tcBorders>
              <w:tl2br w:val="nil"/>
              <w:tr2bl w:val="nil"/>
            </w:tcBorders>
            <w:noWrap w:val="0"/>
            <w:vAlign w:val="center"/>
          </w:tcPr>
          <w:p w14:paraId="6D25D9F9">
            <w:pPr>
              <w:spacing w:line="240" w:lineRule="auto"/>
              <w:jc w:val="center"/>
              <w:rPr>
                <w:rFonts w:ascii="Times New Roman"/>
                <w:sz w:val="21"/>
                <w:szCs w:val="21"/>
                <w:highlight w:val="none"/>
                <w:lang w:eastAsia="en-US"/>
              </w:rPr>
            </w:pPr>
          </w:p>
        </w:tc>
        <w:tc>
          <w:tcPr>
            <w:tcW w:w="655" w:type="pct"/>
            <w:vMerge w:val="continue"/>
            <w:tcBorders>
              <w:tl2br w:val="nil"/>
              <w:tr2bl w:val="nil"/>
            </w:tcBorders>
            <w:noWrap w:val="0"/>
            <w:vAlign w:val="center"/>
          </w:tcPr>
          <w:p w14:paraId="4C0C694A">
            <w:pPr>
              <w:spacing w:line="240" w:lineRule="auto"/>
              <w:jc w:val="center"/>
              <w:rPr>
                <w:rFonts w:ascii="Times New Roman"/>
                <w:sz w:val="21"/>
                <w:szCs w:val="21"/>
                <w:highlight w:val="none"/>
                <w:lang w:eastAsia="en-US"/>
              </w:rPr>
            </w:pPr>
          </w:p>
        </w:tc>
        <w:tc>
          <w:tcPr>
            <w:tcW w:w="946" w:type="pct"/>
            <w:gridSpan w:val="4"/>
            <w:tcBorders>
              <w:tl2br w:val="nil"/>
              <w:tr2bl w:val="nil"/>
            </w:tcBorders>
            <w:noWrap w:val="0"/>
            <w:vAlign w:val="center"/>
          </w:tcPr>
          <w:p w14:paraId="66E243E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包气带防污性能</w:t>
            </w:r>
          </w:p>
        </w:tc>
        <w:tc>
          <w:tcPr>
            <w:tcW w:w="794" w:type="pct"/>
            <w:gridSpan w:val="3"/>
            <w:tcBorders>
              <w:tl2br w:val="nil"/>
              <w:tr2bl w:val="nil"/>
            </w:tcBorders>
            <w:noWrap w:val="0"/>
            <w:vAlign w:val="center"/>
          </w:tcPr>
          <w:p w14:paraId="53EC88DB">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D1 □</w:t>
            </w:r>
          </w:p>
        </w:tc>
        <w:tc>
          <w:tcPr>
            <w:tcW w:w="927" w:type="pct"/>
            <w:gridSpan w:val="3"/>
            <w:tcBorders>
              <w:tl2br w:val="nil"/>
              <w:tr2bl w:val="nil"/>
            </w:tcBorders>
            <w:noWrap w:val="0"/>
            <w:vAlign w:val="center"/>
          </w:tcPr>
          <w:p w14:paraId="67F3FC95">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D2 □</w:t>
            </w:r>
          </w:p>
        </w:tc>
        <w:tc>
          <w:tcPr>
            <w:tcW w:w="849" w:type="pct"/>
            <w:gridSpan w:val="2"/>
            <w:tcBorders>
              <w:tl2br w:val="nil"/>
              <w:tr2bl w:val="nil"/>
            </w:tcBorders>
            <w:noWrap w:val="0"/>
            <w:vAlign w:val="center"/>
          </w:tcPr>
          <w:p w14:paraId="52CA52DE">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D3 □</w:t>
            </w:r>
          </w:p>
        </w:tc>
      </w:tr>
      <w:tr w14:paraId="23965C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vMerge w:val="restart"/>
            <w:tcBorders>
              <w:tl2br w:val="nil"/>
              <w:tr2bl w:val="nil"/>
            </w:tcBorders>
            <w:noWrap w:val="0"/>
            <w:vAlign w:val="center"/>
          </w:tcPr>
          <w:p w14:paraId="6A98DB50">
            <w:pPr>
              <w:spacing w:line="240" w:lineRule="auto"/>
              <w:jc w:val="center"/>
              <w:rPr>
                <w:rFonts w:ascii="Times New Roman"/>
                <w:sz w:val="21"/>
                <w:szCs w:val="21"/>
                <w:highlight w:val="none"/>
              </w:rPr>
            </w:pPr>
            <w:r>
              <w:rPr>
                <w:rFonts w:ascii="Times New Roman" w:eastAsia="宋体"/>
                <w:sz w:val="21"/>
                <w:szCs w:val="21"/>
                <w:highlight w:val="none"/>
              </w:rPr>
              <w:t>物质及工艺系统 危险性</w:t>
            </w:r>
          </w:p>
        </w:tc>
        <w:tc>
          <w:tcPr>
            <w:tcW w:w="655" w:type="pct"/>
            <w:tcBorders>
              <w:tl2br w:val="nil"/>
              <w:tr2bl w:val="nil"/>
            </w:tcBorders>
            <w:noWrap w:val="0"/>
            <w:vAlign w:val="center"/>
          </w:tcPr>
          <w:p w14:paraId="71E77C66">
            <w:pPr>
              <w:spacing w:line="240" w:lineRule="auto"/>
              <w:jc w:val="center"/>
              <w:rPr>
                <w:rFonts w:ascii="Times New Roman"/>
                <w:sz w:val="21"/>
                <w:szCs w:val="21"/>
                <w:highlight w:val="none"/>
                <w:lang w:eastAsia="en-US"/>
              </w:rPr>
            </w:pPr>
            <w:r>
              <w:rPr>
                <w:rFonts w:ascii="Times New Roman" w:eastAsia="宋体"/>
                <w:i/>
                <w:sz w:val="21"/>
                <w:szCs w:val="21"/>
                <w:highlight w:val="none"/>
                <w:lang w:eastAsia="en-US"/>
              </w:rPr>
              <w:t xml:space="preserve">Q </w:t>
            </w:r>
            <w:r>
              <w:rPr>
                <w:rFonts w:ascii="Times New Roman" w:eastAsia="宋体"/>
                <w:sz w:val="21"/>
                <w:szCs w:val="21"/>
                <w:highlight w:val="none"/>
                <w:lang w:eastAsia="en-US"/>
              </w:rPr>
              <w:t>值</w:t>
            </w:r>
          </w:p>
        </w:tc>
        <w:tc>
          <w:tcPr>
            <w:tcW w:w="946" w:type="pct"/>
            <w:gridSpan w:val="4"/>
            <w:tcBorders>
              <w:tl2br w:val="nil"/>
              <w:tr2bl w:val="nil"/>
            </w:tcBorders>
            <w:noWrap w:val="0"/>
            <w:vAlign w:val="center"/>
          </w:tcPr>
          <w:p w14:paraId="606A43B7">
            <w:pPr>
              <w:spacing w:line="240" w:lineRule="auto"/>
              <w:jc w:val="center"/>
              <w:rPr>
                <w:rFonts w:ascii="Times New Roman"/>
                <w:sz w:val="21"/>
                <w:szCs w:val="21"/>
                <w:highlight w:val="none"/>
                <w:lang w:eastAsia="en-US"/>
              </w:rPr>
            </w:pPr>
            <w:r>
              <w:rPr>
                <w:rFonts w:ascii="Times New Roman" w:eastAsia="宋体"/>
                <w:i/>
                <w:sz w:val="21"/>
                <w:szCs w:val="21"/>
                <w:highlight w:val="none"/>
                <w:lang w:eastAsia="en-US"/>
              </w:rPr>
              <w:t>Q</w:t>
            </w:r>
            <w:r>
              <w:rPr>
                <w:rFonts w:ascii="Times New Roman" w:eastAsia="宋体"/>
                <w:sz w:val="21"/>
                <w:szCs w:val="21"/>
                <w:highlight w:val="none"/>
                <w:lang w:eastAsia="en-US"/>
              </w:rPr>
              <w:t xml:space="preserve">＜1  </w:t>
            </w:r>
            <w:r>
              <w:rPr>
                <w:rFonts w:ascii="Times New Roman"/>
                <w:sz w:val="21"/>
                <w:szCs w:val="21"/>
                <w:highlight w:val="none"/>
                <w:lang w:eastAsia="en-US"/>
              </w:rPr>
              <w:sym w:font="Wingdings 2" w:char="0052"/>
            </w:r>
          </w:p>
        </w:tc>
        <w:tc>
          <w:tcPr>
            <w:tcW w:w="794" w:type="pct"/>
            <w:gridSpan w:val="3"/>
            <w:tcBorders>
              <w:tl2br w:val="nil"/>
              <w:tr2bl w:val="nil"/>
            </w:tcBorders>
            <w:noWrap w:val="0"/>
            <w:vAlign w:val="center"/>
          </w:tcPr>
          <w:p w14:paraId="54B66181">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1≤</w:t>
            </w:r>
            <w:r>
              <w:rPr>
                <w:rFonts w:ascii="Times New Roman" w:eastAsia="宋体"/>
                <w:i/>
                <w:sz w:val="21"/>
                <w:szCs w:val="21"/>
                <w:highlight w:val="none"/>
                <w:lang w:eastAsia="en-US"/>
              </w:rPr>
              <w:t>Q</w:t>
            </w:r>
            <w:r>
              <w:rPr>
                <w:rFonts w:ascii="Times New Roman" w:eastAsia="宋体"/>
                <w:sz w:val="21"/>
                <w:szCs w:val="21"/>
                <w:highlight w:val="none"/>
                <w:lang w:eastAsia="en-US"/>
              </w:rPr>
              <w:t>＜10  □</w:t>
            </w:r>
          </w:p>
        </w:tc>
        <w:tc>
          <w:tcPr>
            <w:tcW w:w="927" w:type="pct"/>
            <w:gridSpan w:val="3"/>
            <w:tcBorders>
              <w:tl2br w:val="nil"/>
              <w:tr2bl w:val="nil"/>
            </w:tcBorders>
            <w:noWrap w:val="0"/>
            <w:vAlign w:val="center"/>
          </w:tcPr>
          <w:p w14:paraId="19EB2BDE">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10≤</w:t>
            </w:r>
            <w:r>
              <w:rPr>
                <w:rFonts w:ascii="Times New Roman" w:eastAsia="宋体"/>
                <w:i/>
                <w:sz w:val="21"/>
                <w:szCs w:val="21"/>
                <w:highlight w:val="none"/>
                <w:lang w:eastAsia="en-US"/>
              </w:rPr>
              <w:t>Q</w:t>
            </w:r>
            <w:r>
              <w:rPr>
                <w:rFonts w:ascii="Times New Roman" w:eastAsia="宋体"/>
                <w:sz w:val="21"/>
                <w:szCs w:val="21"/>
                <w:highlight w:val="none"/>
                <w:lang w:eastAsia="en-US"/>
              </w:rPr>
              <w:t>＜100  □</w:t>
            </w:r>
          </w:p>
        </w:tc>
        <w:tc>
          <w:tcPr>
            <w:tcW w:w="849" w:type="pct"/>
            <w:gridSpan w:val="2"/>
            <w:tcBorders>
              <w:tl2br w:val="nil"/>
              <w:tr2bl w:val="nil"/>
            </w:tcBorders>
            <w:noWrap w:val="0"/>
            <w:vAlign w:val="center"/>
          </w:tcPr>
          <w:p w14:paraId="3DA9F058">
            <w:pPr>
              <w:spacing w:line="240" w:lineRule="auto"/>
              <w:jc w:val="center"/>
              <w:rPr>
                <w:rFonts w:ascii="Times New Roman"/>
                <w:sz w:val="21"/>
                <w:szCs w:val="21"/>
                <w:highlight w:val="none"/>
                <w:lang w:eastAsia="en-US"/>
              </w:rPr>
            </w:pPr>
            <w:r>
              <w:rPr>
                <w:rFonts w:ascii="Times New Roman" w:eastAsia="宋体"/>
                <w:i/>
                <w:sz w:val="21"/>
                <w:szCs w:val="21"/>
                <w:highlight w:val="none"/>
                <w:lang w:eastAsia="en-US"/>
              </w:rPr>
              <w:t>Q</w:t>
            </w:r>
            <w:r>
              <w:rPr>
                <w:rFonts w:ascii="Times New Roman" w:eastAsia="宋体"/>
                <w:sz w:val="21"/>
                <w:szCs w:val="21"/>
                <w:highlight w:val="none"/>
                <w:lang w:eastAsia="en-US"/>
              </w:rPr>
              <w:t>＞100  □</w:t>
            </w:r>
          </w:p>
        </w:tc>
      </w:tr>
      <w:tr w14:paraId="406E93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vMerge w:val="continue"/>
            <w:tcBorders>
              <w:tl2br w:val="nil"/>
              <w:tr2bl w:val="nil"/>
            </w:tcBorders>
            <w:noWrap w:val="0"/>
            <w:vAlign w:val="center"/>
          </w:tcPr>
          <w:p w14:paraId="4AA6959F">
            <w:pPr>
              <w:spacing w:line="240" w:lineRule="auto"/>
              <w:jc w:val="center"/>
              <w:rPr>
                <w:rFonts w:ascii="Times New Roman"/>
                <w:sz w:val="21"/>
                <w:szCs w:val="21"/>
                <w:highlight w:val="none"/>
                <w:lang w:eastAsia="en-US"/>
              </w:rPr>
            </w:pPr>
          </w:p>
        </w:tc>
        <w:tc>
          <w:tcPr>
            <w:tcW w:w="655" w:type="pct"/>
            <w:tcBorders>
              <w:tl2br w:val="nil"/>
              <w:tr2bl w:val="nil"/>
            </w:tcBorders>
            <w:noWrap w:val="0"/>
            <w:vAlign w:val="center"/>
          </w:tcPr>
          <w:p w14:paraId="7582F0C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M 值</w:t>
            </w:r>
          </w:p>
        </w:tc>
        <w:tc>
          <w:tcPr>
            <w:tcW w:w="946" w:type="pct"/>
            <w:gridSpan w:val="4"/>
            <w:tcBorders>
              <w:tl2br w:val="nil"/>
              <w:tr2bl w:val="nil"/>
            </w:tcBorders>
            <w:noWrap w:val="0"/>
            <w:vAlign w:val="center"/>
          </w:tcPr>
          <w:p w14:paraId="573E7CB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M1 □</w:t>
            </w:r>
          </w:p>
        </w:tc>
        <w:tc>
          <w:tcPr>
            <w:tcW w:w="794" w:type="pct"/>
            <w:gridSpan w:val="3"/>
            <w:tcBorders>
              <w:tl2br w:val="nil"/>
              <w:tr2bl w:val="nil"/>
            </w:tcBorders>
            <w:noWrap w:val="0"/>
            <w:vAlign w:val="center"/>
          </w:tcPr>
          <w:p w14:paraId="425626E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M2 □</w:t>
            </w:r>
          </w:p>
        </w:tc>
        <w:tc>
          <w:tcPr>
            <w:tcW w:w="927" w:type="pct"/>
            <w:gridSpan w:val="3"/>
            <w:tcBorders>
              <w:tl2br w:val="nil"/>
              <w:tr2bl w:val="nil"/>
            </w:tcBorders>
            <w:noWrap w:val="0"/>
            <w:vAlign w:val="center"/>
          </w:tcPr>
          <w:p w14:paraId="713515F9">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M3 □</w:t>
            </w:r>
          </w:p>
        </w:tc>
        <w:tc>
          <w:tcPr>
            <w:tcW w:w="849" w:type="pct"/>
            <w:gridSpan w:val="2"/>
            <w:tcBorders>
              <w:tl2br w:val="nil"/>
              <w:tr2bl w:val="nil"/>
            </w:tcBorders>
            <w:noWrap w:val="0"/>
            <w:vAlign w:val="center"/>
          </w:tcPr>
          <w:p w14:paraId="393743D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M4 □</w:t>
            </w:r>
          </w:p>
        </w:tc>
      </w:tr>
      <w:tr w14:paraId="2CC14E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vMerge w:val="continue"/>
            <w:tcBorders>
              <w:tl2br w:val="nil"/>
              <w:tr2bl w:val="nil"/>
            </w:tcBorders>
            <w:noWrap w:val="0"/>
            <w:vAlign w:val="center"/>
          </w:tcPr>
          <w:p w14:paraId="157E135C">
            <w:pPr>
              <w:spacing w:line="240" w:lineRule="auto"/>
              <w:jc w:val="center"/>
              <w:rPr>
                <w:rFonts w:ascii="Times New Roman"/>
                <w:sz w:val="21"/>
                <w:szCs w:val="21"/>
                <w:highlight w:val="none"/>
                <w:lang w:eastAsia="en-US"/>
              </w:rPr>
            </w:pPr>
          </w:p>
        </w:tc>
        <w:tc>
          <w:tcPr>
            <w:tcW w:w="655" w:type="pct"/>
            <w:tcBorders>
              <w:tl2br w:val="nil"/>
              <w:tr2bl w:val="nil"/>
            </w:tcBorders>
            <w:noWrap w:val="0"/>
            <w:vAlign w:val="center"/>
          </w:tcPr>
          <w:p w14:paraId="0FE2A6A8">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P 值</w:t>
            </w:r>
          </w:p>
        </w:tc>
        <w:tc>
          <w:tcPr>
            <w:tcW w:w="946" w:type="pct"/>
            <w:gridSpan w:val="4"/>
            <w:tcBorders>
              <w:tl2br w:val="nil"/>
              <w:tr2bl w:val="nil"/>
            </w:tcBorders>
            <w:noWrap w:val="0"/>
            <w:vAlign w:val="center"/>
          </w:tcPr>
          <w:p w14:paraId="798B0542">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P1 □</w:t>
            </w:r>
          </w:p>
        </w:tc>
        <w:tc>
          <w:tcPr>
            <w:tcW w:w="794" w:type="pct"/>
            <w:gridSpan w:val="3"/>
            <w:tcBorders>
              <w:tl2br w:val="nil"/>
              <w:tr2bl w:val="nil"/>
            </w:tcBorders>
            <w:noWrap w:val="0"/>
            <w:vAlign w:val="center"/>
          </w:tcPr>
          <w:p w14:paraId="62DA0225">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P2 □</w:t>
            </w:r>
          </w:p>
        </w:tc>
        <w:tc>
          <w:tcPr>
            <w:tcW w:w="927" w:type="pct"/>
            <w:gridSpan w:val="3"/>
            <w:tcBorders>
              <w:tl2br w:val="nil"/>
              <w:tr2bl w:val="nil"/>
            </w:tcBorders>
            <w:noWrap w:val="0"/>
            <w:vAlign w:val="center"/>
          </w:tcPr>
          <w:p w14:paraId="576373C1">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P3 □</w:t>
            </w:r>
          </w:p>
        </w:tc>
        <w:tc>
          <w:tcPr>
            <w:tcW w:w="849" w:type="pct"/>
            <w:gridSpan w:val="2"/>
            <w:tcBorders>
              <w:tl2br w:val="nil"/>
              <w:tr2bl w:val="nil"/>
            </w:tcBorders>
            <w:noWrap w:val="0"/>
            <w:vAlign w:val="center"/>
          </w:tcPr>
          <w:p w14:paraId="44073EB4">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P4 □</w:t>
            </w:r>
          </w:p>
        </w:tc>
      </w:tr>
      <w:tr w14:paraId="154862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vMerge w:val="restart"/>
            <w:tcBorders>
              <w:tl2br w:val="nil"/>
              <w:tr2bl w:val="nil"/>
            </w:tcBorders>
            <w:noWrap w:val="0"/>
            <w:vAlign w:val="center"/>
          </w:tcPr>
          <w:p w14:paraId="12C2ADFD">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环境敏感程度</w:t>
            </w:r>
          </w:p>
        </w:tc>
        <w:tc>
          <w:tcPr>
            <w:tcW w:w="655" w:type="pct"/>
            <w:tcBorders>
              <w:tl2br w:val="nil"/>
              <w:tr2bl w:val="nil"/>
            </w:tcBorders>
            <w:noWrap w:val="0"/>
            <w:vAlign w:val="center"/>
          </w:tcPr>
          <w:p w14:paraId="064CAB2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大气</w:t>
            </w:r>
          </w:p>
        </w:tc>
        <w:tc>
          <w:tcPr>
            <w:tcW w:w="946" w:type="pct"/>
            <w:gridSpan w:val="4"/>
            <w:tcBorders>
              <w:tl2br w:val="nil"/>
              <w:tr2bl w:val="nil"/>
            </w:tcBorders>
            <w:noWrap w:val="0"/>
            <w:vAlign w:val="center"/>
          </w:tcPr>
          <w:p w14:paraId="323EF452">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E1 □</w:t>
            </w:r>
          </w:p>
        </w:tc>
        <w:tc>
          <w:tcPr>
            <w:tcW w:w="1192" w:type="pct"/>
            <w:gridSpan w:val="4"/>
            <w:tcBorders>
              <w:tl2br w:val="nil"/>
              <w:tr2bl w:val="nil"/>
            </w:tcBorders>
            <w:noWrap w:val="0"/>
            <w:vAlign w:val="center"/>
          </w:tcPr>
          <w:p w14:paraId="38CB709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E2 □</w:t>
            </w:r>
          </w:p>
        </w:tc>
        <w:tc>
          <w:tcPr>
            <w:tcW w:w="1378" w:type="pct"/>
            <w:gridSpan w:val="4"/>
            <w:tcBorders>
              <w:tl2br w:val="nil"/>
              <w:tr2bl w:val="nil"/>
            </w:tcBorders>
            <w:noWrap w:val="0"/>
            <w:vAlign w:val="center"/>
          </w:tcPr>
          <w:p w14:paraId="3A4F7F4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E3 □</w:t>
            </w:r>
          </w:p>
        </w:tc>
      </w:tr>
      <w:tr w14:paraId="4A5134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vMerge w:val="continue"/>
            <w:tcBorders>
              <w:tl2br w:val="nil"/>
              <w:tr2bl w:val="nil"/>
            </w:tcBorders>
            <w:noWrap w:val="0"/>
            <w:vAlign w:val="center"/>
          </w:tcPr>
          <w:p w14:paraId="2FF516A5">
            <w:pPr>
              <w:spacing w:line="240" w:lineRule="auto"/>
              <w:jc w:val="center"/>
              <w:rPr>
                <w:rFonts w:ascii="Times New Roman"/>
                <w:sz w:val="21"/>
                <w:szCs w:val="21"/>
                <w:highlight w:val="none"/>
                <w:lang w:eastAsia="en-US"/>
              </w:rPr>
            </w:pPr>
          </w:p>
        </w:tc>
        <w:tc>
          <w:tcPr>
            <w:tcW w:w="655" w:type="pct"/>
            <w:tcBorders>
              <w:tl2br w:val="nil"/>
              <w:tr2bl w:val="nil"/>
            </w:tcBorders>
            <w:noWrap w:val="0"/>
            <w:vAlign w:val="center"/>
          </w:tcPr>
          <w:p w14:paraId="6D99B93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地表水</w:t>
            </w:r>
          </w:p>
        </w:tc>
        <w:tc>
          <w:tcPr>
            <w:tcW w:w="946" w:type="pct"/>
            <w:gridSpan w:val="4"/>
            <w:tcBorders>
              <w:tl2br w:val="nil"/>
              <w:tr2bl w:val="nil"/>
            </w:tcBorders>
            <w:noWrap w:val="0"/>
            <w:vAlign w:val="center"/>
          </w:tcPr>
          <w:p w14:paraId="7C91B45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E1 □</w:t>
            </w:r>
          </w:p>
        </w:tc>
        <w:tc>
          <w:tcPr>
            <w:tcW w:w="1192" w:type="pct"/>
            <w:gridSpan w:val="4"/>
            <w:tcBorders>
              <w:tl2br w:val="nil"/>
              <w:tr2bl w:val="nil"/>
            </w:tcBorders>
            <w:noWrap w:val="0"/>
            <w:vAlign w:val="center"/>
          </w:tcPr>
          <w:p w14:paraId="3D7F360E">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E2 □</w:t>
            </w:r>
          </w:p>
        </w:tc>
        <w:tc>
          <w:tcPr>
            <w:tcW w:w="1378" w:type="pct"/>
            <w:gridSpan w:val="4"/>
            <w:tcBorders>
              <w:tl2br w:val="nil"/>
              <w:tr2bl w:val="nil"/>
            </w:tcBorders>
            <w:noWrap w:val="0"/>
            <w:vAlign w:val="center"/>
          </w:tcPr>
          <w:p w14:paraId="689CE89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E3 □</w:t>
            </w:r>
          </w:p>
        </w:tc>
      </w:tr>
      <w:tr w14:paraId="3280EC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vMerge w:val="continue"/>
            <w:tcBorders>
              <w:tl2br w:val="nil"/>
              <w:tr2bl w:val="nil"/>
            </w:tcBorders>
            <w:noWrap w:val="0"/>
            <w:vAlign w:val="center"/>
          </w:tcPr>
          <w:p w14:paraId="4DBFEDB5">
            <w:pPr>
              <w:spacing w:line="240" w:lineRule="auto"/>
              <w:jc w:val="center"/>
              <w:rPr>
                <w:rFonts w:ascii="Times New Roman"/>
                <w:sz w:val="21"/>
                <w:szCs w:val="21"/>
                <w:highlight w:val="none"/>
                <w:lang w:eastAsia="en-US"/>
              </w:rPr>
            </w:pPr>
          </w:p>
        </w:tc>
        <w:tc>
          <w:tcPr>
            <w:tcW w:w="655" w:type="pct"/>
            <w:tcBorders>
              <w:tl2br w:val="nil"/>
              <w:tr2bl w:val="nil"/>
            </w:tcBorders>
            <w:noWrap w:val="0"/>
            <w:vAlign w:val="center"/>
          </w:tcPr>
          <w:p w14:paraId="0B4848FD">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地下水</w:t>
            </w:r>
          </w:p>
        </w:tc>
        <w:tc>
          <w:tcPr>
            <w:tcW w:w="946" w:type="pct"/>
            <w:gridSpan w:val="4"/>
            <w:tcBorders>
              <w:tl2br w:val="nil"/>
              <w:tr2bl w:val="nil"/>
            </w:tcBorders>
            <w:noWrap w:val="0"/>
            <w:vAlign w:val="center"/>
          </w:tcPr>
          <w:p w14:paraId="2C31CA22">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E1 □</w:t>
            </w:r>
          </w:p>
        </w:tc>
        <w:tc>
          <w:tcPr>
            <w:tcW w:w="1192" w:type="pct"/>
            <w:gridSpan w:val="4"/>
            <w:tcBorders>
              <w:tl2br w:val="nil"/>
              <w:tr2bl w:val="nil"/>
            </w:tcBorders>
            <w:noWrap w:val="0"/>
            <w:vAlign w:val="center"/>
          </w:tcPr>
          <w:p w14:paraId="671F5630">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E2 □</w:t>
            </w:r>
          </w:p>
        </w:tc>
        <w:tc>
          <w:tcPr>
            <w:tcW w:w="1378" w:type="pct"/>
            <w:gridSpan w:val="4"/>
            <w:tcBorders>
              <w:tl2br w:val="nil"/>
              <w:tr2bl w:val="nil"/>
            </w:tcBorders>
            <w:noWrap w:val="0"/>
            <w:vAlign w:val="center"/>
          </w:tcPr>
          <w:p w14:paraId="085FC54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E3 □</w:t>
            </w:r>
          </w:p>
        </w:tc>
      </w:tr>
      <w:tr w14:paraId="5B6D17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tcBorders>
              <w:tl2br w:val="nil"/>
              <w:tr2bl w:val="nil"/>
            </w:tcBorders>
            <w:noWrap w:val="0"/>
            <w:vAlign w:val="center"/>
          </w:tcPr>
          <w:p w14:paraId="7D46F481">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环境风险潜势</w:t>
            </w:r>
          </w:p>
        </w:tc>
        <w:tc>
          <w:tcPr>
            <w:tcW w:w="819" w:type="pct"/>
            <w:gridSpan w:val="2"/>
            <w:tcBorders>
              <w:tl2br w:val="nil"/>
              <w:tr2bl w:val="nil"/>
            </w:tcBorders>
            <w:noWrap w:val="0"/>
            <w:vAlign w:val="center"/>
          </w:tcPr>
          <w:p w14:paraId="776358C0">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Ⅳ</w:t>
            </w:r>
            <w:r>
              <w:rPr>
                <w:rFonts w:ascii="Times New Roman" w:eastAsia="宋体"/>
                <w:sz w:val="21"/>
                <w:szCs w:val="21"/>
                <w:highlight w:val="none"/>
                <w:vertAlign w:val="superscript"/>
                <w:lang w:eastAsia="en-US"/>
              </w:rPr>
              <w:t>+</w:t>
            </w:r>
            <w:r>
              <w:rPr>
                <w:rFonts w:ascii="Times New Roman" w:eastAsia="宋体"/>
                <w:sz w:val="21"/>
                <w:szCs w:val="21"/>
                <w:highlight w:val="none"/>
                <w:lang w:eastAsia="en-US"/>
              </w:rPr>
              <w:t xml:space="preserve"> □</w:t>
            </w:r>
          </w:p>
        </w:tc>
        <w:tc>
          <w:tcPr>
            <w:tcW w:w="782" w:type="pct"/>
            <w:gridSpan w:val="3"/>
            <w:tcBorders>
              <w:tl2br w:val="nil"/>
              <w:tr2bl w:val="nil"/>
            </w:tcBorders>
            <w:noWrap w:val="0"/>
            <w:vAlign w:val="center"/>
          </w:tcPr>
          <w:p w14:paraId="56464FB5">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Ⅳ□</w:t>
            </w:r>
          </w:p>
        </w:tc>
        <w:tc>
          <w:tcPr>
            <w:tcW w:w="794" w:type="pct"/>
            <w:gridSpan w:val="3"/>
            <w:tcBorders>
              <w:tl2br w:val="nil"/>
              <w:tr2bl w:val="nil"/>
            </w:tcBorders>
            <w:noWrap w:val="0"/>
            <w:vAlign w:val="center"/>
          </w:tcPr>
          <w:p w14:paraId="7C288D6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Ⅲ□</w:t>
            </w:r>
          </w:p>
        </w:tc>
        <w:tc>
          <w:tcPr>
            <w:tcW w:w="927" w:type="pct"/>
            <w:gridSpan w:val="3"/>
            <w:tcBorders>
              <w:tl2br w:val="nil"/>
              <w:tr2bl w:val="nil"/>
            </w:tcBorders>
            <w:noWrap w:val="0"/>
            <w:vAlign w:val="center"/>
          </w:tcPr>
          <w:p w14:paraId="140850D9">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Ⅱ□</w:t>
            </w:r>
          </w:p>
        </w:tc>
        <w:tc>
          <w:tcPr>
            <w:tcW w:w="849" w:type="pct"/>
            <w:gridSpan w:val="2"/>
            <w:tcBorders>
              <w:tl2br w:val="nil"/>
              <w:tr2bl w:val="nil"/>
            </w:tcBorders>
            <w:noWrap w:val="0"/>
            <w:vAlign w:val="center"/>
          </w:tcPr>
          <w:p w14:paraId="7694815A">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 xml:space="preserve">I </w:t>
            </w:r>
            <w:r>
              <w:rPr>
                <w:rFonts w:ascii="Times New Roman"/>
                <w:sz w:val="21"/>
                <w:szCs w:val="21"/>
                <w:highlight w:val="none"/>
                <w:lang w:eastAsia="en-US"/>
              </w:rPr>
              <w:sym w:font="Wingdings 2" w:char="0052"/>
            </w:r>
          </w:p>
        </w:tc>
      </w:tr>
      <w:tr w14:paraId="72FF29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tcBorders>
              <w:tl2br w:val="nil"/>
              <w:tr2bl w:val="nil"/>
            </w:tcBorders>
            <w:noWrap w:val="0"/>
            <w:vAlign w:val="center"/>
          </w:tcPr>
          <w:p w14:paraId="32C876D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评价等级</w:t>
            </w:r>
          </w:p>
        </w:tc>
        <w:tc>
          <w:tcPr>
            <w:tcW w:w="1602" w:type="pct"/>
            <w:gridSpan w:val="5"/>
            <w:tcBorders>
              <w:tl2br w:val="nil"/>
              <w:tr2bl w:val="nil"/>
            </w:tcBorders>
            <w:noWrap w:val="0"/>
            <w:vAlign w:val="center"/>
          </w:tcPr>
          <w:p w14:paraId="21FBA35D">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一级 □</w:t>
            </w:r>
          </w:p>
        </w:tc>
        <w:tc>
          <w:tcPr>
            <w:tcW w:w="794" w:type="pct"/>
            <w:gridSpan w:val="3"/>
            <w:tcBorders>
              <w:tl2br w:val="nil"/>
              <w:tr2bl w:val="nil"/>
            </w:tcBorders>
            <w:noWrap w:val="0"/>
            <w:vAlign w:val="center"/>
          </w:tcPr>
          <w:p w14:paraId="48C49266">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二级 □</w:t>
            </w:r>
          </w:p>
        </w:tc>
        <w:tc>
          <w:tcPr>
            <w:tcW w:w="927" w:type="pct"/>
            <w:gridSpan w:val="3"/>
            <w:tcBorders>
              <w:tl2br w:val="nil"/>
              <w:tr2bl w:val="nil"/>
            </w:tcBorders>
            <w:noWrap w:val="0"/>
            <w:vAlign w:val="center"/>
          </w:tcPr>
          <w:p w14:paraId="12659A6B">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三级 □</w:t>
            </w:r>
          </w:p>
        </w:tc>
        <w:tc>
          <w:tcPr>
            <w:tcW w:w="849" w:type="pct"/>
            <w:gridSpan w:val="2"/>
            <w:tcBorders>
              <w:tl2br w:val="nil"/>
              <w:tr2bl w:val="nil"/>
            </w:tcBorders>
            <w:noWrap w:val="0"/>
            <w:vAlign w:val="center"/>
          </w:tcPr>
          <w:p w14:paraId="68E9580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简单分析</w:t>
            </w:r>
            <w:r>
              <w:rPr>
                <w:rFonts w:ascii="Times New Roman"/>
                <w:sz w:val="21"/>
                <w:szCs w:val="24"/>
                <w:highlight w:val="none"/>
              </w:rPr>
              <w:sym w:font="Wingdings 2" w:char="0052"/>
            </w:r>
          </w:p>
        </w:tc>
      </w:tr>
      <w:tr w14:paraId="2AC400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restart"/>
            <w:tcBorders>
              <w:tl2br w:val="nil"/>
              <w:tr2bl w:val="nil"/>
            </w:tcBorders>
            <w:noWrap w:val="0"/>
            <w:vAlign w:val="center"/>
          </w:tcPr>
          <w:p w14:paraId="4591365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风 险 识 别</w:t>
            </w:r>
          </w:p>
        </w:tc>
        <w:tc>
          <w:tcPr>
            <w:tcW w:w="619" w:type="pct"/>
            <w:tcBorders>
              <w:tl2br w:val="nil"/>
              <w:tr2bl w:val="nil"/>
            </w:tcBorders>
            <w:noWrap w:val="0"/>
            <w:vAlign w:val="center"/>
          </w:tcPr>
          <w:p w14:paraId="6A1505F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物质危险性</w:t>
            </w:r>
          </w:p>
        </w:tc>
        <w:tc>
          <w:tcPr>
            <w:tcW w:w="1974" w:type="pct"/>
            <w:gridSpan w:val="7"/>
            <w:tcBorders>
              <w:tl2br w:val="nil"/>
              <w:tr2bl w:val="nil"/>
            </w:tcBorders>
            <w:noWrap w:val="0"/>
            <w:vAlign w:val="center"/>
          </w:tcPr>
          <w:p w14:paraId="1583778D">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有毒有害 □</w:t>
            </w:r>
          </w:p>
        </w:tc>
        <w:tc>
          <w:tcPr>
            <w:tcW w:w="2199" w:type="pct"/>
            <w:gridSpan w:val="6"/>
            <w:tcBorders>
              <w:tl2br w:val="nil"/>
              <w:tr2bl w:val="nil"/>
            </w:tcBorders>
            <w:noWrap w:val="0"/>
            <w:vAlign w:val="center"/>
          </w:tcPr>
          <w:p w14:paraId="13668FB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易燃易爆 □</w:t>
            </w:r>
          </w:p>
        </w:tc>
      </w:tr>
      <w:tr w14:paraId="1335CA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68A98EF2">
            <w:pPr>
              <w:spacing w:line="240" w:lineRule="auto"/>
              <w:jc w:val="center"/>
              <w:rPr>
                <w:rFonts w:ascii="Times New Roman"/>
                <w:sz w:val="21"/>
                <w:szCs w:val="21"/>
                <w:highlight w:val="none"/>
                <w:lang w:eastAsia="en-US"/>
              </w:rPr>
            </w:pPr>
          </w:p>
        </w:tc>
        <w:tc>
          <w:tcPr>
            <w:tcW w:w="619" w:type="pct"/>
            <w:tcBorders>
              <w:tl2br w:val="nil"/>
              <w:tr2bl w:val="nil"/>
            </w:tcBorders>
            <w:noWrap w:val="0"/>
            <w:vAlign w:val="center"/>
          </w:tcPr>
          <w:p w14:paraId="3FA6BA5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环境风险类型</w:t>
            </w:r>
          </w:p>
        </w:tc>
        <w:tc>
          <w:tcPr>
            <w:tcW w:w="1602" w:type="pct"/>
            <w:gridSpan w:val="5"/>
            <w:tcBorders>
              <w:tl2br w:val="nil"/>
              <w:tr2bl w:val="nil"/>
            </w:tcBorders>
            <w:noWrap w:val="0"/>
            <w:vAlign w:val="center"/>
          </w:tcPr>
          <w:p w14:paraId="08C23879">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泄漏 □</w:t>
            </w:r>
          </w:p>
        </w:tc>
        <w:tc>
          <w:tcPr>
            <w:tcW w:w="2571" w:type="pct"/>
            <w:gridSpan w:val="8"/>
            <w:tcBorders>
              <w:tl2br w:val="nil"/>
              <w:tr2bl w:val="nil"/>
            </w:tcBorders>
            <w:noWrap w:val="0"/>
            <w:vAlign w:val="center"/>
          </w:tcPr>
          <w:p w14:paraId="3CEA8DE7">
            <w:pPr>
              <w:spacing w:line="240" w:lineRule="auto"/>
              <w:jc w:val="center"/>
              <w:rPr>
                <w:rFonts w:ascii="Times New Roman"/>
                <w:sz w:val="21"/>
                <w:szCs w:val="21"/>
                <w:highlight w:val="none"/>
              </w:rPr>
            </w:pPr>
            <w:r>
              <w:rPr>
                <w:rFonts w:ascii="Times New Roman" w:eastAsia="宋体"/>
                <w:sz w:val="21"/>
                <w:szCs w:val="21"/>
                <w:highlight w:val="none"/>
              </w:rPr>
              <w:t>火灾、爆炸引发伴生/次生污染物排放 □</w:t>
            </w:r>
          </w:p>
        </w:tc>
      </w:tr>
      <w:tr w14:paraId="34A35B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68EF9DCF">
            <w:pPr>
              <w:spacing w:line="240" w:lineRule="auto"/>
              <w:jc w:val="center"/>
              <w:rPr>
                <w:rFonts w:ascii="Times New Roman"/>
                <w:sz w:val="21"/>
                <w:szCs w:val="21"/>
                <w:highlight w:val="none"/>
              </w:rPr>
            </w:pPr>
          </w:p>
        </w:tc>
        <w:tc>
          <w:tcPr>
            <w:tcW w:w="619" w:type="pct"/>
            <w:tcBorders>
              <w:tl2br w:val="nil"/>
              <w:tr2bl w:val="nil"/>
            </w:tcBorders>
            <w:noWrap w:val="0"/>
            <w:vAlign w:val="center"/>
          </w:tcPr>
          <w:p w14:paraId="1C81523A">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影响途径</w:t>
            </w:r>
          </w:p>
        </w:tc>
        <w:tc>
          <w:tcPr>
            <w:tcW w:w="1602" w:type="pct"/>
            <w:gridSpan w:val="5"/>
            <w:tcBorders>
              <w:tl2br w:val="nil"/>
              <w:tr2bl w:val="nil"/>
            </w:tcBorders>
            <w:noWrap w:val="0"/>
            <w:vAlign w:val="center"/>
          </w:tcPr>
          <w:p w14:paraId="6A705FB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大气</w:t>
            </w:r>
            <w:r>
              <w:rPr>
                <w:rFonts w:ascii="Times New Roman"/>
                <w:sz w:val="21"/>
                <w:szCs w:val="24"/>
                <w:highlight w:val="none"/>
              </w:rPr>
              <w:sym w:font="Wingdings 2" w:char="0052"/>
            </w:r>
          </w:p>
        </w:tc>
        <w:tc>
          <w:tcPr>
            <w:tcW w:w="1192" w:type="pct"/>
            <w:gridSpan w:val="4"/>
            <w:tcBorders>
              <w:tl2br w:val="nil"/>
              <w:tr2bl w:val="nil"/>
            </w:tcBorders>
            <w:noWrap w:val="0"/>
            <w:vAlign w:val="center"/>
          </w:tcPr>
          <w:p w14:paraId="673CD841">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 xml:space="preserve">地表水 </w:t>
            </w:r>
            <w:r>
              <w:rPr>
                <w:rFonts w:ascii="Times New Roman"/>
                <w:sz w:val="21"/>
                <w:szCs w:val="21"/>
                <w:highlight w:val="none"/>
                <w:lang w:eastAsia="en-US"/>
              </w:rPr>
              <w:sym w:font="Wingdings 2" w:char="0052"/>
            </w:r>
          </w:p>
        </w:tc>
        <w:tc>
          <w:tcPr>
            <w:tcW w:w="1378" w:type="pct"/>
            <w:gridSpan w:val="4"/>
            <w:tcBorders>
              <w:tl2br w:val="nil"/>
              <w:tr2bl w:val="nil"/>
            </w:tcBorders>
            <w:noWrap w:val="0"/>
            <w:vAlign w:val="center"/>
          </w:tcPr>
          <w:p w14:paraId="45B30D4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地下水</w:t>
            </w:r>
            <w:r>
              <w:rPr>
                <w:rFonts w:ascii="Times New Roman"/>
                <w:sz w:val="21"/>
                <w:szCs w:val="24"/>
                <w:highlight w:val="none"/>
              </w:rPr>
              <w:sym w:font="Wingdings 2" w:char="0052"/>
            </w:r>
          </w:p>
        </w:tc>
      </w:tr>
      <w:tr w14:paraId="0F195A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tcBorders>
              <w:tl2br w:val="nil"/>
              <w:tr2bl w:val="nil"/>
            </w:tcBorders>
            <w:noWrap w:val="0"/>
            <w:vAlign w:val="center"/>
          </w:tcPr>
          <w:p w14:paraId="3C9CFD9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事故情形分析</w:t>
            </w:r>
          </w:p>
        </w:tc>
        <w:tc>
          <w:tcPr>
            <w:tcW w:w="819" w:type="pct"/>
            <w:gridSpan w:val="2"/>
            <w:tcBorders>
              <w:tl2br w:val="nil"/>
              <w:tr2bl w:val="nil"/>
            </w:tcBorders>
            <w:noWrap w:val="0"/>
            <w:vAlign w:val="center"/>
          </w:tcPr>
          <w:p w14:paraId="6D05ECB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源强设定方法</w:t>
            </w:r>
          </w:p>
        </w:tc>
        <w:tc>
          <w:tcPr>
            <w:tcW w:w="782" w:type="pct"/>
            <w:gridSpan w:val="3"/>
            <w:tcBorders>
              <w:tl2br w:val="nil"/>
              <w:tr2bl w:val="nil"/>
            </w:tcBorders>
            <w:noWrap w:val="0"/>
            <w:vAlign w:val="center"/>
          </w:tcPr>
          <w:p w14:paraId="68F5072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计算法 □</w:t>
            </w:r>
          </w:p>
        </w:tc>
        <w:tc>
          <w:tcPr>
            <w:tcW w:w="1192" w:type="pct"/>
            <w:gridSpan w:val="4"/>
            <w:tcBorders>
              <w:tl2br w:val="nil"/>
              <w:tr2bl w:val="nil"/>
            </w:tcBorders>
            <w:noWrap w:val="0"/>
            <w:vAlign w:val="center"/>
          </w:tcPr>
          <w:p w14:paraId="5B6B5D3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经验估算法 □</w:t>
            </w:r>
          </w:p>
        </w:tc>
        <w:tc>
          <w:tcPr>
            <w:tcW w:w="1378" w:type="pct"/>
            <w:gridSpan w:val="4"/>
            <w:tcBorders>
              <w:tl2br w:val="nil"/>
              <w:tr2bl w:val="nil"/>
            </w:tcBorders>
            <w:noWrap w:val="0"/>
            <w:vAlign w:val="center"/>
          </w:tcPr>
          <w:p w14:paraId="052F7D90">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其他估算法 □</w:t>
            </w:r>
          </w:p>
        </w:tc>
      </w:tr>
      <w:tr w14:paraId="1197FB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restart"/>
            <w:tcBorders>
              <w:tl2br w:val="nil"/>
              <w:tr2bl w:val="nil"/>
            </w:tcBorders>
            <w:noWrap w:val="0"/>
            <w:vAlign w:val="center"/>
          </w:tcPr>
          <w:p w14:paraId="7A0B5D3C">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风险预测与评价</w:t>
            </w:r>
          </w:p>
        </w:tc>
        <w:tc>
          <w:tcPr>
            <w:tcW w:w="619" w:type="pct"/>
            <w:vMerge w:val="restart"/>
            <w:tcBorders>
              <w:tl2br w:val="nil"/>
              <w:tr2bl w:val="nil"/>
            </w:tcBorders>
            <w:noWrap w:val="0"/>
            <w:vAlign w:val="center"/>
          </w:tcPr>
          <w:p w14:paraId="1DFA215B">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大气</w:t>
            </w:r>
          </w:p>
        </w:tc>
        <w:tc>
          <w:tcPr>
            <w:tcW w:w="819" w:type="pct"/>
            <w:gridSpan w:val="2"/>
            <w:tcBorders>
              <w:tl2br w:val="nil"/>
              <w:tr2bl w:val="nil"/>
            </w:tcBorders>
            <w:noWrap w:val="0"/>
            <w:vAlign w:val="center"/>
          </w:tcPr>
          <w:p w14:paraId="1E13EF52">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预测模型</w:t>
            </w:r>
          </w:p>
        </w:tc>
        <w:tc>
          <w:tcPr>
            <w:tcW w:w="782" w:type="pct"/>
            <w:gridSpan w:val="3"/>
            <w:tcBorders>
              <w:tl2br w:val="nil"/>
              <w:tr2bl w:val="nil"/>
            </w:tcBorders>
            <w:noWrap w:val="0"/>
            <w:vAlign w:val="center"/>
          </w:tcPr>
          <w:p w14:paraId="6151626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SLAB □</w:t>
            </w:r>
          </w:p>
        </w:tc>
        <w:tc>
          <w:tcPr>
            <w:tcW w:w="1192" w:type="pct"/>
            <w:gridSpan w:val="4"/>
            <w:tcBorders>
              <w:tl2br w:val="nil"/>
              <w:tr2bl w:val="nil"/>
            </w:tcBorders>
            <w:noWrap w:val="0"/>
            <w:vAlign w:val="center"/>
          </w:tcPr>
          <w:p w14:paraId="7A1C16E8">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AFTOX □</w:t>
            </w:r>
          </w:p>
        </w:tc>
        <w:tc>
          <w:tcPr>
            <w:tcW w:w="1378" w:type="pct"/>
            <w:gridSpan w:val="4"/>
            <w:tcBorders>
              <w:tl2br w:val="nil"/>
              <w:tr2bl w:val="nil"/>
            </w:tcBorders>
            <w:noWrap w:val="0"/>
            <w:vAlign w:val="center"/>
          </w:tcPr>
          <w:p w14:paraId="23C647B3">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其他 □</w:t>
            </w:r>
          </w:p>
        </w:tc>
      </w:tr>
      <w:tr w14:paraId="00FB68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57B5AE49">
            <w:pPr>
              <w:spacing w:line="240" w:lineRule="auto"/>
              <w:jc w:val="center"/>
              <w:rPr>
                <w:rFonts w:ascii="Times New Roman"/>
                <w:sz w:val="21"/>
                <w:szCs w:val="21"/>
                <w:highlight w:val="none"/>
                <w:lang w:eastAsia="en-US"/>
              </w:rPr>
            </w:pPr>
          </w:p>
        </w:tc>
        <w:tc>
          <w:tcPr>
            <w:tcW w:w="619" w:type="pct"/>
            <w:vMerge w:val="continue"/>
            <w:tcBorders>
              <w:tl2br w:val="nil"/>
              <w:tr2bl w:val="nil"/>
            </w:tcBorders>
            <w:noWrap w:val="0"/>
            <w:vAlign w:val="center"/>
          </w:tcPr>
          <w:p w14:paraId="213267FA">
            <w:pPr>
              <w:spacing w:line="240" w:lineRule="auto"/>
              <w:jc w:val="center"/>
              <w:rPr>
                <w:rFonts w:ascii="Times New Roman"/>
                <w:sz w:val="21"/>
                <w:szCs w:val="21"/>
                <w:highlight w:val="none"/>
                <w:lang w:eastAsia="en-US"/>
              </w:rPr>
            </w:pPr>
          </w:p>
        </w:tc>
        <w:tc>
          <w:tcPr>
            <w:tcW w:w="819" w:type="pct"/>
            <w:gridSpan w:val="2"/>
            <w:vMerge w:val="restart"/>
            <w:tcBorders>
              <w:tl2br w:val="nil"/>
              <w:tr2bl w:val="nil"/>
            </w:tcBorders>
            <w:noWrap w:val="0"/>
            <w:vAlign w:val="center"/>
          </w:tcPr>
          <w:p w14:paraId="195C256A">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预测结果</w:t>
            </w:r>
          </w:p>
        </w:tc>
        <w:tc>
          <w:tcPr>
            <w:tcW w:w="3354" w:type="pct"/>
            <w:gridSpan w:val="11"/>
            <w:tcBorders>
              <w:tl2br w:val="nil"/>
              <w:tr2bl w:val="nil"/>
            </w:tcBorders>
            <w:noWrap w:val="0"/>
            <w:vAlign w:val="center"/>
          </w:tcPr>
          <w:p w14:paraId="2CBBC4BF">
            <w:pPr>
              <w:tabs>
                <w:tab w:val="left" w:pos="4611"/>
              </w:tabs>
              <w:spacing w:line="240" w:lineRule="auto"/>
              <w:jc w:val="center"/>
              <w:rPr>
                <w:rFonts w:ascii="Times New Roman"/>
                <w:sz w:val="21"/>
                <w:szCs w:val="21"/>
                <w:highlight w:val="none"/>
              </w:rPr>
            </w:pPr>
            <w:r>
              <w:rPr>
                <w:rFonts w:ascii="Times New Roman" w:eastAsia="宋体"/>
                <w:sz w:val="21"/>
                <w:szCs w:val="21"/>
                <w:highlight w:val="none"/>
              </w:rPr>
              <w:t>大气毒性终点浓度-1  最大影响范围</w:t>
            </w:r>
            <w:r>
              <w:rPr>
                <w:rFonts w:ascii="Times New Roman" w:eastAsia="宋体"/>
                <w:sz w:val="21"/>
                <w:szCs w:val="21"/>
                <w:highlight w:val="none"/>
                <w:u w:val="single" w:color="000000"/>
              </w:rPr>
              <w:t xml:space="preserve">        </w:t>
            </w:r>
            <w:r>
              <w:rPr>
                <w:rFonts w:ascii="Times New Roman" w:eastAsia="宋体"/>
                <w:sz w:val="21"/>
                <w:szCs w:val="21"/>
                <w:highlight w:val="none"/>
              </w:rPr>
              <w:t>m</w:t>
            </w:r>
          </w:p>
        </w:tc>
      </w:tr>
      <w:tr w14:paraId="3FE7FD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0FD17ADD">
            <w:pPr>
              <w:spacing w:line="240" w:lineRule="auto"/>
              <w:jc w:val="center"/>
              <w:rPr>
                <w:rFonts w:ascii="Times New Roman"/>
                <w:sz w:val="21"/>
                <w:szCs w:val="21"/>
                <w:highlight w:val="none"/>
              </w:rPr>
            </w:pPr>
          </w:p>
        </w:tc>
        <w:tc>
          <w:tcPr>
            <w:tcW w:w="619" w:type="pct"/>
            <w:vMerge w:val="continue"/>
            <w:tcBorders>
              <w:tl2br w:val="nil"/>
              <w:tr2bl w:val="nil"/>
            </w:tcBorders>
            <w:noWrap w:val="0"/>
            <w:vAlign w:val="center"/>
          </w:tcPr>
          <w:p w14:paraId="505F8074">
            <w:pPr>
              <w:spacing w:line="240" w:lineRule="auto"/>
              <w:jc w:val="center"/>
              <w:rPr>
                <w:rFonts w:ascii="Times New Roman"/>
                <w:sz w:val="21"/>
                <w:szCs w:val="21"/>
                <w:highlight w:val="none"/>
              </w:rPr>
            </w:pPr>
          </w:p>
        </w:tc>
        <w:tc>
          <w:tcPr>
            <w:tcW w:w="819" w:type="pct"/>
            <w:gridSpan w:val="2"/>
            <w:vMerge w:val="continue"/>
            <w:tcBorders>
              <w:tl2br w:val="nil"/>
              <w:tr2bl w:val="nil"/>
            </w:tcBorders>
            <w:noWrap w:val="0"/>
            <w:vAlign w:val="center"/>
          </w:tcPr>
          <w:p w14:paraId="27E5587C">
            <w:pPr>
              <w:spacing w:line="240" w:lineRule="auto"/>
              <w:jc w:val="center"/>
              <w:rPr>
                <w:rFonts w:ascii="Times New Roman"/>
                <w:sz w:val="21"/>
                <w:szCs w:val="21"/>
                <w:highlight w:val="none"/>
              </w:rPr>
            </w:pPr>
          </w:p>
        </w:tc>
        <w:tc>
          <w:tcPr>
            <w:tcW w:w="3354" w:type="pct"/>
            <w:gridSpan w:val="11"/>
            <w:tcBorders>
              <w:tl2br w:val="nil"/>
              <w:tr2bl w:val="nil"/>
            </w:tcBorders>
            <w:noWrap w:val="0"/>
            <w:vAlign w:val="center"/>
          </w:tcPr>
          <w:p w14:paraId="1E2A7DAC">
            <w:pPr>
              <w:tabs>
                <w:tab w:val="left" w:pos="4611"/>
              </w:tabs>
              <w:spacing w:line="240" w:lineRule="auto"/>
              <w:jc w:val="center"/>
              <w:rPr>
                <w:rFonts w:ascii="Times New Roman"/>
                <w:sz w:val="21"/>
                <w:szCs w:val="21"/>
                <w:highlight w:val="none"/>
              </w:rPr>
            </w:pPr>
            <w:r>
              <w:rPr>
                <w:rFonts w:ascii="Times New Roman" w:eastAsia="宋体"/>
                <w:sz w:val="21"/>
                <w:szCs w:val="21"/>
                <w:highlight w:val="none"/>
              </w:rPr>
              <w:t>大气毒性终点浓度-2  最大影响范围</w:t>
            </w:r>
            <w:r>
              <w:rPr>
                <w:rFonts w:ascii="Times New Roman" w:eastAsia="宋体"/>
                <w:sz w:val="21"/>
                <w:szCs w:val="21"/>
                <w:highlight w:val="none"/>
                <w:u w:val="single" w:color="000000"/>
              </w:rPr>
              <w:t xml:space="preserve">        </w:t>
            </w:r>
            <w:r>
              <w:rPr>
                <w:rFonts w:ascii="Times New Roman" w:eastAsia="宋体"/>
                <w:sz w:val="21"/>
                <w:szCs w:val="21"/>
                <w:highlight w:val="none"/>
              </w:rPr>
              <w:t>m</w:t>
            </w:r>
          </w:p>
        </w:tc>
      </w:tr>
      <w:tr w14:paraId="420CC0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3643EA79">
            <w:pPr>
              <w:spacing w:line="240" w:lineRule="auto"/>
              <w:jc w:val="center"/>
              <w:rPr>
                <w:rFonts w:ascii="Times New Roman"/>
                <w:sz w:val="21"/>
                <w:szCs w:val="21"/>
                <w:highlight w:val="none"/>
              </w:rPr>
            </w:pPr>
          </w:p>
        </w:tc>
        <w:tc>
          <w:tcPr>
            <w:tcW w:w="619" w:type="pct"/>
            <w:tcBorders>
              <w:tl2br w:val="nil"/>
              <w:tr2bl w:val="nil"/>
            </w:tcBorders>
            <w:noWrap w:val="0"/>
            <w:vAlign w:val="center"/>
          </w:tcPr>
          <w:p w14:paraId="48E86F0F">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地表水</w:t>
            </w:r>
          </w:p>
        </w:tc>
        <w:tc>
          <w:tcPr>
            <w:tcW w:w="4173" w:type="pct"/>
            <w:gridSpan w:val="13"/>
            <w:tcBorders>
              <w:tl2br w:val="nil"/>
              <w:tr2bl w:val="nil"/>
            </w:tcBorders>
            <w:noWrap w:val="0"/>
            <w:vAlign w:val="center"/>
          </w:tcPr>
          <w:p w14:paraId="2A5B113E">
            <w:pPr>
              <w:tabs>
                <w:tab w:val="left" w:pos="4167"/>
                <w:tab w:val="left" w:pos="5517"/>
              </w:tabs>
              <w:spacing w:line="240" w:lineRule="auto"/>
              <w:jc w:val="center"/>
              <w:rPr>
                <w:rFonts w:ascii="Times New Roman"/>
                <w:sz w:val="21"/>
                <w:szCs w:val="21"/>
                <w:highlight w:val="none"/>
              </w:rPr>
            </w:pPr>
            <w:r>
              <w:rPr>
                <w:rFonts w:ascii="Times New Roman" w:eastAsia="宋体"/>
                <w:sz w:val="21"/>
                <w:szCs w:val="21"/>
                <w:highlight w:val="none"/>
              </w:rPr>
              <w:t>最近环境敏感目标</w:t>
            </w:r>
            <w:r>
              <w:rPr>
                <w:rFonts w:ascii="Times New Roman" w:eastAsia="宋体"/>
                <w:sz w:val="21"/>
                <w:szCs w:val="21"/>
                <w:highlight w:val="none"/>
                <w:u w:val="single"/>
              </w:rPr>
              <w:t xml:space="preserve">        </w:t>
            </w:r>
            <w:r>
              <w:rPr>
                <w:rFonts w:ascii="Times New Roman" w:eastAsia="宋体"/>
                <w:sz w:val="21"/>
                <w:szCs w:val="21"/>
                <w:highlight w:val="none"/>
              </w:rPr>
              <w:t>，到达时间</w:t>
            </w:r>
            <w:r>
              <w:rPr>
                <w:rFonts w:ascii="Times New Roman" w:eastAsia="宋体"/>
                <w:sz w:val="21"/>
                <w:szCs w:val="21"/>
                <w:highlight w:val="none"/>
                <w:u w:val="single"/>
              </w:rPr>
              <w:t xml:space="preserve">       </w:t>
            </w:r>
            <w:r>
              <w:rPr>
                <w:rFonts w:ascii="Times New Roman" w:eastAsia="宋体"/>
                <w:sz w:val="21"/>
                <w:szCs w:val="21"/>
                <w:highlight w:val="none"/>
              </w:rPr>
              <w:t>h</w:t>
            </w:r>
          </w:p>
        </w:tc>
      </w:tr>
      <w:tr w14:paraId="19B84C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5157DD34">
            <w:pPr>
              <w:spacing w:line="240" w:lineRule="auto"/>
              <w:jc w:val="center"/>
              <w:rPr>
                <w:rFonts w:ascii="Times New Roman"/>
                <w:sz w:val="21"/>
                <w:szCs w:val="21"/>
                <w:highlight w:val="none"/>
              </w:rPr>
            </w:pPr>
          </w:p>
        </w:tc>
        <w:tc>
          <w:tcPr>
            <w:tcW w:w="619" w:type="pct"/>
            <w:vMerge w:val="restart"/>
            <w:tcBorders>
              <w:tl2br w:val="nil"/>
              <w:tr2bl w:val="nil"/>
            </w:tcBorders>
            <w:noWrap w:val="0"/>
            <w:vAlign w:val="center"/>
          </w:tcPr>
          <w:p w14:paraId="40107756">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地下水</w:t>
            </w:r>
          </w:p>
        </w:tc>
        <w:tc>
          <w:tcPr>
            <w:tcW w:w="4173" w:type="pct"/>
            <w:gridSpan w:val="13"/>
            <w:tcBorders>
              <w:tl2br w:val="nil"/>
              <w:tr2bl w:val="nil"/>
            </w:tcBorders>
            <w:noWrap w:val="0"/>
            <w:vAlign w:val="center"/>
          </w:tcPr>
          <w:p w14:paraId="5515465E">
            <w:pPr>
              <w:tabs>
                <w:tab w:val="left" w:pos="2254"/>
              </w:tabs>
              <w:spacing w:line="240" w:lineRule="auto"/>
              <w:jc w:val="center"/>
              <w:rPr>
                <w:rFonts w:ascii="Times New Roman"/>
                <w:sz w:val="21"/>
                <w:szCs w:val="21"/>
                <w:highlight w:val="none"/>
              </w:rPr>
            </w:pPr>
            <w:r>
              <w:rPr>
                <w:rFonts w:ascii="Times New Roman" w:eastAsia="宋体"/>
                <w:sz w:val="21"/>
                <w:szCs w:val="21"/>
                <w:highlight w:val="none"/>
              </w:rPr>
              <w:t>下游厂区边界到达时间</w:t>
            </w:r>
            <w:r>
              <w:rPr>
                <w:rFonts w:ascii="Times New Roman" w:eastAsia="宋体"/>
                <w:sz w:val="21"/>
                <w:szCs w:val="21"/>
                <w:highlight w:val="none"/>
                <w:u w:val="single" w:color="000000"/>
              </w:rPr>
              <w:t xml:space="preserve">          </w:t>
            </w:r>
            <w:r>
              <w:rPr>
                <w:rFonts w:ascii="Times New Roman" w:eastAsia="宋体"/>
                <w:sz w:val="21"/>
                <w:szCs w:val="21"/>
                <w:highlight w:val="none"/>
              </w:rPr>
              <w:t>d</w:t>
            </w:r>
          </w:p>
        </w:tc>
      </w:tr>
      <w:tr w14:paraId="7F0CCF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06" w:type="pct"/>
            <w:vMerge w:val="continue"/>
            <w:tcBorders>
              <w:tl2br w:val="nil"/>
              <w:tr2bl w:val="nil"/>
            </w:tcBorders>
            <w:noWrap w:val="0"/>
            <w:vAlign w:val="center"/>
          </w:tcPr>
          <w:p w14:paraId="7A125B22">
            <w:pPr>
              <w:spacing w:line="240" w:lineRule="auto"/>
              <w:jc w:val="center"/>
              <w:rPr>
                <w:rFonts w:ascii="Times New Roman"/>
                <w:sz w:val="21"/>
                <w:szCs w:val="21"/>
                <w:highlight w:val="none"/>
              </w:rPr>
            </w:pPr>
          </w:p>
        </w:tc>
        <w:tc>
          <w:tcPr>
            <w:tcW w:w="619" w:type="pct"/>
            <w:vMerge w:val="continue"/>
            <w:tcBorders>
              <w:tl2br w:val="nil"/>
              <w:tr2bl w:val="nil"/>
            </w:tcBorders>
            <w:noWrap w:val="0"/>
            <w:vAlign w:val="center"/>
          </w:tcPr>
          <w:p w14:paraId="01169FCF">
            <w:pPr>
              <w:spacing w:line="240" w:lineRule="auto"/>
              <w:jc w:val="center"/>
              <w:rPr>
                <w:rFonts w:ascii="Times New Roman"/>
                <w:sz w:val="21"/>
                <w:szCs w:val="21"/>
                <w:highlight w:val="none"/>
              </w:rPr>
            </w:pPr>
          </w:p>
        </w:tc>
        <w:tc>
          <w:tcPr>
            <w:tcW w:w="4173" w:type="pct"/>
            <w:gridSpan w:val="13"/>
            <w:tcBorders>
              <w:tl2br w:val="nil"/>
              <w:tr2bl w:val="nil"/>
            </w:tcBorders>
            <w:noWrap w:val="0"/>
            <w:vAlign w:val="center"/>
          </w:tcPr>
          <w:p w14:paraId="42EBAA6F">
            <w:pPr>
              <w:tabs>
                <w:tab w:val="left" w:pos="4167"/>
                <w:tab w:val="left" w:pos="5517"/>
              </w:tabs>
              <w:spacing w:line="240" w:lineRule="auto"/>
              <w:jc w:val="center"/>
              <w:rPr>
                <w:rFonts w:ascii="Times New Roman"/>
                <w:sz w:val="21"/>
                <w:szCs w:val="21"/>
                <w:highlight w:val="none"/>
              </w:rPr>
            </w:pPr>
            <w:r>
              <w:rPr>
                <w:rFonts w:ascii="Times New Roman" w:eastAsia="宋体"/>
                <w:sz w:val="21"/>
                <w:szCs w:val="21"/>
                <w:highlight w:val="none"/>
              </w:rPr>
              <w:t>最近环境敏感目标</w:t>
            </w:r>
            <w:r>
              <w:rPr>
                <w:rFonts w:ascii="Times New Roman" w:eastAsia="宋体"/>
                <w:sz w:val="21"/>
                <w:szCs w:val="21"/>
                <w:highlight w:val="none"/>
                <w:u w:val="single"/>
              </w:rPr>
              <w:t xml:space="preserve">           </w:t>
            </w:r>
            <w:r>
              <w:rPr>
                <w:rFonts w:ascii="Times New Roman" w:eastAsia="宋体"/>
                <w:sz w:val="21"/>
                <w:szCs w:val="21"/>
                <w:highlight w:val="none"/>
              </w:rPr>
              <w:t>，到达时间</w:t>
            </w:r>
            <w:r>
              <w:rPr>
                <w:rFonts w:ascii="Times New Roman" w:eastAsia="宋体"/>
                <w:sz w:val="21"/>
                <w:szCs w:val="21"/>
                <w:highlight w:val="none"/>
                <w:u w:val="single" w:color="000000"/>
              </w:rPr>
              <w:t xml:space="preserve">              d</w:t>
            </w:r>
          </w:p>
        </w:tc>
      </w:tr>
      <w:tr w14:paraId="26507A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tcBorders>
              <w:tl2br w:val="nil"/>
              <w:tr2bl w:val="nil"/>
            </w:tcBorders>
            <w:noWrap w:val="0"/>
            <w:vAlign w:val="center"/>
          </w:tcPr>
          <w:p w14:paraId="5CE8A3D6">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重点风险防范 措施</w:t>
            </w:r>
          </w:p>
        </w:tc>
        <w:tc>
          <w:tcPr>
            <w:tcW w:w="4173" w:type="pct"/>
            <w:gridSpan w:val="13"/>
            <w:tcBorders>
              <w:tl2br w:val="nil"/>
              <w:tr2bl w:val="nil"/>
            </w:tcBorders>
            <w:noWrap w:val="0"/>
            <w:vAlign w:val="center"/>
          </w:tcPr>
          <w:p w14:paraId="12230A54">
            <w:pPr>
              <w:spacing w:line="240" w:lineRule="auto"/>
              <w:jc w:val="center"/>
              <w:rPr>
                <w:rFonts w:ascii="Times New Roman"/>
                <w:sz w:val="21"/>
                <w:szCs w:val="21"/>
                <w:highlight w:val="none"/>
                <w:lang w:eastAsia="en-US"/>
              </w:rPr>
            </w:pPr>
            <w:r>
              <w:rPr>
                <w:rFonts w:hint="eastAsia" w:ascii="Times New Roman"/>
                <w:sz w:val="21"/>
                <w:szCs w:val="21"/>
                <w:highlight w:val="none"/>
                <w:lang w:eastAsia="en-US"/>
              </w:rPr>
              <w:t>监控系统及应急监测管理，编制环境风险应急预案</w:t>
            </w:r>
          </w:p>
        </w:tc>
      </w:tr>
      <w:tr w14:paraId="367F23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26" w:type="pct"/>
            <w:gridSpan w:val="2"/>
            <w:tcBorders>
              <w:tl2br w:val="nil"/>
              <w:tr2bl w:val="nil"/>
            </w:tcBorders>
            <w:noWrap w:val="0"/>
            <w:vAlign w:val="center"/>
          </w:tcPr>
          <w:p w14:paraId="0578C907">
            <w:pPr>
              <w:spacing w:line="240" w:lineRule="auto"/>
              <w:jc w:val="center"/>
              <w:rPr>
                <w:rFonts w:ascii="Times New Roman"/>
                <w:sz w:val="21"/>
                <w:szCs w:val="21"/>
                <w:highlight w:val="none"/>
                <w:lang w:eastAsia="en-US"/>
              </w:rPr>
            </w:pPr>
            <w:r>
              <w:rPr>
                <w:rFonts w:ascii="Times New Roman" w:eastAsia="宋体"/>
                <w:sz w:val="21"/>
                <w:szCs w:val="21"/>
                <w:highlight w:val="none"/>
                <w:lang w:eastAsia="en-US"/>
              </w:rPr>
              <w:t>评价结论与建议</w:t>
            </w:r>
          </w:p>
        </w:tc>
        <w:tc>
          <w:tcPr>
            <w:tcW w:w="4173" w:type="pct"/>
            <w:gridSpan w:val="13"/>
            <w:tcBorders>
              <w:tl2br w:val="nil"/>
              <w:tr2bl w:val="nil"/>
            </w:tcBorders>
            <w:noWrap w:val="0"/>
            <w:vAlign w:val="center"/>
          </w:tcPr>
          <w:p w14:paraId="390C79E8">
            <w:pPr>
              <w:spacing w:line="240" w:lineRule="auto"/>
              <w:jc w:val="center"/>
              <w:rPr>
                <w:rFonts w:ascii="Times New Roman"/>
                <w:sz w:val="21"/>
                <w:szCs w:val="21"/>
                <w:highlight w:val="none"/>
              </w:rPr>
            </w:pPr>
            <w:r>
              <w:rPr>
                <w:rFonts w:ascii="Times New Roman" w:eastAsia="宋体"/>
                <w:sz w:val="21"/>
                <w:szCs w:val="21"/>
                <w:highlight w:val="none"/>
              </w:rPr>
              <w:t>环境风险可接受</w:t>
            </w:r>
          </w:p>
        </w:tc>
      </w:tr>
      <w:tr w14:paraId="542DA3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000" w:type="pct"/>
            <w:gridSpan w:val="15"/>
            <w:tcBorders>
              <w:tl2br w:val="nil"/>
              <w:tr2bl w:val="nil"/>
            </w:tcBorders>
            <w:noWrap w:val="0"/>
            <w:vAlign w:val="center"/>
          </w:tcPr>
          <w:p w14:paraId="0E6A162F">
            <w:pPr>
              <w:spacing w:line="240" w:lineRule="auto"/>
              <w:jc w:val="center"/>
              <w:rPr>
                <w:rFonts w:ascii="Times New Roman"/>
                <w:sz w:val="21"/>
                <w:szCs w:val="21"/>
                <w:highlight w:val="none"/>
              </w:rPr>
            </w:pPr>
            <w:r>
              <w:rPr>
                <w:rFonts w:ascii="Times New Roman" w:eastAsia="宋体"/>
                <w:sz w:val="21"/>
                <w:szCs w:val="21"/>
                <w:highlight w:val="none"/>
              </w:rPr>
              <w:t>注：“□”为勾选项，“   ”为填写项。</w:t>
            </w:r>
          </w:p>
        </w:tc>
      </w:tr>
    </w:tbl>
    <w:p w14:paraId="7350BE6D">
      <w:pPr>
        <w:pStyle w:val="5"/>
        <w:pageBreakBefore w:val="0"/>
        <w:widowControl w:val="0"/>
        <w:kinsoku/>
        <w:wordWrap/>
        <w:overflowPunct/>
        <w:topLinePunct w:val="0"/>
        <w:bidi w:val="0"/>
        <w:spacing w:before="0" w:after="0" w:line="360" w:lineRule="auto"/>
        <w:textAlignment w:val="auto"/>
        <w:rPr>
          <w:rFonts w:hint="default" w:ascii="Times New Roman" w:hAnsi="Times New Roman" w:eastAsia="宋体" w:cs="Times New Roman"/>
          <w:b/>
          <w:color w:val="000000"/>
          <w:sz w:val="28"/>
          <w:szCs w:val="28"/>
          <w:highlight w:val="none"/>
        </w:rPr>
      </w:pPr>
      <w:bookmarkStart w:id="333" w:name="_Toc28511"/>
      <w:bookmarkStart w:id="334" w:name="_Toc999"/>
      <w:bookmarkStart w:id="335" w:name="_Toc16269"/>
      <w:r>
        <w:rPr>
          <w:rFonts w:hint="default" w:ascii="Times New Roman" w:hAnsi="Times New Roman" w:eastAsia="宋体" w:cs="Times New Roman"/>
          <w:b/>
          <w:color w:val="000000"/>
          <w:sz w:val="28"/>
          <w:szCs w:val="28"/>
          <w:highlight w:val="none"/>
        </w:rPr>
        <w:t>生态环境影响评价</w:t>
      </w:r>
      <w:bookmarkEnd w:id="329"/>
      <w:bookmarkEnd w:id="330"/>
      <w:bookmarkEnd w:id="333"/>
      <w:bookmarkEnd w:id="334"/>
      <w:bookmarkEnd w:id="335"/>
    </w:p>
    <w:p w14:paraId="3698A764">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土地利用</w:t>
      </w:r>
    </w:p>
    <w:p w14:paraId="288DCC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sz w:val="24"/>
          <w:highlight w:val="none"/>
          <w:lang w:eastAsia="zh-CN"/>
        </w:rPr>
      </w:pPr>
      <w:r>
        <w:rPr>
          <w:rFonts w:hint="default" w:ascii="Times New Roman" w:hAnsi="Times New Roman" w:cs="Times New Roman"/>
          <w:color w:val="000000"/>
          <w:sz w:val="24"/>
          <w:highlight w:val="none"/>
        </w:rPr>
        <w:t>根据现场勘查，</w:t>
      </w:r>
      <w:r>
        <w:rPr>
          <w:rFonts w:hint="eastAsia" w:ascii="Times New Roman" w:hAnsi="Times New Roman" w:cs="Times New Roman"/>
          <w:sz w:val="24"/>
          <w:szCs w:val="22"/>
          <w:highlight w:val="none"/>
          <w:lang w:val="en-US" w:eastAsia="zh-CN"/>
        </w:rPr>
        <w:t>项目在已闭库尾矿库上建设，评价范围</w:t>
      </w:r>
      <w:r>
        <w:rPr>
          <w:rFonts w:hint="eastAsia" w:ascii="Times New Roman" w:hAnsi="Times New Roman" w:cs="Times New Roman"/>
          <w:b w:val="0"/>
          <w:bCs w:val="0"/>
          <w:color w:val="000000"/>
          <w:sz w:val="24"/>
          <w:highlight w:val="none"/>
          <w:lang w:val="en-US" w:eastAsia="zh-CN"/>
        </w:rPr>
        <w:t>东北沟尾矿库占地区域</w:t>
      </w:r>
      <w:r>
        <w:rPr>
          <w:rFonts w:hint="eastAsia" w:ascii="Times New Roman" w:hAnsi="Times New Roman" w:cs="Times New Roman"/>
          <w:sz w:val="24"/>
          <w:szCs w:val="22"/>
          <w:highlight w:val="none"/>
          <w:lang w:val="en-US" w:eastAsia="zh-CN"/>
        </w:rPr>
        <w:t>内已进行生态恢复，</w:t>
      </w:r>
      <w:r>
        <w:rPr>
          <w:rFonts w:hint="default" w:ascii="Times New Roman" w:hAnsi="Times New Roman" w:cs="Times New Roman"/>
          <w:color w:val="000000"/>
          <w:sz w:val="24"/>
          <w:highlight w:val="none"/>
        </w:rPr>
        <w:t>植被以</w:t>
      </w:r>
      <w:r>
        <w:rPr>
          <w:rFonts w:hint="eastAsia" w:cs="Times New Roman"/>
          <w:color w:val="000000"/>
          <w:sz w:val="24"/>
          <w:highlight w:val="none"/>
          <w:lang w:val="en-US" w:eastAsia="zh-CN"/>
        </w:rPr>
        <w:t>人工种植的</w:t>
      </w:r>
      <w:r>
        <w:rPr>
          <w:rFonts w:hint="default" w:ascii="Times New Roman" w:hAnsi="Times New Roman" w:cs="Times New Roman"/>
          <w:color w:val="000000"/>
          <w:sz w:val="24"/>
          <w:highlight w:val="none"/>
        </w:rPr>
        <w:t>灌木林地为主，未被东北沟尾矿库占用区域植被为自然植被，本项目的实施会临时改变占地范围土地利用类型，对周边生态环境造成一定影响。但实施过程中，堆满的台阶会</w:t>
      </w:r>
      <w:r>
        <w:rPr>
          <w:rFonts w:hint="eastAsia" w:cs="Times New Roman"/>
          <w:color w:val="000000"/>
          <w:sz w:val="24"/>
          <w:highlight w:val="none"/>
          <w:lang w:val="en-US" w:eastAsia="zh-CN"/>
        </w:rPr>
        <w:t>及时</w:t>
      </w:r>
      <w:r>
        <w:rPr>
          <w:rFonts w:hint="default" w:ascii="Times New Roman" w:hAnsi="Times New Roman" w:cs="Times New Roman"/>
          <w:color w:val="000000"/>
          <w:sz w:val="24"/>
          <w:highlight w:val="none"/>
        </w:rPr>
        <w:t>进行覆土绿化，堆存区封场后最终将达到整体绿化，植被覆盖全部堆存区，可使破坏的生态环境基本得到恢复和补偿，逐步恢复为原土地利用类型</w:t>
      </w:r>
      <w:r>
        <w:rPr>
          <w:rFonts w:hint="eastAsia" w:cs="Times New Roman"/>
          <w:color w:val="000000"/>
          <w:sz w:val="24"/>
          <w:highlight w:val="none"/>
          <w:lang w:eastAsia="zh-CN"/>
        </w:rPr>
        <w:t>。</w:t>
      </w:r>
    </w:p>
    <w:p w14:paraId="6294C59D">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eastAsia" w:cs="Times New Roman"/>
          <w:color w:val="000000"/>
          <w:sz w:val="24"/>
          <w:highlight w:val="none"/>
          <w:lang w:eastAsia="zh-CN"/>
        </w:rPr>
      </w:pPr>
      <w:r>
        <w:rPr>
          <w:rFonts w:hint="eastAsia" w:cs="Times New Roman"/>
          <w:b/>
          <w:bCs/>
          <w:color w:val="auto"/>
          <w:highlight w:val="none"/>
          <w:lang w:val="en-US" w:eastAsia="zh-CN"/>
        </w:rPr>
        <w:t>水土流失影响分析</w:t>
      </w:r>
    </w:p>
    <w:p w14:paraId="436838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根据《</w:t>
      </w:r>
      <w:r>
        <w:rPr>
          <w:rFonts w:hint="default" w:ascii="Times New Roman" w:hAnsi="Times New Roman" w:cs="Times New Roman"/>
          <w:sz w:val="24"/>
          <w:szCs w:val="24"/>
          <w:highlight w:val="none"/>
          <w:lang w:eastAsia="zh-CN"/>
        </w:rPr>
        <w:t>生产建设项目水土流失防治标准</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GB/T50434-2018</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的规定，水土流失防治的执行标准为一级标准。项目的防治目标：项目属燕山国家级水土流失重点预防区内水土流失治理度达到95%，土壤流失控制比达到1.0，渣土防护率达到98%，表土保护率95%，林草植被恢复率达到97%，林草覆盖率达到27%。</w:t>
      </w:r>
    </w:p>
    <w:p w14:paraId="6BF055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根据项目区环境特征，结合项目工程特点和主体工程中已有的防治措施，制定布置水土保持措施的原则如下：</w:t>
      </w:r>
    </w:p>
    <w:p w14:paraId="0AEE3C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①结合工程实际和项目区水土流失现状，因地制宜、因害设防、总体设计、全面布局、科学配置；</w:t>
      </w:r>
      <w:r>
        <w:rPr>
          <w:rFonts w:hint="eastAsia" w:cs="Times New Roman"/>
          <w:sz w:val="24"/>
          <w:szCs w:val="24"/>
          <w:highlight w:val="none"/>
          <w:lang w:val="en-US" w:eastAsia="zh-CN"/>
        </w:rPr>
        <w:t>本</w:t>
      </w:r>
      <w:r>
        <w:rPr>
          <w:rFonts w:hint="default" w:ascii="Times New Roman" w:hAnsi="Times New Roman" w:cs="Times New Roman"/>
          <w:sz w:val="24"/>
          <w:szCs w:val="24"/>
          <w:highlight w:val="none"/>
        </w:rPr>
        <w:t>项目建设</w:t>
      </w:r>
      <w:r>
        <w:rPr>
          <w:rFonts w:hint="eastAsia" w:cs="Times New Roman"/>
          <w:sz w:val="24"/>
          <w:szCs w:val="24"/>
          <w:highlight w:val="none"/>
          <w:lang w:eastAsia="zh-CN"/>
        </w:rPr>
        <w:t>了</w:t>
      </w:r>
      <w:r>
        <w:rPr>
          <w:rFonts w:hint="default" w:ascii="Times New Roman" w:hAnsi="Times New Roman" w:cs="Times New Roman"/>
          <w:sz w:val="24"/>
          <w:szCs w:val="24"/>
          <w:highlight w:val="none"/>
        </w:rPr>
        <w:t>1座挡石坝、1座拦碴坝、1座挡石墙</w:t>
      </w:r>
      <w:r>
        <w:rPr>
          <w:rFonts w:hint="eastAsia" w:cs="Times New Roman"/>
          <w:sz w:val="24"/>
          <w:szCs w:val="24"/>
          <w:highlight w:val="none"/>
          <w:lang w:eastAsia="zh-CN"/>
        </w:rPr>
        <w:t>，确保坝体稳定性，有效防治对下游影响。</w:t>
      </w:r>
    </w:p>
    <w:p w14:paraId="50D2F8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eastAsia="zh-CN"/>
        </w:rPr>
      </w:pPr>
      <w:r>
        <w:rPr>
          <w:rFonts w:hint="default" w:ascii="Times New Roman" w:hAnsi="Times New Roman" w:cs="Times New Roman"/>
          <w:sz w:val="24"/>
          <w:szCs w:val="24"/>
          <w:highlight w:val="none"/>
        </w:rPr>
        <w:t>②项目建设过程中应注重生态环境保护，</w:t>
      </w:r>
      <w:r>
        <w:rPr>
          <w:rFonts w:hint="eastAsia" w:ascii="Times New Roman"/>
          <w:color w:val="auto"/>
          <w:sz w:val="24"/>
          <w:szCs w:val="24"/>
          <w:highlight w:val="none"/>
        </w:rPr>
        <w:t>挡石坝</w:t>
      </w:r>
      <w:r>
        <w:rPr>
          <w:rFonts w:hint="eastAsia"/>
          <w:color w:val="auto"/>
          <w:sz w:val="24"/>
          <w:szCs w:val="24"/>
          <w:highlight w:val="none"/>
          <w:lang w:eastAsia="zh-CN"/>
        </w:rPr>
        <w:t>、</w:t>
      </w:r>
      <w:r>
        <w:rPr>
          <w:rFonts w:hint="default" w:ascii="Times New Roman" w:hAnsi="Times New Roman" w:cs="Times New Roman"/>
          <w:sz w:val="24"/>
          <w:szCs w:val="24"/>
          <w:highlight w:val="none"/>
        </w:rPr>
        <w:t>拦碴坝</w:t>
      </w:r>
      <w:r>
        <w:rPr>
          <w:rFonts w:hint="eastAsia" w:cs="Times New Roman"/>
          <w:sz w:val="24"/>
          <w:szCs w:val="24"/>
          <w:highlight w:val="none"/>
          <w:lang w:eastAsia="zh-CN"/>
        </w:rPr>
        <w:t>、</w:t>
      </w:r>
      <w:r>
        <w:rPr>
          <w:rFonts w:hint="default" w:ascii="Times New Roman" w:hAnsi="Times New Roman" w:cs="Times New Roman"/>
          <w:sz w:val="24"/>
          <w:szCs w:val="24"/>
          <w:highlight w:val="none"/>
        </w:rPr>
        <w:t>挡石墙</w:t>
      </w:r>
      <w:r>
        <w:rPr>
          <w:rFonts w:hint="eastAsia" w:ascii="Times New Roman"/>
          <w:color w:val="auto"/>
          <w:sz w:val="24"/>
          <w:szCs w:val="24"/>
          <w:highlight w:val="none"/>
        </w:rPr>
        <w:t>在施工前应将表层土全部挖除，</w:t>
      </w:r>
      <w:r>
        <w:rPr>
          <w:rFonts w:hint="eastAsia"/>
          <w:color w:val="auto"/>
          <w:sz w:val="24"/>
          <w:szCs w:val="24"/>
          <w:highlight w:val="none"/>
          <w:lang w:val="en-US" w:eastAsia="zh-CN"/>
        </w:rPr>
        <w:t>单独存放用于生态恢复，施工时对临时堆土区设置编织袋挡墙进行防护；另外，控制施工作业带范围，</w:t>
      </w:r>
      <w:r>
        <w:rPr>
          <w:rFonts w:hint="default" w:ascii="Times New Roman" w:hAnsi="Times New Roman" w:cs="Times New Roman"/>
          <w:sz w:val="24"/>
          <w:szCs w:val="24"/>
          <w:highlight w:val="none"/>
        </w:rPr>
        <w:t>减少施工过程中造成的人为扰动及产生的废弃土</w:t>
      </w:r>
      <w:r>
        <w:rPr>
          <w:rFonts w:hint="eastAsia" w:cs="Times New Roman"/>
          <w:sz w:val="24"/>
          <w:szCs w:val="24"/>
          <w:highlight w:val="none"/>
          <w:lang w:eastAsia="zh-CN"/>
        </w:rPr>
        <w:t>。</w:t>
      </w:r>
    </w:p>
    <w:p w14:paraId="17D345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③坚持“经济、合理、安全”的工程设计的原则。在对项目区水土保持情况进行</w:t>
      </w:r>
      <w:r>
        <w:rPr>
          <w:rFonts w:hint="default" w:ascii="Times New Roman" w:hAnsi="Times New Roman" w:cs="Times New Roman"/>
          <w:sz w:val="24"/>
          <w:szCs w:val="24"/>
          <w:highlight w:val="none"/>
          <w:lang w:eastAsia="zh-CN"/>
        </w:rPr>
        <w:t>科</w:t>
      </w:r>
      <w:r>
        <w:rPr>
          <w:rFonts w:hint="default" w:ascii="Times New Roman" w:hAnsi="Times New Roman" w:cs="Times New Roman"/>
          <w:sz w:val="24"/>
          <w:szCs w:val="24"/>
          <w:highlight w:val="none"/>
        </w:rPr>
        <w:t>学评价和预测的基础上，根据防治目标确定工程措施、植物措施及临时措施的具体内容，科学合理地布置水土保持措施，使水土保持方案技术可行，经济合理；</w:t>
      </w:r>
    </w:p>
    <w:p w14:paraId="3722E5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④植物措施要尽量选用乡土树种及合适当地的品种，并</w:t>
      </w:r>
      <w:r>
        <w:rPr>
          <w:rFonts w:hint="default" w:ascii="Times New Roman" w:hAnsi="Times New Roman" w:cs="Times New Roman"/>
          <w:sz w:val="24"/>
          <w:szCs w:val="24"/>
          <w:highlight w:val="none"/>
          <w:lang w:eastAsia="zh-CN"/>
        </w:rPr>
        <w:t>要</w:t>
      </w:r>
      <w:r>
        <w:rPr>
          <w:rFonts w:hint="default" w:ascii="Times New Roman" w:hAnsi="Times New Roman" w:cs="Times New Roman"/>
          <w:sz w:val="24"/>
          <w:szCs w:val="24"/>
          <w:highlight w:val="none"/>
        </w:rPr>
        <w:t>考虑与周围景观相协调的美化效果；</w:t>
      </w:r>
    </w:p>
    <w:p w14:paraId="39C0AD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⑤工程措施、植物措施、临时措施合理配置、统筹兼顾，形成综合防护体系，防治措施布设与主体工程密切配合，相互协调，形成整体。在对主体工程中具有水土保持功能的防护措施进行分析评价的基础上，合理、全面、系统地规划，提出各分区新增的一些水土保持措施，使之形成一个完整的以工程措施为先导、以土地整治植物措施相结合的水土流失防治体系。</w:t>
      </w:r>
    </w:p>
    <w:p w14:paraId="6320BE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sz w:val="24"/>
          <w:szCs w:val="24"/>
          <w:highlight w:val="none"/>
        </w:rPr>
        <w:t>项目投入使用后，落实截排水工程，并对</w:t>
      </w:r>
      <w:r>
        <w:rPr>
          <w:rFonts w:hint="eastAsia" w:ascii="Times New Roman" w:hAnsi="Times New Roman" w:cs="Times New Roman"/>
          <w:sz w:val="24"/>
          <w:szCs w:val="24"/>
          <w:highlight w:val="none"/>
          <w:lang w:val="en-US" w:eastAsia="zh-CN"/>
        </w:rPr>
        <w:t>占地区域</w:t>
      </w:r>
      <w:r>
        <w:rPr>
          <w:rFonts w:hint="default" w:ascii="Times New Roman" w:hAnsi="Times New Roman" w:cs="Times New Roman"/>
          <w:sz w:val="24"/>
          <w:szCs w:val="24"/>
          <w:highlight w:val="none"/>
        </w:rPr>
        <w:t>内及道路两侧进行绿化，防治水土流失，并及时对堆砌完毕坡面覆土绿化，服务期满后对库面及时进行生态恢复等工作均对恢复生态环境产生正面影响</w:t>
      </w:r>
      <w:r>
        <w:rPr>
          <w:rFonts w:hint="eastAsia" w:ascii="Times New Roman" w:hAnsi="Times New Roman" w:cs="Times New Roman"/>
          <w:sz w:val="24"/>
          <w:szCs w:val="24"/>
          <w:highlight w:val="none"/>
          <w:lang w:eastAsia="zh-CN"/>
        </w:rPr>
        <w:t>。</w:t>
      </w:r>
    </w:p>
    <w:p w14:paraId="28B2DE1D">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土壤生境影响分析</w:t>
      </w:r>
    </w:p>
    <w:p w14:paraId="0C8615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sz w:val="24"/>
          <w:highlight w:val="none"/>
          <w:lang w:eastAsia="zh-CN"/>
        </w:rPr>
      </w:pPr>
      <w:r>
        <w:rPr>
          <w:rFonts w:hint="default" w:ascii="Times New Roman" w:hAnsi="Times New Roman" w:cs="Times New Roman"/>
          <w:color w:val="000000"/>
          <w:sz w:val="24"/>
          <w:highlight w:val="none"/>
        </w:rPr>
        <w:t>本项目施工过程中需要剥离表土，项目占地区域将无表土覆盖，对土壤生境造成一定影响。本项目在施工过程中将严格按照绿色矿山、矿山生态环境保护与治理恢复方案等要求，采取生态影响减缓措施，将剥离表土全部收集，作为覆土</w:t>
      </w:r>
      <w:r>
        <w:rPr>
          <w:rFonts w:hint="eastAsia" w:ascii="Times New Roman" w:hAnsi="Times New Roman" w:cs="Times New Roman"/>
          <w:color w:val="000000"/>
          <w:sz w:val="24"/>
          <w:highlight w:val="none"/>
          <w:lang w:val="en-US" w:eastAsia="zh-CN"/>
        </w:rPr>
        <w:t>绿化</w:t>
      </w:r>
      <w:r>
        <w:rPr>
          <w:rFonts w:hint="default" w:ascii="Times New Roman" w:hAnsi="Times New Roman" w:cs="Times New Roman"/>
          <w:color w:val="000000"/>
          <w:sz w:val="24"/>
          <w:highlight w:val="none"/>
        </w:rPr>
        <w:t>使用。通过采取以上生态影响减缓措施，可将剥离表土全部收集利用，可在一定程度上减缓项目土壤生境的影响</w:t>
      </w:r>
      <w:r>
        <w:rPr>
          <w:rFonts w:hint="eastAsia" w:cs="Times New Roman"/>
          <w:color w:val="000000"/>
          <w:sz w:val="24"/>
          <w:highlight w:val="none"/>
          <w:lang w:eastAsia="zh-CN"/>
        </w:rPr>
        <w:t>。</w:t>
      </w:r>
    </w:p>
    <w:p w14:paraId="38184B92">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植被影响分析</w:t>
      </w:r>
    </w:p>
    <w:p w14:paraId="2C6D673F">
      <w:pPr>
        <w:pageBreakBefore w:val="0"/>
        <w:kinsoku w:val="0"/>
        <w:wordWrap/>
        <w:overflowPunct w:val="0"/>
        <w:autoSpaceDE/>
        <w:autoSpaceDN/>
        <w:bidi w:val="0"/>
        <w:spacing w:line="360" w:lineRule="auto"/>
        <w:ind w:firstLine="472" w:firstLineChars="200"/>
        <w:jc w:val="left"/>
        <w:textAlignment w:val="auto"/>
        <w:rPr>
          <w:color w:val="auto"/>
          <w:spacing w:val="-2"/>
          <w:sz w:val="24"/>
          <w:szCs w:val="24"/>
          <w:highlight w:val="none"/>
        </w:rPr>
      </w:pPr>
      <w:r>
        <w:rPr>
          <w:rFonts w:hint="eastAsia"/>
          <w:color w:val="auto"/>
          <w:spacing w:val="-2"/>
          <w:sz w:val="24"/>
          <w:szCs w:val="24"/>
          <w:highlight w:val="none"/>
          <w:lang w:val="en-US" w:eastAsia="zh-CN"/>
        </w:rPr>
        <w:t>根据现场调查，东北沟尾矿库占地区域已闭库销号进行了植被恢复，占地范围内</w:t>
      </w:r>
      <w:r>
        <w:rPr>
          <w:rFonts w:hint="default" w:ascii="Times New Roman" w:hAnsi="Times New Roman" w:cs="Times New Roman"/>
          <w:color w:val="000000"/>
          <w:sz w:val="24"/>
          <w:highlight w:val="none"/>
        </w:rPr>
        <w:t>地表植被以灌木林地为主，</w:t>
      </w:r>
      <w:r>
        <w:rPr>
          <w:rFonts w:hint="eastAsia"/>
          <w:color w:val="auto"/>
          <w:spacing w:val="-2"/>
          <w:sz w:val="24"/>
          <w:szCs w:val="24"/>
          <w:highlight w:val="none"/>
          <w:lang w:val="en-US" w:eastAsia="zh-CN"/>
        </w:rPr>
        <w:t>无珍稀植物物种，植物均为生态幅员内分布较广物种。排土场运营期间，</w:t>
      </w:r>
      <w:r>
        <w:rPr>
          <w:rFonts w:hint="eastAsia" w:ascii="Times New Roman" w:hAnsi="Times New Roman" w:cs="Times New Roman"/>
          <w:color w:val="auto"/>
          <w:sz w:val="24"/>
          <w:szCs w:val="24"/>
          <w:highlight w:val="none"/>
          <w:lang w:val="en-US" w:eastAsia="zh-CN"/>
        </w:rPr>
        <w:t>堆存废石将会压占地表植被，</w:t>
      </w:r>
      <w:r>
        <w:rPr>
          <w:rFonts w:hint="eastAsia"/>
          <w:color w:val="auto"/>
          <w:spacing w:val="-2"/>
          <w:sz w:val="24"/>
          <w:szCs w:val="24"/>
          <w:highlight w:val="none"/>
          <w:lang w:eastAsia="zh-CN"/>
        </w:rPr>
        <w:t>排土场封场后，</w:t>
      </w:r>
      <w:r>
        <w:rPr>
          <w:color w:val="auto"/>
          <w:spacing w:val="-2"/>
          <w:sz w:val="24"/>
          <w:szCs w:val="24"/>
          <w:highlight w:val="none"/>
        </w:rPr>
        <w:t>最终</w:t>
      </w:r>
      <w:r>
        <w:rPr>
          <w:rFonts w:hint="eastAsia"/>
          <w:color w:val="auto"/>
          <w:spacing w:val="-2"/>
          <w:sz w:val="24"/>
          <w:szCs w:val="24"/>
          <w:highlight w:val="none"/>
        </w:rPr>
        <w:t>会使得场内</w:t>
      </w:r>
      <w:r>
        <w:rPr>
          <w:color w:val="auto"/>
          <w:spacing w:val="-2"/>
          <w:sz w:val="24"/>
          <w:szCs w:val="24"/>
          <w:highlight w:val="none"/>
        </w:rPr>
        <w:t>全部覆土绿化，植被将基本恢复到开发建设前的水平，届时主要因</w:t>
      </w:r>
      <w:r>
        <w:rPr>
          <w:rFonts w:hint="eastAsia"/>
          <w:color w:val="auto"/>
          <w:spacing w:val="-2"/>
          <w:sz w:val="24"/>
          <w:szCs w:val="24"/>
          <w:highlight w:val="none"/>
          <w:lang w:eastAsia="zh-CN"/>
        </w:rPr>
        <w:t>排土场</w:t>
      </w:r>
      <w:r>
        <w:rPr>
          <w:rFonts w:hint="eastAsia"/>
          <w:color w:val="auto"/>
          <w:spacing w:val="-2"/>
          <w:sz w:val="24"/>
          <w:szCs w:val="24"/>
          <w:highlight w:val="none"/>
        </w:rPr>
        <w:t>开发建设而</w:t>
      </w:r>
      <w:r>
        <w:rPr>
          <w:color w:val="auto"/>
          <w:spacing w:val="-2"/>
          <w:sz w:val="24"/>
          <w:szCs w:val="24"/>
          <w:highlight w:val="none"/>
        </w:rPr>
        <w:t>造成植被破坏将得到恢复，</w:t>
      </w:r>
      <w:r>
        <w:rPr>
          <w:rFonts w:hint="eastAsia"/>
          <w:color w:val="auto"/>
          <w:spacing w:val="-2"/>
          <w:sz w:val="24"/>
          <w:szCs w:val="24"/>
          <w:highlight w:val="none"/>
          <w:lang w:eastAsia="zh-CN"/>
        </w:rPr>
        <w:t>对生态环境影响较小</w:t>
      </w:r>
      <w:r>
        <w:rPr>
          <w:color w:val="auto"/>
          <w:spacing w:val="-2"/>
          <w:sz w:val="24"/>
          <w:szCs w:val="24"/>
          <w:highlight w:val="none"/>
        </w:rPr>
        <w:t>。</w:t>
      </w:r>
    </w:p>
    <w:p w14:paraId="1A5F2DA8">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野生动物影响分析</w:t>
      </w:r>
    </w:p>
    <w:p w14:paraId="5A6EE048">
      <w:pPr>
        <w:pageBreakBefore w:val="0"/>
        <w:wordWrap/>
        <w:topLinePunct/>
        <w:autoSpaceDE/>
        <w:autoSpaceDN/>
        <w:bidi w:val="0"/>
        <w:spacing w:line="360" w:lineRule="auto"/>
        <w:ind w:firstLine="472" w:firstLineChars="200"/>
        <w:textAlignment w:val="auto"/>
        <w:rPr>
          <w:rFonts w:hint="eastAsia" w:eastAsia="宋体"/>
          <w:color w:val="auto"/>
          <w:spacing w:val="-2"/>
          <w:kern w:val="0"/>
          <w:sz w:val="24"/>
          <w:szCs w:val="24"/>
          <w:highlight w:val="none"/>
          <w:lang w:eastAsia="zh-CN"/>
        </w:rPr>
      </w:pPr>
      <w:r>
        <w:rPr>
          <w:color w:val="auto"/>
          <w:spacing w:val="-2"/>
          <w:kern w:val="0"/>
          <w:sz w:val="24"/>
          <w:szCs w:val="24"/>
          <w:highlight w:val="none"/>
        </w:rPr>
        <w:t>项目</w:t>
      </w:r>
      <w:r>
        <w:rPr>
          <w:rFonts w:hint="eastAsia"/>
          <w:color w:val="auto"/>
          <w:spacing w:val="-2"/>
          <w:kern w:val="0"/>
          <w:sz w:val="24"/>
          <w:szCs w:val="24"/>
          <w:highlight w:val="none"/>
          <w:lang w:eastAsia="zh-CN"/>
        </w:rPr>
        <w:t>对野生动物的影响主要为植被破坏导致动物栖息地受到损害，机械设备噪声及人类活动对</w:t>
      </w:r>
      <w:r>
        <w:rPr>
          <w:color w:val="auto"/>
          <w:spacing w:val="-2"/>
          <w:kern w:val="0"/>
          <w:sz w:val="24"/>
          <w:szCs w:val="24"/>
          <w:highlight w:val="none"/>
        </w:rPr>
        <w:t>周边野生动物的惊扰</w:t>
      </w:r>
      <w:r>
        <w:rPr>
          <w:rFonts w:hint="eastAsia"/>
          <w:color w:val="auto"/>
          <w:spacing w:val="-2"/>
          <w:kern w:val="0"/>
          <w:sz w:val="24"/>
          <w:szCs w:val="24"/>
          <w:highlight w:val="none"/>
          <w:lang w:eastAsia="zh-CN"/>
        </w:rPr>
        <w:t>等。</w:t>
      </w:r>
    </w:p>
    <w:p w14:paraId="14F2CC25">
      <w:pPr>
        <w:pageBreakBefore w:val="0"/>
        <w:wordWrap/>
        <w:topLinePunct/>
        <w:autoSpaceDE/>
        <w:autoSpaceDN/>
        <w:bidi w:val="0"/>
        <w:spacing w:line="360" w:lineRule="auto"/>
        <w:ind w:firstLine="472" w:firstLineChars="200"/>
        <w:textAlignment w:val="auto"/>
        <w:rPr>
          <w:color w:val="auto"/>
          <w:spacing w:val="-2"/>
          <w:kern w:val="0"/>
          <w:sz w:val="24"/>
          <w:szCs w:val="24"/>
          <w:highlight w:val="none"/>
        </w:rPr>
      </w:pPr>
      <w:r>
        <w:rPr>
          <w:rFonts w:hint="eastAsia"/>
          <w:color w:val="auto"/>
          <w:spacing w:val="-2"/>
          <w:kern w:val="0"/>
          <w:sz w:val="24"/>
          <w:szCs w:val="24"/>
          <w:highlight w:val="none"/>
          <w:lang w:val="en-US" w:eastAsia="zh-CN"/>
        </w:rPr>
        <w:t>生态环境是动物生存的决定因素，动物的分布与植物的分布有着紧密的联系，本项目区域植被以灌木林为主，植被群落结构简单，排土场的建设在一定程度上影响了地表植被的生长，一定程度上降低了植被的覆盖率，对于依赖灌草丛为栖息、活动、隐蔽场所的动物来说，其生境在某种程度上会受到一定的影响。</w:t>
      </w:r>
    </w:p>
    <w:p w14:paraId="1E72EAEC">
      <w:pPr>
        <w:pageBreakBefore w:val="0"/>
        <w:wordWrap/>
        <w:topLinePunct/>
        <w:autoSpaceDE/>
        <w:autoSpaceDN/>
        <w:bidi w:val="0"/>
        <w:spacing w:line="360" w:lineRule="auto"/>
        <w:ind w:firstLine="472" w:firstLineChars="200"/>
        <w:textAlignment w:val="auto"/>
        <w:rPr>
          <w:color w:val="auto"/>
          <w:spacing w:val="-2"/>
          <w:kern w:val="0"/>
          <w:sz w:val="24"/>
          <w:szCs w:val="24"/>
          <w:highlight w:val="none"/>
        </w:rPr>
      </w:pPr>
      <w:r>
        <w:rPr>
          <w:rFonts w:hint="eastAsia"/>
          <w:color w:val="auto"/>
          <w:spacing w:val="-2"/>
          <w:kern w:val="0"/>
          <w:sz w:val="24"/>
          <w:szCs w:val="24"/>
          <w:highlight w:val="none"/>
          <w:lang w:val="en-US" w:eastAsia="zh-CN"/>
        </w:rPr>
        <w:t>根据现场踏勘，评价范围内的动物均为常见物种，多为适应性广、繁殖能力强的兽类动物，未见大型野生动物和珍稀小型野生动物。</w:t>
      </w:r>
    </w:p>
    <w:p w14:paraId="01C4E6DD">
      <w:pPr>
        <w:pageBreakBefore w:val="0"/>
        <w:wordWrap/>
        <w:topLinePunct/>
        <w:autoSpaceDE/>
        <w:autoSpaceDN/>
        <w:bidi w:val="0"/>
        <w:spacing w:line="360" w:lineRule="auto"/>
        <w:ind w:firstLine="472" w:firstLineChars="200"/>
        <w:textAlignment w:val="auto"/>
        <w:rPr>
          <w:rFonts w:hint="eastAsia"/>
          <w:color w:val="auto"/>
          <w:spacing w:val="-2"/>
          <w:kern w:val="0"/>
          <w:sz w:val="24"/>
          <w:szCs w:val="24"/>
          <w:highlight w:val="none"/>
          <w:lang w:eastAsia="zh-CN"/>
        </w:rPr>
      </w:pPr>
      <w:r>
        <w:rPr>
          <w:rFonts w:hint="eastAsia"/>
          <w:color w:val="auto"/>
          <w:spacing w:val="-2"/>
          <w:kern w:val="0"/>
          <w:sz w:val="24"/>
          <w:szCs w:val="24"/>
          <w:highlight w:val="none"/>
          <w:lang w:eastAsia="zh-CN"/>
        </w:rPr>
        <w:t>排土场的建设运营对</w:t>
      </w:r>
      <w:r>
        <w:rPr>
          <w:rFonts w:hint="eastAsia"/>
          <w:color w:val="auto"/>
          <w:spacing w:val="-2"/>
          <w:kern w:val="0"/>
          <w:sz w:val="24"/>
          <w:szCs w:val="24"/>
          <w:highlight w:val="none"/>
          <w:lang w:val="en-US" w:eastAsia="zh-CN"/>
        </w:rPr>
        <w:t>上述动物的影响只是短期的。而且在排土场堆存区域基本没有重要的陆栖脊椎动物（包括鸟类）的栖息地或主要活动场所，所以排土场堆存活动对动物的不良影响对该地区的动物并不显著。此外，在评价范围调查所列的陆栖脊椎动物中多数以小型兽类为主，如田鼠、野兔、蛇类等，其主要环境是灌丛和草丛，这些动物对人类活动己经有一定的适应能力，生存能力较强。排土场堆存活动不会对这些动物产生严重的不良影响。</w:t>
      </w:r>
    </w:p>
    <w:p w14:paraId="73B5C69A">
      <w:pPr>
        <w:pageBreakBefore w:val="0"/>
        <w:wordWrap/>
        <w:topLinePunct/>
        <w:autoSpaceDE/>
        <w:autoSpaceDN/>
        <w:bidi w:val="0"/>
        <w:spacing w:line="360" w:lineRule="auto"/>
        <w:ind w:firstLine="472" w:firstLineChars="200"/>
        <w:textAlignment w:val="auto"/>
        <w:rPr>
          <w:rFonts w:hint="eastAsia"/>
          <w:color w:val="auto"/>
          <w:spacing w:val="-2"/>
          <w:kern w:val="0"/>
          <w:sz w:val="24"/>
          <w:szCs w:val="24"/>
          <w:highlight w:val="none"/>
          <w:lang w:eastAsia="zh-CN"/>
        </w:rPr>
      </w:pPr>
      <w:r>
        <w:rPr>
          <w:rFonts w:hint="eastAsia"/>
          <w:color w:val="auto"/>
          <w:spacing w:val="-2"/>
          <w:kern w:val="0"/>
          <w:sz w:val="24"/>
          <w:szCs w:val="24"/>
          <w:highlight w:val="none"/>
          <w:lang w:eastAsia="zh-CN"/>
        </w:rPr>
        <w:t>噪声源主要为机械及运输车辆，</w:t>
      </w:r>
      <w:r>
        <w:rPr>
          <w:color w:val="auto"/>
          <w:spacing w:val="-2"/>
          <w:kern w:val="0"/>
          <w:sz w:val="24"/>
          <w:szCs w:val="24"/>
          <w:highlight w:val="none"/>
        </w:rPr>
        <w:t>根据噪声预测结果，项目建成后场界噪声净增值不大，不会对于区域野生动物产生明显的惊扰作用。对于野生动物影响较小</w:t>
      </w:r>
      <w:r>
        <w:rPr>
          <w:rFonts w:hint="eastAsia"/>
          <w:color w:val="auto"/>
          <w:spacing w:val="-2"/>
          <w:kern w:val="0"/>
          <w:sz w:val="24"/>
          <w:szCs w:val="24"/>
          <w:highlight w:val="none"/>
          <w:lang w:eastAsia="zh-CN"/>
        </w:rPr>
        <w:t>。</w:t>
      </w:r>
    </w:p>
    <w:p w14:paraId="6D3F3984">
      <w:pPr>
        <w:pageBreakBefore w:val="0"/>
        <w:wordWrap/>
        <w:topLinePunct/>
        <w:autoSpaceDE/>
        <w:autoSpaceDN/>
        <w:bidi w:val="0"/>
        <w:spacing w:line="360" w:lineRule="auto"/>
        <w:ind w:firstLine="472" w:firstLineChars="200"/>
        <w:textAlignment w:val="auto"/>
        <w:rPr>
          <w:color w:val="auto"/>
          <w:spacing w:val="-2"/>
          <w:kern w:val="0"/>
          <w:sz w:val="24"/>
          <w:szCs w:val="24"/>
          <w:highlight w:val="none"/>
        </w:rPr>
      </w:pPr>
      <w:r>
        <w:rPr>
          <w:rFonts w:hint="eastAsia"/>
          <w:color w:val="auto"/>
          <w:spacing w:val="-2"/>
          <w:kern w:val="0"/>
          <w:sz w:val="24"/>
          <w:szCs w:val="24"/>
          <w:highlight w:val="none"/>
          <w:lang w:val="en-US" w:eastAsia="zh-CN"/>
        </w:rPr>
        <w:t>本项目实施后，由于受到人类活动的影响，野生动物可能会迁往周边区域，即与项目占地区域生态环境类似的地区，可供其生存和繁衍，因此该区域内的野生动物并不会因项目建设而出现种类灭绝等严重的生态影响，短期内数量可能有所减少，随着排土场服务期满后的水土保持、植被等生态措施的实施，项目所在区域的生态环境质量会逐步得到恢复，这些动物也随之迁徙过来。因此，项目建设对区域野生动物的负面影响是可逆的</w:t>
      </w:r>
      <w:r>
        <w:rPr>
          <w:color w:val="auto"/>
          <w:spacing w:val="-2"/>
          <w:kern w:val="0"/>
          <w:sz w:val="24"/>
          <w:szCs w:val="24"/>
          <w:highlight w:val="none"/>
        </w:rPr>
        <w:t>。</w:t>
      </w:r>
    </w:p>
    <w:p w14:paraId="402CF75D">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生物多样性影响分析</w:t>
      </w:r>
    </w:p>
    <w:p w14:paraId="672EB52B">
      <w:pPr>
        <w:pageBreakBefore w:val="0"/>
        <w:wordWrap/>
        <w:autoSpaceDE/>
        <w:autoSpaceDN/>
        <w:bidi w:val="0"/>
        <w:spacing w:line="360" w:lineRule="auto"/>
        <w:ind w:firstLine="480" w:firstLineChars="200"/>
        <w:textAlignment w:val="auto"/>
        <w:rPr>
          <w:color w:val="auto"/>
          <w:sz w:val="24"/>
          <w:szCs w:val="24"/>
          <w:highlight w:val="none"/>
        </w:rPr>
      </w:pPr>
      <w:r>
        <w:rPr>
          <w:rFonts w:hint="eastAsia"/>
          <w:color w:val="auto"/>
          <w:sz w:val="24"/>
          <w:szCs w:val="24"/>
          <w:highlight w:val="none"/>
          <w:lang w:val="en-US" w:eastAsia="zh-CN"/>
        </w:rPr>
        <w:t>生物多样性是指一定范围内多种多样活的有机体（动物、植物、微生物）有规律地结合所构成稳定的生态综合体。这种多样包括动物、植物、微生物的物种多样性，物种的遗传与变异的多样性及生态系统的多样性。其中，物种的多样性是生物多样性的关键与基础，它既体现了生物之间及环境之间的复杂关系，又体现了生物资源的丰富性。</w:t>
      </w:r>
    </w:p>
    <w:p w14:paraId="44F88466">
      <w:pPr>
        <w:pageBreakBefore w:val="0"/>
        <w:wordWrap/>
        <w:autoSpaceDE/>
        <w:autoSpaceDN/>
        <w:bidi w:val="0"/>
        <w:spacing w:line="360" w:lineRule="auto"/>
        <w:ind w:firstLine="480" w:firstLineChars="200"/>
        <w:textAlignment w:val="auto"/>
        <w:rPr>
          <w:color w:val="auto"/>
          <w:sz w:val="24"/>
          <w:szCs w:val="24"/>
          <w:highlight w:val="none"/>
        </w:rPr>
      </w:pPr>
      <w:r>
        <w:rPr>
          <w:rFonts w:hint="eastAsia"/>
          <w:color w:val="auto"/>
          <w:sz w:val="24"/>
          <w:szCs w:val="24"/>
          <w:highlight w:val="none"/>
          <w:lang w:val="en-US" w:eastAsia="zh-CN"/>
        </w:rPr>
        <w:t>本项目占地区域动物以啮齿类动物为主，植物以灌木为主，以上动植物为区域内常见种和广布种，且不存在珍稀濒危物种天然集中分布区。本项目已建成，短期内破坏了原有植被，但随着排土场生态恢复，地表植被逐渐恢复，不会导致物种的灭失或减少。</w:t>
      </w:r>
    </w:p>
    <w:p w14:paraId="7ABEA0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sz w:val="24"/>
          <w:szCs w:val="24"/>
          <w:highlight w:val="none"/>
          <w:lang w:eastAsia="zh-CN"/>
        </w:rPr>
      </w:pPr>
      <w:r>
        <w:rPr>
          <w:rFonts w:hint="eastAsia" w:ascii="宋体" w:hAnsi="宋体" w:eastAsia="宋体" w:cs="宋体"/>
          <w:color w:val="auto"/>
          <w:kern w:val="0"/>
          <w:sz w:val="24"/>
          <w:szCs w:val="24"/>
          <w:highlight w:val="none"/>
          <w:lang w:val="en-US" w:eastAsia="zh-CN" w:bidi="ar"/>
        </w:rPr>
        <w:t>为减轻对植被、动物生境的破坏，排土场每个台阶堆存满后及时进行覆土绿化，进行生态恢复工作，所用树种均选用原占地范围常见物种,对当地植被进行补偿,保持区域植被多样性且不破坏原有平衡，使破坏的生态环境得到恢复和补偿，不会导致生境的破碎化、退化及丧失。</w:t>
      </w:r>
    </w:p>
    <w:p w14:paraId="0168F759">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生态环境防治措施</w:t>
      </w:r>
    </w:p>
    <w:p w14:paraId="2D7FA1C3">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1</w:t>
      </w: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运营期生态恢复</w:t>
      </w:r>
    </w:p>
    <w:p w14:paraId="76F30C59">
      <w:pPr>
        <w:keepNext w:val="0"/>
        <w:keepLines w:val="0"/>
        <w:pageBreakBefore w:val="0"/>
        <w:widowControl w:val="0"/>
        <w:kinsoku/>
        <w:wordWrap/>
        <w:overflowPunct/>
        <w:topLinePunct w:val="0"/>
        <w:autoSpaceDE/>
        <w:autoSpaceDN/>
        <w:bidi w:val="0"/>
        <w:spacing w:line="360" w:lineRule="auto"/>
        <w:ind w:firstLine="561"/>
        <w:textAlignment w:val="auto"/>
        <w:rPr>
          <w:rFonts w:hint="eastAsia" w:cs="Times New Roman"/>
          <w:color w:val="000000"/>
          <w:kern w:val="0"/>
          <w:sz w:val="24"/>
          <w:highlight w:val="none"/>
          <w:lang w:eastAsia="zh-CN"/>
        </w:rPr>
      </w:pPr>
      <w:r>
        <w:rPr>
          <w:rFonts w:hint="eastAsia" w:cs="Times New Roman"/>
          <w:color w:val="000000"/>
          <w:sz w:val="24"/>
          <w:highlight w:val="none"/>
          <w:lang w:val="en-US" w:eastAsia="zh-CN"/>
        </w:rPr>
        <w:t>生产运行阶段，</w:t>
      </w:r>
      <w:r>
        <w:rPr>
          <w:color w:val="auto"/>
          <w:sz w:val="24"/>
          <w:szCs w:val="24"/>
          <w:highlight w:val="none"/>
        </w:rPr>
        <w:t>采用单台阶作业，</w:t>
      </w:r>
      <w:r>
        <w:rPr>
          <w:rFonts w:hint="default"/>
          <w:sz w:val="24"/>
          <w:szCs w:val="24"/>
          <w:highlight w:val="none"/>
        </w:rPr>
        <w:t>自下而上的顺序分层排土作业，</w:t>
      </w:r>
      <w:r>
        <w:rPr>
          <w:color w:val="auto"/>
          <w:sz w:val="24"/>
          <w:szCs w:val="24"/>
          <w:highlight w:val="none"/>
        </w:rPr>
        <w:t>下台阶排满后再排置上一个台阶，不实行多台阶同时工作</w:t>
      </w:r>
      <w:r>
        <w:rPr>
          <w:rFonts w:hint="eastAsia"/>
          <w:color w:val="auto"/>
          <w:sz w:val="24"/>
          <w:szCs w:val="24"/>
          <w:highlight w:val="none"/>
          <w:lang w:eastAsia="zh-CN"/>
        </w:rPr>
        <w:t>，</w:t>
      </w:r>
      <w:r>
        <w:rPr>
          <w:rFonts w:hint="default" w:ascii="Times New Roman" w:hAnsi="Times New Roman" w:cs="Times New Roman"/>
          <w:color w:val="000000"/>
          <w:kern w:val="0"/>
          <w:sz w:val="24"/>
          <w:highlight w:val="none"/>
        </w:rPr>
        <w:t>排土过程中分690.0m、705.0m、720.0m、735.0m、750.0m、765.0m、780.0m、795.0m、808.0m共计9个平台</w:t>
      </w:r>
      <w:r>
        <w:rPr>
          <w:rFonts w:hint="eastAsia" w:cs="Times New Roman"/>
          <w:color w:val="000000"/>
          <w:kern w:val="0"/>
          <w:sz w:val="24"/>
          <w:highlight w:val="none"/>
          <w:lang w:eastAsia="zh-CN"/>
        </w:rPr>
        <w:t>。</w:t>
      </w:r>
    </w:p>
    <w:p w14:paraId="01014D65">
      <w:pPr>
        <w:keepNext w:val="0"/>
        <w:keepLines w:val="0"/>
        <w:pageBreakBefore w:val="0"/>
        <w:widowControl w:val="0"/>
        <w:kinsoku/>
        <w:wordWrap/>
        <w:overflowPunct/>
        <w:topLinePunct w:val="0"/>
        <w:autoSpaceDE/>
        <w:autoSpaceDN/>
        <w:bidi w:val="0"/>
        <w:spacing w:line="360" w:lineRule="auto"/>
        <w:ind w:firstLine="561"/>
        <w:textAlignment w:val="auto"/>
        <w:rPr>
          <w:rFonts w:hint="eastAsia" w:eastAsia="宋体"/>
          <w:sz w:val="24"/>
          <w:szCs w:val="24"/>
          <w:highlight w:val="none"/>
          <w:lang w:val="en-US" w:eastAsia="zh-CN"/>
        </w:rPr>
      </w:pPr>
      <w:r>
        <w:rPr>
          <w:rFonts w:hint="eastAsia" w:cs="Times New Roman"/>
          <w:color w:val="000000"/>
          <w:kern w:val="0"/>
          <w:sz w:val="24"/>
          <w:highlight w:val="none"/>
          <w:lang w:val="en-US" w:eastAsia="zh-CN"/>
        </w:rPr>
        <w:t>项目</w:t>
      </w:r>
      <w:r>
        <w:rPr>
          <w:rFonts w:hint="default" w:ascii="Times New Roman" w:hAnsi="Times New Roman" w:cs="Times New Roman"/>
          <w:color w:val="000000"/>
          <w:kern w:val="0"/>
          <w:sz w:val="24"/>
          <w:highlight w:val="none"/>
        </w:rPr>
        <w:t>先由690.0m平台排放</w:t>
      </w:r>
      <w:r>
        <w:rPr>
          <w:rFonts w:hint="eastAsia" w:cs="Times New Roman"/>
          <w:color w:val="000000"/>
          <w:kern w:val="0"/>
          <w:sz w:val="24"/>
          <w:highlight w:val="none"/>
          <w:lang w:eastAsia="zh-CN"/>
        </w:rPr>
        <w:t>，</w:t>
      </w:r>
      <w:r>
        <w:rPr>
          <w:rFonts w:hint="eastAsia"/>
          <w:color w:val="auto"/>
          <w:sz w:val="24"/>
          <w:szCs w:val="24"/>
          <w:highlight w:val="none"/>
          <w:lang w:eastAsia="zh-CN"/>
        </w:rPr>
        <w:t>及时对台阶及坡面进行覆土绿化，</w:t>
      </w:r>
      <w:r>
        <w:rPr>
          <w:rFonts w:hint="default" w:ascii="Times New Roman" w:hAnsi="Times New Roman" w:cs="Times New Roman"/>
          <w:color w:val="000000"/>
          <w:sz w:val="24"/>
          <w:highlight w:val="none"/>
        </w:rPr>
        <w:t>使用机械设备对排土场进行平整作业，消除高低不平和乱石堆积，形成适宜</w:t>
      </w:r>
      <w:r>
        <w:rPr>
          <w:rFonts w:hint="eastAsia" w:cs="Times New Roman"/>
          <w:color w:val="000000"/>
          <w:sz w:val="24"/>
          <w:highlight w:val="none"/>
          <w:lang w:val="en-US" w:eastAsia="zh-CN"/>
        </w:rPr>
        <w:t>种植</w:t>
      </w:r>
      <w:r>
        <w:rPr>
          <w:rFonts w:hint="default" w:ascii="Times New Roman" w:hAnsi="Times New Roman" w:cs="Times New Roman"/>
          <w:color w:val="000000"/>
          <w:sz w:val="24"/>
          <w:highlight w:val="none"/>
        </w:rPr>
        <w:t>的土地表面。对于复垦绿化区域，先覆盖不小于</w:t>
      </w:r>
      <w:r>
        <w:rPr>
          <w:rFonts w:hint="eastAsia" w:ascii="Times New Roman" w:hAnsi="Times New Roman" w:cs="Times New Roman"/>
          <w:color w:val="000000"/>
          <w:sz w:val="24"/>
          <w:highlight w:val="none"/>
          <w:lang w:eastAsia="zh-CN"/>
        </w:rPr>
        <w:t>40cm</w:t>
      </w:r>
      <w:r>
        <w:rPr>
          <w:rFonts w:hint="default" w:ascii="Times New Roman" w:hAnsi="Times New Roman" w:cs="Times New Roman"/>
          <w:color w:val="000000"/>
          <w:sz w:val="24"/>
          <w:highlight w:val="none"/>
        </w:rPr>
        <w:t>的土层，通过施加有机肥、种植绿肥植物、客土等方式，改善土壤的肥力和结构</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选择适宜的植被进行种植，</w:t>
      </w:r>
      <w:r>
        <w:rPr>
          <w:rFonts w:hint="eastAsia" w:cs="Times New Roman"/>
          <w:color w:val="000000"/>
          <w:sz w:val="24"/>
          <w:highlight w:val="none"/>
          <w:lang w:val="en-US" w:eastAsia="zh-CN"/>
        </w:rPr>
        <w:t>采用灌草结合的方式栽植灌木、播撒草籽，灌木植被可种植沙棘、棉槐等</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单平台台阶及坡面</w:t>
      </w:r>
      <w:r>
        <w:rPr>
          <w:rFonts w:eastAsia="宋体"/>
          <w:sz w:val="24"/>
          <w:szCs w:val="24"/>
          <w:highlight w:val="none"/>
        </w:rPr>
        <w:t>种植</w:t>
      </w:r>
      <w:r>
        <w:rPr>
          <w:rFonts w:hint="eastAsia" w:cs="Times New Roman"/>
          <w:color w:val="000000"/>
          <w:sz w:val="24"/>
          <w:highlight w:val="none"/>
          <w:lang w:val="en-US" w:eastAsia="zh-CN"/>
        </w:rPr>
        <w:t>沙棘1200-1500株、</w:t>
      </w:r>
      <w:r>
        <w:rPr>
          <w:rFonts w:eastAsia="宋体"/>
          <w:sz w:val="24"/>
          <w:szCs w:val="24"/>
          <w:highlight w:val="none"/>
        </w:rPr>
        <w:t>棉槐</w:t>
      </w:r>
      <w:r>
        <w:rPr>
          <w:rFonts w:hint="eastAsia" w:eastAsia="宋体"/>
          <w:sz w:val="24"/>
          <w:szCs w:val="24"/>
          <w:highlight w:val="none"/>
          <w:lang w:val="en-US" w:eastAsia="zh-CN"/>
        </w:rPr>
        <w:t>800</w:t>
      </w:r>
      <w:r>
        <w:rPr>
          <w:rFonts w:hint="eastAsia"/>
          <w:sz w:val="24"/>
          <w:szCs w:val="24"/>
          <w:highlight w:val="none"/>
          <w:lang w:val="en-US" w:eastAsia="zh-CN"/>
        </w:rPr>
        <w:t>-1000</w:t>
      </w:r>
      <w:r>
        <w:rPr>
          <w:rFonts w:eastAsia="宋体"/>
          <w:sz w:val="24"/>
          <w:szCs w:val="24"/>
          <w:highlight w:val="none"/>
        </w:rPr>
        <w:t>株，撒播草籽</w:t>
      </w:r>
      <w:r>
        <w:rPr>
          <w:rFonts w:hint="eastAsia" w:eastAsia="宋体"/>
          <w:sz w:val="24"/>
          <w:szCs w:val="24"/>
          <w:highlight w:val="none"/>
          <w:lang w:val="en-US" w:eastAsia="zh-CN"/>
        </w:rPr>
        <w:t>100</w:t>
      </w:r>
      <w:r>
        <w:rPr>
          <w:rFonts w:hint="eastAsia"/>
          <w:sz w:val="24"/>
          <w:szCs w:val="24"/>
          <w:highlight w:val="none"/>
          <w:lang w:val="en-US" w:eastAsia="zh-CN"/>
        </w:rPr>
        <w:t>-120</w:t>
      </w:r>
      <w:r>
        <w:rPr>
          <w:rFonts w:hint="eastAsia" w:eastAsia="宋体"/>
          <w:sz w:val="24"/>
          <w:szCs w:val="24"/>
          <w:highlight w:val="none"/>
          <w:lang w:val="en-US" w:eastAsia="zh-CN"/>
        </w:rPr>
        <w:t>kg。</w:t>
      </w:r>
    </w:p>
    <w:p w14:paraId="36C2F75F">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cs="Times New Roman"/>
          <w:color w:val="000000"/>
          <w:sz w:val="24"/>
          <w:szCs w:val="24"/>
          <w:highlight w:val="none"/>
        </w:rPr>
      </w:pPr>
      <w:r>
        <w:rPr>
          <w:rFonts w:hint="eastAsia" w:eastAsia="宋体"/>
          <w:sz w:val="24"/>
          <w:szCs w:val="24"/>
          <w:highlight w:val="none"/>
          <w:lang w:val="en-US" w:eastAsia="zh-CN"/>
        </w:rPr>
        <w:t>采取上述生态恢复措施后，可</w:t>
      </w:r>
      <w:r>
        <w:rPr>
          <w:rFonts w:hint="eastAsia" w:cs="Times New Roman"/>
          <w:color w:val="000000"/>
          <w:sz w:val="24"/>
          <w:highlight w:val="none"/>
          <w:lang w:val="en-US" w:eastAsia="zh-CN"/>
        </w:rPr>
        <w:t>及时</w:t>
      </w:r>
      <w:r>
        <w:rPr>
          <w:rFonts w:hint="default" w:ascii="Times New Roman" w:hAnsi="Times New Roman" w:cs="Times New Roman"/>
          <w:color w:val="000000"/>
          <w:sz w:val="24"/>
          <w:highlight w:val="none"/>
        </w:rPr>
        <w:t>恢复排土场的生态环境。</w:t>
      </w:r>
    </w:p>
    <w:p w14:paraId="46E2B226">
      <w:pPr>
        <w:keepNext w:val="0"/>
        <w:keepLines w:val="0"/>
        <w:pageBreakBefore w:val="0"/>
        <w:widowControl w:val="0"/>
        <w:kinsoku/>
        <w:wordWrap/>
        <w:overflowPunct/>
        <w:topLinePunct w:val="0"/>
        <w:autoSpaceDE/>
        <w:autoSpaceDN/>
        <w:bidi w:val="0"/>
        <w:spacing w:line="360" w:lineRule="auto"/>
        <w:ind w:firstLine="561"/>
        <w:textAlignment w:val="auto"/>
        <w:rPr>
          <w:rFonts w:hint="default" w:ascii="Times New Roman" w:hAnsi="Times New Roman" w:eastAsia="宋体" w:cs="Times New Roman"/>
          <w:b/>
          <w:bCs/>
          <w:color w:val="000000"/>
          <w:sz w:val="24"/>
          <w:highlight w:val="none"/>
          <w:lang w:val="en-US" w:eastAsia="zh-CN"/>
        </w:rPr>
      </w:pP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2</w:t>
      </w:r>
      <w:r>
        <w:rPr>
          <w:rFonts w:hint="eastAsia" w:cs="Times New Roman"/>
          <w:b/>
          <w:bCs/>
          <w:color w:val="000000"/>
          <w:sz w:val="24"/>
          <w:highlight w:val="none"/>
          <w:lang w:eastAsia="zh-CN"/>
        </w:rPr>
        <w:t>）</w:t>
      </w:r>
      <w:r>
        <w:rPr>
          <w:rFonts w:hint="eastAsia" w:cs="Times New Roman"/>
          <w:b/>
          <w:bCs/>
          <w:color w:val="000000"/>
          <w:sz w:val="24"/>
          <w:highlight w:val="none"/>
          <w:lang w:val="en-US" w:eastAsia="zh-CN"/>
        </w:rPr>
        <w:t>服务期满后生态恢复</w:t>
      </w:r>
    </w:p>
    <w:p w14:paraId="206EB11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highlight w:val="none"/>
        </w:rPr>
        <w:t>排土场达到设计标高</w:t>
      </w:r>
      <w:r>
        <w:rPr>
          <w:rFonts w:hint="default" w:ascii="Times New Roman" w:hAnsi="Times New Roman" w:cs="Times New Roman"/>
          <w:color w:val="000000"/>
          <w:kern w:val="0"/>
          <w:sz w:val="24"/>
          <w:highlight w:val="none"/>
        </w:rPr>
        <w:t>808.0m</w:t>
      </w:r>
      <w:r>
        <w:rPr>
          <w:rFonts w:hint="default" w:ascii="Times New Roman" w:hAnsi="Times New Roman" w:cs="Times New Roman"/>
          <w:color w:val="000000"/>
          <w:sz w:val="24"/>
          <w:highlight w:val="none"/>
        </w:rPr>
        <w:t>时，</w:t>
      </w:r>
      <w:r>
        <w:rPr>
          <w:rFonts w:hint="eastAsia" w:cs="Times New Roman"/>
          <w:color w:val="000000"/>
          <w:sz w:val="24"/>
          <w:highlight w:val="none"/>
          <w:lang w:eastAsia="zh-CN"/>
        </w:rPr>
        <w:t>对排土场最终平台及坡面进行绿化。</w:t>
      </w:r>
      <w:r>
        <w:rPr>
          <w:rFonts w:hint="default" w:ascii="Times New Roman" w:hAnsi="Times New Roman" w:cs="Times New Roman"/>
          <w:color w:val="000000"/>
          <w:sz w:val="24"/>
          <w:highlight w:val="none"/>
        </w:rPr>
        <w:t>使用机械设备对排土场进行平整作业，消除高低不平和乱石堆积，形成适宜的土地表面。对于复垦绿化区域，先覆盖不小于</w:t>
      </w:r>
      <w:r>
        <w:rPr>
          <w:rFonts w:hint="eastAsia" w:ascii="Times New Roman" w:hAnsi="Times New Roman" w:cs="Times New Roman"/>
          <w:color w:val="000000"/>
          <w:sz w:val="24"/>
          <w:highlight w:val="none"/>
          <w:lang w:eastAsia="zh-CN"/>
        </w:rPr>
        <w:t>40cm</w:t>
      </w:r>
      <w:r>
        <w:rPr>
          <w:rFonts w:hint="default" w:ascii="Times New Roman" w:hAnsi="Times New Roman" w:cs="Times New Roman"/>
          <w:color w:val="000000"/>
          <w:sz w:val="24"/>
          <w:highlight w:val="none"/>
        </w:rPr>
        <w:t>的土层，通过施加有机肥、种植绿肥植物、客土等方式，改善土壤的肥力和结构</w:t>
      </w:r>
      <w:r>
        <w:rPr>
          <w:rFonts w:hint="eastAsia" w:cs="Times New Roman"/>
          <w:color w:val="000000"/>
          <w:sz w:val="24"/>
          <w:highlight w:val="none"/>
          <w:lang w:eastAsia="zh-CN"/>
        </w:rPr>
        <w:t>。</w:t>
      </w:r>
      <w:r>
        <w:rPr>
          <w:rFonts w:hint="default" w:ascii="Times New Roman" w:hAnsi="Times New Roman" w:cs="Times New Roman"/>
          <w:color w:val="000000"/>
          <w:sz w:val="24"/>
          <w:highlight w:val="none"/>
        </w:rPr>
        <w:t>选择适宜的植被进行种植，</w:t>
      </w:r>
      <w:r>
        <w:rPr>
          <w:rFonts w:hint="eastAsia" w:cs="Times New Roman"/>
          <w:color w:val="000000"/>
          <w:sz w:val="24"/>
          <w:highlight w:val="none"/>
          <w:lang w:eastAsia="zh-CN"/>
        </w:rPr>
        <w:t>最终平台</w:t>
      </w:r>
      <w:r>
        <w:rPr>
          <w:rFonts w:hint="eastAsia" w:cs="Times New Roman"/>
          <w:color w:val="000000"/>
          <w:sz w:val="24"/>
          <w:highlight w:val="none"/>
          <w:lang w:val="en-US" w:eastAsia="zh-CN"/>
        </w:rPr>
        <w:t>种植灌木，并播撒草籽，</w:t>
      </w:r>
      <w:r>
        <w:rPr>
          <w:rFonts w:hint="eastAsia" w:cs="Times New Roman"/>
          <w:color w:val="000000"/>
          <w:sz w:val="24"/>
          <w:highlight w:val="none"/>
          <w:lang w:eastAsia="zh-CN"/>
        </w:rPr>
        <w:t>坡面</w:t>
      </w:r>
      <w:r>
        <w:rPr>
          <w:rFonts w:hint="eastAsia" w:cs="Times New Roman"/>
          <w:color w:val="000000"/>
          <w:sz w:val="24"/>
          <w:highlight w:val="none"/>
          <w:lang w:val="en-US" w:eastAsia="zh-CN"/>
        </w:rPr>
        <w:t>采用灌草结合的方式栽植灌木、播撒草籽，灌木植被可种植沙棘、棉槐等</w:t>
      </w:r>
      <w:r>
        <w:rPr>
          <w:rFonts w:hint="default" w:ascii="Times New Roman" w:hAnsi="Times New Roman" w:cs="Times New Roman"/>
          <w:color w:val="000000"/>
          <w:sz w:val="24"/>
          <w:highlight w:val="none"/>
        </w:rPr>
        <w:t>，</w:t>
      </w:r>
      <w:r>
        <w:rPr>
          <w:rFonts w:eastAsia="宋体"/>
          <w:sz w:val="24"/>
          <w:szCs w:val="24"/>
          <w:highlight w:val="none"/>
        </w:rPr>
        <w:t>种植</w:t>
      </w:r>
      <w:r>
        <w:rPr>
          <w:rFonts w:hint="eastAsia" w:eastAsia="宋体"/>
          <w:sz w:val="24"/>
          <w:szCs w:val="24"/>
          <w:highlight w:val="none"/>
          <w:lang w:val="en-US" w:eastAsia="zh-CN"/>
        </w:rPr>
        <w:t>沙棘1500株、</w:t>
      </w:r>
      <w:r>
        <w:rPr>
          <w:rFonts w:eastAsia="宋体"/>
          <w:sz w:val="24"/>
          <w:szCs w:val="24"/>
          <w:highlight w:val="none"/>
        </w:rPr>
        <w:t>棉槐</w:t>
      </w:r>
      <w:r>
        <w:rPr>
          <w:rFonts w:hint="eastAsia" w:eastAsia="宋体"/>
          <w:sz w:val="24"/>
          <w:szCs w:val="24"/>
          <w:highlight w:val="none"/>
          <w:lang w:val="en-US" w:eastAsia="zh-CN"/>
        </w:rPr>
        <w:t>1000</w:t>
      </w:r>
      <w:r>
        <w:rPr>
          <w:rFonts w:eastAsia="宋体"/>
          <w:sz w:val="24"/>
          <w:szCs w:val="24"/>
          <w:highlight w:val="none"/>
        </w:rPr>
        <w:t>株，撒播草籽</w:t>
      </w:r>
      <w:r>
        <w:rPr>
          <w:rFonts w:hint="eastAsia" w:eastAsia="宋体"/>
          <w:sz w:val="24"/>
          <w:szCs w:val="24"/>
          <w:highlight w:val="none"/>
          <w:lang w:val="en-US" w:eastAsia="zh-CN"/>
        </w:rPr>
        <w:t>120kg。采取上述生态恢复措施后，</w:t>
      </w:r>
      <w:r>
        <w:rPr>
          <w:rFonts w:hint="default" w:ascii="Times New Roman" w:hAnsi="Times New Roman" w:cs="Times New Roman"/>
          <w:color w:val="000000"/>
          <w:sz w:val="24"/>
          <w:highlight w:val="none"/>
        </w:rPr>
        <w:t>恢复排土场</w:t>
      </w:r>
      <w:r>
        <w:rPr>
          <w:rFonts w:hint="eastAsia" w:ascii="Times New Roman" w:hAnsi="Times New Roman" w:cs="Times New Roman"/>
          <w:color w:val="000000"/>
          <w:sz w:val="24"/>
          <w:highlight w:val="none"/>
          <w:lang w:val="en-US" w:eastAsia="zh-CN"/>
        </w:rPr>
        <w:t>占地区域</w:t>
      </w:r>
      <w:r>
        <w:rPr>
          <w:rFonts w:hint="default" w:ascii="Times New Roman" w:hAnsi="Times New Roman" w:cs="Times New Roman"/>
          <w:color w:val="000000"/>
          <w:sz w:val="24"/>
          <w:highlight w:val="none"/>
        </w:rPr>
        <w:t>的生态环境。</w:t>
      </w:r>
    </w:p>
    <w:p w14:paraId="353ADA6F">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小结</w:t>
      </w:r>
    </w:p>
    <w:p w14:paraId="4DD45B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sz w:val="24"/>
          <w:highlight w:val="none"/>
          <w:lang w:eastAsia="zh-CN"/>
        </w:rPr>
      </w:pPr>
      <w:r>
        <w:rPr>
          <w:rFonts w:hint="default" w:ascii="Times New Roman" w:hAnsi="Times New Roman" w:cs="Times New Roman"/>
          <w:color w:val="auto"/>
          <w:sz w:val="24"/>
          <w:highlight w:val="none"/>
        </w:rPr>
        <w:t>综合上述分析可知，在落实上述生态恢复措施的前提下，本项目的实施不会对区域</w:t>
      </w:r>
      <w:r>
        <w:rPr>
          <w:rFonts w:hint="eastAsia" w:cs="Times New Roman"/>
          <w:color w:val="auto"/>
          <w:sz w:val="24"/>
          <w:highlight w:val="none"/>
          <w:lang w:eastAsia="zh-CN"/>
        </w:rPr>
        <w:t>土地利用、植被、野生动物</w:t>
      </w:r>
      <w:r>
        <w:rPr>
          <w:rFonts w:hint="default" w:ascii="Times New Roman" w:hAnsi="Times New Roman" w:cs="Times New Roman"/>
          <w:color w:val="auto"/>
          <w:sz w:val="24"/>
          <w:highlight w:val="none"/>
        </w:rPr>
        <w:t>等产生明显影响，</w:t>
      </w:r>
      <w:r>
        <w:rPr>
          <w:rFonts w:hint="eastAsia" w:cs="Times New Roman"/>
          <w:color w:val="auto"/>
          <w:sz w:val="24"/>
          <w:highlight w:val="none"/>
          <w:lang w:eastAsia="zh-CN"/>
        </w:rPr>
        <w:t>随着排土场覆土绿化，</w:t>
      </w:r>
      <w:r>
        <w:rPr>
          <w:rFonts w:hint="default" w:ascii="Times New Roman" w:hAnsi="Times New Roman" w:cs="Times New Roman"/>
          <w:color w:val="auto"/>
          <w:sz w:val="24"/>
          <w:highlight w:val="none"/>
        </w:rPr>
        <w:t>遭破坏的生态环境可</w:t>
      </w:r>
      <w:r>
        <w:rPr>
          <w:rFonts w:hint="eastAsia" w:cs="Times New Roman"/>
          <w:color w:val="auto"/>
          <w:sz w:val="24"/>
          <w:highlight w:val="none"/>
          <w:lang w:eastAsia="zh-CN"/>
        </w:rPr>
        <w:t>逐步</w:t>
      </w:r>
      <w:r>
        <w:rPr>
          <w:rFonts w:hint="default" w:ascii="Times New Roman" w:hAnsi="Times New Roman" w:cs="Times New Roman"/>
          <w:color w:val="auto"/>
          <w:sz w:val="24"/>
          <w:highlight w:val="none"/>
        </w:rPr>
        <w:t>得到恢复，生态影响可以接受</w:t>
      </w:r>
      <w:r>
        <w:rPr>
          <w:rFonts w:hint="eastAsia" w:cs="Times New Roman"/>
          <w:color w:val="000000"/>
          <w:sz w:val="24"/>
          <w:highlight w:val="none"/>
          <w:lang w:eastAsia="zh-CN"/>
        </w:rPr>
        <w:t>。</w:t>
      </w:r>
    </w:p>
    <w:p w14:paraId="08DC0511">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生态影响评价自查表</w:t>
      </w:r>
    </w:p>
    <w:p w14:paraId="6D0F0B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sz w:val="24"/>
          <w:szCs w:val="24"/>
          <w:highlight w:val="none"/>
          <w:lang w:eastAsia="zh-CN"/>
        </w:rPr>
      </w:pPr>
      <w:r>
        <w:rPr>
          <w:rFonts w:hint="default" w:ascii="Times New Roman" w:hAnsi="Times New Roman" w:cs="Times New Roman"/>
          <w:color w:val="000000"/>
          <w:sz w:val="24"/>
          <w:szCs w:val="24"/>
          <w:highlight w:val="none"/>
        </w:rPr>
        <w:t>项目生态影响评价自查表详见下表：</w:t>
      </w:r>
    </w:p>
    <w:p w14:paraId="60898AB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sz w:val="24"/>
          <w:highlight w:val="none"/>
          <w:lang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0277B202">
      <w:pPr>
        <w:keepNext w:val="0"/>
        <w:keepLines w:val="0"/>
        <w:pageBreakBefore w:val="0"/>
        <w:widowControl w:val="0"/>
        <w:numPr>
          <w:ilvl w:val="0"/>
          <w:numId w:val="24"/>
        </w:numPr>
        <w:kinsoku/>
        <w:wordWrap/>
        <w:overflowPunct/>
        <w:topLinePunct w:val="0"/>
        <w:autoSpaceDE/>
        <w:autoSpaceDN/>
        <w:bidi w:val="0"/>
        <w:spacing w:line="360" w:lineRule="auto"/>
        <w:ind w:left="0" w:leftChars="0" w:firstLine="0" w:firstLineChars="0"/>
        <w:jc w:val="center"/>
        <w:textAlignment w:val="auto"/>
        <w:rPr>
          <w:rFonts w:hint="eastAsia"/>
          <w:b/>
          <w:bCs/>
          <w:sz w:val="21"/>
          <w:szCs w:val="21"/>
          <w:highlight w:val="none"/>
          <w:lang w:eastAsia="zh-CN"/>
        </w:rPr>
      </w:pPr>
      <w:r>
        <w:rPr>
          <w:rFonts w:hint="default" w:ascii="Times New Roman" w:hAnsi="Times New Roman" w:cs="Times New Roman"/>
          <w:b/>
          <w:bCs/>
          <w:color w:val="000000"/>
          <w:sz w:val="21"/>
          <w:szCs w:val="21"/>
          <w:highlight w:val="none"/>
        </w:rPr>
        <w:t>生态影响评价自查表</w:t>
      </w:r>
    </w:p>
    <w:tbl>
      <w:tblPr>
        <w:tblStyle w:val="317"/>
        <w:tblW w:w="511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45"/>
        <w:gridCol w:w="1337"/>
        <w:gridCol w:w="6234"/>
      </w:tblGrid>
      <w:tr w14:paraId="0B409A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340" w:type="pct"/>
            <w:gridSpan w:val="2"/>
            <w:tcBorders>
              <w:tl2br w:val="nil"/>
              <w:tr2bl w:val="nil"/>
            </w:tcBorders>
            <w:vAlign w:val="center"/>
          </w:tcPr>
          <w:p w14:paraId="36635B1E">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工作内容</w:t>
            </w:r>
          </w:p>
        </w:tc>
        <w:tc>
          <w:tcPr>
            <w:tcW w:w="3659" w:type="pct"/>
            <w:tcBorders>
              <w:tl2br w:val="nil"/>
              <w:tr2bl w:val="nil"/>
            </w:tcBorders>
            <w:vAlign w:val="top"/>
          </w:tcPr>
          <w:p w14:paraId="20B0494E">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自查项目</w:t>
            </w:r>
          </w:p>
        </w:tc>
      </w:tr>
      <w:tr w14:paraId="021117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restart"/>
            <w:tcBorders>
              <w:tl2br w:val="nil"/>
              <w:tr2bl w:val="nil"/>
            </w:tcBorders>
            <w:vAlign w:val="center"/>
          </w:tcPr>
          <w:p w14:paraId="19918B0A">
            <w:pPr>
              <w:pStyle w:val="227"/>
              <w:keepNext w:val="0"/>
              <w:keepLines w:val="0"/>
              <w:pageBreakBefore w:val="0"/>
              <w:widowControl w:val="0"/>
              <w:kinsoku/>
              <w:wordWrap/>
              <w:overflowPunct/>
              <w:topLinePunct w:val="0"/>
              <w:bidi w:val="0"/>
              <w:snapToGrid/>
              <w:spacing w:line="240" w:lineRule="atLeast"/>
              <w:ind w:left="0" w:right="0" w:hanging="18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生态影响识别</w:t>
            </w:r>
          </w:p>
        </w:tc>
        <w:tc>
          <w:tcPr>
            <w:tcW w:w="784" w:type="pct"/>
            <w:tcBorders>
              <w:tl2br w:val="nil"/>
              <w:tr2bl w:val="nil"/>
            </w:tcBorders>
            <w:vAlign w:val="center"/>
          </w:tcPr>
          <w:p w14:paraId="04610E10">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生态保护目标</w:t>
            </w:r>
          </w:p>
        </w:tc>
        <w:tc>
          <w:tcPr>
            <w:tcW w:w="3659" w:type="pct"/>
            <w:tcBorders>
              <w:tl2br w:val="nil"/>
              <w:tr2bl w:val="nil"/>
            </w:tcBorders>
            <w:vAlign w:val="center"/>
          </w:tcPr>
          <w:p w14:paraId="11E3A9B0">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重要物种□；国家公园□；自然保护区□；自然公园□；世界自然遗产□；生态保护红线</w:t>
            </w:r>
            <w:r>
              <w:rPr>
                <w:rFonts w:hint="default" w:ascii="Times New Roman" w:hAnsi="Times New Roman" w:eastAsia="宋体" w:cs="Times New Roman"/>
                <w:sz w:val="21"/>
                <w:szCs w:val="21"/>
                <w:highlight w:val="none"/>
              </w:rPr>
              <w:sym w:font="Wingdings 2" w:char="00A3"/>
            </w:r>
            <w:r>
              <w:rPr>
                <w:rFonts w:hint="default" w:ascii="Times New Roman" w:hAnsi="Times New Roman" w:eastAsia="宋体" w:cs="Times New Roman"/>
                <w:sz w:val="21"/>
                <w:szCs w:val="21"/>
                <w:highlight w:val="none"/>
              </w:rPr>
              <w:t>；重要生境□；其他具有重要生态功能、对保护生物多样性具有重要意义的区域□；其他□</w:t>
            </w:r>
          </w:p>
        </w:tc>
      </w:tr>
      <w:tr w14:paraId="2A7FF5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3C6944C6">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3555865F">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影响方式</w:t>
            </w:r>
          </w:p>
        </w:tc>
        <w:tc>
          <w:tcPr>
            <w:tcW w:w="3659" w:type="pct"/>
            <w:tcBorders>
              <w:tl2br w:val="nil"/>
              <w:tr2bl w:val="nil"/>
            </w:tcBorders>
            <w:vAlign w:val="center"/>
          </w:tcPr>
          <w:p w14:paraId="10FDC648">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工程占用</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；施工活动干扰</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；改变环境条件□；其他□</w:t>
            </w:r>
          </w:p>
        </w:tc>
      </w:tr>
      <w:tr w14:paraId="292BF2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711F3048">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22AA8988">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评价因子</w:t>
            </w:r>
          </w:p>
        </w:tc>
        <w:tc>
          <w:tcPr>
            <w:tcW w:w="3659" w:type="pct"/>
            <w:tcBorders>
              <w:tl2br w:val="nil"/>
              <w:tr2bl w:val="nil"/>
            </w:tcBorders>
            <w:vAlign w:val="center"/>
          </w:tcPr>
          <w:p w14:paraId="450D7431">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物种□（</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21CD32E5">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生境□（</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5B7B6916">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生物群落□（</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799EB03C">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生态系统</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6EAA12DC">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生物多样性</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24A91699">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生态敏感区</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w:t>
            </w:r>
            <w:r>
              <w:rPr>
                <w:rFonts w:hint="eastAsia" w:ascii="宋体" w:hAnsi="宋体" w:eastAsia="宋体" w:cs="宋体"/>
                <w:color w:val="auto"/>
                <w:spacing w:val="0"/>
                <w:kern w:val="0"/>
                <w:sz w:val="21"/>
                <w:szCs w:val="21"/>
                <w:highlight w:val="none"/>
                <w:lang w:val="en-US" w:eastAsia="zh-CN" w:bidi="ar"/>
              </w:rPr>
              <w:t>生态保护红线</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07A6685E">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自然景观□（</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33B19CB4">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自然遗迹□（</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p w14:paraId="0ABD60EC">
            <w:pPr>
              <w:pStyle w:val="227"/>
              <w:keepNext w:val="0"/>
              <w:keepLines w:val="0"/>
              <w:pageBreakBefore w:val="0"/>
              <w:widowControl w:val="0"/>
              <w:tabs>
                <w:tab w:val="left" w:pos="3092"/>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其他□（</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t>）</w:t>
            </w:r>
          </w:p>
        </w:tc>
      </w:tr>
      <w:tr w14:paraId="4D1A14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340" w:type="pct"/>
            <w:gridSpan w:val="2"/>
            <w:tcBorders>
              <w:tl2br w:val="nil"/>
              <w:tr2bl w:val="nil"/>
            </w:tcBorders>
            <w:vAlign w:val="center"/>
          </w:tcPr>
          <w:p w14:paraId="78A46673">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评价等级</w:t>
            </w:r>
          </w:p>
        </w:tc>
        <w:tc>
          <w:tcPr>
            <w:tcW w:w="3659" w:type="pct"/>
            <w:tcBorders>
              <w:tl2br w:val="nil"/>
              <w:tr2bl w:val="nil"/>
            </w:tcBorders>
            <w:vAlign w:val="center"/>
          </w:tcPr>
          <w:p w14:paraId="5D0FC58B">
            <w:pPr>
              <w:pStyle w:val="227"/>
              <w:keepNext w:val="0"/>
              <w:keepLines w:val="0"/>
              <w:pageBreakBefore w:val="0"/>
              <w:widowControl w:val="0"/>
              <w:tabs>
                <w:tab w:val="left" w:pos="1471"/>
                <w:tab w:val="left" w:pos="2823"/>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一级□二级</w:t>
            </w:r>
            <w:r>
              <w:rPr>
                <w:rFonts w:hint="default" w:ascii="Times New Roman" w:hAnsi="Times New Roman" w:eastAsia="宋体" w:cs="Times New Roman"/>
                <w:sz w:val="21"/>
                <w:szCs w:val="21"/>
                <w:highlight w:val="none"/>
              </w:rPr>
              <w:sym w:font="Wingdings 2" w:char="00A3"/>
            </w:r>
            <w:r>
              <w:rPr>
                <w:rFonts w:hint="default" w:ascii="Times New Roman" w:hAnsi="Times New Roman" w:eastAsia="宋体" w:cs="Times New Roman"/>
                <w:sz w:val="21"/>
                <w:szCs w:val="21"/>
                <w:highlight w:val="none"/>
              </w:rPr>
              <w:t>三级</w:t>
            </w:r>
            <w:r>
              <w:rPr>
                <w:rFonts w:hint="eastAsia" w:eastAsia="宋体" w:cs="Times New Roman"/>
                <w:sz w:val="21"/>
                <w:szCs w:val="21"/>
                <w:highlight w:val="none"/>
                <w:lang w:eastAsia="zh-CN"/>
              </w:rPr>
              <w:t>☑</w:t>
            </w:r>
            <w:r>
              <w:rPr>
                <w:rFonts w:hint="default" w:ascii="Times New Roman" w:hAnsi="Times New Roman" w:eastAsia="宋体" w:cs="Times New Roman"/>
                <w:sz w:val="21"/>
                <w:szCs w:val="21"/>
                <w:highlight w:val="none"/>
              </w:rPr>
              <w:t>生态影响简单分析□</w:t>
            </w:r>
          </w:p>
        </w:tc>
      </w:tr>
      <w:tr w14:paraId="18274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340" w:type="pct"/>
            <w:gridSpan w:val="2"/>
            <w:tcBorders>
              <w:tl2br w:val="nil"/>
              <w:tr2bl w:val="nil"/>
            </w:tcBorders>
            <w:vAlign w:val="center"/>
          </w:tcPr>
          <w:p w14:paraId="794B13D2">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评价范围</w:t>
            </w:r>
          </w:p>
        </w:tc>
        <w:tc>
          <w:tcPr>
            <w:tcW w:w="3659" w:type="pct"/>
            <w:tcBorders>
              <w:tl2br w:val="nil"/>
              <w:tr2bl w:val="nil"/>
            </w:tcBorders>
            <w:vAlign w:val="center"/>
          </w:tcPr>
          <w:p w14:paraId="29513985">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陆域面积：（</w:t>
            </w:r>
            <w:r>
              <w:rPr>
                <w:rFonts w:hint="eastAsia" w:eastAsia="宋体" w:cs="Times New Roman"/>
                <w:sz w:val="21"/>
                <w:szCs w:val="21"/>
                <w:highlight w:val="none"/>
                <w:lang w:val="en-US" w:eastAsia="zh-CN"/>
              </w:rPr>
              <w:t>0.39</w:t>
            </w:r>
            <w:r>
              <w:rPr>
                <w:rFonts w:hint="default" w:ascii="Times New Roman" w:hAnsi="Times New Roman" w:eastAsia="宋体" w:cs="Times New Roman"/>
                <w:sz w:val="21"/>
                <w:szCs w:val="21"/>
                <w:highlight w:val="none"/>
              </w:rPr>
              <w:t>）km</w:t>
            </w:r>
            <w:r>
              <w:rPr>
                <w:rFonts w:hint="default" w:ascii="Times New Roman" w:hAnsi="Times New Roman" w:eastAsia="宋体" w:cs="Times New Roman"/>
                <w:sz w:val="21"/>
                <w:szCs w:val="21"/>
                <w:highlight w:val="none"/>
                <w:vertAlign w:val="superscript"/>
              </w:rPr>
              <w:t>2</w:t>
            </w:r>
            <w:r>
              <w:rPr>
                <w:rFonts w:hint="default" w:ascii="Times New Roman" w:hAnsi="Times New Roman" w:eastAsia="宋体" w:cs="Times New Roman"/>
                <w:sz w:val="21"/>
                <w:szCs w:val="21"/>
                <w:highlight w:val="none"/>
              </w:rPr>
              <w:t>；水域面积：（</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）km</w:t>
            </w:r>
            <w:r>
              <w:rPr>
                <w:rFonts w:hint="default" w:ascii="Times New Roman" w:hAnsi="Times New Roman" w:eastAsia="宋体" w:cs="Times New Roman"/>
                <w:sz w:val="21"/>
                <w:szCs w:val="21"/>
                <w:highlight w:val="none"/>
                <w:vertAlign w:val="superscript"/>
              </w:rPr>
              <w:t>2</w:t>
            </w:r>
            <w:r>
              <w:rPr>
                <w:rFonts w:hint="default" w:ascii="Times New Roman" w:hAnsi="Times New Roman" w:eastAsia="宋体" w:cs="Times New Roman"/>
                <w:sz w:val="21"/>
                <w:szCs w:val="21"/>
                <w:highlight w:val="none"/>
              </w:rPr>
              <w:t>；</w:t>
            </w:r>
          </w:p>
        </w:tc>
      </w:tr>
      <w:tr w14:paraId="687087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restart"/>
            <w:tcBorders>
              <w:tl2br w:val="nil"/>
              <w:tr2bl w:val="nil"/>
            </w:tcBorders>
            <w:vAlign w:val="center"/>
          </w:tcPr>
          <w:p w14:paraId="6B361670">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生态现状</w:t>
            </w:r>
            <w:r>
              <w:rPr>
                <w:rFonts w:hint="default" w:ascii="Times New Roman" w:hAnsi="Times New Roman" w:eastAsia="宋体" w:cs="Times New Roman"/>
                <w:sz w:val="21"/>
                <w:szCs w:val="21"/>
                <w:highlight w:val="none"/>
              </w:rPr>
              <w:t>调查与评价</w:t>
            </w:r>
          </w:p>
        </w:tc>
        <w:tc>
          <w:tcPr>
            <w:tcW w:w="784" w:type="pct"/>
            <w:tcBorders>
              <w:tl2br w:val="nil"/>
              <w:tr2bl w:val="nil"/>
            </w:tcBorders>
            <w:vAlign w:val="center"/>
          </w:tcPr>
          <w:p w14:paraId="63C542DC">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调查方法</w:t>
            </w:r>
          </w:p>
        </w:tc>
        <w:tc>
          <w:tcPr>
            <w:tcW w:w="3659" w:type="pct"/>
            <w:tcBorders>
              <w:tl2br w:val="nil"/>
              <w:tr2bl w:val="nil"/>
            </w:tcBorders>
            <w:vAlign w:val="center"/>
          </w:tcPr>
          <w:p w14:paraId="01B0533C">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资料收集</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；遥感调查</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；调查样方、样线</w:t>
            </w:r>
            <w:r>
              <w:rPr>
                <w:rFonts w:hint="default" w:ascii="Times New Roman" w:hAnsi="Times New Roman" w:eastAsia="宋体" w:cs="Times New Roman"/>
                <w:sz w:val="21"/>
                <w:szCs w:val="21"/>
                <w:highlight w:val="none"/>
              </w:rPr>
              <w:sym w:font="Wingdings 2" w:char="00A3"/>
            </w:r>
            <w:r>
              <w:rPr>
                <w:rFonts w:hint="default" w:ascii="Times New Roman" w:hAnsi="Times New Roman" w:eastAsia="宋体" w:cs="Times New Roman"/>
                <w:sz w:val="21"/>
                <w:szCs w:val="21"/>
                <w:highlight w:val="none"/>
              </w:rPr>
              <w:t>；调查点位、断面□；专家和公众咨询法</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；其他□</w:t>
            </w:r>
          </w:p>
        </w:tc>
      </w:tr>
      <w:tr w14:paraId="4ADAD5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58294EBC">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1CB85989">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调查时间</w:t>
            </w:r>
          </w:p>
        </w:tc>
        <w:tc>
          <w:tcPr>
            <w:tcW w:w="3659" w:type="pct"/>
            <w:tcBorders>
              <w:tl2br w:val="nil"/>
              <w:tr2bl w:val="nil"/>
            </w:tcBorders>
            <w:vAlign w:val="center"/>
          </w:tcPr>
          <w:p w14:paraId="5B26311C">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春季</w:t>
            </w:r>
            <w:r>
              <w:rPr>
                <w:rFonts w:hint="default" w:ascii="Times New Roman" w:hAnsi="Times New Roman" w:eastAsia="宋体" w:cs="Times New Roman"/>
                <w:sz w:val="21"/>
                <w:szCs w:val="21"/>
                <w:highlight w:val="none"/>
              </w:rPr>
              <w:sym w:font="Wingdings 2" w:char="00A3"/>
            </w:r>
            <w:r>
              <w:rPr>
                <w:rFonts w:hint="default" w:ascii="Times New Roman" w:hAnsi="Times New Roman" w:eastAsia="宋体" w:cs="Times New Roman"/>
                <w:sz w:val="21"/>
                <w:szCs w:val="21"/>
                <w:highlight w:val="none"/>
              </w:rPr>
              <w:t>；夏季</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；秋季</w:t>
            </w:r>
            <w:r>
              <w:rPr>
                <w:rFonts w:hint="default" w:ascii="Times New Roman" w:hAnsi="Times New Roman" w:eastAsia="宋体" w:cs="Times New Roman"/>
                <w:sz w:val="21"/>
                <w:szCs w:val="21"/>
                <w:highlight w:val="none"/>
              </w:rPr>
              <w:sym w:font="Wingdings 2" w:char="00A3"/>
            </w:r>
            <w:r>
              <w:rPr>
                <w:rFonts w:hint="default" w:ascii="Times New Roman" w:hAnsi="Times New Roman" w:eastAsia="宋体" w:cs="Times New Roman"/>
                <w:sz w:val="21"/>
                <w:szCs w:val="21"/>
                <w:highlight w:val="none"/>
              </w:rPr>
              <w:t>；冬季□ 丰水期</w:t>
            </w:r>
            <w:r>
              <w:rPr>
                <w:rFonts w:hint="default" w:ascii="Times New Roman" w:hAnsi="Times New Roman" w:eastAsia="宋体" w:cs="Times New Roman"/>
                <w:sz w:val="21"/>
                <w:szCs w:val="21"/>
                <w:highlight w:val="none"/>
              </w:rPr>
              <w:sym w:font="Wingdings 2" w:char="00A3"/>
            </w:r>
            <w:r>
              <w:rPr>
                <w:rFonts w:hint="default" w:ascii="Times New Roman" w:hAnsi="Times New Roman" w:eastAsia="宋体" w:cs="Times New Roman"/>
                <w:sz w:val="21"/>
                <w:szCs w:val="21"/>
                <w:highlight w:val="none"/>
              </w:rPr>
              <w:t>；枯水期□；平水期□</w:t>
            </w:r>
          </w:p>
        </w:tc>
      </w:tr>
      <w:tr w14:paraId="5B3853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5605062B">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4FA40FEB">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所在区域的生态问题</w:t>
            </w:r>
          </w:p>
        </w:tc>
        <w:tc>
          <w:tcPr>
            <w:tcW w:w="3659" w:type="pct"/>
            <w:tcBorders>
              <w:tl2br w:val="nil"/>
              <w:tr2bl w:val="nil"/>
            </w:tcBorders>
            <w:vAlign w:val="center"/>
          </w:tcPr>
          <w:p w14:paraId="39E3C952">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水土流失</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；沙漠化□；石漠化□；盐渍化□；生物入侵□；污染危害□；其他□</w:t>
            </w:r>
          </w:p>
        </w:tc>
      </w:tr>
      <w:tr w14:paraId="40092E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7FE66075">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43E95032">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评价内容</w:t>
            </w:r>
          </w:p>
        </w:tc>
        <w:tc>
          <w:tcPr>
            <w:tcW w:w="3659" w:type="pct"/>
            <w:tcBorders>
              <w:tl2br w:val="nil"/>
              <w:tr2bl w:val="nil"/>
            </w:tcBorders>
            <w:vAlign w:val="center"/>
          </w:tcPr>
          <w:p w14:paraId="5541F9F6">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植被/植物群落</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；土地利用</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；生态系统</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；生物多样性</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；重要物种</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；生态敏感区</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；其他□</w:t>
            </w:r>
          </w:p>
        </w:tc>
      </w:tr>
      <w:tr w14:paraId="19CEFF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restart"/>
            <w:tcBorders>
              <w:tl2br w:val="nil"/>
              <w:tr2bl w:val="nil"/>
            </w:tcBorders>
            <w:vAlign w:val="center"/>
          </w:tcPr>
          <w:p w14:paraId="0A158B19">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pacing w:val="-5"/>
                <w:sz w:val="21"/>
                <w:szCs w:val="21"/>
                <w:highlight w:val="none"/>
              </w:rPr>
              <w:t>生态影响</w:t>
            </w:r>
            <w:r>
              <w:rPr>
                <w:rFonts w:hint="default" w:ascii="Times New Roman" w:hAnsi="Times New Roman" w:eastAsia="宋体" w:cs="Times New Roman"/>
                <w:sz w:val="21"/>
                <w:szCs w:val="21"/>
                <w:highlight w:val="none"/>
              </w:rPr>
              <w:t>预测与评价</w:t>
            </w:r>
          </w:p>
        </w:tc>
        <w:tc>
          <w:tcPr>
            <w:tcW w:w="784" w:type="pct"/>
            <w:tcBorders>
              <w:tl2br w:val="nil"/>
              <w:tr2bl w:val="nil"/>
            </w:tcBorders>
            <w:vAlign w:val="center"/>
          </w:tcPr>
          <w:p w14:paraId="4C714586">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评价方法</w:t>
            </w:r>
          </w:p>
        </w:tc>
        <w:tc>
          <w:tcPr>
            <w:tcW w:w="3659" w:type="pct"/>
            <w:tcBorders>
              <w:tl2br w:val="nil"/>
              <w:tr2bl w:val="nil"/>
            </w:tcBorders>
            <w:vAlign w:val="center"/>
          </w:tcPr>
          <w:p w14:paraId="10E576CF">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定性□；定性和定量</w:t>
            </w:r>
            <w:r>
              <w:rPr>
                <w:rFonts w:hint="default" w:ascii="Times New Roman" w:hAnsi="Times New Roman" w:eastAsia="宋体" w:cs="Times New Roman"/>
                <w:sz w:val="21"/>
                <w:szCs w:val="21"/>
                <w:highlight w:val="none"/>
              </w:rPr>
              <w:sym w:font="Wingdings 2" w:char="0052"/>
            </w:r>
          </w:p>
        </w:tc>
      </w:tr>
      <w:tr w14:paraId="6563EE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43B8EC11">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7816474A">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评价内容</w:t>
            </w:r>
          </w:p>
        </w:tc>
        <w:tc>
          <w:tcPr>
            <w:tcW w:w="3659" w:type="pct"/>
            <w:tcBorders>
              <w:tl2br w:val="nil"/>
              <w:tr2bl w:val="nil"/>
            </w:tcBorders>
            <w:vAlign w:val="center"/>
          </w:tcPr>
          <w:p w14:paraId="1EAC6655">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植被/植物群落</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；土地利用</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；生态系统</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；生物多样性</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；重要物种□；生态敏感区</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；生物入侵风险□；其他□</w:t>
            </w:r>
          </w:p>
        </w:tc>
      </w:tr>
      <w:tr w14:paraId="031899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restart"/>
            <w:tcBorders>
              <w:tl2br w:val="nil"/>
              <w:tr2bl w:val="nil"/>
            </w:tcBorders>
            <w:vAlign w:val="center"/>
          </w:tcPr>
          <w:p w14:paraId="218ACFD3">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生态保护对策措施</w:t>
            </w:r>
          </w:p>
        </w:tc>
        <w:tc>
          <w:tcPr>
            <w:tcW w:w="784" w:type="pct"/>
            <w:tcBorders>
              <w:tl2br w:val="nil"/>
              <w:tr2bl w:val="nil"/>
            </w:tcBorders>
            <w:vAlign w:val="center"/>
          </w:tcPr>
          <w:p w14:paraId="0222BF87">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对策措施</w:t>
            </w:r>
          </w:p>
        </w:tc>
        <w:tc>
          <w:tcPr>
            <w:tcW w:w="3659" w:type="pct"/>
            <w:tcBorders>
              <w:tl2br w:val="nil"/>
              <w:tr2bl w:val="nil"/>
            </w:tcBorders>
            <w:vAlign w:val="center"/>
          </w:tcPr>
          <w:p w14:paraId="5A58B88C">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避让□；减缓□；生态修复</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；生态补偿□；科研□；其他□</w:t>
            </w:r>
          </w:p>
        </w:tc>
      </w:tr>
      <w:tr w14:paraId="372A34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343B2BB5">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22C7AFDC">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生态监测计划</w:t>
            </w:r>
          </w:p>
        </w:tc>
        <w:tc>
          <w:tcPr>
            <w:tcW w:w="3659" w:type="pct"/>
            <w:tcBorders>
              <w:tl2br w:val="nil"/>
              <w:tr2bl w:val="nil"/>
            </w:tcBorders>
            <w:vAlign w:val="center"/>
          </w:tcPr>
          <w:p w14:paraId="6D4C311C">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全生命周期</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；长期跟踪□；常规□；无□</w:t>
            </w:r>
          </w:p>
        </w:tc>
      </w:tr>
      <w:tr w14:paraId="2CDBAD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vMerge w:val="continue"/>
            <w:tcBorders>
              <w:tl2br w:val="nil"/>
              <w:tr2bl w:val="nil"/>
            </w:tcBorders>
            <w:vAlign w:val="center"/>
          </w:tcPr>
          <w:p w14:paraId="10416773">
            <w:pPr>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p>
        </w:tc>
        <w:tc>
          <w:tcPr>
            <w:tcW w:w="784" w:type="pct"/>
            <w:tcBorders>
              <w:tl2br w:val="nil"/>
              <w:tr2bl w:val="nil"/>
            </w:tcBorders>
            <w:vAlign w:val="center"/>
          </w:tcPr>
          <w:p w14:paraId="64821CB6">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环境管理</w:t>
            </w:r>
          </w:p>
        </w:tc>
        <w:tc>
          <w:tcPr>
            <w:tcW w:w="3659" w:type="pct"/>
            <w:tcBorders>
              <w:tl2br w:val="nil"/>
              <w:tr2bl w:val="nil"/>
            </w:tcBorders>
            <w:vAlign w:val="center"/>
          </w:tcPr>
          <w:p w14:paraId="35170C67">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环境监理</w:t>
            </w:r>
            <w:r>
              <w:rPr>
                <w:rFonts w:hint="default" w:ascii="Times New Roman" w:hAnsi="Times New Roman" w:eastAsia="宋体" w:cs="Times New Roman"/>
                <w:sz w:val="21"/>
                <w:szCs w:val="21"/>
                <w:highlight w:val="none"/>
              </w:rPr>
              <w:sym w:font="Wingdings 2" w:char="00A3"/>
            </w:r>
            <w:r>
              <w:rPr>
                <w:rFonts w:hint="default" w:ascii="Times New Roman" w:hAnsi="Times New Roman" w:eastAsia="宋体" w:cs="Times New Roman"/>
                <w:sz w:val="21"/>
                <w:szCs w:val="21"/>
                <w:highlight w:val="none"/>
              </w:rPr>
              <w:t>；环境影响后评价□；其他□</w:t>
            </w:r>
          </w:p>
        </w:tc>
      </w:tr>
      <w:tr w14:paraId="3B9659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55" w:type="pct"/>
            <w:tcBorders>
              <w:tl2br w:val="nil"/>
              <w:tr2bl w:val="nil"/>
            </w:tcBorders>
            <w:vAlign w:val="center"/>
          </w:tcPr>
          <w:p w14:paraId="54E564CD">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评价结论</w:t>
            </w:r>
          </w:p>
        </w:tc>
        <w:tc>
          <w:tcPr>
            <w:tcW w:w="784" w:type="pct"/>
            <w:tcBorders>
              <w:tl2br w:val="nil"/>
              <w:tr2bl w:val="nil"/>
            </w:tcBorders>
            <w:vAlign w:val="center"/>
          </w:tcPr>
          <w:p w14:paraId="569C6570">
            <w:pPr>
              <w:pStyle w:val="227"/>
              <w:keepNext w:val="0"/>
              <w:keepLines w:val="0"/>
              <w:pageBreakBefore w:val="0"/>
              <w:widowControl w:val="0"/>
              <w:kinsoku/>
              <w:wordWrap/>
              <w:overflowPunct/>
              <w:topLinePunct w:val="0"/>
              <w:bidi w:val="0"/>
              <w:snapToGrid/>
              <w:spacing w:line="240" w:lineRule="atLeast"/>
              <w:ind w:left="0" w:right="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生态影响</w:t>
            </w:r>
          </w:p>
        </w:tc>
        <w:tc>
          <w:tcPr>
            <w:tcW w:w="3659" w:type="pct"/>
            <w:tcBorders>
              <w:tl2br w:val="nil"/>
              <w:tr2bl w:val="nil"/>
            </w:tcBorders>
            <w:vAlign w:val="center"/>
          </w:tcPr>
          <w:p w14:paraId="66354E33">
            <w:pPr>
              <w:pStyle w:val="227"/>
              <w:keepNext w:val="0"/>
              <w:keepLines w:val="0"/>
              <w:pageBreakBefore w:val="0"/>
              <w:widowControl w:val="0"/>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可行</w:t>
            </w:r>
            <w:r>
              <w:rPr>
                <w:rFonts w:hint="default" w:ascii="Times New Roman" w:hAnsi="Times New Roman" w:eastAsia="宋体" w:cs="Times New Roman"/>
                <w:sz w:val="21"/>
                <w:szCs w:val="21"/>
                <w:highlight w:val="none"/>
              </w:rPr>
              <w:sym w:font="Wingdings 2" w:char="0052"/>
            </w:r>
            <w:r>
              <w:rPr>
                <w:rFonts w:hint="default" w:ascii="Times New Roman" w:hAnsi="Times New Roman" w:eastAsia="宋体" w:cs="Times New Roman"/>
                <w:sz w:val="21"/>
                <w:szCs w:val="21"/>
                <w:highlight w:val="none"/>
              </w:rPr>
              <w:t>；不可行□</w:t>
            </w:r>
          </w:p>
        </w:tc>
      </w:tr>
      <w:tr w14:paraId="6C89AD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000" w:type="pct"/>
            <w:gridSpan w:val="3"/>
            <w:tcBorders>
              <w:tl2br w:val="nil"/>
              <w:tr2bl w:val="nil"/>
            </w:tcBorders>
            <w:vAlign w:val="center"/>
          </w:tcPr>
          <w:p w14:paraId="0D5EF6BD">
            <w:pPr>
              <w:pStyle w:val="227"/>
              <w:keepNext w:val="0"/>
              <w:keepLines w:val="0"/>
              <w:pageBreakBefore w:val="0"/>
              <w:widowControl w:val="0"/>
              <w:tabs>
                <w:tab w:val="left" w:pos="3259"/>
              </w:tabs>
              <w:kinsoku/>
              <w:wordWrap/>
              <w:overflowPunct/>
              <w:topLinePunct w:val="0"/>
              <w:bidi w:val="0"/>
              <w:snapToGrid/>
              <w:spacing w:line="240" w:lineRule="atLeast"/>
              <w:ind w:left="0" w:right="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注：“□”为勾选项，可√</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 xml:space="preserve">  </w:t>
            </w:r>
            <w:r>
              <w:rPr>
                <w:rFonts w:hint="eastAsia"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为内容填写项。</w:t>
            </w:r>
          </w:p>
        </w:tc>
      </w:tr>
      <w:bookmarkEnd w:id="285"/>
      <w:bookmarkEnd w:id="286"/>
    </w:tbl>
    <w:p w14:paraId="740CCC82">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highlight w:val="none"/>
        </w:rPr>
      </w:pPr>
    </w:p>
    <w:p w14:paraId="6B10C2FF">
      <w:pPr>
        <w:spacing w:line="360" w:lineRule="auto"/>
        <w:rPr>
          <w:rFonts w:hint="default" w:ascii="Times New Roman" w:hAnsi="Times New Roman" w:cs="Times New Roman"/>
          <w:color w:val="000000"/>
          <w:sz w:val="24"/>
          <w:highlight w:val="none"/>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463EB1E7">
      <w:pPr>
        <w:pStyle w:val="187"/>
        <w:rPr>
          <w:rFonts w:hint="default" w:ascii="Times New Roman" w:hAnsi="Times New Roman" w:cs="Times New Roman"/>
          <w:color w:val="000000"/>
          <w:highlight w:val="none"/>
        </w:rPr>
      </w:pPr>
      <w:bookmarkStart w:id="336" w:name="_Toc28392"/>
      <w:bookmarkStart w:id="337" w:name="_Toc31174"/>
      <w:bookmarkStart w:id="338" w:name="_Toc23139"/>
      <w:bookmarkStart w:id="339" w:name="_Toc18649"/>
      <w:bookmarkStart w:id="340" w:name="_Toc19376"/>
      <w:r>
        <w:rPr>
          <w:rFonts w:hint="default" w:ascii="Times New Roman" w:hAnsi="Times New Roman" w:cs="Times New Roman"/>
          <w:color w:val="000000"/>
          <w:highlight w:val="none"/>
        </w:rPr>
        <w:t>环境保护措施及其可行性论证</w:t>
      </w:r>
      <w:bookmarkEnd w:id="336"/>
      <w:bookmarkEnd w:id="337"/>
      <w:bookmarkEnd w:id="338"/>
      <w:bookmarkEnd w:id="339"/>
      <w:bookmarkEnd w:id="340"/>
    </w:p>
    <w:p w14:paraId="0D87B493">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cs="Times New Roman"/>
          <w:color w:val="000000"/>
          <w:sz w:val="28"/>
          <w:szCs w:val="28"/>
          <w:highlight w:val="none"/>
        </w:rPr>
      </w:pPr>
      <w:bookmarkStart w:id="341" w:name="_Toc3646"/>
      <w:bookmarkStart w:id="342" w:name="_Toc16337"/>
      <w:bookmarkStart w:id="343" w:name="_Toc14058"/>
      <w:bookmarkStart w:id="344" w:name="_Toc2177"/>
      <w:bookmarkStart w:id="345" w:name="_Toc26132"/>
      <w:r>
        <w:rPr>
          <w:rFonts w:hint="eastAsia" w:ascii="Times New Roman" w:hAnsi="Times New Roman" w:cs="Times New Roman"/>
          <w:color w:val="000000"/>
          <w:sz w:val="28"/>
          <w:szCs w:val="28"/>
          <w:highlight w:val="none"/>
          <w:lang w:val="en-US" w:eastAsia="zh-CN"/>
        </w:rPr>
        <w:t>废气污染防治</w:t>
      </w:r>
      <w:r>
        <w:rPr>
          <w:rFonts w:hint="default" w:ascii="Times New Roman" w:hAnsi="Times New Roman" w:cs="Times New Roman"/>
          <w:color w:val="000000"/>
          <w:sz w:val="28"/>
          <w:szCs w:val="28"/>
          <w:highlight w:val="none"/>
        </w:rPr>
        <w:t>措施可行性论证</w:t>
      </w:r>
      <w:bookmarkEnd w:id="341"/>
      <w:bookmarkEnd w:id="342"/>
      <w:bookmarkEnd w:id="343"/>
      <w:bookmarkEnd w:id="344"/>
      <w:bookmarkEnd w:id="345"/>
    </w:p>
    <w:p w14:paraId="6DB5A4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sz w:val="24"/>
          <w:szCs w:val="24"/>
          <w:highlight w:val="none"/>
          <w:lang w:val="en-US" w:eastAsia="zh-CN"/>
        </w:rPr>
      </w:pPr>
      <w:bookmarkStart w:id="346" w:name="_Toc28808"/>
      <w:bookmarkStart w:id="347" w:name="_Toc482773654"/>
      <w:r>
        <w:rPr>
          <w:rFonts w:hint="eastAsia" w:ascii="Times New Roman" w:hAnsi="Times New Roman" w:cs="Times New Roman"/>
          <w:color w:val="000000"/>
          <w:kern w:val="0"/>
          <w:sz w:val="24"/>
          <w:szCs w:val="24"/>
          <w:highlight w:val="none"/>
          <w:lang w:val="en-US" w:eastAsia="zh-CN"/>
        </w:rPr>
        <w:t>本项目大气污染源</w:t>
      </w:r>
      <w:r>
        <w:rPr>
          <w:rFonts w:hint="eastAsia" w:cs="Times New Roman"/>
          <w:color w:val="000000"/>
          <w:kern w:val="0"/>
          <w:sz w:val="24"/>
          <w:szCs w:val="24"/>
          <w:highlight w:val="none"/>
          <w:lang w:val="en-US" w:eastAsia="zh-CN"/>
        </w:rPr>
        <w:t>为</w:t>
      </w:r>
      <w:r>
        <w:rPr>
          <w:rFonts w:hint="eastAsia" w:cs="Times New Roman"/>
          <w:color w:val="auto"/>
          <w:kern w:val="0"/>
          <w:sz w:val="24"/>
          <w:szCs w:val="21"/>
          <w:highlight w:val="none"/>
          <w:lang w:val="en-US" w:eastAsia="zh-CN"/>
        </w:rPr>
        <w:t>运输扬尘、堆存扬尘、封场覆土扬尘</w:t>
      </w:r>
      <w:r>
        <w:rPr>
          <w:rFonts w:hint="eastAsia" w:cs="Times New Roman"/>
          <w:color w:val="000000"/>
          <w:sz w:val="24"/>
          <w:szCs w:val="24"/>
          <w:highlight w:val="none"/>
          <w:lang w:val="en-US" w:eastAsia="zh-CN"/>
        </w:rPr>
        <w:t>。</w:t>
      </w:r>
    </w:p>
    <w:p w14:paraId="6CF937DC">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rFonts w:hint="eastAsia" w:cs="Times New Roman"/>
          <w:color w:val="000000"/>
          <w:sz w:val="24"/>
          <w:szCs w:val="24"/>
          <w:highlight w:val="none"/>
          <w:lang w:val="en-US" w:eastAsia="zh-CN"/>
        </w:rPr>
      </w:pPr>
      <w:r>
        <w:rPr>
          <w:rFonts w:hint="eastAsia"/>
          <w:color w:val="auto"/>
          <w:spacing w:val="-2"/>
          <w:kern w:val="0"/>
          <w:sz w:val="24"/>
          <w:szCs w:val="24"/>
          <w:highlight w:val="none"/>
        </w:rPr>
        <w:t>在堆置过程中</w:t>
      </w:r>
      <w:r>
        <w:rPr>
          <w:rFonts w:hint="eastAsia" w:cs="Times New Roman"/>
          <w:color w:val="000000"/>
          <w:sz w:val="24"/>
          <w:szCs w:val="24"/>
          <w:highlight w:val="none"/>
          <w:lang w:val="en-US" w:eastAsia="zh-CN"/>
        </w:rPr>
        <w:t>分区作业，对尚未形成最终堆积面的区域及时进行压实、苫盖；作业过程中配套使用喷淋降尘设备，保持废弃土石料的湿度，倾卸物料时不随意扬撒。</w:t>
      </w:r>
    </w:p>
    <w:p w14:paraId="0DC6D1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废石运输车辆采取苫盖，限制汽车超载，避免车辆沿路遗撒，降低运输扬尘；对厂内道路硬化并进行清扫和洒水，保持路面的湿度和清洁度，对场区进出口道路两侧进行绿化，减少起尘量。</w:t>
      </w:r>
    </w:p>
    <w:p w14:paraId="037AFF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建设项目工程采用环境污染防治措施后，无组织排放厂界最大落地浓度满足《铁矿采选工业污染物排放标准》（GB28661-2012）表7中现有和新建企业大气污染物无组织排放浓度限值要求，污染物能够得到有效治理，技术成熟可靠，措施可行。</w:t>
      </w:r>
    </w:p>
    <w:p w14:paraId="634798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highlight w:val="none"/>
        </w:rPr>
      </w:pPr>
      <w:r>
        <w:rPr>
          <w:rFonts w:hint="eastAsia" w:cs="Times New Roman"/>
          <w:color w:val="000000"/>
          <w:sz w:val="24"/>
          <w:szCs w:val="24"/>
          <w:highlight w:val="none"/>
          <w:lang w:val="en-US" w:eastAsia="zh-CN"/>
        </w:rPr>
        <w:t>项目大气污染物防治措施的环境保护投入资金为50万元，资金来源为本项目投资，措施经济上合理</w:t>
      </w:r>
      <w:bookmarkEnd w:id="346"/>
      <w:bookmarkEnd w:id="347"/>
      <w:r>
        <w:rPr>
          <w:rFonts w:hint="default" w:ascii="Times New Roman" w:hAnsi="Times New Roman" w:cs="Times New Roman"/>
          <w:color w:val="000000"/>
          <w:sz w:val="24"/>
          <w:highlight w:val="none"/>
        </w:rPr>
        <w:t>。</w:t>
      </w:r>
    </w:p>
    <w:p w14:paraId="0A5A5BFD">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lang w:val="en-US" w:eastAsia="zh-CN"/>
        </w:rPr>
      </w:pPr>
      <w:bookmarkStart w:id="348" w:name="_Toc28577"/>
      <w:bookmarkStart w:id="349" w:name="_Toc9805"/>
      <w:bookmarkStart w:id="350" w:name="_Toc5985"/>
      <w:bookmarkStart w:id="351" w:name="_Toc30326"/>
      <w:bookmarkStart w:id="352" w:name="_Toc869"/>
      <w:r>
        <w:rPr>
          <w:rFonts w:hint="eastAsia" w:ascii="Times New Roman" w:hAnsi="Times New Roman" w:eastAsia="宋体" w:cs="Times New Roman"/>
          <w:b/>
          <w:color w:val="000000"/>
          <w:sz w:val="28"/>
          <w:szCs w:val="28"/>
          <w:highlight w:val="none"/>
          <w:lang w:val="en-US" w:eastAsia="zh-CN"/>
        </w:rPr>
        <w:t>废水</w:t>
      </w:r>
      <w:r>
        <w:rPr>
          <w:rFonts w:hint="default" w:ascii="Times New Roman" w:hAnsi="Times New Roman" w:eastAsia="宋体" w:cs="Times New Roman"/>
          <w:b/>
          <w:color w:val="000000"/>
          <w:sz w:val="28"/>
          <w:szCs w:val="28"/>
          <w:highlight w:val="none"/>
          <w:lang w:val="en-US" w:eastAsia="zh-CN"/>
        </w:rPr>
        <w:t>环境保护措施可行性论证</w:t>
      </w:r>
      <w:bookmarkEnd w:id="348"/>
      <w:bookmarkEnd w:id="349"/>
      <w:bookmarkEnd w:id="350"/>
      <w:bookmarkEnd w:id="351"/>
      <w:bookmarkEnd w:id="352"/>
    </w:p>
    <w:p w14:paraId="574F0E61">
      <w:pPr>
        <w:adjustRightInd w:val="0"/>
        <w:snapToGrid w:val="0"/>
        <w:spacing w:line="360" w:lineRule="auto"/>
        <w:ind w:firstLine="480" w:firstLineChars="200"/>
        <w:rPr>
          <w:rFonts w:hint="eastAsia" w:cs="Times New Roman"/>
          <w:color w:val="000000"/>
          <w:sz w:val="24"/>
          <w:highlight w:val="none"/>
          <w:lang w:eastAsia="zh-CN"/>
        </w:rPr>
      </w:pPr>
      <w:r>
        <w:rPr>
          <w:rFonts w:hint="default" w:ascii="Times New Roman" w:hAnsi="Times New Roman" w:cs="Times New Roman"/>
          <w:color w:val="000000"/>
          <w:sz w:val="24"/>
          <w:highlight w:val="none"/>
        </w:rPr>
        <w:t>项目生产运行阶段污水主要为排土场区域降雨产生的</w:t>
      </w:r>
      <w:r>
        <w:rPr>
          <w:rFonts w:hint="eastAsia" w:cs="Times New Roman"/>
          <w:color w:val="000000"/>
          <w:sz w:val="24"/>
          <w:highlight w:val="none"/>
          <w:lang w:val="en-US" w:eastAsia="zh-CN"/>
        </w:rPr>
        <w:t>雨水及</w:t>
      </w:r>
      <w:r>
        <w:rPr>
          <w:rFonts w:hint="default" w:ascii="Times New Roman" w:hAnsi="Times New Roman" w:cs="Times New Roman"/>
          <w:color w:val="000000"/>
          <w:sz w:val="24"/>
          <w:highlight w:val="none"/>
        </w:rPr>
        <w:t>淋滤废水</w:t>
      </w:r>
      <w:r>
        <w:rPr>
          <w:rFonts w:hint="eastAsia" w:cs="Times New Roman"/>
          <w:color w:val="000000"/>
          <w:sz w:val="24"/>
          <w:highlight w:val="none"/>
          <w:lang w:eastAsia="zh-CN"/>
        </w:rPr>
        <w:t>。</w:t>
      </w:r>
    </w:p>
    <w:p w14:paraId="15AF59E7">
      <w:pPr>
        <w:adjustRightInd w:val="0"/>
        <w:snapToGrid w:val="0"/>
        <w:spacing w:line="360" w:lineRule="auto"/>
        <w:ind w:firstLine="480" w:firstLineChars="200"/>
        <w:rPr>
          <w:rFonts w:hint="eastAsia" w:cs="Times New Roman"/>
          <w:color w:val="000000"/>
          <w:sz w:val="24"/>
          <w:highlight w:val="none"/>
          <w:lang w:eastAsia="zh-CN"/>
        </w:rPr>
      </w:pPr>
      <w:r>
        <w:rPr>
          <w:rFonts w:hint="eastAsia" w:cs="Times New Roman"/>
          <w:b w:val="0"/>
          <w:bCs w:val="0"/>
          <w:color w:val="000000"/>
          <w:kern w:val="0"/>
          <w:sz w:val="24"/>
          <w:szCs w:val="24"/>
          <w:highlight w:val="none"/>
          <w:lang w:val="en-US" w:eastAsia="zh-CN"/>
        </w:rPr>
        <w:t>雨水进入排洪系统，现状尾矿库排洪系统采用排水斜槽~消力池型式。在排土场使用前，新建排洪沟-截水沟排洪，建成后对尾矿库排洪系统进行全线封堵。排土场使用时，在排土标高670.0m至标高788.0m前，东北沟尾矿库采用排洪沟-截水沟排洪，排土场采用坡面排水沟、截水沟排洪；当排土标高达到788.0m、尾矿库被覆盖后，排土场整体采用排水沟、截水沟排洪。</w:t>
      </w:r>
    </w:p>
    <w:p w14:paraId="4B1A0044">
      <w:pPr>
        <w:adjustRightInd w:val="0"/>
        <w:snapToGri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szCs w:val="24"/>
          <w:highlight w:val="none"/>
        </w:rPr>
        <w:t>排土场区域降雨产生的淋滤废水</w:t>
      </w:r>
      <w:r>
        <w:rPr>
          <w:rFonts w:hint="eastAsia" w:cs="Times New Roman"/>
          <w:color w:val="000000"/>
          <w:sz w:val="24"/>
          <w:szCs w:val="24"/>
          <w:highlight w:val="none"/>
          <w:lang w:val="en-US" w:eastAsia="zh-CN"/>
        </w:rPr>
        <w:t>经排渗设施排渗，</w:t>
      </w:r>
      <w:r>
        <w:rPr>
          <w:rFonts w:hint="eastAsia"/>
          <w:color w:val="auto"/>
          <w:sz w:val="24"/>
          <w:szCs w:val="24"/>
          <w:highlight w:val="none"/>
          <w:lang w:val="en-US" w:eastAsia="zh-CN"/>
        </w:rPr>
        <w:t>全部</w:t>
      </w:r>
      <w:r>
        <w:rPr>
          <w:rFonts w:hint="eastAsia"/>
          <w:color w:val="auto"/>
          <w:sz w:val="24"/>
          <w:szCs w:val="24"/>
          <w:highlight w:val="none"/>
          <w:lang w:eastAsia="zh-CN"/>
        </w:rPr>
        <w:t>回用</w:t>
      </w:r>
      <w:r>
        <w:rPr>
          <w:rFonts w:hint="eastAsia"/>
          <w:color w:val="auto"/>
          <w:sz w:val="24"/>
          <w:szCs w:val="24"/>
          <w:highlight w:val="none"/>
          <w:lang w:val="en-US" w:eastAsia="zh-CN"/>
        </w:rPr>
        <w:t>排土场</w:t>
      </w:r>
      <w:r>
        <w:rPr>
          <w:rFonts w:hint="eastAsia"/>
          <w:color w:val="auto"/>
          <w:sz w:val="24"/>
          <w:szCs w:val="24"/>
          <w:highlight w:val="none"/>
          <w:lang w:eastAsia="zh-CN"/>
        </w:rPr>
        <w:t>降尘、</w:t>
      </w:r>
      <w:r>
        <w:rPr>
          <w:rFonts w:hint="eastAsia"/>
          <w:color w:val="auto"/>
          <w:sz w:val="24"/>
          <w:szCs w:val="24"/>
          <w:highlight w:val="none"/>
          <w:lang w:val="en-US" w:eastAsia="zh-CN"/>
        </w:rPr>
        <w:t>选厂生产使用</w:t>
      </w:r>
      <w:r>
        <w:rPr>
          <w:rFonts w:hint="eastAsia"/>
          <w:color w:val="auto"/>
          <w:sz w:val="24"/>
          <w:szCs w:val="24"/>
          <w:highlight w:val="none"/>
          <w:lang w:eastAsia="zh-CN"/>
        </w:rPr>
        <w:t>，不外排</w:t>
      </w:r>
      <w:r>
        <w:rPr>
          <w:rFonts w:hint="eastAsia"/>
          <w:sz w:val="24"/>
          <w:szCs w:val="24"/>
          <w:highlight w:val="none"/>
          <w:lang w:val="en-US" w:eastAsia="zh-CN"/>
        </w:rPr>
        <w:t>。</w:t>
      </w:r>
    </w:p>
    <w:p w14:paraId="33C38C2C">
      <w:pPr>
        <w:adjustRightInd w:val="0"/>
        <w:snapToGrid w:val="0"/>
        <w:spacing w:line="360" w:lineRule="auto"/>
        <w:ind w:firstLine="480" w:firstLineChars="200"/>
        <w:rPr>
          <w:rFonts w:hint="eastAsia"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rPr>
        <w:t>项目设置地下水跟踪监测井</w:t>
      </w:r>
      <w:r>
        <w:rPr>
          <w:rFonts w:hint="eastAsia" w:cs="Times New Roman"/>
          <w:color w:val="000000"/>
          <w:sz w:val="24"/>
          <w:highlight w:val="none"/>
          <w:lang w:val="en-US" w:eastAsia="zh-CN"/>
        </w:rPr>
        <w:t>3</w:t>
      </w:r>
      <w:r>
        <w:rPr>
          <w:rFonts w:hint="default" w:ascii="Times New Roman" w:hAnsi="Times New Roman" w:cs="Times New Roman"/>
          <w:color w:val="000000"/>
          <w:sz w:val="24"/>
          <w:highlight w:val="none"/>
        </w:rPr>
        <w:t>口，定期监测地下水水质情况，掌握本工程对地下水的污染情况。及时发现对地下水的污染情况，以便及时采取有效补救措施。</w:t>
      </w:r>
      <w:r>
        <w:rPr>
          <w:rFonts w:ascii="Times New Roman" w:eastAsia="宋体"/>
          <w:sz w:val="24"/>
          <w:szCs w:val="24"/>
          <w:highlight w:val="none"/>
        </w:rPr>
        <w:t>污水不排入外环境，对区域地表水环境影响较小</w:t>
      </w:r>
      <w:r>
        <w:rPr>
          <w:rFonts w:hint="eastAsia"/>
          <w:sz w:val="24"/>
          <w:szCs w:val="24"/>
          <w:highlight w:val="none"/>
          <w:lang w:eastAsia="zh-CN"/>
        </w:rPr>
        <w:t>。</w:t>
      </w:r>
    </w:p>
    <w:p w14:paraId="2BED72A0">
      <w:pPr>
        <w:autoSpaceDE w:val="0"/>
        <w:autoSpaceDN w:val="0"/>
        <w:adjustRightInd w:val="0"/>
        <w:spacing w:line="360" w:lineRule="auto"/>
        <w:ind w:firstLine="480" w:firstLineChars="200"/>
        <w:rPr>
          <w:rFonts w:hint="eastAsia" w:cs="Times New Roman"/>
          <w:color w:val="000000"/>
          <w:sz w:val="24"/>
          <w:highlight w:val="none"/>
          <w:lang w:eastAsia="zh-CN"/>
        </w:rPr>
      </w:pPr>
      <w:r>
        <w:rPr>
          <w:rFonts w:hint="default" w:ascii="Times New Roman" w:hAnsi="Times New Roman" w:cs="Times New Roman"/>
          <w:color w:val="000000"/>
          <w:sz w:val="24"/>
          <w:highlight w:val="none"/>
        </w:rPr>
        <w:t>综上</w:t>
      </w:r>
      <w:r>
        <w:rPr>
          <w:rFonts w:hint="eastAsia" w:ascii="Times New Roman" w:hAnsi="Times New Roman" w:cs="Times New Roman"/>
          <w:color w:val="000000"/>
          <w:sz w:val="24"/>
          <w:highlight w:val="none"/>
          <w:lang w:val="en-US" w:eastAsia="zh-CN"/>
        </w:rPr>
        <w:t>所述</w:t>
      </w:r>
      <w:r>
        <w:rPr>
          <w:rFonts w:hint="default" w:ascii="Times New Roman" w:hAnsi="Times New Roman" w:cs="Times New Roman"/>
          <w:color w:val="000000"/>
          <w:sz w:val="24"/>
          <w:highlight w:val="none"/>
        </w:rPr>
        <w:t>，通过类比区域其它地下矿山开采项目采取的上述废水处理措施，本工程采取的废水处理措施可行</w:t>
      </w:r>
      <w:r>
        <w:rPr>
          <w:rFonts w:hint="eastAsia" w:cs="Times New Roman"/>
          <w:color w:val="000000"/>
          <w:sz w:val="24"/>
          <w:highlight w:val="none"/>
          <w:lang w:eastAsia="zh-CN"/>
        </w:rPr>
        <w:t>。</w:t>
      </w:r>
    </w:p>
    <w:p w14:paraId="4364E67C">
      <w:pPr>
        <w:autoSpaceDE w:val="0"/>
        <w:autoSpaceDN w:val="0"/>
        <w:adjustRightIn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项目水污染物防治措施的环境保护投入资金为</w:t>
      </w:r>
      <w:r>
        <w:rPr>
          <w:rFonts w:hint="eastAsia" w:cs="Times New Roman"/>
          <w:color w:val="000000"/>
          <w:sz w:val="24"/>
          <w:highlight w:val="none"/>
          <w:lang w:val="en-US" w:eastAsia="zh-CN"/>
        </w:rPr>
        <w:t>10</w:t>
      </w:r>
      <w:r>
        <w:rPr>
          <w:rFonts w:hint="default" w:ascii="Times New Roman" w:hAnsi="Times New Roman" w:cs="Times New Roman"/>
          <w:color w:val="000000"/>
          <w:sz w:val="24"/>
          <w:highlight w:val="none"/>
        </w:rPr>
        <w:t>万元，资金来源为本项目投资，措施经济上合理。</w:t>
      </w:r>
    </w:p>
    <w:p w14:paraId="357A2955">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lang w:val="en-US" w:eastAsia="zh-CN"/>
        </w:rPr>
      </w:pPr>
      <w:bookmarkStart w:id="353" w:name="_Toc3562"/>
      <w:bookmarkStart w:id="354" w:name="_Toc20120"/>
      <w:bookmarkStart w:id="355" w:name="_Toc22622"/>
      <w:bookmarkStart w:id="356" w:name="_Toc20190"/>
      <w:r>
        <w:rPr>
          <w:rFonts w:hint="default" w:ascii="Times New Roman" w:hAnsi="Times New Roman" w:eastAsia="宋体" w:cs="Times New Roman"/>
          <w:b/>
          <w:color w:val="000000"/>
          <w:sz w:val="28"/>
          <w:szCs w:val="28"/>
          <w:highlight w:val="none"/>
          <w:lang w:val="en-US" w:eastAsia="zh-CN"/>
        </w:rPr>
        <w:t>声环境保护措施可行性论证</w:t>
      </w:r>
      <w:bookmarkEnd w:id="353"/>
      <w:bookmarkEnd w:id="354"/>
      <w:bookmarkEnd w:id="355"/>
      <w:bookmarkEnd w:id="356"/>
    </w:p>
    <w:p w14:paraId="65EAF00E">
      <w:p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本项目主要噪声为设备噪声、运输车辆噪声。采用先进的低噪声机械，并加强管理、及时维护保养；绿化降噪、加强车辆管理，车辆行驶应避开居民敏感点，另外途径敏感点时应禁止鸣笛，减低车速。</w:t>
      </w:r>
    </w:p>
    <w:p w14:paraId="2AE6A56D">
      <w:p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项目生产运行阶段四厂界能够满足《工业企业厂界环境噪声排放标准》(GB12348-2008)2类标准限值。</w:t>
      </w:r>
    </w:p>
    <w:p w14:paraId="3BF5E256">
      <w:pPr>
        <w:spacing w:line="360" w:lineRule="auto"/>
        <w:ind w:firstLine="480" w:firstLineChars="200"/>
        <w:rPr>
          <w:rFonts w:hint="default" w:ascii="Times New Roman" w:hAnsi="Times New Roman" w:cs="Times New Roman"/>
          <w:color w:val="000000"/>
          <w:sz w:val="24"/>
          <w:highlight w:val="none"/>
        </w:rPr>
      </w:pPr>
      <w:r>
        <w:rPr>
          <w:rFonts w:hint="eastAsia" w:ascii="Times New Roman" w:hAnsi="Times New Roman" w:cs="Times New Roman"/>
          <w:color w:val="auto"/>
          <w:sz w:val="24"/>
          <w:highlight w:val="none"/>
          <w:lang w:val="en-US" w:eastAsia="zh-CN"/>
        </w:rPr>
        <w:t>项目噪声防治措施技术投资</w:t>
      </w:r>
      <w:r>
        <w:rPr>
          <w:rFonts w:hint="eastAsia" w:cs="Times New Roman"/>
          <w:color w:val="auto"/>
          <w:sz w:val="24"/>
          <w:highlight w:val="none"/>
          <w:lang w:val="en-US" w:eastAsia="zh-CN"/>
        </w:rPr>
        <w:t>10</w:t>
      </w:r>
      <w:r>
        <w:rPr>
          <w:rFonts w:hint="eastAsia" w:ascii="Times New Roman" w:hAnsi="Times New Roman" w:cs="Times New Roman"/>
          <w:color w:val="auto"/>
          <w:sz w:val="24"/>
          <w:highlight w:val="none"/>
          <w:lang w:val="en-US" w:eastAsia="zh-CN"/>
        </w:rPr>
        <w:t>万元，资金来源为本项目投资，上述措施经济合理</w:t>
      </w:r>
      <w:r>
        <w:rPr>
          <w:rFonts w:hint="default" w:ascii="Times New Roman" w:hAnsi="Times New Roman" w:cs="Times New Roman"/>
          <w:color w:val="000000"/>
          <w:sz w:val="24"/>
          <w:highlight w:val="none"/>
        </w:rPr>
        <w:t>。</w:t>
      </w:r>
    </w:p>
    <w:p w14:paraId="2CCF6C07">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lang w:val="en-US" w:eastAsia="zh-CN"/>
        </w:rPr>
      </w:pPr>
      <w:bookmarkStart w:id="357" w:name="_Toc10611"/>
      <w:bookmarkStart w:id="358" w:name="_Toc18040"/>
      <w:bookmarkStart w:id="359" w:name="_Toc28379"/>
      <w:bookmarkStart w:id="360" w:name="_Toc6892"/>
      <w:r>
        <w:rPr>
          <w:rFonts w:hint="default" w:ascii="Times New Roman" w:hAnsi="Times New Roman" w:eastAsia="宋体" w:cs="Times New Roman"/>
          <w:b/>
          <w:color w:val="000000"/>
          <w:sz w:val="28"/>
          <w:szCs w:val="28"/>
          <w:highlight w:val="none"/>
          <w:lang w:val="en-US" w:eastAsia="zh-CN"/>
        </w:rPr>
        <w:t>固体废物环境保护措施可行性论证</w:t>
      </w:r>
      <w:bookmarkEnd w:id="357"/>
      <w:bookmarkEnd w:id="358"/>
      <w:bookmarkEnd w:id="359"/>
      <w:bookmarkEnd w:id="360"/>
    </w:p>
    <w:p w14:paraId="2BCFD74F">
      <w:pPr>
        <w:spacing w:line="360" w:lineRule="auto"/>
        <w:ind w:firstLine="480"/>
        <w:rPr>
          <w:rFonts w:hint="eastAsia" w:ascii="Times New Roman" w:hAnsi="Times New Roman" w:cs="Times New Roman"/>
          <w:color w:val="000000"/>
          <w:sz w:val="24"/>
          <w:szCs w:val="21"/>
          <w:highlight w:val="none"/>
          <w:lang w:eastAsia="zh-CN"/>
        </w:rPr>
      </w:pPr>
      <w:r>
        <w:rPr>
          <w:rFonts w:ascii="Times New Roman"/>
          <w:color w:val="auto"/>
          <w:sz w:val="24"/>
          <w:szCs w:val="24"/>
          <w:highlight w:val="none"/>
        </w:rPr>
        <w:t>本项目固废主要为排土场内贮存的废石</w:t>
      </w:r>
      <w:r>
        <w:rPr>
          <w:rFonts w:hint="eastAsia"/>
          <w:color w:val="auto"/>
          <w:sz w:val="24"/>
          <w:szCs w:val="24"/>
          <w:highlight w:val="none"/>
          <w:lang w:eastAsia="zh-CN"/>
        </w:rPr>
        <w:t>，</w:t>
      </w:r>
      <w:r>
        <w:rPr>
          <w:rFonts w:hint="eastAsia"/>
          <w:sz w:val="24"/>
          <w:szCs w:val="24"/>
          <w:highlight w:val="none"/>
          <w:lang w:val="en-US" w:eastAsia="zh-CN"/>
        </w:rPr>
        <w:t>废石总量为</w:t>
      </w:r>
      <w:r>
        <w:rPr>
          <w:rFonts w:hint="eastAsia" w:cs="Times New Roman"/>
          <w:color w:val="auto"/>
          <w:sz w:val="24"/>
          <w:highlight w:val="none"/>
          <w:lang w:val="en-US" w:eastAsia="zh-CN"/>
        </w:rPr>
        <w:t>130.5万m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w:t>
      </w:r>
      <w:r>
        <w:rPr>
          <w:rFonts w:ascii="Times New Roman"/>
          <w:color w:val="auto"/>
          <w:sz w:val="24"/>
          <w:szCs w:val="24"/>
          <w:highlight w:val="none"/>
        </w:rPr>
        <w:t>。项目废石妥善处置，不会对周围环境产生明显影响</w:t>
      </w:r>
      <w:r>
        <w:rPr>
          <w:rFonts w:hint="eastAsia" w:ascii="Times New Roman" w:hAnsi="Times New Roman" w:cs="Times New Roman"/>
          <w:color w:val="000000"/>
          <w:sz w:val="24"/>
          <w:szCs w:val="21"/>
          <w:highlight w:val="none"/>
          <w:lang w:eastAsia="zh-CN"/>
        </w:rPr>
        <w:t>。</w:t>
      </w:r>
    </w:p>
    <w:p w14:paraId="2C8CC1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sz w:val="24"/>
          <w:szCs w:val="24"/>
          <w:highlight w:val="none"/>
          <w:lang w:val="en-US" w:eastAsia="zh-CN"/>
        </w:rPr>
        <w:t>根据</w:t>
      </w:r>
      <w:r>
        <w:rPr>
          <w:rFonts w:hint="eastAsia" w:ascii="Times New Roman" w:hAnsi="Times New Roman" w:cs="Times New Roman"/>
          <w:sz w:val="24"/>
          <w:szCs w:val="24"/>
          <w:highlight w:val="none"/>
          <w:lang w:val="en-US" w:eastAsia="zh-CN"/>
        </w:rPr>
        <w:t>堆存</w:t>
      </w:r>
      <w:r>
        <w:rPr>
          <w:rFonts w:hint="default" w:ascii="Times New Roman" w:hAnsi="Times New Roman" w:cs="Times New Roman"/>
          <w:sz w:val="24"/>
          <w:szCs w:val="24"/>
          <w:highlight w:val="none"/>
          <w:lang w:eastAsia="zh-CN"/>
        </w:rPr>
        <w:t>废石</w:t>
      </w:r>
      <w:r>
        <w:rPr>
          <w:rFonts w:hint="eastAsia" w:cs="Times New Roman"/>
          <w:sz w:val="24"/>
          <w:szCs w:val="24"/>
          <w:highlight w:val="none"/>
          <w:lang w:val="en-US" w:eastAsia="zh-CN"/>
        </w:rPr>
        <w:t>混合样</w:t>
      </w:r>
      <w:r>
        <w:rPr>
          <w:rFonts w:hint="default" w:ascii="Times New Roman" w:hAnsi="Times New Roman" w:cs="Times New Roman"/>
          <w:sz w:val="24"/>
          <w:szCs w:val="24"/>
          <w:highlight w:val="none"/>
          <w:lang w:eastAsia="zh-CN"/>
        </w:rPr>
        <w:t>浸出毒性、腐蚀性进行鉴别</w:t>
      </w:r>
      <w:r>
        <w:rPr>
          <w:rFonts w:hint="eastAsia" w:cs="Times New Roman"/>
          <w:sz w:val="24"/>
          <w:szCs w:val="24"/>
          <w:highlight w:val="none"/>
          <w:lang w:val="en-US" w:eastAsia="zh-CN"/>
        </w:rPr>
        <w:t>结果</w:t>
      </w:r>
      <w:r>
        <w:rPr>
          <w:rFonts w:hint="default" w:ascii="Times New Roman" w:hAnsi="Times New Roman" w:cs="Times New Roman"/>
          <w:sz w:val="24"/>
          <w:szCs w:val="24"/>
          <w:highlight w:val="none"/>
          <w:lang w:eastAsia="zh-CN"/>
        </w:rPr>
        <w:t>，</w:t>
      </w:r>
      <w:r>
        <w:rPr>
          <w:rFonts w:hint="eastAsia" w:cs="Times New Roman"/>
          <w:sz w:val="24"/>
          <w:szCs w:val="24"/>
          <w:highlight w:val="none"/>
          <w:lang w:val="en-US" w:eastAsia="zh-CN"/>
        </w:rPr>
        <w:t>及</w:t>
      </w:r>
      <w:r>
        <w:rPr>
          <w:rFonts w:hint="default" w:ascii="Times New Roman" w:hAnsi="Times New Roman" w:cs="Times New Roman"/>
          <w:sz w:val="24"/>
          <w:szCs w:val="24"/>
          <w:highlight w:val="none"/>
          <w:lang w:eastAsia="zh-CN"/>
        </w:rPr>
        <w:t>第Ⅰ、Ⅱ类一般工业固体废物鉴别</w:t>
      </w:r>
      <w:r>
        <w:rPr>
          <w:rFonts w:hint="eastAsia" w:cs="Times New Roman"/>
          <w:sz w:val="24"/>
          <w:szCs w:val="24"/>
          <w:highlight w:val="none"/>
          <w:lang w:val="en-US" w:eastAsia="zh-CN"/>
        </w:rPr>
        <w:t>结果，</w:t>
      </w:r>
      <w:r>
        <w:rPr>
          <w:rFonts w:hint="default" w:ascii="Times New Roman" w:hAnsi="Times New Roman" w:eastAsia="宋体" w:cs="Times New Roman"/>
          <w:color w:val="auto"/>
          <w:sz w:val="24"/>
          <w:szCs w:val="24"/>
          <w:highlight w:val="none"/>
          <w:lang w:val="en-US" w:eastAsia="zh-CN"/>
        </w:rPr>
        <w:t>项目存放废石为I类一般工业固体废物，根据《一般工业固体废物贮存和填埋污染控制标准》（GB 18599-2020）中对I类一般工业固体废物填埋场的选址提出的具体要求，项目选址</w:t>
      </w:r>
      <w:r>
        <w:rPr>
          <w:rFonts w:hint="eastAsia" w:ascii="Times New Roman" w:hAnsi="Times New Roman" w:eastAsia="宋体" w:cs="Times New Roman"/>
          <w:color w:val="auto"/>
          <w:sz w:val="24"/>
          <w:szCs w:val="24"/>
          <w:highlight w:val="none"/>
          <w:lang w:val="en-US" w:eastAsia="zh-CN"/>
        </w:rPr>
        <w:t>符合性</w:t>
      </w:r>
      <w:r>
        <w:rPr>
          <w:rFonts w:hint="default" w:ascii="Times New Roman" w:hAnsi="Times New Roman" w:eastAsia="宋体" w:cs="Times New Roman"/>
          <w:color w:val="auto"/>
          <w:sz w:val="24"/>
          <w:szCs w:val="24"/>
          <w:highlight w:val="none"/>
          <w:lang w:val="en-US" w:eastAsia="zh-CN"/>
        </w:rPr>
        <w:t>见下表。</w:t>
      </w:r>
    </w:p>
    <w:p w14:paraId="292188C6">
      <w:pPr>
        <w:keepNext w:val="0"/>
        <w:keepLines w:val="0"/>
        <w:pageBreakBefore w:val="0"/>
        <w:numPr>
          <w:ilvl w:val="0"/>
          <w:numId w:val="10"/>
        </w:numPr>
        <w:kinsoku/>
        <w:wordWrap/>
        <w:overflowPunct/>
        <w:topLinePunct w:val="0"/>
        <w:autoSpaceDE/>
        <w:autoSpaceDN/>
        <w:bidi w:val="0"/>
        <w:adjustRightInd w:val="0"/>
        <w:snapToGrid w:val="0"/>
        <w:spacing w:line="360" w:lineRule="auto"/>
        <w:ind w:left="0" w:leftChars="0" w:firstLine="0" w:firstLineChars="0"/>
        <w:jc w:val="center"/>
        <w:textAlignment w:val="auto"/>
        <w:rPr>
          <w:rStyle w:val="152"/>
          <w:rFonts w:hint="default" w:ascii="Times New Roman" w:hAnsi="Times New Roman" w:eastAsia="宋体" w:cs="Times New Roman"/>
          <w:b/>
          <w:color w:val="auto"/>
          <w:szCs w:val="21"/>
          <w:highlight w:val="none"/>
          <w:lang w:val="en-US" w:eastAsia="zh-CN"/>
        </w:rPr>
      </w:pPr>
      <w:r>
        <w:rPr>
          <w:rStyle w:val="152"/>
          <w:rFonts w:hint="default" w:ascii="Times New Roman" w:hAnsi="Times New Roman" w:eastAsia="宋体" w:cs="Times New Roman"/>
          <w:b/>
          <w:color w:val="auto"/>
          <w:szCs w:val="21"/>
          <w:highlight w:val="none"/>
          <w:lang w:val="en-US" w:eastAsia="zh-CN"/>
        </w:rPr>
        <w:t>与《一般工业固体废物贮存</w:t>
      </w:r>
      <w:r>
        <w:rPr>
          <w:rStyle w:val="152"/>
          <w:rFonts w:hint="eastAsia" w:ascii="Times New Roman" w:hAnsi="Times New Roman" w:eastAsia="宋体" w:cs="Times New Roman"/>
          <w:b/>
          <w:color w:val="auto"/>
          <w:szCs w:val="21"/>
          <w:highlight w:val="none"/>
          <w:lang w:val="en-US" w:eastAsia="zh-CN"/>
        </w:rPr>
        <w:t>和填埋</w:t>
      </w:r>
      <w:r>
        <w:rPr>
          <w:rStyle w:val="152"/>
          <w:rFonts w:hint="default" w:ascii="Times New Roman" w:hAnsi="Times New Roman" w:eastAsia="宋体" w:cs="Times New Roman"/>
          <w:b/>
          <w:color w:val="auto"/>
          <w:szCs w:val="21"/>
          <w:highlight w:val="none"/>
          <w:lang w:val="en-US" w:eastAsia="zh-CN"/>
        </w:rPr>
        <w:t>污染控制标准》的符合性分析</w:t>
      </w:r>
    </w:p>
    <w:tbl>
      <w:tblPr>
        <w:tblStyle w:val="59"/>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52"/>
        <w:gridCol w:w="3720"/>
        <w:gridCol w:w="3199"/>
        <w:gridCol w:w="657"/>
      </w:tblGrid>
      <w:tr w14:paraId="483611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tcBorders>
              <w:tl2br w:val="nil"/>
              <w:tr2bl w:val="nil"/>
            </w:tcBorders>
            <w:noWrap w:val="0"/>
            <w:vAlign w:val="center"/>
          </w:tcPr>
          <w:p w14:paraId="48B5144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kern w:val="44"/>
                <w:sz w:val="21"/>
                <w:szCs w:val="21"/>
                <w:highlight w:val="none"/>
                <w:lang w:val="en-US" w:eastAsia="zh-CN"/>
              </w:rPr>
            </w:pPr>
            <w:r>
              <w:rPr>
                <w:rFonts w:hint="eastAsia" w:cs="Times New Roman"/>
                <w:b/>
                <w:bCs/>
                <w:color w:val="auto"/>
                <w:kern w:val="44"/>
                <w:sz w:val="21"/>
                <w:szCs w:val="21"/>
                <w:highlight w:val="none"/>
                <w:lang w:val="en-US" w:eastAsia="zh-CN"/>
              </w:rPr>
              <w:t>项目</w:t>
            </w:r>
          </w:p>
        </w:tc>
        <w:tc>
          <w:tcPr>
            <w:tcW w:w="3720" w:type="dxa"/>
            <w:tcBorders>
              <w:tl2br w:val="nil"/>
              <w:tr2bl w:val="nil"/>
            </w:tcBorders>
            <w:noWrap w:val="0"/>
            <w:vAlign w:val="center"/>
          </w:tcPr>
          <w:p w14:paraId="149BE93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kern w:val="44"/>
                <w:sz w:val="21"/>
                <w:szCs w:val="21"/>
                <w:highlight w:val="none"/>
                <w:lang w:val="en-US" w:eastAsia="zh-CN"/>
              </w:rPr>
            </w:pPr>
            <w:r>
              <w:rPr>
                <w:rFonts w:hint="eastAsia" w:cs="Times New Roman"/>
                <w:b/>
                <w:bCs/>
                <w:color w:val="auto"/>
                <w:kern w:val="44"/>
                <w:sz w:val="21"/>
                <w:szCs w:val="21"/>
                <w:highlight w:val="none"/>
                <w:lang w:val="en-US" w:eastAsia="zh-CN"/>
              </w:rPr>
              <w:t>标准要求</w:t>
            </w:r>
          </w:p>
        </w:tc>
        <w:tc>
          <w:tcPr>
            <w:tcW w:w="3199" w:type="dxa"/>
            <w:tcBorders>
              <w:tl2br w:val="nil"/>
              <w:tr2bl w:val="nil"/>
            </w:tcBorders>
            <w:noWrap w:val="0"/>
            <w:vAlign w:val="center"/>
          </w:tcPr>
          <w:p w14:paraId="2828AE9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kern w:val="44"/>
                <w:sz w:val="21"/>
                <w:szCs w:val="21"/>
                <w:highlight w:val="none"/>
                <w:lang w:val="en-US" w:eastAsia="zh-CN"/>
              </w:rPr>
            </w:pPr>
            <w:r>
              <w:rPr>
                <w:rFonts w:hint="default" w:ascii="Times New Roman" w:hAnsi="Times New Roman" w:eastAsia="宋体" w:cs="Times New Roman"/>
                <w:b/>
                <w:bCs/>
                <w:color w:val="auto"/>
                <w:kern w:val="44"/>
                <w:sz w:val="21"/>
                <w:szCs w:val="21"/>
                <w:highlight w:val="none"/>
                <w:lang w:val="en-US" w:eastAsia="zh-CN"/>
              </w:rPr>
              <w:t>项目</w:t>
            </w:r>
            <w:r>
              <w:rPr>
                <w:rFonts w:hint="eastAsia" w:ascii="Times New Roman" w:hAnsi="Times New Roman" w:eastAsia="宋体" w:cs="Times New Roman"/>
                <w:b/>
                <w:bCs/>
                <w:color w:val="auto"/>
                <w:kern w:val="44"/>
                <w:sz w:val="21"/>
                <w:szCs w:val="21"/>
                <w:highlight w:val="none"/>
                <w:lang w:val="en-US" w:eastAsia="zh-CN"/>
              </w:rPr>
              <w:t>情况</w:t>
            </w:r>
          </w:p>
        </w:tc>
        <w:tc>
          <w:tcPr>
            <w:tcW w:w="657" w:type="dxa"/>
            <w:tcBorders>
              <w:tl2br w:val="nil"/>
              <w:tr2bl w:val="nil"/>
            </w:tcBorders>
            <w:noWrap w:val="0"/>
            <w:vAlign w:val="center"/>
          </w:tcPr>
          <w:p w14:paraId="03F50EB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kern w:val="44"/>
                <w:sz w:val="21"/>
                <w:szCs w:val="21"/>
                <w:highlight w:val="none"/>
                <w:lang w:val="en-US" w:eastAsia="zh-CN"/>
              </w:rPr>
            </w:pPr>
            <w:r>
              <w:rPr>
                <w:rFonts w:hint="default" w:ascii="Times New Roman" w:hAnsi="Times New Roman" w:eastAsia="宋体" w:cs="Times New Roman"/>
                <w:b/>
                <w:bCs/>
                <w:color w:val="auto"/>
                <w:kern w:val="44"/>
                <w:sz w:val="21"/>
                <w:szCs w:val="21"/>
                <w:highlight w:val="none"/>
                <w:lang w:val="en-US" w:eastAsia="zh-CN"/>
              </w:rPr>
              <w:t>符合性</w:t>
            </w:r>
          </w:p>
        </w:tc>
      </w:tr>
      <w:tr w14:paraId="213FEC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restart"/>
            <w:tcBorders>
              <w:tl2br w:val="nil"/>
              <w:tr2bl w:val="nil"/>
            </w:tcBorders>
            <w:noWrap w:val="0"/>
            <w:vAlign w:val="center"/>
          </w:tcPr>
          <w:p w14:paraId="77C9910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b/>
                <w:bCs/>
                <w:color w:val="auto"/>
                <w:kern w:val="44"/>
                <w:sz w:val="21"/>
                <w:szCs w:val="21"/>
                <w:highlight w:val="none"/>
                <w:lang w:val="en-US" w:eastAsia="zh-CN"/>
              </w:rPr>
              <w:t>选址要求</w:t>
            </w:r>
          </w:p>
        </w:tc>
        <w:tc>
          <w:tcPr>
            <w:tcW w:w="3720" w:type="dxa"/>
            <w:tcBorders>
              <w:tl2br w:val="nil"/>
              <w:tr2bl w:val="nil"/>
            </w:tcBorders>
            <w:shd w:val="clear" w:color="auto" w:fill="auto"/>
            <w:noWrap w:val="0"/>
            <w:vAlign w:val="center"/>
          </w:tcPr>
          <w:p w14:paraId="0CAAD3A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一般工业固体废物贮存场、填埋场的选址应符合环境保护法律法规及相关法定规划要求</w:t>
            </w:r>
            <w:r>
              <w:rPr>
                <w:rFonts w:hint="eastAsia" w:ascii="Times New Roman" w:hAnsi="Times New Roman" w:eastAsia="宋体" w:cs="Times New Roman"/>
                <w:color w:val="auto"/>
                <w:kern w:val="44"/>
                <w:sz w:val="21"/>
                <w:szCs w:val="21"/>
                <w:highlight w:val="none"/>
                <w:lang w:val="en-US" w:eastAsia="zh-CN"/>
              </w:rPr>
              <w:t>。</w:t>
            </w:r>
          </w:p>
        </w:tc>
        <w:tc>
          <w:tcPr>
            <w:tcW w:w="3199" w:type="dxa"/>
            <w:tcBorders>
              <w:tl2br w:val="nil"/>
              <w:tr2bl w:val="nil"/>
            </w:tcBorders>
            <w:noWrap w:val="0"/>
            <w:vAlign w:val="center"/>
          </w:tcPr>
          <w:p w14:paraId="5369350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项目选址符合当地城乡建设总体规划要求</w:t>
            </w:r>
            <w:r>
              <w:rPr>
                <w:rFonts w:hint="eastAsia" w:ascii="Times New Roman" w:hAnsi="Times New Roman" w:eastAsia="宋体" w:cs="Times New Roman"/>
                <w:color w:val="auto"/>
                <w:kern w:val="44"/>
                <w:sz w:val="21"/>
                <w:szCs w:val="21"/>
                <w:highlight w:val="none"/>
                <w:lang w:val="en-US" w:eastAsia="zh-CN"/>
              </w:rPr>
              <w:t>。</w:t>
            </w:r>
          </w:p>
        </w:tc>
        <w:tc>
          <w:tcPr>
            <w:tcW w:w="657" w:type="dxa"/>
            <w:tcBorders>
              <w:tl2br w:val="nil"/>
              <w:tr2bl w:val="nil"/>
            </w:tcBorders>
            <w:noWrap w:val="0"/>
            <w:vAlign w:val="center"/>
          </w:tcPr>
          <w:p w14:paraId="3AA7214D">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4CDF81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77D5B7A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2041CA1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贮存场、填埋场的位置与周围居民区的距离应依据环境影响评价文件及审批意见确定</w:t>
            </w:r>
          </w:p>
        </w:tc>
        <w:tc>
          <w:tcPr>
            <w:tcW w:w="3199" w:type="dxa"/>
            <w:tcBorders>
              <w:tl2br w:val="nil"/>
              <w:tr2bl w:val="nil"/>
            </w:tcBorders>
            <w:noWrap w:val="0"/>
            <w:vAlign w:val="center"/>
          </w:tcPr>
          <w:p w14:paraId="5ABE1EA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根据现场调查，项目最近的敏感点为</w:t>
            </w:r>
            <w:r>
              <w:rPr>
                <w:rFonts w:hint="eastAsia" w:ascii="Times New Roman" w:hAnsi="Times New Roman" w:eastAsia="宋体" w:cs="Times New Roman"/>
                <w:color w:val="auto"/>
                <w:kern w:val="44"/>
                <w:sz w:val="21"/>
                <w:szCs w:val="21"/>
                <w:highlight w:val="none"/>
                <w:lang w:val="en-US" w:eastAsia="zh-CN"/>
              </w:rPr>
              <w:t>南侧</w:t>
            </w:r>
            <w:r>
              <w:rPr>
                <w:rFonts w:hint="default" w:ascii="Times New Roman" w:hAnsi="Times New Roman" w:eastAsia="宋体" w:cs="Times New Roman"/>
                <w:color w:val="auto"/>
                <w:kern w:val="44"/>
                <w:sz w:val="21"/>
                <w:szCs w:val="21"/>
                <w:highlight w:val="none"/>
                <w:lang w:val="en-US" w:eastAsia="zh-CN"/>
              </w:rPr>
              <w:t>侧</w:t>
            </w:r>
            <w:r>
              <w:rPr>
                <w:rFonts w:hint="eastAsia" w:ascii="Times New Roman" w:hAnsi="Times New Roman" w:eastAsia="宋体" w:cs="Times New Roman"/>
                <w:color w:val="auto"/>
                <w:kern w:val="44"/>
                <w:sz w:val="21"/>
                <w:szCs w:val="21"/>
                <w:highlight w:val="none"/>
                <w:lang w:val="en-US" w:eastAsia="zh-CN"/>
              </w:rPr>
              <w:t>9</w:t>
            </w:r>
            <w:r>
              <w:rPr>
                <w:rFonts w:hint="eastAsia" w:cs="Times New Roman"/>
                <w:color w:val="auto"/>
                <w:kern w:val="44"/>
                <w:sz w:val="21"/>
                <w:szCs w:val="21"/>
                <w:highlight w:val="none"/>
                <w:lang w:val="en-US" w:eastAsia="zh-CN"/>
              </w:rPr>
              <w:t>00</w:t>
            </w:r>
            <w:r>
              <w:rPr>
                <w:rFonts w:hint="default" w:ascii="Times New Roman" w:hAnsi="Times New Roman" w:eastAsia="宋体" w:cs="Times New Roman"/>
                <w:color w:val="auto"/>
                <w:kern w:val="44"/>
                <w:sz w:val="21"/>
                <w:szCs w:val="21"/>
                <w:highlight w:val="none"/>
                <w:lang w:val="en-US" w:eastAsia="zh-CN"/>
              </w:rPr>
              <w:t>m</w:t>
            </w:r>
            <w:r>
              <w:rPr>
                <w:rFonts w:hint="eastAsia" w:cs="Times New Roman"/>
                <w:color w:val="auto"/>
                <w:kern w:val="44"/>
                <w:sz w:val="21"/>
                <w:szCs w:val="21"/>
                <w:highlight w:val="none"/>
                <w:lang w:val="en-US" w:eastAsia="zh-CN"/>
              </w:rPr>
              <w:t>东兴</w:t>
            </w:r>
            <w:r>
              <w:rPr>
                <w:rFonts w:hint="eastAsia" w:ascii="Times New Roman" w:hAnsi="Times New Roman" w:eastAsia="宋体" w:cs="Times New Roman"/>
                <w:color w:val="auto"/>
                <w:kern w:val="44"/>
                <w:sz w:val="21"/>
                <w:szCs w:val="21"/>
                <w:highlight w:val="none"/>
                <w:lang w:val="en-US" w:eastAsia="zh-CN"/>
              </w:rPr>
              <w:t>村</w:t>
            </w:r>
            <w:r>
              <w:rPr>
                <w:rFonts w:hint="default" w:ascii="Times New Roman" w:hAnsi="Times New Roman" w:eastAsia="宋体" w:cs="Times New Roman"/>
                <w:color w:val="auto"/>
                <w:kern w:val="44"/>
                <w:sz w:val="21"/>
                <w:szCs w:val="21"/>
                <w:highlight w:val="none"/>
                <w:lang w:val="en-US" w:eastAsia="zh-CN"/>
              </w:rPr>
              <w:t>，</w:t>
            </w:r>
            <w:r>
              <w:rPr>
                <w:rFonts w:hint="eastAsia" w:ascii="Times New Roman" w:hAnsi="Times New Roman" w:eastAsia="宋体" w:cs="Times New Roman"/>
                <w:color w:val="auto"/>
                <w:kern w:val="44"/>
                <w:sz w:val="21"/>
                <w:szCs w:val="21"/>
                <w:highlight w:val="none"/>
                <w:lang w:val="en-US" w:eastAsia="zh-CN"/>
              </w:rPr>
              <w:t>本项目建设</w:t>
            </w:r>
            <w:r>
              <w:rPr>
                <w:rFonts w:hint="default" w:ascii="Times New Roman" w:hAnsi="Times New Roman" w:eastAsia="宋体" w:cs="Times New Roman"/>
                <w:color w:val="auto"/>
                <w:kern w:val="44"/>
                <w:sz w:val="21"/>
                <w:szCs w:val="21"/>
                <w:highlight w:val="none"/>
                <w:lang w:val="en-US" w:eastAsia="zh-CN"/>
              </w:rPr>
              <w:t>不会对周围敏感点产生不利影响。</w:t>
            </w:r>
          </w:p>
        </w:tc>
        <w:tc>
          <w:tcPr>
            <w:tcW w:w="657" w:type="dxa"/>
            <w:tcBorders>
              <w:tl2br w:val="nil"/>
              <w:tr2bl w:val="nil"/>
            </w:tcBorders>
            <w:noWrap w:val="0"/>
            <w:vAlign w:val="center"/>
          </w:tcPr>
          <w:p w14:paraId="1235FA4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0620EC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27ACB3BA">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67372AF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贮存场、填埋场不得选在生态保护红线区域、永久基本农田集中区域和其他需要特别保护的区域内</w:t>
            </w:r>
          </w:p>
        </w:tc>
        <w:tc>
          <w:tcPr>
            <w:tcW w:w="3199" w:type="dxa"/>
            <w:tcBorders>
              <w:tl2br w:val="nil"/>
              <w:tr2bl w:val="nil"/>
            </w:tcBorders>
            <w:noWrap w:val="0"/>
            <w:vAlign w:val="center"/>
          </w:tcPr>
          <w:p w14:paraId="37F506F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本项目不在生态保护红线区域、永久基本农田集中区域和其他需要特别保护的区域内。</w:t>
            </w:r>
          </w:p>
        </w:tc>
        <w:tc>
          <w:tcPr>
            <w:tcW w:w="657" w:type="dxa"/>
            <w:tcBorders>
              <w:tl2br w:val="nil"/>
              <w:tr2bl w:val="nil"/>
            </w:tcBorders>
            <w:noWrap w:val="0"/>
            <w:vAlign w:val="center"/>
          </w:tcPr>
          <w:p w14:paraId="2BD4C26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382DAE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31C079F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024DE206">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贮存场、填埋场应避开活动断层、溶洞区、天然滑坡或泥石流影响区以及湿地等区域</w:t>
            </w:r>
          </w:p>
        </w:tc>
        <w:tc>
          <w:tcPr>
            <w:tcW w:w="3199" w:type="dxa"/>
            <w:tcBorders>
              <w:tl2br w:val="nil"/>
              <w:tr2bl w:val="nil"/>
            </w:tcBorders>
            <w:noWrap w:val="0"/>
            <w:vAlign w:val="center"/>
          </w:tcPr>
          <w:p w14:paraId="6B77821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根据项目初步设计和安全设施设计，场区内未发现断裂构造、滑坡、崩塌、泥石流等地质灾害发生的迹象。</w:t>
            </w:r>
          </w:p>
        </w:tc>
        <w:tc>
          <w:tcPr>
            <w:tcW w:w="657" w:type="dxa"/>
            <w:tcBorders>
              <w:tl2br w:val="nil"/>
              <w:tr2bl w:val="nil"/>
            </w:tcBorders>
            <w:noWrap w:val="0"/>
            <w:vAlign w:val="center"/>
          </w:tcPr>
          <w:p w14:paraId="2C2F533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307116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677EED7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75FA99B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贮存场、填埋场不得选在江河、湖泊、运河、渠道、水库最高水位线以下的滩地和岸坡，以及国家和地方长远规划中的水库等人工蓄水设施的淹没区和保护区之内</w:t>
            </w:r>
          </w:p>
        </w:tc>
        <w:tc>
          <w:tcPr>
            <w:tcW w:w="3199" w:type="dxa"/>
            <w:tcBorders>
              <w:tl2br w:val="nil"/>
              <w:tr2bl w:val="nil"/>
            </w:tcBorders>
            <w:noWrap w:val="0"/>
            <w:vAlign w:val="center"/>
          </w:tcPr>
          <w:p w14:paraId="0278A83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场址不在江河、湖泊、运河、渠道、水库最高水位线以下的滩地和岸坡，以及国家和地方长远规划中的水库等人工蓄水设施的淹没区和保护区之内</w:t>
            </w:r>
            <w:r>
              <w:rPr>
                <w:rFonts w:hint="eastAsia" w:ascii="Times New Roman" w:hAnsi="Times New Roman" w:eastAsia="宋体" w:cs="Times New Roman"/>
                <w:color w:val="auto"/>
                <w:kern w:val="44"/>
                <w:sz w:val="21"/>
                <w:szCs w:val="21"/>
                <w:highlight w:val="none"/>
                <w:lang w:val="en-US" w:eastAsia="zh-CN"/>
              </w:rPr>
              <w:t>。</w:t>
            </w:r>
          </w:p>
        </w:tc>
        <w:tc>
          <w:tcPr>
            <w:tcW w:w="657" w:type="dxa"/>
            <w:tcBorders>
              <w:tl2br w:val="nil"/>
              <w:tr2bl w:val="nil"/>
            </w:tcBorders>
            <w:noWrap w:val="0"/>
            <w:vAlign w:val="center"/>
          </w:tcPr>
          <w:p w14:paraId="59EC71B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6EC5EF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restart"/>
            <w:tcBorders>
              <w:tl2br w:val="nil"/>
              <w:tr2bl w:val="nil"/>
            </w:tcBorders>
            <w:noWrap w:val="0"/>
            <w:vAlign w:val="center"/>
          </w:tcPr>
          <w:p w14:paraId="15F67C1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ascii="Times New Roman" w:hAnsi="Times New Roman" w:eastAsia="宋体" w:cs="Times New Roman"/>
                <w:b/>
                <w:bCs/>
                <w:color w:val="auto"/>
                <w:kern w:val="44"/>
                <w:sz w:val="21"/>
                <w:szCs w:val="21"/>
                <w:highlight w:val="none"/>
                <w:lang w:val="en-US" w:eastAsia="zh-CN"/>
              </w:rPr>
              <w:t>技术要求</w:t>
            </w:r>
          </w:p>
        </w:tc>
        <w:tc>
          <w:tcPr>
            <w:tcW w:w="3720" w:type="dxa"/>
            <w:tcBorders>
              <w:tl2br w:val="nil"/>
              <w:tr2bl w:val="nil"/>
            </w:tcBorders>
            <w:shd w:val="clear" w:color="auto" w:fill="auto"/>
            <w:noWrap w:val="0"/>
            <w:vAlign w:val="center"/>
          </w:tcPr>
          <w:p w14:paraId="4B00C746">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贮存场、填埋场的防洪标准应按重现期不小于50年一遇的洪水位设计，国家已有标准提出更高要求的除外。</w:t>
            </w:r>
          </w:p>
        </w:tc>
        <w:tc>
          <w:tcPr>
            <w:tcW w:w="3199" w:type="dxa"/>
            <w:tcBorders>
              <w:tl2br w:val="nil"/>
              <w:tr2bl w:val="nil"/>
            </w:tcBorders>
            <w:noWrap w:val="0"/>
            <w:vAlign w:val="center"/>
          </w:tcPr>
          <w:p w14:paraId="4A01641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spacing w:val="0"/>
                <w:sz w:val="21"/>
                <w:szCs w:val="21"/>
                <w:highlight w:val="none"/>
              </w:rPr>
              <w:t>根据项目初步设计，本项目排土场等级为</w:t>
            </w:r>
            <w:r>
              <w:rPr>
                <w:rFonts w:hint="eastAsia" w:cs="Times New Roman"/>
                <w:color w:val="auto"/>
                <w:spacing w:val="0"/>
                <w:sz w:val="21"/>
                <w:szCs w:val="21"/>
                <w:highlight w:val="none"/>
                <w:lang w:val="en-US" w:eastAsia="zh-CN"/>
              </w:rPr>
              <w:t>一</w:t>
            </w:r>
            <w:r>
              <w:rPr>
                <w:rFonts w:hint="default" w:ascii="Times New Roman" w:hAnsi="Times New Roman" w:eastAsia="宋体" w:cs="Times New Roman"/>
                <w:color w:val="auto"/>
                <w:spacing w:val="0"/>
                <w:sz w:val="21"/>
                <w:szCs w:val="21"/>
                <w:highlight w:val="none"/>
                <w:lang w:val="en-US" w:eastAsia="zh-CN"/>
              </w:rPr>
              <w:t>级</w:t>
            </w:r>
            <w:r>
              <w:rPr>
                <w:rFonts w:hint="default" w:ascii="Times New Roman" w:hAnsi="Times New Roman" w:eastAsia="宋体" w:cs="Times New Roman"/>
                <w:color w:val="auto"/>
                <w:spacing w:val="0"/>
                <w:sz w:val="21"/>
                <w:szCs w:val="21"/>
                <w:highlight w:val="none"/>
              </w:rPr>
              <w:t>，防洪标准按照50年一遇进行设计</w:t>
            </w:r>
            <w:r>
              <w:rPr>
                <w:rFonts w:hint="eastAsia" w:ascii="Times New Roman" w:hAnsi="Times New Roman" w:eastAsia="宋体" w:cs="Times New Roman"/>
                <w:color w:val="auto"/>
                <w:spacing w:val="0"/>
                <w:sz w:val="21"/>
                <w:szCs w:val="21"/>
                <w:highlight w:val="none"/>
                <w:lang w:eastAsia="zh-CN"/>
              </w:rPr>
              <w:t>。</w:t>
            </w:r>
          </w:p>
        </w:tc>
        <w:tc>
          <w:tcPr>
            <w:tcW w:w="657" w:type="dxa"/>
            <w:tcBorders>
              <w:tl2br w:val="nil"/>
              <w:tr2bl w:val="nil"/>
            </w:tcBorders>
            <w:noWrap w:val="0"/>
            <w:vAlign w:val="center"/>
          </w:tcPr>
          <w:p w14:paraId="5D24EA1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09D6A7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3E68622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23243A4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当天然基础层饱和渗透系数不大于1.0×10</w:t>
            </w:r>
            <w:r>
              <w:rPr>
                <w:rFonts w:hint="default" w:ascii="Times New Roman" w:hAnsi="Times New Roman" w:eastAsia="宋体" w:cs="Times New Roman"/>
                <w:color w:val="auto"/>
                <w:kern w:val="44"/>
                <w:sz w:val="21"/>
                <w:szCs w:val="21"/>
                <w:highlight w:val="none"/>
                <w:vertAlign w:val="superscript"/>
                <w:lang w:val="en-US" w:eastAsia="zh-CN"/>
              </w:rPr>
              <w:t>-5</w:t>
            </w:r>
            <w:r>
              <w:rPr>
                <w:rFonts w:hint="default" w:ascii="Times New Roman" w:hAnsi="Times New Roman" w:eastAsia="宋体" w:cs="Times New Roman"/>
                <w:color w:val="auto"/>
                <w:kern w:val="44"/>
                <w:sz w:val="21"/>
                <w:szCs w:val="21"/>
                <w:highlight w:val="none"/>
                <w:lang w:val="en-US" w:eastAsia="zh-CN"/>
              </w:rPr>
              <w:t xml:space="preserve"> cm/s，且厚度不小于0.75 m时，可以采用天然基础层作为防渗衬层。</w:t>
            </w:r>
          </w:p>
        </w:tc>
        <w:tc>
          <w:tcPr>
            <w:tcW w:w="3199" w:type="dxa"/>
            <w:tcBorders>
              <w:tl2br w:val="nil"/>
              <w:tr2bl w:val="nil"/>
            </w:tcBorders>
            <w:noWrap w:val="0"/>
            <w:vAlign w:val="center"/>
          </w:tcPr>
          <w:p w14:paraId="7F3421F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根据项目水文地质勘察报告，场地范围内包气带岩性主要为强风化片麻岩，渗透系数</w:t>
            </w:r>
            <w:r>
              <w:rPr>
                <w:rFonts w:hint="eastAsia" w:ascii="Times New Roman" w:hAnsi="Times New Roman" w:eastAsia="宋体" w:cs="Times New Roman"/>
                <w:color w:val="auto"/>
                <w:kern w:val="44"/>
                <w:sz w:val="21"/>
                <w:szCs w:val="21"/>
                <w:highlight w:val="none"/>
                <w:lang w:val="en-US" w:eastAsia="zh-CN"/>
              </w:rPr>
              <w:t>1.16×10</w:t>
            </w:r>
            <w:r>
              <w:rPr>
                <w:rFonts w:hint="eastAsia" w:ascii="Times New Roman" w:hAnsi="Times New Roman" w:eastAsia="宋体" w:cs="Times New Roman"/>
                <w:color w:val="auto"/>
                <w:kern w:val="44"/>
                <w:sz w:val="21"/>
                <w:szCs w:val="21"/>
                <w:highlight w:val="none"/>
                <w:vertAlign w:val="superscript"/>
                <w:lang w:val="en-US" w:eastAsia="zh-CN"/>
              </w:rPr>
              <w:t>-6</w:t>
            </w:r>
            <w:r>
              <w:rPr>
                <w:rFonts w:hint="eastAsia" w:ascii="Times New Roman" w:hAnsi="Times New Roman" w:eastAsia="宋体" w:cs="Times New Roman"/>
                <w:color w:val="auto"/>
                <w:kern w:val="44"/>
                <w:sz w:val="21"/>
                <w:szCs w:val="21"/>
                <w:highlight w:val="none"/>
                <w:lang w:val="en-US" w:eastAsia="zh-CN"/>
              </w:rPr>
              <w:t>cm/s</w:t>
            </w:r>
            <w:r>
              <w:rPr>
                <w:rFonts w:hint="default" w:ascii="Times New Roman" w:hAnsi="Times New Roman" w:eastAsia="宋体" w:cs="Times New Roman"/>
                <w:color w:val="auto"/>
                <w:kern w:val="44"/>
                <w:sz w:val="21"/>
                <w:szCs w:val="21"/>
                <w:highlight w:val="none"/>
                <w:lang w:val="en-US" w:eastAsia="zh-CN"/>
              </w:rPr>
              <w:t>，厚度均大于等于3m，可以采用天然基础层作为防渗衬层</w:t>
            </w:r>
            <w:r>
              <w:rPr>
                <w:rFonts w:hint="eastAsia" w:ascii="Times New Roman" w:hAnsi="Times New Roman" w:eastAsia="宋体" w:cs="Times New Roman"/>
                <w:color w:val="auto"/>
                <w:kern w:val="44"/>
                <w:sz w:val="21"/>
                <w:szCs w:val="21"/>
                <w:highlight w:val="none"/>
                <w:lang w:val="en-US" w:eastAsia="zh-CN"/>
              </w:rPr>
              <w:t>。</w:t>
            </w:r>
          </w:p>
        </w:tc>
        <w:tc>
          <w:tcPr>
            <w:tcW w:w="657" w:type="dxa"/>
            <w:tcBorders>
              <w:tl2br w:val="nil"/>
              <w:tr2bl w:val="nil"/>
            </w:tcBorders>
            <w:noWrap w:val="0"/>
            <w:vAlign w:val="center"/>
          </w:tcPr>
          <w:p w14:paraId="1137390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7E5446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restart"/>
            <w:tcBorders>
              <w:tl2br w:val="nil"/>
              <w:tr2bl w:val="nil"/>
            </w:tcBorders>
            <w:noWrap w:val="0"/>
            <w:vAlign w:val="center"/>
          </w:tcPr>
          <w:p w14:paraId="5A8612EB">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b/>
                <w:bCs/>
                <w:color w:val="auto"/>
                <w:kern w:val="44"/>
                <w:sz w:val="21"/>
                <w:szCs w:val="21"/>
                <w:highlight w:val="none"/>
                <w:lang w:val="en-US" w:eastAsia="zh-CN"/>
              </w:rPr>
              <w:t>入场要求</w:t>
            </w:r>
          </w:p>
        </w:tc>
        <w:tc>
          <w:tcPr>
            <w:tcW w:w="3720" w:type="dxa"/>
            <w:tcBorders>
              <w:tl2br w:val="nil"/>
              <w:tr2bl w:val="nil"/>
            </w:tcBorders>
            <w:shd w:val="clear" w:color="auto" w:fill="auto"/>
            <w:noWrap w:val="0"/>
            <w:vAlign w:val="center"/>
          </w:tcPr>
          <w:p w14:paraId="7C41013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第I类一般工业固体废物（包括第II类一般工业固体废物经处理后属于第I类一般工业固体废物的）；</w:t>
            </w:r>
          </w:p>
        </w:tc>
        <w:tc>
          <w:tcPr>
            <w:tcW w:w="3199" w:type="dxa"/>
            <w:tcBorders>
              <w:tl2br w:val="nil"/>
              <w:tr2bl w:val="nil"/>
            </w:tcBorders>
            <w:noWrap w:val="0"/>
            <w:vAlign w:val="center"/>
          </w:tcPr>
          <w:p w14:paraId="3883760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根据堆存废石混合样浸出毒性、腐蚀性进行鉴别结果，及第Ⅰ、Ⅱ类一般工业固体废物鉴别结果，项目存放废石为I类一般工业固体废物</w:t>
            </w:r>
            <w:r>
              <w:rPr>
                <w:rFonts w:hint="eastAsia" w:cs="Times New Roman"/>
                <w:color w:val="auto"/>
                <w:kern w:val="44"/>
                <w:sz w:val="21"/>
                <w:szCs w:val="21"/>
                <w:highlight w:val="none"/>
                <w:lang w:val="en-US" w:eastAsia="zh-CN"/>
              </w:rPr>
              <w:t>。</w:t>
            </w:r>
          </w:p>
        </w:tc>
        <w:tc>
          <w:tcPr>
            <w:tcW w:w="657" w:type="dxa"/>
            <w:tcBorders>
              <w:tl2br w:val="nil"/>
              <w:tr2bl w:val="nil"/>
            </w:tcBorders>
            <w:noWrap w:val="0"/>
            <w:vAlign w:val="center"/>
          </w:tcPr>
          <w:p w14:paraId="6BD9D2B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4C1548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4E48304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5B516D86">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有机质含量小于2%（煤矸石除外），测定方法按照HJ 761进行；</w:t>
            </w:r>
          </w:p>
        </w:tc>
        <w:tc>
          <w:tcPr>
            <w:tcW w:w="3199" w:type="dxa"/>
            <w:tcBorders>
              <w:tl2br w:val="nil"/>
              <w:tr2bl w:val="nil"/>
            </w:tcBorders>
            <w:noWrap w:val="0"/>
            <w:vAlign w:val="center"/>
          </w:tcPr>
          <w:p w14:paraId="132B464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根据</w:t>
            </w:r>
            <w:r>
              <w:rPr>
                <w:rFonts w:hint="default" w:ascii="Times New Roman" w:hAnsi="Times New Roman" w:eastAsia="宋体" w:cs="Times New Roman"/>
                <w:color w:val="auto"/>
                <w:kern w:val="44"/>
                <w:sz w:val="21"/>
                <w:szCs w:val="21"/>
                <w:highlight w:val="none"/>
                <w:lang w:val="en-US" w:eastAsia="zh-CN"/>
              </w:rPr>
              <w:t>堆存废石混合样有机质</w:t>
            </w:r>
            <w:r>
              <w:rPr>
                <w:rFonts w:hint="eastAsia" w:cs="Times New Roman"/>
                <w:color w:val="auto"/>
                <w:kern w:val="44"/>
                <w:sz w:val="21"/>
                <w:szCs w:val="21"/>
                <w:highlight w:val="none"/>
                <w:lang w:val="en-US" w:eastAsia="zh-CN"/>
              </w:rPr>
              <w:t>监测结果，</w:t>
            </w:r>
            <w:r>
              <w:rPr>
                <w:rFonts w:hint="eastAsia"/>
                <w:color w:val="auto"/>
                <w:sz w:val="21"/>
                <w:szCs w:val="21"/>
                <w:highlight w:val="none"/>
              </w:rPr>
              <w:t>有机质</w:t>
            </w:r>
            <w:r>
              <w:rPr>
                <w:rFonts w:hint="eastAsia"/>
                <w:color w:val="auto"/>
                <w:sz w:val="21"/>
                <w:szCs w:val="21"/>
                <w:highlight w:val="none"/>
                <w:lang w:val="en-US" w:eastAsia="zh-CN"/>
              </w:rPr>
              <w:t>含量为1.6%＜</w:t>
            </w:r>
            <w:r>
              <w:rPr>
                <w:rFonts w:hint="default" w:ascii="Times New Roman" w:hAnsi="Times New Roman" w:eastAsia="宋体" w:cs="Times New Roman"/>
                <w:color w:val="auto"/>
                <w:kern w:val="44"/>
                <w:sz w:val="21"/>
                <w:szCs w:val="21"/>
                <w:highlight w:val="none"/>
                <w:lang w:val="en-US" w:eastAsia="zh-CN"/>
              </w:rPr>
              <w:t>2%</w:t>
            </w:r>
            <w:r>
              <w:rPr>
                <w:rFonts w:hint="eastAsia" w:cs="Times New Roman"/>
                <w:color w:val="auto"/>
                <w:kern w:val="44"/>
                <w:sz w:val="21"/>
                <w:szCs w:val="21"/>
                <w:highlight w:val="none"/>
                <w:lang w:val="en-US" w:eastAsia="zh-CN"/>
              </w:rPr>
              <w:t>。</w:t>
            </w:r>
          </w:p>
        </w:tc>
        <w:tc>
          <w:tcPr>
            <w:tcW w:w="657" w:type="dxa"/>
            <w:tcBorders>
              <w:tl2br w:val="nil"/>
              <w:tr2bl w:val="nil"/>
            </w:tcBorders>
            <w:noWrap w:val="0"/>
            <w:vAlign w:val="center"/>
          </w:tcPr>
          <w:p w14:paraId="398FE956">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71FC92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57143C0D">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57D2265B">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水溶性盐总量小于2%，测定方法按照NY/T 1121.16进行。</w:t>
            </w:r>
          </w:p>
        </w:tc>
        <w:tc>
          <w:tcPr>
            <w:tcW w:w="3199" w:type="dxa"/>
            <w:tcBorders>
              <w:tl2br w:val="nil"/>
              <w:tr2bl w:val="nil"/>
            </w:tcBorders>
            <w:noWrap w:val="0"/>
            <w:vAlign w:val="center"/>
          </w:tcPr>
          <w:p w14:paraId="372AC306">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根据</w:t>
            </w:r>
            <w:r>
              <w:rPr>
                <w:rFonts w:hint="default" w:ascii="Times New Roman" w:hAnsi="Times New Roman" w:eastAsia="宋体" w:cs="Times New Roman"/>
                <w:color w:val="auto"/>
                <w:kern w:val="44"/>
                <w:sz w:val="21"/>
                <w:szCs w:val="21"/>
                <w:highlight w:val="none"/>
                <w:lang w:val="en-US" w:eastAsia="zh-CN"/>
              </w:rPr>
              <w:t>堆存废石混合样水溶性盐总量</w:t>
            </w:r>
            <w:r>
              <w:rPr>
                <w:rFonts w:hint="eastAsia" w:cs="Times New Roman"/>
                <w:color w:val="auto"/>
                <w:kern w:val="44"/>
                <w:sz w:val="21"/>
                <w:szCs w:val="21"/>
                <w:highlight w:val="none"/>
                <w:lang w:val="en-US" w:eastAsia="zh-CN"/>
              </w:rPr>
              <w:t>监测结果，</w:t>
            </w:r>
            <w:r>
              <w:rPr>
                <w:rFonts w:hint="default" w:ascii="Times New Roman" w:hAnsi="Times New Roman" w:eastAsia="宋体" w:cs="Times New Roman"/>
                <w:color w:val="auto"/>
                <w:kern w:val="44"/>
                <w:sz w:val="21"/>
                <w:szCs w:val="21"/>
                <w:highlight w:val="none"/>
                <w:lang w:val="en-US" w:eastAsia="zh-CN"/>
              </w:rPr>
              <w:t>水溶性盐总量</w:t>
            </w:r>
            <w:r>
              <w:rPr>
                <w:rFonts w:hint="eastAsia"/>
                <w:color w:val="auto"/>
                <w:sz w:val="21"/>
                <w:szCs w:val="21"/>
                <w:highlight w:val="none"/>
                <w:lang w:val="en-US" w:eastAsia="zh-CN"/>
              </w:rPr>
              <w:t>含量为0.6%＜</w:t>
            </w:r>
            <w:r>
              <w:rPr>
                <w:rFonts w:hint="default" w:ascii="Times New Roman" w:hAnsi="Times New Roman" w:eastAsia="宋体" w:cs="Times New Roman"/>
                <w:color w:val="auto"/>
                <w:kern w:val="44"/>
                <w:sz w:val="21"/>
                <w:szCs w:val="21"/>
                <w:highlight w:val="none"/>
                <w:lang w:val="en-US" w:eastAsia="zh-CN"/>
              </w:rPr>
              <w:t>2%</w:t>
            </w:r>
            <w:r>
              <w:rPr>
                <w:rFonts w:hint="eastAsia" w:cs="Times New Roman"/>
                <w:color w:val="auto"/>
                <w:kern w:val="44"/>
                <w:sz w:val="21"/>
                <w:szCs w:val="21"/>
                <w:highlight w:val="none"/>
                <w:lang w:val="en-US" w:eastAsia="zh-CN"/>
              </w:rPr>
              <w:t>。</w:t>
            </w:r>
          </w:p>
        </w:tc>
        <w:tc>
          <w:tcPr>
            <w:tcW w:w="657" w:type="dxa"/>
            <w:tcBorders>
              <w:tl2br w:val="nil"/>
              <w:tr2bl w:val="nil"/>
            </w:tcBorders>
            <w:noWrap w:val="0"/>
            <w:vAlign w:val="center"/>
          </w:tcPr>
          <w:p w14:paraId="2A34381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6C25B1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restart"/>
            <w:tcBorders>
              <w:tl2br w:val="nil"/>
              <w:tr2bl w:val="nil"/>
            </w:tcBorders>
            <w:noWrap w:val="0"/>
            <w:vAlign w:val="center"/>
          </w:tcPr>
          <w:p w14:paraId="73EC170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b/>
                <w:bCs/>
                <w:color w:val="auto"/>
                <w:kern w:val="44"/>
                <w:sz w:val="21"/>
                <w:szCs w:val="21"/>
                <w:highlight w:val="none"/>
                <w:lang w:val="en-US" w:eastAsia="zh-CN"/>
              </w:rPr>
              <w:t>运行要求</w:t>
            </w:r>
          </w:p>
        </w:tc>
        <w:tc>
          <w:tcPr>
            <w:tcW w:w="3720" w:type="dxa"/>
            <w:tcBorders>
              <w:tl2br w:val="nil"/>
              <w:tr2bl w:val="nil"/>
            </w:tcBorders>
            <w:shd w:val="clear" w:color="auto" w:fill="auto"/>
            <w:noWrap w:val="0"/>
            <w:vAlign w:val="center"/>
          </w:tcPr>
          <w:p w14:paraId="3EA4A8A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贮存场、填埋场投入运行之前，企业应制定突发环境事件应急预案或在突发事件应急预案中制定环境应急预案专章，说明各种可能发生的突发环境事件情景及应急处置措施。</w:t>
            </w:r>
          </w:p>
        </w:tc>
        <w:tc>
          <w:tcPr>
            <w:tcW w:w="3199" w:type="dxa"/>
            <w:tcBorders>
              <w:tl2br w:val="nil"/>
              <w:tr2bl w:val="nil"/>
            </w:tcBorders>
            <w:noWrap w:val="0"/>
            <w:vAlign w:val="center"/>
          </w:tcPr>
          <w:p w14:paraId="041CB35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项目运行前，公司应</w:t>
            </w:r>
            <w:r>
              <w:rPr>
                <w:rFonts w:hint="default" w:ascii="Times New Roman" w:hAnsi="Times New Roman" w:eastAsia="宋体" w:cs="Times New Roman"/>
                <w:color w:val="auto"/>
                <w:kern w:val="44"/>
                <w:sz w:val="21"/>
                <w:szCs w:val="21"/>
                <w:highlight w:val="none"/>
                <w:lang w:val="en-US" w:eastAsia="zh-CN"/>
              </w:rPr>
              <w:t>制定突发环境事件应急预案</w:t>
            </w:r>
            <w:r>
              <w:rPr>
                <w:rFonts w:hint="eastAsia" w:cs="Times New Roman"/>
                <w:color w:val="auto"/>
                <w:kern w:val="44"/>
                <w:sz w:val="21"/>
                <w:szCs w:val="21"/>
                <w:highlight w:val="none"/>
                <w:lang w:val="en-US" w:eastAsia="zh-CN"/>
              </w:rPr>
              <w:t>。</w:t>
            </w:r>
          </w:p>
        </w:tc>
        <w:tc>
          <w:tcPr>
            <w:tcW w:w="657" w:type="dxa"/>
            <w:tcBorders>
              <w:tl2br w:val="nil"/>
              <w:tr2bl w:val="nil"/>
            </w:tcBorders>
            <w:shd w:val="clear" w:color="auto" w:fill="auto"/>
            <w:noWrap w:val="0"/>
            <w:vAlign w:val="center"/>
          </w:tcPr>
          <w:p w14:paraId="5FA305F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符合</w:t>
            </w:r>
          </w:p>
        </w:tc>
      </w:tr>
      <w:tr w14:paraId="7CAFDF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158F40B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6B75887D">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贮存场、填埋场应制定运行计划，运行管理人员应定期参加企业的岗位培训。</w:t>
            </w:r>
          </w:p>
        </w:tc>
        <w:tc>
          <w:tcPr>
            <w:tcW w:w="3199" w:type="dxa"/>
            <w:tcBorders>
              <w:tl2br w:val="nil"/>
              <w:tr2bl w:val="nil"/>
            </w:tcBorders>
            <w:noWrap w:val="0"/>
            <w:vAlign w:val="center"/>
          </w:tcPr>
          <w:p w14:paraId="1EB33C8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公司拟</w:t>
            </w:r>
            <w:r>
              <w:rPr>
                <w:rFonts w:hint="default" w:ascii="Times New Roman" w:hAnsi="Times New Roman" w:eastAsia="宋体" w:cs="Times New Roman"/>
                <w:color w:val="auto"/>
                <w:kern w:val="44"/>
                <w:sz w:val="21"/>
                <w:szCs w:val="21"/>
                <w:highlight w:val="none"/>
                <w:lang w:val="en-US" w:eastAsia="zh-CN"/>
              </w:rPr>
              <w:t>制定运行计划</w:t>
            </w:r>
            <w:r>
              <w:rPr>
                <w:rFonts w:hint="eastAsia" w:cs="Times New Roman"/>
                <w:color w:val="auto"/>
                <w:kern w:val="44"/>
                <w:sz w:val="21"/>
                <w:szCs w:val="21"/>
                <w:highlight w:val="none"/>
                <w:lang w:val="en-US" w:eastAsia="zh-CN"/>
              </w:rPr>
              <w:t>，排土场投入使用后对管理人员定期进行岗位培训。</w:t>
            </w:r>
          </w:p>
        </w:tc>
        <w:tc>
          <w:tcPr>
            <w:tcW w:w="657" w:type="dxa"/>
            <w:tcBorders>
              <w:tl2br w:val="nil"/>
              <w:tr2bl w:val="nil"/>
            </w:tcBorders>
            <w:shd w:val="clear" w:color="auto" w:fill="auto"/>
            <w:noWrap w:val="0"/>
            <w:vAlign w:val="center"/>
          </w:tcPr>
          <w:p w14:paraId="710D35B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符合</w:t>
            </w:r>
          </w:p>
        </w:tc>
      </w:tr>
      <w:tr w14:paraId="5150B7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5710192B">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45A3988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贮存场、填埋场运行企业应建立档案管理制度，并按照国家档案管理等法律法规进行整理与归档，永久保存。</w:t>
            </w:r>
          </w:p>
        </w:tc>
        <w:tc>
          <w:tcPr>
            <w:tcW w:w="3199" w:type="dxa"/>
            <w:tcBorders>
              <w:tl2br w:val="nil"/>
              <w:tr2bl w:val="nil"/>
            </w:tcBorders>
            <w:noWrap w:val="0"/>
            <w:vAlign w:val="center"/>
          </w:tcPr>
          <w:p w14:paraId="70D1B99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公司拟建立档案管理制度。</w:t>
            </w:r>
          </w:p>
        </w:tc>
        <w:tc>
          <w:tcPr>
            <w:tcW w:w="657" w:type="dxa"/>
            <w:tcBorders>
              <w:tl2br w:val="nil"/>
              <w:tr2bl w:val="nil"/>
            </w:tcBorders>
            <w:shd w:val="clear" w:color="auto" w:fill="auto"/>
            <w:noWrap w:val="0"/>
            <w:vAlign w:val="center"/>
          </w:tcPr>
          <w:p w14:paraId="09B2208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符合</w:t>
            </w:r>
          </w:p>
        </w:tc>
      </w:tr>
      <w:tr w14:paraId="6D9547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2E14634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0930C31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贮存场、填埋场的环境保护图形标志应符合GB 15562.2的规定，并应定期检查和维护。</w:t>
            </w:r>
          </w:p>
        </w:tc>
        <w:tc>
          <w:tcPr>
            <w:tcW w:w="3199" w:type="dxa"/>
            <w:tcBorders>
              <w:tl2br w:val="nil"/>
              <w:tr2bl w:val="nil"/>
            </w:tcBorders>
            <w:noWrap w:val="0"/>
            <w:vAlign w:val="center"/>
          </w:tcPr>
          <w:p w14:paraId="16D65E1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公司按</w:t>
            </w:r>
            <w:r>
              <w:rPr>
                <w:rFonts w:hint="default" w:ascii="Times New Roman" w:hAnsi="Times New Roman" w:eastAsia="宋体" w:cs="Times New Roman"/>
                <w:color w:val="auto"/>
                <w:kern w:val="44"/>
                <w:sz w:val="21"/>
                <w:szCs w:val="21"/>
                <w:highlight w:val="none"/>
                <w:lang w:val="en-US" w:eastAsia="zh-CN"/>
              </w:rPr>
              <w:t>GB 15562.2</w:t>
            </w:r>
            <w:r>
              <w:rPr>
                <w:rFonts w:hint="eastAsia" w:cs="Times New Roman"/>
                <w:color w:val="auto"/>
                <w:kern w:val="44"/>
                <w:sz w:val="21"/>
                <w:szCs w:val="21"/>
                <w:highlight w:val="none"/>
                <w:lang w:val="en-US" w:eastAsia="zh-CN"/>
              </w:rPr>
              <w:t>要求设置</w:t>
            </w:r>
            <w:r>
              <w:rPr>
                <w:rFonts w:hint="default" w:ascii="Times New Roman" w:hAnsi="Times New Roman" w:eastAsia="宋体" w:cs="Times New Roman"/>
                <w:color w:val="auto"/>
                <w:kern w:val="44"/>
                <w:sz w:val="21"/>
                <w:szCs w:val="21"/>
                <w:highlight w:val="none"/>
                <w:lang w:val="en-US" w:eastAsia="zh-CN"/>
              </w:rPr>
              <w:t>环境保护图形标志</w:t>
            </w:r>
            <w:r>
              <w:rPr>
                <w:rFonts w:hint="eastAsia" w:cs="Times New Roman"/>
                <w:color w:val="auto"/>
                <w:kern w:val="44"/>
                <w:sz w:val="21"/>
                <w:szCs w:val="21"/>
                <w:highlight w:val="none"/>
                <w:lang w:val="en-US" w:eastAsia="zh-CN"/>
              </w:rPr>
              <w:t>，</w:t>
            </w:r>
            <w:r>
              <w:rPr>
                <w:rFonts w:hint="default" w:ascii="Times New Roman" w:hAnsi="Times New Roman" w:eastAsia="宋体" w:cs="Times New Roman"/>
                <w:color w:val="auto"/>
                <w:kern w:val="44"/>
                <w:sz w:val="21"/>
                <w:szCs w:val="21"/>
                <w:highlight w:val="none"/>
                <w:lang w:val="en-US" w:eastAsia="zh-CN"/>
              </w:rPr>
              <w:t>定期检查和维护</w:t>
            </w:r>
            <w:r>
              <w:rPr>
                <w:rFonts w:hint="eastAsia" w:cs="Times New Roman"/>
                <w:color w:val="auto"/>
                <w:kern w:val="44"/>
                <w:sz w:val="21"/>
                <w:szCs w:val="21"/>
                <w:highlight w:val="none"/>
                <w:lang w:val="en-US" w:eastAsia="zh-CN"/>
              </w:rPr>
              <w:t>。</w:t>
            </w:r>
          </w:p>
        </w:tc>
        <w:tc>
          <w:tcPr>
            <w:tcW w:w="657" w:type="dxa"/>
            <w:tcBorders>
              <w:tl2br w:val="nil"/>
              <w:tr2bl w:val="nil"/>
            </w:tcBorders>
            <w:shd w:val="clear" w:color="auto" w:fill="auto"/>
            <w:noWrap w:val="0"/>
            <w:vAlign w:val="center"/>
          </w:tcPr>
          <w:p w14:paraId="251A842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500220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0DAC49D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12CD664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易产生扬尘的贮存或填埋场应采取分区作业、覆盖、洒水等有效抑尘措施防止扬尘污染。尾矿库应采取均匀放矿、洒水抑尘等措施防止干滩扬尘污染。</w:t>
            </w:r>
          </w:p>
        </w:tc>
        <w:tc>
          <w:tcPr>
            <w:tcW w:w="3199" w:type="dxa"/>
            <w:tcBorders>
              <w:tl2br w:val="nil"/>
              <w:tr2bl w:val="nil"/>
            </w:tcBorders>
            <w:noWrap w:val="0"/>
            <w:vAlign w:val="center"/>
          </w:tcPr>
          <w:p w14:paraId="367E69A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color w:val="auto"/>
                <w:kern w:val="44"/>
                <w:sz w:val="21"/>
                <w:szCs w:val="21"/>
                <w:highlight w:val="none"/>
                <w:lang w:val="en-US" w:eastAsia="zh-CN"/>
              </w:rPr>
            </w:pPr>
            <w:r>
              <w:rPr>
                <w:color w:val="auto"/>
                <w:sz w:val="21"/>
                <w:szCs w:val="21"/>
                <w:highlight w:val="none"/>
              </w:rPr>
              <w:t>在堆置废石过程中</w:t>
            </w:r>
            <w:r>
              <w:rPr>
                <w:rFonts w:hint="eastAsia"/>
                <w:color w:val="auto"/>
                <w:sz w:val="21"/>
                <w:szCs w:val="21"/>
                <w:highlight w:val="none"/>
                <w:lang w:val="en-US" w:eastAsia="zh-CN"/>
              </w:rPr>
              <w:t>分区作业，</w:t>
            </w:r>
            <w:r>
              <w:rPr>
                <w:color w:val="auto"/>
                <w:sz w:val="21"/>
                <w:szCs w:val="21"/>
                <w:highlight w:val="none"/>
              </w:rPr>
              <w:t>对台阶尚未形成最终堆积面的区域及时进行压实、苫盖；倾卸土石时洒水抑尘</w:t>
            </w:r>
            <w:r>
              <w:rPr>
                <w:rFonts w:hint="eastAsia"/>
                <w:color w:val="auto"/>
                <w:sz w:val="21"/>
                <w:szCs w:val="21"/>
                <w:highlight w:val="none"/>
                <w:lang w:eastAsia="zh-CN"/>
              </w:rPr>
              <w:t>。</w:t>
            </w:r>
          </w:p>
        </w:tc>
        <w:tc>
          <w:tcPr>
            <w:tcW w:w="657" w:type="dxa"/>
            <w:tcBorders>
              <w:tl2br w:val="nil"/>
              <w:tr2bl w:val="nil"/>
            </w:tcBorders>
            <w:shd w:val="clear" w:color="auto" w:fill="auto"/>
            <w:noWrap w:val="0"/>
            <w:vAlign w:val="center"/>
          </w:tcPr>
          <w:p w14:paraId="5537D5D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2FD91D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tcBorders>
              <w:tl2br w:val="nil"/>
              <w:tr2bl w:val="nil"/>
            </w:tcBorders>
            <w:noWrap w:val="0"/>
            <w:vAlign w:val="center"/>
          </w:tcPr>
          <w:p w14:paraId="29E62C4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r>
              <w:rPr>
                <w:rFonts w:hint="eastAsia" w:cs="Times New Roman"/>
                <w:b/>
                <w:bCs/>
                <w:color w:val="auto"/>
                <w:kern w:val="44"/>
                <w:sz w:val="21"/>
                <w:szCs w:val="21"/>
                <w:highlight w:val="none"/>
                <w:lang w:val="en-US" w:eastAsia="zh-CN"/>
              </w:rPr>
              <w:t>充填及回填利用污染控制要求</w:t>
            </w:r>
          </w:p>
        </w:tc>
        <w:tc>
          <w:tcPr>
            <w:tcW w:w="3720" w:type="dxa"/>
            <w:tcBorders>
              <w:tl2br w:val="nil"/>
              <w:tr2bl w:val="nil"/>
            </w:tcBorders>
            <w:shd w:val="clear" w:color="auto" w:fill="auto"/>
            <w:noWrap w:val="0"/>
            <w:vAlign w:val="center"/>
          </w:tcPr>
          <w:p w14:paraId="6AFA3E6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第I类一般工业固体废物可按下列途径进行充填或回填作业：</w:t>
            </w:r>
          </w:p>
          <w:p w14:paraId="729F82D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a）粉煤灰可在煤炭开采矿区的采空区中充填或回填；</w:t>
            </w:r>
          </w:p>
          <w:p w14:paraId="2A218F0B">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b）煤矸石可在煤炭开采矿井、矿坑等采空区中充填或回填；</w:t>
            </w:r>
          </w:p>
          <w:p w14:paraId="3E144E9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c）尾矿、矿山废石等可在原矿开采区的矿井、矿坑等采空区中充填或回填。</w:t>
            </w:r>
          </w:p>
        </w:tc>
        <w:tc>
          <w:tcPr>
            <w:tcW w:w="3199" w:type="dxa"/>
            <w:tcBorders>
              <w:tl2br w:val="nil"/>
              <w:tr2bl w:val="nil"/>
            </w:tcBorders>
            <w:noWrap w:val="0"/>
            <w:vAlign w:val="center"/>
          </w:tcPr>
          <w:p w14:paraId="0C1A66C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项目不涉及充填、回填。</w:t>
            </w:r>
          </w:p>
        </w:tc>
        <w:tc>
          <w:tcPr>
            <w:tcW w:w="657" w:type="dxa"/>
            <w:tcBorders>
              <w:tl2br w:val="nil"/>
              <w:tr2bl w:val="nil"/>
            </w:tcBorders>
            <w:noWrap w:val="0"/>
            <w:vAlign w:val="center"/>
          </w:tcPr>
          <w:p w14:paraId="6F5049A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符合</w:t>
            </w:r>
          </w:p>
        </w:tc>
      </w:tr>
      <w:tr w14:paraId="3BEA99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restart"/>
            <w:tcBorders>
              <w:tl2br w:val="nil"/>
              <w:tr2bl w:val="nil"/>
            </w:tcBorders>
            <w:noWrap w:val="0"/>
            <w:vAlign w:val="center"/>
          </w:tcPr>
          <w:p w14:paraId="43FCFE5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r>
              <w:rPr>
                <w:rFonts w:hint="eastAsia" w:cs="Times New Roman"/>
                <w:b/>
                <w:bCs/>
                <w:color w:val="auto"/>
                <w:kern w:val="44"/>
                <w:sz w:val="21"/>
                <w:szCs w:val="21"/>
                <w:highlight w:val="none"/>
                <w:lang w:val="en-US" w:eastAsia="zh-CN"/>
              </w:rPr>
              <w:t>封场及土地复垦要求</w:t>
            </w:r>
          </w:p>
        </w:tc>
        <w:tc>
          <w:tcPr>
            <w:tcW w:w="3720" w:type="dxa"/>
            <w:tcBorders>
              <w:tl2br w:val="nil"/>
              <w:tr2bl w:val="nil"/>
            </w:tcBorders>
            <w:shd w:val="clear" w:color="auto" w:fill="auto"/>
            <w:noWrap w:val="0"/>
            <w:vAlign w:val="center"/>
          </w:tcPr>
          <w:p w14:paraId="6A52463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当贮存场、填埋场服务期满或不再承担新的贮存、填埋任务时，应在2年内启动封场作业，并采取相应的污染防治措施，防止造成环境污染和生态破坏。封场计划可分期实施</w:t>
            </w:r>
            <w:r>
              <w:rPr>
                <w:rFonts w:hint="eastAsia" w:cs="Times New Roman"/>
                <w:color w:val="auto"/>
                <w:kern w:val="44"/>
                <w:sz w:val="21"/>
                <w:szCs w:val="21"/>
                <w:highlight w:val="none"/>
                <w:lang w:val="en-US" w:eastAsia="zh-CN"/>
              </w:rPr>
              <w:t>。</w:t>
            </w:r>
          </w:p>
        </w:tc>
        <w:tc>
          <w:tcPr>
            <w:tcW w:w="3199" w:type="dxa"/>
            <w:tcBorders>
              <w:tl2br w:val="nil"/>
              <w:tr2bl w:val="nil"/>
            </w:tcBorders>
            <w:noWrap w:val="0"/>
            <w:vAlign w:val="center"/>
          </w:tcPr>
          <w:p w14:paraId="775657A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项目服务期满后，在2年内启动封场作业，</w:t>
            </w:r>
            <w:r>
              <w:rPr>
                <w:rFonts w:hint="default" w:ascii="Times New Roman" w:hAnsi="Times New Roman" w:eastAsia="宋体" w:cs="Times New Roman"/>
                <w:color w:val="auto"/>
                <w:kern w:val="44"/>
                <w:sz w:val="21"/>
                <w:szCs w:val="21"/>
                <w:highlight w:val="none"/>
                <w:lang w:val="en-US" w:eastAsia="zh-CN"/>
              </w:rPr>
              <w:t>并采取相应的污染防治措施</w:t>
            </w:r>
            <w:r>
              <w:rPr>
                <w:rFonts w:hint="eastAsia" w:cs="Times New Roman"/>
                <w:color w:val="auto"/>
                <w:kern w:val="44"/>
                <w:sz w:val="21"/>
                <w:szCs w:val="21"/>
                <w:highlight w:val="none"/>
                <w:lang w:val="en-US" w:eastAsia="zh-CN"/>
              </w:rPr>
              <w:t>。</w:t>
            </w:r>
          </w:p>
        </w:tc>
        <w:tc>
          <w:tcPr>
            <w:tcW w:w="657" w:type="dxa"/>
            <w:tcBorders>
              <w:tl2br w:val="nil"/>
              <w:tr2bl w:val="nil"/>
            </w:tcBorders>
            <w:shd w:val="clear" w:color="auto" w:fill="auto"/>
            <w:noWrap w:val="0"/>
            <w:vAlign w:val="center"/>
          </w:tcPr>
          <w:p w14:paraId="0EBCB5E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eastAsia="宋体" w:cs="Times New Roman"/>
                <w:color w:val="auto"/>
                <w:kern w:val="44"/>
                <w:sz w:val="21"/>
                <w:szCs w:val="21"/>
                <w:highlight w:val="none"/>
                <w:lang w:val="en-US" w:eastAsia="zh-CN"/>
              </w:rPr>
              <w:t>符合</w:t>
            </w:r>
          </w:p>
        </w:tc>
      </w:tr>
      <w:tr w14:paraId="36B57F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0BBEEB6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15783AC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贮存场、填埋场封场时应控制封场坡度，防止雨水侵蚀。</w:t>
            </w:r>
          </w:p>
        </w:tc>
        <w:tc>
          <w:tcPr>
            <w:tcW w:w="3199" w:type="dxa"/>
            <w:tcBorders>
              <w:tl2br w:val="nil"/>
              <w:tr2bl w:val="nil"/>
            </w:tcBorders>
            <w:noWrap w:val="0"/>
            <w:vAlign w:val="center"/>
          </w:tcPr>
          <w:p w14:paraId="244883A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封场时拟控制封场坡度，</w:t>
            </w:r>
            <w:r>
              <w:rPr>
                <w:rFonts w:hint="default" w:ascii="Times New Roman" w:hAnsi="Times New Roman" w:eastAsia="宋体" w:cs="Times New Roman"/>
                <w:color w:val="auto"/>
                <w:kern w:val="44"/>
                <w:sz w:val="21"/>
                <w:szCs w:val="21"/>
                <w:highlight w:val="none"/>
                <w:lang w:val="en-US" w:eastAsia="zh-CN"/>
              </w:rPr>
              <w:t>防止雨水侵蚀。</w:t>
            </w:r>
          </w:p>
        </w:tc>
        <w:tc>
          <w:tcPr>
            <w:tcW w:w="657" w:type="dxa"/>
            <w:tcBorders>
              <w:tl2br w:val="nil"/>
              <w:tr2bl w:val="nil"/>
            </w:tcBorders>
            <w:shd w:val="clear" w:color="auto" w:fill="auto"/>
            <w:noWrap w:val="0"/>
            <w:vAlign w:val="center"/>
          </w:tcPr>
          <w:p w14:paraId="24EBC15B">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符合</w:t>
            </w:r>
          </w:p>
        </w:tc>
      </w:tr>
      <w:tr w14:paraId="68881A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225AFE6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113590FA">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I类场封场一般应覆盖土层，其厚度视固体废物的颗粒度大小和拟种植物种类确定。</w:t>
            </w:r>
          </w:p>
        </w:tc>
        <w:tc>
          <w:tcPr>
            <w:tcW w:w="3199" w:type="dxa"/>
            <w:tcBorders>
              <w:tl2br w:val="nil"/>
              <w:tr2bl w:val="nil"/>
            </w:tcBorders>
            <w:noWrap w:val="0"/>
            <w:vAlign w:val="center"/>
          </w:tcPr>
          <w:p w14:paraId="05389D7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ascii="Times New Roman" w:hAnsi="Times New Roman" w:eastAsia="宋体" w:cs="Times New Roman"/>
                <w:color w:val="auto"/>
                <w:kern w:val="44"/>
                <w:sz w:val="21"/>
                <w:szCs w:val="21"/>
                <w:highlight w:val="none"/>
                <w:lang w:val="en-US" w:eastAsia="zh-CN"/>
              </w:rPr>
            </w:pPr>
            <w:r>
              <w:rPr>
                <w:rFonts w:hint="default" w:ascii="Times New Roman" w:hAnsi="Times New Roman" w:cs="Times New Roman"/>
                <w:color w:val="000000"/>
                <w:kern w:val="0"/>
                <w:sz w:val="21"/>
                <w:szCs w:val="18"/>
                <w:highlight w:val="none"/>
              </w:rPr>
              <w:t>对于复垦绿化区域，先覆盖不小于</w:t>
            </w:r>
            <w:r>
              <w:rPr>
                <w:rFonts w:hint="eastAsia" w:cs="Times New Roman"/>
                <w:color w:val="000000"/>
                <w:kern w:val="0"/>
                <w:sz w:val="21"/>
                <w:szCs w:val="18"/>
                <w:highlight w:val="none"/>
                <w:lang w:eastAsia="zh-CN"/>
              </w:rPr>
              <w:t>40cm</w:t>
            </w:r>
            <w:r>
              <w:rPr>
                <w:rFonts w:hint="eastAsia" w:cs="Times New Roman"/>
                <w:color w:val="000000"/>
                <w:kern w:val="0"/>
                <w:sz w:val="21"/>
                <w:szCs w:val="18"/>
                <w:highlight w:val="none"/>
                <w:lang w:val="en-US" w:eastAsia="zh-CN"/>
              </w:rPr>
              <w:t>土层。</w:t>
            </w:r>
          </w:p>
        </w:tc>
        <w:tc>
          <w:tcPr>
            <w:tcW w:w="657" w:type="dxa"/>
            <w:tcBorders>
              <w:tl2br w:val="nil"/>
              <w:tr2bl w:val="nil"/>
            </w:tcBorders>
            <w:shd w:val="clear" w:color="auto" w:fill="auto"/>
            <w:noWrap w:val="0"/>
            <w:vAlign w:val="center"/>
          </w:tcPr>
          <w:p w14:paraId="507C811D">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53C578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509EAC4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4854C84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封场后，仍需对覆盖层进行维护管理，防止覆盖层不均匀沉降、开裂。</w:t>
            </w:r>
          </w:p>
        </w:tc>
        <w:tc>
          <w:tcPr>
            <w:tcW w:w="3199" w:type="dxa"/>
            <w:tcBorders>
              <w:tl2br w:val="nil"/>
              <w:tr2bl w:val="nil"/>
            </w:tcBorders>
            <w:noWrap w:val="0"/>
            <w:vAlign w:val="center"/>
          </w:tcPr>
          <w:p w14:paraId="29B291C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封场后对覆盖层进行维护管理</w:t>
            </w:r>
            <w:r>
              <w:rPr>
                <w:rFonts w:hint="eastAsia" w:cs="Times New Roman"/>
                <w:color w:val="auto"/>
                <w:kern w:val="44"/>
                <w:sz w:val="21"/>
                <w:szCs w:val="21"/>
                <w:highlight w:val="none"/>
                <w:lang w:val="en-US" w:eastAsia="zh-CN"/>
              </w:rPr>
              <w:t>。</w:t>
            </w:r>
          </w:p>
        </w:tc>
        <w:tc>
          <w:tcPr>
            <w:tcW w:w="657" w:type="dxa"/>
            <w:tcBorders>
              <w:tl2br w:val="nil"/>
              <w:tr2bl w:val="nil"/>
            </w:tcBorders>
            <w:shd w:val="clear" w:color="auto" w:fill="auto"/>
            <w:noWrap w:val="0"/>
            <w:vAlign w:val="center"/>
          </w:tcPr>
          <w:p w14:paraId="510E0E9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符合</w:t>
            </w:r>
          </w:p>
        </w:tc>
      </w:tr>
      <w:tr w14:paraId="424DFEE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39B5EFBE">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06BC2D8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封场后的贮存场、填埋场应设置标志物，注明封场时间以及使用该土地时应注意的事项。</w:t>
            </w:r>
          </w:p>
        </w:tc>
        <w:tc>
          <w:tcPr>
            <w:tcW w:w="3199" w:type="dxa"/>
            <w:tcBorders>
              <w:tl2br w:val="nil"/>
              <w:tr2bl w:val="nil"/>
            </w:tcBorders>
            <w:noWrap w:val="0"/>
            <w:vAlign w:val="center"/>
          </w:tcPr>
          <w:p w14:paraId="446720F9">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公司按</w:t>
            </w:r>
            <w:r>
              <w:rPr>
                <w:rFonts w:hint="default" w:ascii="Times New Roman" w:hAnsi="Times New Roman" w:eastAsia="宋体" w:cs="Times New Roman"/>
                <w:color w:val="auto"/>
                <w:kern w:val="44"/>
                <w:sz w:val="21"/>
                <w:szCs w:val="21"/>
                <w:highlight w:val="none"/>
                <w:lang w:val="en-US" w:eastAsia="zh-CN"/>
              </w:rPr>
              <w:t>GB 15562.2</w:t>
            </w:r>
            <w:r>
              <w:rPr>
                <w:rFonts w:hint="eastAsia" w:cs="Times New Roman"/>
                <w:color w:val="auto"/>
                <w:kern w:val="44"/>
                <w:sz w:val="21"/>
                <w:szCs w:val="21"/>
                <w:highlight w:val="none"/>
                <w:lang w:val="en-US" w:eastAsia="zh-CN"/>
              </w:rPr>
              <w:t>要求设置</w:t>
            </w:r>
            <w:r>
              <w:rPr>
                <w:rFonts w:hint="default" w:ascii="Times New Roman" w:hAnsi="Times New Roman" w:eastAsia="宋体" w:cs="Times New Roman"/>
                <w:color w:val="auto"/>
                <w:kern w:val="44"/>
                <w:sz w:val="21"/>
                <w:szCs w:val="21"/>
                <w:highlight w:val="none"/>
                <w:lang w:val="en-US" w:eastAsia="zh-CN"/>
              </w:rPr>
              <w:t>环境保护图形标志</w:t>
            </w:r>
            <w:r>
              <w:rPr>
                <w:rFonts w:hint="eastAsia" w:cs="Times New Roman"/>
                <w:color w:val="auto"/>
                <w:kern w:val="44"/>
                <w:sz w:val="21"/>
                <w:szCs w:val="21"/>
                <w:highlight w:val="none"/>
                <w:lang w:val="en-US" w:eastAsia="zh-CN"/>
              </w:rPr>
              <w:t>。</w:t>
            </w:r>
          </w:p>
        </w:tc>
        <w:tc>
          <w:tcPr>
            <w:tcW w:w="657" w:type="dxa"/>
            <w:tcBorders>
              <w:tl2br w:val="nil"/>
              <w:tr2bl w:val="nil"/>
            </w:tcBorders>
            <w:shd w:val="clear" w:color="auto" w:fill="auto"/>
            <w:noWrap w:val="0"/>
            <w:vAlign w:val="center"/>
          </w:tcPr>
          <w:p w14:paraId="3F9247F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r w14:paraId="296670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492DCBD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581C0D4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封场后渗滤液处理系统、废水排放监测系统应继续正常运行，直到连续2年内没有渗滤液产生或产生的渗滤液未经处理即可稳定达标排放。</w:t>
            </w:r>
          </w:p>
        </w:tc>
        <w:tc>
          <w:tcPr>
            <w:tcW w:w="3199" w:type="dxa"/>
            <w:tcBorders>
              <w:tl2br w:val="nil"/>
              <w:tr2bl w:val="nil"/>
            </w:tcBorders>
            <w:noWrap w:val="0"/>
            <w:vAlign w:val="center"/>
          </w:tcPr>
          <w:p w14:paraId="2325D62D">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本项目不涉及</w:t>
            </w:r>
            <w:r>
              <w:rPr>
                <w:rFonts w:hint="default" w:ascii="Times New Roman" w:hAnsi="Times New Roman" w:eastAsia="宋体" w:cs="Times New Roman"/>
                <w:color w:val="auto"/>
                <w:kern w:val="44"/>
                <w:sz w:val="21"/>
                <w:szCs w:val="21"/>
                <w:highlight w:val="none"/>
                <w:lang w:val="en-US" w:eastAsia="zh-CN"/>
              </w:rPr>
              <w:t>渗滤液处理系统</w:t>
            </w:r>
            <w:r>
              <w:rPr>
                <w:rFonts w:hint="eastAsia" w:cs="Times New Roman"/>
                <w:color w:val="auto"/>
                <w:kern w:val="44"/>
                <w:sz w:val="21"/>
                <w:szCs w:val="21"/>
                <w:highlight w:val="none"/>
                <w:lang w:val="en-US" w:eastAsia="zh-CN"/>
              </w:rPr>
              <w:t>，</w:t>
            </w:r>
            <w:r>
              <w:rPr>
                <w:rFonts w:hint="eastAsia"/>
                <w:color w:val="auto"/>
                <w:sz w:val="21"/>
                <w:szCs w:val="21"/>
                <w:highlight w:val="none"/>
                <w:lang w:eastAsia="zh-CN"/>
              </w:rPr>
              <w:t>淋溶废水回用降尘、</w:t>
            </w:r>
            <w:r>
              <w:rPr>
                <w:rFonts w:hint="eastAsia"/>
                <w:color w:val="auto"/>
                <w:sz w:val="21"/>
                <w:szCs w:val="21"/>
                <w:highlight w:val="none"/>
                <w:lang w:val="en-US" w:eastAsia="zh-CN"/>
              </w:rPr>
              <w:t>选厂生产</w:t>
            </w:r>
            <w:r>
              <w:rPr>
                <w:rFonts w:hint="eastAsia"/>
                <w:color w:val="auto"/>
                <w:sz w:val="21"/>
                <w:szCs w:val="21"/>
                <w:highlight w:val="none"/>
                <w:lang w:eastAsia="zh-CN"/>
              </w:rPr>
              <w:t>，不外排。</w:t>
            </w:r>
          </w:p>
        </w:tc>
        <w:tc>
          <w:tcPr>
            <w:tcW w:w="657" w:type="dxa"/>
            <w:tcBorders>
              <w:tl2br w:val="nil"/>
              <w:tr2bl w:val="nil"/>
            </w:tcBorders>
            <w:shd w:val="clear" w:color="auto" w:fill="auto"/>
            <w:noWrap w:val="0"/>
            <w:vAlign w:val="center"/>
          </w:tcPr>
          <w:p w14:paraId="197AC14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eastAsia" w:cs="Times New Roman"/>
                <w:color w:val="auto"/>
                <w:kern w:val="44"/>
                <w:sz w:val="21"/>
                <w:szCs w:val="21"/>
                <w:highlight w:val="none"/>
                <w:lang w:val="en-US" w:eastAsia="zh-CN"/>
              </w:rPr>
              <w:t>符合</w:t>
            </w:r>
          </w:p>
        </w:tc>
      </w:tr>
      <w:tr w14:paraId="15FC8E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2" w:type="dxa"/>
            <w:vMerge w:val="continue"/>
            <w:tcBorders>
              <w:tl2br w:val="nil"/>
              <w:tr2bl w:val="nil"/>
            </w:tcBorders>
            <w:noWrap w:val="0"/>
            <w:vAlign w:val="center"/>
          </w:tcPr>
          <w:p w14:paraId="3E85243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eastAsia" w:cs="Times New Roman"/>
                <w:b/>
                <w:bCs/>
                <w:color w:val="auto"/>
                <w:kern w:val="44"/>
                <w:sz w:val="21"/>
                <w:szCs w:val="21"/>
                <w:highlight w:val="none"/>
                <w:lang w:val="en-US" w:eastAsia="zh-CN"/>
              </w:rPr>
            </w:pPr>
          </w:p>
        </w:tc>
        <w:tc>
          <w:tcPr>
            <w:tcW w:w="3720" w:type="dxa"/>
            <w:tcBorders>
              <w:tl2br w:val="nil"/>
              <w:tr2bl w:val="nil"/>
            </w:tcBorders>
            <w:shd w:val="clear" w:color="auto" w:fill="auto"/>
            <w:noWrap w:val="0"/>
            <w:vAlign w:val="center"/>
          </w:tcPr>
          <w:p w14:paraId="35E8AE3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贮存场、填埋场封场完成后，可依据当地地形条件、水资源及表土资源等自然环境条件和社会发展需求并按照相关规定进行土地复垦。土地复垦实施过程应满足TD/T1036规定的相关土地复垦质量控制要求。</w:t>
            </w:r>
          </w:p>
        </w:tc>
        <w:tc>
          <w:tcPr>
            <w:tcW w:w="3199" w:type="dxa"/>
            <w:tcBorders>
              <w:tl2br w:val="nil"/>
              <w:tr2bl w:val="nil"/>
            </w:tcBorders>
            <w:noWrap w:val="0"/>
            <w:vAlign w:val="center"/>
          </w:tcPr>
          <w:p w14:paraId="77BA38B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封场完成后，</w:t>
            </w:r>
            <w:r>
              <w:rPr>
                <w:rFonts w:hint="eastAsia" w:cs="Times New Roman"/>
                <w:color w:val="auto"/>
                <w:kern w:val="44"/>
                <w:sz w:val="21"/>
                <w:szCs w:val="21"/>
                <w:highlight w:val="none"/>
                <w:lang w:val="en-US" w:eastAsia="zh-CN"/>
              </w:rPr>
              <w:t>按</w:t>
            </w:r>
            <w:r>
              <w:rPr>
                <w:rFonts w:hint="default" w:ascii="Times New Roman" w:hAnsi="Times New Roman" w:eastAsia="宋体" w:cs="Times New Roman"/>
                <w:color w:val="auto"/>
                <w:kern w:val="44"/>
                <w:sz w:val="21"/>
                <w:szCs w:val="21"/>
                <w:highlight w:val="none"/>
                <w:lang w:val="en-US" w:eastAsia="zh-CN"/>
              </w:rPr>
              <w:t>TD/T1036</w:t>
            </w:r>
            <w:r>
              <w:rPr>
                <w:rFonts w:hint="eastAsia" w:cs="Times New Roman"/>
                <w:color w:val="auto"/>
                <w:kern w:val="44"/>
                <w:sz w:val="21"/>
                <w:szCs w:val="21"/>
                <w:highlight w:val="none"/>
                <w:lang w:val="en-US" w:eastAsia="zh-CN"/>
              </w:rPr>
              <w:t>要求进行土地复垦。</w:t>
            </w:r>
          </w:p>
        </w:tc>
        <w:tc>
          <w:tcPr>
            <w:tcW w:w="657" w:type="dxa"/>
            <w:tcBorders>
              <w:tl2br w:val="nil"/>
              <w:tr2bl w:val="nil"/>
            </w:tcBorders>
            <w:shd w:val="clear" w:color="auto" w:fill="auto"/>
            <w:noWrap w:val="0"/>
            <w:vAlign w:val="center"/>
          </w:tcPr>
          <w:p w14:paraId="6FC6FEF6">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44"/>
                <w:sz w:val="21"/>
                <w:szCs w:val="21"/>
                <w:highlight w:val="none"/>
                <w:lang w:val="en-US" w:eastAsia="zh-CN"/>
              </w:rPr>
            </w:pPr>
            <w:r>
              <w:rPr>
                <w:rFonts w:hint="default" w:ascii="Times New Roman" w:hAnsi="Times New Roman" w:eastAsia="宋体" w:cs="Times New Roman"/>
                <w:color w:val="auto"/>
                <w:kern w:val="44"/>
                <w:sz w:val="21"/>
                <w:szCs w:val="21"/>
                <w:highlight w:val="none"/>
                <w:lang w:val="en-US" w:eastAsia="zh-CN"/>
              </w:rPr>
              <w:t>符合</w:t>
            </w:r>
          </w:p>
        </w:tc>
      </w:tr>
    </w:tbl>
    <w:p w14:paraId="68838D4F">
      <w:pPr>
        <w:adjustRightIn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综上</w:t>
      </w:r>
      <w:r>
        <w:rPr>
          <w:rFonts w:hint="eastAsia" w:ascii="Times New Roman" w:hAnsi="Times New Roman" w:cs="Times New Roman"/>
          <w:color w:val="000000"/>
          <w:sz w:val="24"/>
          <w:highlight w:val="none"/>
          <w:lang w:val="en-US" w:eastAsia="zh-CN"/>
        </w:rPr>
        <w:t>所述</w:t>
      </w:r>
      <w:r>
        <w:rPr>
          <w:rFonts w:hint="default" w:ascii="Times New Roman" w:hAnsi="Times New Roman" w:cs="Times New Roman"/>
          <w:color w:val="000000"/>
          <w:sz w:val="24"/>
          <w:highlight w:val="none"/>
        </w:rPr>
        <w:t>，</w:t>
      </w:r>
      <w:r>
        <w:rPr>
          <w:rFonts w:hint="eastAsia" w:cs="Times New Roman"/>
          <w:color w:val="000000"/>
          <w:sz w:val="24"/>
          <w:highlight w:val="none"/>
          <w:lang w:val="en-US" w:eastAsia="zh-CN"/>
        </w:rPr>
        <w:t>本项目满足</w:t>
      </w:r>
      <w:r>
        <w:rPr>
          <w:rFonts w:hint="default" w:ascii="Times New Roman" w:hAnsi="Times New Roman" w:eastAsia="宋体" w:cs="Times New Roman"/>
          <w:color w:val="auto"/>
          <w:sz w:val="24"/>
          <w:szCs w:val="24"/>
          <w:highlight w:val="none"/>
          <w:lang w:val="en-US" w:eastAsia="zh-CN"/>
        </w:rPr>
        <w:t>《一般工业固体废物贮存和填埋污染控制标准》（GB 18599-2020）</w:t>
      </w:r>
      <w:r>
        <w:rPr>
          <w:rFonts w:hint="eastAsia" w:cs="Times New Roman"/>
          <w:color w:val="auto"/>
          <w:sz w:val="24"/>
          <w:szCs w:val="24"/>
          <w:highlight w:val="none"/>
          <w:lang w:val="en-US" w:eastAsia="zh-CN"/>
        </w:rPr>
        <w:t>要求</w:t>
      </w:r>
      <w:r>
        <w:rPr>
          <w:rFonts w:hint="default" w:ascii="Times New Roman" w:hAnsi="Times New Roman" w:cs="Times New Roman"/>
          <w:color w:val="000000"/>
          <w:sz w:val="24"/>
          <w:highlight w:val="none"/>
        </w:rPr>
        <w:t>。</w:t>
      </w:r>
    </w:p>
    <w:p w14:paraId="345E3539">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bookmarkStart w:id="361" w:name="_Toc10443"/>
      <w:bookmarkStart w:id="362" w:name="_Toc4888"/>
      <w:bookmarkStart w:id="363" w:name="_Toc12873"/>
      <w:bookmarkStart w:id="364" w:name="_Toc26887"/>
      <w:bookmarkStart w:id="365" w:name="_Toc24925"/>
      <w:r>
        <w:rPr>
          <w:rFonts w:hint="default" w:ascii="Times New Roman" w:hAnsi="Times New Roman" w:eastAsia="宋体" w:cs="Times New Roman"/>
          <w:b/>
          <w:color w:val="000000"/>
          <w:sz w:val="28"/>
          <w:szCs w:val="28"/>
          <w:highlight w:val="none"/>
        </w:rPr>
        <w:t>生态环境保护措施及其可行性论证</w:t>
      </w:r>
      <w:bookmarkEnd w:id="361"/>
      <w:bookmarkEnd w:id="362"/>
      <w:bookmarkEnd w:id="363"/>
      <w:bookmarkEnd w:id="364"/>
      <w:bookmarkEnd w:id="365"/>
    </w:p>
    <w:p w14:paraId="6534C8F8">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color w:val="000000"/>
          <w:sz w:val="24"/>
          <w:highlight w:val="none"/>
          <w:lang w:val="en-US" w:eastAsia="zh-CN"/>
        </w:rPr>
      </w:pPr>
      <w:r>
        <w:rPr>
          <w:rFonts w:hint="eastAsia" w:cs="Times New Roman"/>
          <w:color w:val="000000"/>
          <w:sz w:val="24"/>
          <w:highlight w:val="none"/>
          <w:lang w:val="en-US" w:eastAsia="zh-CN"/>
        </w:rPr>
        <w:t>生产运行阶段</w:t>
      </w:r>
    </w:p>
    <w:p w14:paraId="5BA614DD">
      <w:pPr>
        <w:adjustRightInd w:val="0"/>
        <w:snapToGrid w:val="0"/>
        <w:spacing w:line="360" w:lineRule="auto"/>
        <w:ind w:firstLine="480" w:firstLineChars="200"/>
        <w:rPr>
          <w:rFonts w:hint="eastAsia" w:cs="Times New Roman"/>
          <w:color w:val="000000"/>
          <w:sz w:val="24"/>
          <w:highlight w:val="none"/>
          <w:lang w:eastAsia="zh-CN"/>
        </w:rPr>
      </w:pPr>
      <w:r>
        <w:rPr>
          <w:rFonts w:hint="default" w:ascii="Times New Roman" w:hAnsi="Times New Roman" w:cs="Times New Roman"/>
          <w:color w:val="000000"/>
          <w:sz w:val="24"/>
          <w:highlight w:val="none"/>
        </w:rPr>
        <w:t>本项目实施后，严格按照生态恢复相关要求进行生态恢复治理，通过人工实施绿化，将增加区域植被覆盖，降低对区域生态环境的影响，类比区域同类排土场，采取以上措施后，区域植被覆盖基本达到排土场未建设时期，区域生态环境得到恢复。因此，本项目采取的生态保护措施可行</w:t>
      </w:r>
      <w:r>
        <w:rPr>
          <w:rFonts w:hint="eastAsia" w:cs="Times New Roman"/>
          <w:color w:val="000000"/>
          <w:sz w:val="24"/>
          <w:highlight w:val="none"/>
          <w:lang w:eastAsia="zh-CN"/>
        </w:rPr>
        <w:t>。</w:t>
      </w:r>
    </w:p>
    <w:p w14:paraId="5EA0D21A">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color w:val="000000"/>
          <w:sz w:val="24"/>
          <w:highlight w:val="none"/>
          <w:lang w:val="en-US" w:eastAsia="zh-CN"/>
        </w:rPr>
      </w:pPr>
      <w:r>
        <w:rPr>
          <w:rFonts w:hint="eastAsia" w:cs="Times New Roman"/>
          <w:color w:val="000000"/>
          <w:sz w:val="24"/>
          <w:highlight w:val="none"/>
          <w:lang w:val="en-US" w:eastAsia="zh-CN"/>
        </w:rPr>
        <w:t>封场阶段</w:t>
      </w:r>
    </w:p>
    <w:p w14:paraId="31F092B6">
      <w:pPr>
        <w:pStyle w:val="23"/>
        <w:keepNext w:val="0"/>
        <w:keepLines w:val="0"/>
        <w:pageBreakBefore w:val="0"/>
        <w:widowControl w:val="0"/>
        <w:kinsoku w:val="0"/>
        <w:wordWrap/>
        <w:overflowPunct w:val="0"/>
        <w:topLinePunct w:val="0"/>
        <w:autoSpaceDE/>
        <w:autoSpaceDN/>
        <w:bidi w:val="0"/>
        <w:spacing w:after="0" w:line="360" w:lineRule="auto"/>
        <w:ind w:firstLine="480" w:firstLineChars="200"/>
        <w:textAlignment w:val="auto"/>
        <w:rPr>
          <w:sz w:val="24"/>
          <w:szCs w:val="24"/>
          <w:highlight w:val="none"/>
        </w:rPr>
      </w:pPr>
      <w:r>
        <w:rPr>
          <w:rFonts w:hint="eastAsia"/>
          <w:sz w:val="24"/>
          <w:szCs w:val="24"/>
          <w:highlight w:val="none"/>
        </w:rPr>
        <w:t>堆存场堆存完成后</w:t>
      </w:r>
      <w:r>
        <w:rPr>
          <w:sz w:val="24"/>
          <w:szCs w:val="24"/>
          <w:highlight w:val="none"/>
        </w:rPr>
        <w:t>应封场并采取污染防治措施和植被恢复措施。</w:t>
      </w:r>
      <w:r>
        <w:rPr>
          <w:rFonts w:hint="eastAsia"/>
          <w:sz w:val="24"/>
          <w:szCs w:val="24"/>
          <w:highlight w:val="none"/>
        </w:rPr>
        <w:t>主要污染防治措施及生态恢复措施如下：</w:t>
      </w:r>
    </w:p>
    <w:p w14:paraId="41CA6695">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rPr>
      </w:pPr>
      <w:r>
        <w:rPr>
          <w:rFonts w:hint="eastAsia" w:ascii="Times New Roman" w:hAnsi="Times New Roman" w:eastAsia="宋体" w:cs="Times New Roman"/>
          <w:b/>
          <w:sz w:val="24"/>
          <w:szCs w:val="24"/>
          <w:highlight w:val="none"/>
          <w:lang w:val="en-US" w:eastAsia="zh-CN"/>
        </w:rPr>
        <w:t>6.5.2.1</w:t>
      </w:r>
      <w:r>
        <w:rPr>
          <w:rFonts w:hint="default" w:ascii="Times New Roman" w:hAnsi="Times New Roman" w:eastAsia="宋体" w:cs="Times New Roman"/>
          <w:b/>
          <w:sz w:val="24"/>
          <w:szCs w:val="24"/>
          <w:highlight w:val="none"/>
        </w:rPr>
        <w:t>污染防治措施</w:t>
      </w:r>
    </w:p>
    <w:p w14:paraId="2661A15E">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封场期污染防治措施主要包括：</w:t>
      </w:r>
    </w:p>
    <w:p w14:paraId="316809A1">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（1）地下水监测</w:t>
      </w:r>
    </w:p>
    <w:p w14:paraId="18606A13">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封场后，将继续按要求对</w:t>
      </w:r>
      <w:r>
        <w:rPr>
          <w:rFonts w:hint="eastAsia"/>
          <w:sz w:val="24"/>
          <w:szCs w:val="24"/>
          <w:highlight w:val="none"/>
        </w:rPr>
        <w:t>堆存作业区</w:t>
      </w:r>
      <w:r>
        <w:rPr>
          <w:sz w:val="24"/>
          <w:szCs w:val="24"/>
          <w:highlight w:val="none"/>
        </w:rPr>
        <w:t>地下水监测井的地下水进行监测。</w:t>
      </w:r>
    </w:p>
    <w:p w14:paraId="3D0B91C0">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（2）淋溶水处理</w:t>
      </w:r>
    </w:p>
    <w:p w14:paraId="0F93B574">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封场后将继续对</w:t>
      </w:r>
      <w:r>
        <w:rPr>
          <w:rFonts w:hint="eastAsia"/>
          <w:sz w:val="24"/>
          <w:szCs w:val="24"/>
          <w:highlight w:val="none"/>
        </w:rPr>
        <w:t>本</w:t>
      </w:r>
      <w:r>
        <w:rPr>
          <w:sz w:val="24"/>
          <w:szCs w:val="24"/>
          <w:highlight w:val="none"/>
        </w:rPr>
        <w:t>项目产生的淋溶水进行收集，直到不再产生淋溶水为止。本次环评要求封场后产生的淋溶水经收集后</w:t>
      </w:r>
      <w:r>
        <w:rPr>
          <w:rFonts w:hint="eastAsia"/>
          <w:sz w:val="24"/>
          <w:szCs w:val="28"/>
          <w:highlight w:val="none"/>
        </w:rPr>
        <w:t>用于场地内</w:t>
      </w:r>
      <w:r>
        <w:rPr>
          <w:rFonts w:hint="eastAsia"/>
          <w:spacing w:val="-2"/>
          <w:sz w:val="24"/>
          <w:szCs w:val="24"/>
          <w:highlight w:val="none"/>
        </w:rPr>
        <w:t>绿化及降尘</w:t>
      </w:r>
      <w:r>
        <w:rPr>
          <w:rFonts w:hint="eastAsia"/>
          <w:sz w:val="24"/>
          <w:szCs w:val="28"/>
          <w:highlight w:val="none"/>
        </w:rPr>
        <w:t>不外排</w:t>
      </w:r>
      <w:r>
        <w:rPr>
          <w:sz w:val="24"/>
          <w:szCs w:val="24"/>
          <w:highlight w:val="none"/>
        </w:rPr>
        <w:t>。</w:t>
      </w:r>
    </w:p>
    <w:p w14:paraId="7BECCA17">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（3）地面沉降监测</w:t>
      </w:r>
    </w:p>
    <w:p w14:paraId="6848954A">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封场后，每年监测一次地面沉降以检测</w:t>
      </w:r>
      <w:r>
        <w:rPr>
          <w:rFonts w:hint="eastAsia"/>
          <w:sz w:val="24"/>
          <w:szCs w:val="24"/>
          <w:highlight w:val="none"/>
        </w:rPr>
        <w:t>堆存区域</w:t>
      </w:r>
      <w:r>
        <w:rPr>
          <w:sz w:val="24"/>
          <w:szCs w:val="24"/>
          <w:highlight w:val="none"/>
        </w:rPr>
        <w:t>的地面沉降程度。</w:t>
      </w:r>
    </w:p>
    <w:p w14:paraId="71343C6A">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（4）场地维护</w:t>
      </w:r>
    </w:p>
    <w:p w14:paraId="7E23CBE7">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场地维护包括临时道路、表面排水沟及封场绿化等基础设施的维护。</w:t>
      </w:r>
    </w:p>
    <w:p w14:paraId="11B4C136">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①封场后，仍需继续维护管理，直到稳定为止。以防止覆土层下沉、开裂，致使淋溶水量增加，防止堆体失稳而造成滑坡等事故。</w:t>
      </w:r>
    </w:p>
    <w:p w14:paraId="62E1BC5F">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②封场后，应设置标</w:t>
      </w:r>
      <w:r>
        <w:rPr>
          <w:spacing w:val="-71"/>
          <w:sz w:val="24"/>
          <w:szCs w:val="24"/>
          <w:highlight w:val="none"/>
        </w:rPr>
        <w:t xml:space="preserve"> </w:t>
      </w:r>
      <w:r>
        <w:rPr>
          <w:sz w:val="24"/>
          <w:szCs w:val="24"/>
          <w:highlight w:val="none"/>
        </w:rPr>
        <w:t>志物，注明关闭或封场时间以及使用该土地时应注意的事项。</w:t>
      </w:r>
    </w:p>
    <w:p w14:paraId="526E431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en-US" w:eastAsia="zh-CN"/>
        </w:rPr>
      </w:pPr>
      <w:r>
        <w:rPr>
          <w:rFonts w:hint="eastAsia" w:cs="Times New Roman"/>
          <w:b/>
          <w:sz w:val="24"/>
          <w:szCs w:val="24"/>
          <w:highlight w:val="none"/>
          <w:lang w:val="en-US" w:eastAsia="zh-CN"/>
        </w:rPr>
        <w:t>6.5.2.2</w:t>
      </w:r>
      <w:r>
        <w:rPr>
          <w:rFonts w:hint="eastAsia" w:ascii="Times New Roman" w:hAnsi="Times New Roman" w:eastAsia="宋体" w:cs="Times New Roman"/>
          <w:b/>
          <w:sz w:val="24"/>
          <w:szCs w:val="24"/>
          <w:highlight w:val="none"/>
          <w:lang w:val="en-US" w:eastAsia="zh-CN"/>
        </w:rPr>
        <w:t>生态恢复措施</w:t>
      </w:r>
    </w:p>
    <w:p w14:paraId="1BCEF424">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封场期生态恢复主要内容为土壤恢复和植被恢复，具体工作主要包括表面覆土、植被重建生态恢复工作。相关要求如下：</w:t>
      </w:r>
    </w:p>
    <w:p w14:paraId="18CA07C2">
      <w:pPr>
        <w:pStyle w:val="23"/>
        <w:keepNext w:val="0"/>
        <w:keepLines w:val="0"/>
        <w:pageBreakBefore w:val="0"/>
        <w:widowControl w:val="0"/>
        <w:wordWrap/>
        <w:topLinePunct w:val="0"/>
        <w:autoSpaceDE/>
        <w:autoSpaceDN/>
        <w:bidi w:val="0"/>
        <w:spacing w:after="0" w:line="360" w:lineRule="auto"/>
        <w:ind w:firstLine="480" w:firstLineChars="200"/>
        <w:textAlignment w:val="auto"/>
        <w:rPr>
          <w:sz w:val="24"/>
          <w:szCs w:val="24"/>
          <w:highlight w:val="none"/>
        </w:rPr>
      </w:pPr>
      <w:r>
        <w:rPr>
          <w:sz w:val="24"/>
          <w:szCs w:val="24"/>
          <w:highlight w:val="none"/>
        </w:rPr>
        <w:t>（1）表面覆土</w:t>
      </w:r>
    </w:p>
    <w:p w14:paraId="0E106810">
      <w:pPr>
        <w:keepNext w:val="0"/>
        <w:keepLines w:val="0"/>
        <w:pageBreakBefore w:val="0"/>
        <w:widowControl w:val="0"/>
        <w:wordWrap/>
        <w:topLinePunct w:val="0"/>
        <w:autoSpaceDE/>
        <w:autoSpaceDN/>
        <w:bidi w:val="0"/>
        <w:spacing w:line="360" w:lineRule="auto"/>
        <w:ind w:firstLine="480" w:firstLineChars="200"/>
        <w:textAlignment w:val="auto"/>
        <w:rPr>
          <w:rFonts w:hint="eastAsia" w:cs="宋体"/>
          <w:spacing w:val="-2"/>
          <w:sz w:val="24"/>
          <w:szCs w:val="32"/>
          <w:highlight w:val="none"/>
        </w:rPr>
      </w:pPr>
      <w:r>
        <w:rPr>
          <w:sz w:val="24"/>
          <w:szCs w:val="24"/>
          <w:highlight w:val="none"/>
        </w:rPr>
        <w:t>在项目</w:t>
      </w:r>
      <w:r>
        <w:rPr>
          <w:rFonts w:hint="eastAsia"/>
          <w:sz w:val="24"/>
          <w:szCs w:val="24"/>
          <w:highlight w:val="none"/>
        </w:rPr>
        <w:t>堆存区</w:t>
      </w:r>
      <w:r>
        <w:rPr>
          <w:sz w:val="24"/>
          <w:szCs w:val="24"/>
          <w:highlight w:val="none"/>
        </w:rPr>
        <w:t>完成局部或全部的堆填厚度要求后，对废渣堆体临空面用土进行覆盖封场。</w:t>
      </w:r>
      <w:r>
        <w:rPr>
          <w:rFonts w:hint="eastAsia" w:cs="宋体"/>
          <w:spacing w:val="-2"/>
          <w:sz w:val="24"/>
          <w:szCs w:val="32"/>
          <w:highlight w:val="none"/>
        </w:rPr>
        <w:t>封场时堆存固化体表面覆土，覆盖0.7m厚天然土壤，以利于植物生长。覆土土壤pH值范围，一般为5.5</w:t>
      </w:r>
      <w:r>
        <w:rPr>
          <w:rFonts w:hint="eastAsia" w:cs="宋体"/>
          <w:spacing w:val="-2"/>
          <w:sz w:val="24"/>
          <w:szCs w:val="32"/>
          <w:highlight w:val="none"/>
          <w:lang w:val="en-US" w:eastAsia="zh-CN"/>
        </w:rPr>
        <w:t>-</w:t>
      </w:r>
      <w:r>
        <w:rPr>
          <w:rFonts w:hint="eastAsia" w:cs="宋体"/>
          <w:spacing w:val="-2"/>
          <w:sz w:val="24"/>
          <w:szCs w:val="32"/>
          <w:highlight w:val="none"/>
        </w:rPr>
        <w:t>8.5，含盐量不大于0.3%。</w:t>
      </w:r>
    </w:p>
    <w:p w14:paraId="01396D1B">
      <w:pPr>
        <w:keepNext w:val="0"/>
        <w:keepLines w:val="0"/>
        <w:pageBreakBefore w:val="0"/>
        <w:widowControl w:val="0"/>
        <w:wordWrap/>
        <w:topLinePunct w:val="0"/>
        <w:autoSpaceDE/>
        <w:autoSpaceDN/>
        <w:bidi w:val="0"/>
        <w:spacing w:line="360" w:lineRule="auto"/>
        <w:ind w:firstLine="480" w:firstLineChars="200"/>
        <w:textAlignment w:val="auto"/>
        <w:rPr>
          <w:sz w:val="24"/>
          <w:szCs w:val="24"/>
          <w:highlight w:val="none"/>
        </w:rPr>
      </w:pPr>
      <w:r>
        <w:rPr>
          <w:sz w:val="24"/>
          <w:szCs w:val="24"/>
          <w:highlight w:val="none"/>
        </w:rPr>
        <w:t>（2）植被结构选择根据项目区周边实际情况，</w:t>
      </w:r>
      <w:r>
        <w:rPr>
          <w:rFonts w:ascii="宋体" w:hAnsi="宋体" w:cs="宋体"/>
          <w:color w:val="000000"/>
          <w:sz w:val="24"/>
          <w:szCs w:val="32"/>
          <w:highlight w:val="none"/>
        </w:rPr>
        <w:t>树种选择结合当地生物群落多样性及景观要求，固废处置场采用“乔木</w:t>
      </w:r>
      <w:r>
        <w:rPr>
          <w:rFonts w:ascii="TimesNewRomanPSMT" w:hAnsi="TimesNewRomanPSMT" w:eastAsia="TimesNewRomanPSMT" w:cs="TimesNewRomanPSMT"/>
          <w:color w:val="000000"/>
          <w:sz w:val="24"/>
          <w:szCs w:val="32"/>
          <w:highlight w:val="none"/>
        </w:rPr>
        <w:t>+</w:t>
      </w:r>
      <w:r>
        <w:rPr>
          <w:rFonts w:ascii="宋体" w:hAnsi="宋体" w:cs="宋体"/>
          <w:color w:val="000000"/>
          <w:sz w:val="24"/>
          <w:szCs w:val="32"/>
          <w:highlight w:val="none"/>
        </w:rPr>
        <w:t>灌木</w:t>
      </w:r>
      <w:r>
        <w:rPr>
          <w:rFonts w:ascii="TimesNewRomanPSMT" w:hAnsi="TimesNewRomanPSMT" w:eastAsia="TimesNewRomanPSMT" w:cs="TimesNewRomanPSMT"/>
          <w:color w:val="000000"/>
          <w:sz w:val="24"/>
          <w:szCs w:val="32"/>
          <w:highlight w:val="none"/>
        </w:rPr>
        <w:t>+</w:t>
      </w:r>
      <w:r>
        <w:rPr>
          <w:rFonts w:hint="eastAsia" w:ascii="宋体" w:hAnsi="宋体" w:eastAsia="宋体" w:cs="宋体"/>
          <w:color w:val="000000"/>
          <w:sz w:val="24"/>
          <w:szCs w:val="32"/>
          <w:highlight w:val="none"/>
          <w:lang w:val="en-US" w:eastAsia="zh-CN"/>
        </w:rPr>
        <w:t>草本</w:t>
      </w:r>
      <w:r>
        <w:rPr>
          <w:rFonts w:ascii="宋体" w:hAnsi="宋体" w:cs="宋体"/>
          <w:color w:val="000000"/>
          <w:sz w:val="24"/>
          <w:szCs w:val="32"/>
          <w:highlight w:val="none"/>
        </w:rPr>
        <w:t>”混种</w:t>
      </w:r>
      <w:r>
        <w:rPr>
          <w:sz w:val="24"/>
          <w:szCs w:val="24"/>
          <w:highlight w:val="none"/>
        </w:rPr>
        <w:t>，</w:t>
      </w:r>
      <w:r>
        <w:rPr>
          <w:rFonts w:hint="eastAsia"/>
          <w:sz w:val="24"/>
          <w:szCs w:val="24"/>
          <w:highlight w:val="none"/>
          <w:lang w:val="en-US" w:eastAsia="zh-CN"/>
        </w:rPr>
        <w:t>乔木宜选择</w:t>
      </w:r>
      <w:r>
        <w:rPr>
          <w:rFonts w:hint="eastAsia" w:cs="Times New Roman"/>
          <w:b w:val="0"/>
          <w:bCs w:val="0"/>
          <w:color w:val="auto"/>
          <w:sz w:val="24"/>
          <w:szCs w:val="24"/>
          <w:highlight w:val="none"/>
          <w:lang w:val="en-US" w:eastAsia="zh-CN"/>
        </w:rPr>
        <w:t>枣树、杏树、梨树、山楂树等经济树种，灌木可选择棉槐、沙棘等，地被植物可选择万寿菊等</w:t>
      </w:r>
      <w:r>
        <w:rPr>
          <w:rFonts w:hint="eastAsia"/>
          <w:sz w:val="24"/>
          <w:szCs w:val="24"/>
          <w:highlight w:val="none"/>
          <w:lang w:eastAsia="zh-CN"/>
        </w:rPr>
        <w:t>。</w:t>
      </w:r>
      <w:r>
        <w:rPr>
          <w:sz w:val="24"/>
          <w:szCs w:val="24"/>
          <w:highlight w:val="none"/>
        </w:rPr>
        <w:t>在严格落实生态恢复计划的前提下，矿区植被能够恢复到矿区开发之前的水平。</w:t>
      </w:r>
      <w:bookmarkStart w:id="366" w:name="6.4环保投资一览表"/>
      <w:bookmarkEnd w:id="366"/>
      <w:bookmarkStart w:id="367" w:name="bookmark31"/>
      <w:bookmarkEnd w:id="367"/>
    </w:p>
    <w:p w14:paraId="4EACC9E4">
      <w:pPr>
        <w:keepNext w:val="0"/>
        <w:keepLines w:val="0"/>
        <w:pageBreakBefore w:val="0"/>
        <w:widowControl w:val="0"/>
        <w:wordWrap/>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sz w:val="24"/>
          <w:szCs w:val="24"/>
          <w:highlight w:val="none"/>
        </w:rPr>
        <w:t>封场期生态恢复措施预计投资</w:t>
      </w:r>
      <w:r>
        <w:rPr>
          <w:rFonts w:hint="eastAsia"/>
          <w:sz w:val="24"/>
          <w:szCs w:val="24"/>
          <w:highlight w:val="none"/>
          <w:lang w:val="en-US" w:eastAsia="zh-CN"/>
        </w:rPr>
        <w:t>130</w:t>
      </w:r>
      <w:r>
        <w:rPr>
          <w:rFonts w:hint="eastAsia"/>
          <w:sz w:val="24"/>
          <w:szCs w:val="24"/>
          <w:highlight w:val="none"/>
        </w:rPr>
        <w:t>万元，</w:t>
      </w:r>
      <w:r>
        <w:rPr>
          <w:sz w:val="24"/>
          <w:szCs w:val="24"/>
          <w:highlight w:val="none"/>
        </w:rPr>
        <w:t>资金来源为本项目投资，上述措施经济合理</w:t>
      </w:r>
      <w:r>
        <w:rPr>
          <w:rFonts w:hint="default" w:ascii="Times New Roman" w:hAnsi="Times New Roman" w:cs="Times New Roman"/>
          <w:color w:val="000000"/>
          <w:sz w:val="24"/>
          <w:highlight w:val="none"/>
        </w:rPr>
        <w:t>。</w:t>
      </w:r>
    </w:p>
    <w:p w14:paraId="26D91E03">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bookmarkStart w:id="368" w:name="_Toc3578"/>
      <w:bookmarkStart w:id="369" w:name="_Toc14195"/>
      <w:bookmarkStart w:id="370" w:name="_Toc6965"/>
      <w:bookmarkStart w:id="371" w:name="_Toc19447"/>
      <w:bookmarkStart w:id="372" w:name="_Toc21304"/>
      <w:r>
        <w:rPr>
          <w:rFonts w:hint="default" w:ascii="Times New Roman" w:hAnsi="Times New Roman" w:eastAsia="宋体" w:cs="Times New Roman"/>
          <w:b/>
          <w:color w:val="000000"/>
          <w:sz w:val="28"/>
          <w:szCs w:val="28"/>
          <w:highlight w:val="none"/>
        </w:rPr>
        <w:t>污染防治措施环保投入及其可行性论证</w:t>
      </w:r>
      <w:bookmarkEnd w:id="368"/>
      <w:bookmarkEnd w:id="369"/>
      <w:bookmarkEnd w:id="370"/>
      <w:bookmarkEnd w:id="371"/>
      <w:bookmarkEnd w:id="372"/>
    </w:p>
    <w:p w14:paraId="63694B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本项目生产运行阶段各项污染防治措施环保投入见下表</w:t>
      </w:r>
      <w:r>
        <w:rPr>
          <w:rFonts w:hint="eastAsia" w:cs="Times New Roman"/>
          <w:color w:val="000000"/>
          <w:kern w:val="0"/>
          <w:sz w:val="24"/>
          <w:highlight w:val="none"/>
          <w:lang w:val="zh-CN"/>
        </w:rPr>
        <w:t>。</w:t>
      </w:r>
    </w:p>
    <w:p w14:paraId="6182DA1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p>
    <w:p w14:paraId="32D3C89E">
      <w:pPr>
        <w:jc w:val="center"/>
        <w:rPr>
          <w:rStyle w:val="66"/>
          <w:rFonts w:hint="default" w:ascii="Times New Roman" w:hAnsi="Times New Roman" w:cs="Times New Roman"/>
          <w:color w:val="000000"/>
          <w:highlight w:val="none"/>
        </w:rPr>
      </w:pPr>
      <w:r>
        <w:rPr>
          <w:rStyle w:val="66"/>
          <w:rFonts w:hint="default" w:ascii="Times New Roman" w:hAnsi="Times New Roman" w:cs="Times New Roman"/>
          <w:color w:val="000000"/>
          <w:highlight w:val="none"/>
        </w:rPr>
        <w:t>表</w:t>
      </w:r>
      <w:r>
        <w:rPr>
          <w:rStyle w:val="66"/>
          <w:rFonts w:hint="eastAsia" w:ascii="Times New Roman" w:hAnsi="Times New Roman" w:cs="Times New Roman"/>
          <w:color w:val="000000"/>
          <w:highlight w:val="none"/>
          <w:lang w:val="en-US" w:eastAsia="zh-CN"/>
        </w:rPr>
        <w:t>6-1</w:t>
      </w:r>
      <w:r>
        <w:rPr>
          <w:rStyle w:val="66"/>
          <w:rFonts w:hint="default" w:ascii="Times New Roman" w:hAnsi="Times New Roman" w:cs="Times New Roman"/>
          <w:color w:val="000000"/>
          <w:highlight w:val="none"/>
        </w:rPr>
        <w:t xml:space="preserve">  本项目环保措施及投资估算一览表</w:t>
      </w:r>
    </w:p>
    <w:tbl>
      <w:tblPr>
        <w:tblStyle w:val="58"/>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758"/>
        <w:gridCol w:w="1187"/>
        <w:gridCol w:w="1745"/>
        <w:gridCol w:w="3716"/>
        <w:gridCol w:w="1119"/>
      </w:tblGrid>
      <w:tr w14:paraId="557D40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tcBorders>
              <w:tl2br w:val="nil"/>
              <w:tr2bl w:val="nil"/>
            </w:tcBorders>
            <w:noWrap w:val="0"/>
            <w:vAlign w:val="center"/>
          </w:tcPr>
          <w:p w14:paraId="054AF866">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类型</w:t>
            </w:r>
          </w:p>
        </w:tc>
        <w:tc>
          <w:tcPr>
            <w:tcW w:w="696" w:type="pct"/>
            <w:tcBorders>
              <w:tl2br w:val="nil"/>
              <w:tr2bl w:val="nil"/>
            </w:tcBorders>
            <w:noWrap w:val="0"/>
            <w:vAlign w:val="center"/>
          </w:tcPr>
          <w:p w14:paraId="731F553D">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排放源</w:t>
            </w:r>
          </w:p>
        </w:tc>
        <w:tc>
          <w:tcPr>
            <w:tcW w:w="1023" w:type="pct"/>
            <w:tcBorders>
              <w:tl2br w:val="nil"/>
              <w:tr2bl w:val="nil"/>
            </w:tcBorders>
            <w:noWrap w:val="0"/>
            <w:vAlign w:val="center"/>
          </w:tcPr>
          <w:p w14:paraId="300338F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污染物</w:t>
            </w:r>
          </w:p>
        </w:tc>
        <w:tc>
          <w:tcPr>
            <w:tcW w:w="2178" w:type="pct"/>
            <w:tcBorders>
              <w:tl2br w:val="nil"/>
              <w:tr2bl w:val="nil"/>
            </w:tcBorders>
            <w:noWrap w:val="0"/>
            <w:vAlign w:val="center"/>
          </w:tcPr>
          <w:p w14:paraId="27FD708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治理措施</w:t>
            </w:r>
          </w:p>
        </w:tc>
        <w:tc>
          <w:tcPr>
            <w:tcW w:w="656" w:type="pct"/>
            <w:tcBorders>
              <w:tl2br w:val="nil"/>
              <w:tr2bl w:val="nil"/>
            </w:tcBorders>
            <w:noWrap w:val="0"/>
            <w:vAlign w:val="center"/>
          </w:tcPr>
          <w:p w14:paraId="023DA26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环保投入（万元）</w:t>
            </w:r>
          </w:p>
        </w:tc>
      </w:tr>
      <w:tr w14:paraId="318180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97" w:hRule="atLeast"/>
          <w:jc w:val="center"/>
        </w:trPr>
        <w:tc>
          <w:tcPr>
            <w:tcW w:w="445" w:type="pct"/>
            <w:vMerge w:val="restart"/>
            <w:tcBorders>
              <w:tl2br w:val="nil"/>
              <w:tr2bl w:val="nil"/>
            </w:tcBorders>
            <w:noWrap w:val="0"/>
            <w:vAlign w:val="center"/>
          </w:tcPr>
          <w:p w14:paraId="4E3D0631">
            <w:pPr>
              <w:keepNext w:val="0"/>
              <w:keepLines w:val="0"/>
              <w:pageBreakBefore w:val="0"/>
              <w:kinsoku/>
              <w:wordWrap/>
              <w:overflowPunct/>
              <w:topLinePunct w:val="0"/>
              <w:autoSpaceDE/>
              <w:autoSpaceDN/>
              <w:bidi w:val="0"/>
              <w:adjustRightInd/>
              <w:snapToGrid/>
              <w:spacing w:line="240" w:lineRule="atLeast"/>
              <w:ind w:firstLine="0"/>
              <w:jc w:val="center"/>
              <w:textAlignment w:val="auto"/>
              <w:rPr>
                <w:rFonts w:hint="eastAsia" w:ascii="Times New Roman" w:hAnsi="Times New Roman" w:eastAsia="宋体" w:cs="Times New Roman"/>
                <w:b/>
                <w:bCs/>
                <w:color w:val="auto"/>
                <w:kern w:val="0"/>
                <w:sz w:val="21"/>
                <w:szCs w:val="21"/>
                <w:highlight w:val="none"/>
                <w:lang w:eastAsia="zh-CN"/>
              </w:rPr>
            </w:pPr>
            <w:r>
              <w:rPr>
                <w:rFonts w:hint="eastAsia" w:cs="Times New Roman"/>
                <w:b/>
                <w:bCs/>
                <w:color w:val="auto"/>
                <w:kern w:val="0"/>
                <w:sz w:val="21"/>
                <w:szCs w:val="21"/>
                <w:highlight w:val="none"/>
                <w:lang w:eastAsia="zh-CN"/>
              </w:rPr>
              <w:t>废气</w:t>
            </w:r>
          </w:p>
        </w:tc>
        <w:tc>
          <w:tcPr>
            <w:tcW w:w="696" w:type="pct"/>
            <w:tcBorders>
              <w:tl2br w:val="nil"/>
              <w:tr2bl w:val="nil"/>
            </w:tcBorders>
            <w:noWrap w:val="0"/>
            <w:vAlign w:val="center"/>
          </w:tcPr>
          <w:p w14:paraId="6E05750F">
            <w:pPr>
              <w:pStyle w:val="174"/>
              <w:adjustRightInd w:val="0"/>
              <w:snapToGrid w:val="0"/>
              <w:rPr>
                <w:rFonts w:hint="eastAsia" w:ascii="Times New Roman" w:hAnsi="Times New Roman" w:eastAsia="宋体" w:cs="Times New Roman"/>
                <w:color w:val="auto"/>
                <w:szCs w:val="21"/>
                <w:highlight w:val="none"/>
                <w:lang w:eastAsia="zh-CN"/>
              </w:rPr>
            </w:pPr>
            <w:r>
              <w:rPr>
                <w:color w:val="auto"/>
                <w:szCs w:val="21"/>
                <w:highlight w:val="none"/>
              </w:rPr>
              <w:t>废石运输</w:t>
            </w:r>
          </w:p>
        </w:tc>
        <w:tc>
          <w:tcPr>
            <w:tcW w:w="1023" w:type="pct"/>
            <w:tcBorders>
              <w:tl2br w:val="nil"/>
              <w:tr2bl w:val="nil"/>
            </w:tcBorders>
            <w:noWrap w:val="0"/>
            <w:vAlign w:val="center"/>
          </w:tcPr>
          <w:p w14:paraId="779B6154">
            <w:pPr>
              <w:pStyle w:val="174"/>
              <w:adjustRightInd w:val="0"/>
              <w:snapToGrid w:val="0"/>
              <w:rPr>
                <w:rFonts w:hint="default" w:ascii="Times New Roman" w:hAnsi="Times New Roman" w:eastAsia="宋体" w:cs="Times New Roman"/>
                <w:color w:val="auto"/>
                <w:szCs w:val="21"/>
                <w:highlight w:val="none"/>
                <w:lang w:val="en-US" w:eastAsia="zh-CN"/>
              </w:rPr>
            </w:pPr>
            <w:r>
              <w:rPr>
                <w:rFonts w:hint="eastAsia"/>
                <w:color w:val="auto"/>
                <w:szCs w:val="21"/>
                <w:highlight w:val="none"/>
                <w:lang w:val="en-US" w:eastAsia="zh-CN"/>
              </w:rPr>
              <w:t>运输扬尘</w:t>
            </w:r>
          </w:p>
        </w:tc>
        <w:tc>
          <w:tcPr>
            <w:tcW w:w="2178" w:type="pct"/>
            <w:tcBorders>
              <w:tl2br w:val="nil"/>
              <w:tr2bl w:val="nil"/>
            </w:tcBorders>
            <w:noWrap w:val="0"/>
            <w:vAlign w:val="center"/>
          </w:tcPr>
          <w:p w14:paraId="418737BD">
            <w:pPr>
              <w:pStyle w:val="174"/>
              <w:adjustRightInd w:val="0"/>
              <w:snapToGrid w:val="0"/>
              <w:rPr>
                <w:rFonts w:hint="default" w:ascii="Times New Roman" w:hAnsi="Times New Roman" w:cs="Times New Roman"/>
                <w:snapToGrid w:val="0"/>
                <w:color w:val="auto"/>
                <w:kern w:val="0"/>
                <w:sz w:val="21"/>
                <w:szCs w:val="21"/>
                <w:highlight w:val="none"/>
              </w:rPr>
            </w:pPr>
            <w:r>
              <w:rPr>
                <w:color w:val="auto"/>
                <w:szCs w:val="21"/>
                <w:highlight w:val="none"/>
              </w:rPr>
              <w:t>运输车辆减速慢行，采用篷布遮盖</w:t>
            </w:r>
            <w:r>
              <w:rPr>
                <w:color w:val="auto"/>
                <w:highlight w:val="none"/>
              </w:rPr>
              <w:t>，</w:t>
            </w:r>
            <w:r>
              <w:rPr>
                <w:rFonts w:hint="eastAsia"/>
                <w:color w:val="auto"/>
                <w:highlight w:val="none"/>
                <w:lang w:val="en-US" w:eastAsia="zh-CN"/>
              </w:rPr>
              <w:t>道路硬化、</w:t>
            </w:r>
            <w:r>
              <w:rPr>
                <w:color w:val="auto"/>
                <w:highlight w:val="none"/>
              </w:rPr>
              <w:t>定期洒水降尘</w:t>
            </w:r>
            <w:r>
              <w:rPr>
                <w:rFonts w:hint="eastAsia"/>
                <w:color w:val="auto"/>
                <w:szCs w:val="21"/>
                <w:highlight w:val="none"/>
                <w:lang w:eastAsia="zh-CN"/>
              </w:rPr>
              <w:t>。</w:t>
            </w:r>
          </w:p>
        </w:tc>
        <w:tc>
          <w:tcPr>
            <w:tcW w:w="656" w:type="pct"/>
            <w:vMerge w:val="restart"/>
            <w:tcBorders>
              <w:tl2br w:val="nil"/>
              <w:tr2bl w:val="nil"/>
            </w:tcBorders>
            <w:noWrap w:val="0"/>
            <w:vAlign w:val="center"/>
          </w:tcPr>
          <w:p w14:paraId="5AD63F60">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r>
      <w:tr w14:paraId="6E477F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vMerge w:val="continue"/>
            <w:tcBorders>
              <w:tl2br w:val="nil"/>
              <w:tr2bl w:val="nil"/>
            </w:tcBorders>
            <w:noWrap w:val="0"/>
            <w:vAlign w:val="center"/>
          </w:tcPr>
          <w:p w14:paraId="27DF09A4">
            <w:pPr>
              <w:keepNext w:val="0"/>
              <w:keepLines w:val="0"/>
              <w:pageBreakBefore w:val="0"/>
              <w:kinsoku/>
              <w:wordWrap/>
              <w:overflowPunct/>
              <w:topLinePunct w:val="0"/>
              <w:autoSpaceDE/>
              <w:autoSpaceDN/>
              <w:bidi w:val="0"/>
              <w:adjustRightInd/>
              <w:snapToGrid/>
              <w:spacing w:line="240" w:lineRule="atLeast"/>
              <w:ind w:firstLine="0"/>
              <w:jc w:val="center"/>
              <w:textAlignment w:val="auto"/>
              <w:rPr>
                <w:rFonts w:hint="eastAsia" w:cs="Times New Roman"/>
                <w:b/>
                <w:bCs/>
                <w:color w:val="auto"/>
                <w:kern w:val="0"/>
                <w:sz w:val="21"/>
                <w:szCs w:val="21"/>
                <w:highlight w:val="none"/>
                <w:lang w:eastAsia="zh-CN"/>
              </w:rPr>
            </w:pPr>
          </w:p>
        </w:tc>
        <w:tc>
          <w:tcPr>
            <w:tcW w:w="696" w:type="pct"/>
            <w:tcBorders>
              <w:tl2br w:val="nil"/>
              <w:tr2bl w:val="nil"/>
            </w:tcBorders>
            <w:noWrap w:val="0"/>
            <w:vAlign w:val="center"/>
          </w:tcPr>
          <w:p w14:paraId="6DCF211B">
            <w:pPr>
              <w:pStyle w:val="174"/>
              <w:adjustRightInd w:val="0"/>
              <w:snapToGrid w:val="0"/>
              <w:rPr>
                <w:rFonts w:hint="default" w:ascii="Times New Roman" w:hAnsi="Times New Roman" w:eastAsia="宋体" w:cs="Times New Roman"/>
                <w:i w:val="0"/>
                <w:iCs w:val="0"/>
                <w:color w:val="000000"/>
                <w:kern w:val="0"/>
                <w:sz w:val="21"/>
                <w:szCs w:val="21"/>
                <w:highlight w:val="none"/>
                <w:u w:val="none"/>
                <w:lang w:val="en-US" w:eastAsia="zh-CN" w:bidi="ar"/>
              </w:rPr>
            </w:pPr>
            <w:r>
              <w:rPr>
                <w:color w:val="auto"/>
                <w:szCs w:val="21"/>
                <w:highlight w:val="none"/>
              </w:rPr>
              <w:t>排土作业</w:t>
            </w:r>
          </w:p>
        </w:tc>
        <w:tc>
          <w:tcPr>
            <w:tcW w:w="1023" w:type="pct"/>
            <w:tcBorders>
              <w:tl2br w:val="nil"/>
              <w:tr2bl w:val="nil"/>
            </w:tcBorders>
            <w:noWrap w:val="0"/>
            <w:vAlign w:val="center"/>
          </w:tcPr>
          <w:p w14:paraId="0A8EA9E4">
            <w:pPr>
              <w:pStyle w:val="174"/>
              <w:adjustRightInd w:val="0"/>
              <w:snapToGrid w:val="0"/>
              <w:rPr>
                <w:rFonts w:hint="eastAsia" w:ascii="Times New Roman" w:hAnsi="Times New Roman" w:eastAsia="宋体" w:cs="Times New Roman"/>
                <w:color w:val="auto"/>
                <w:highlight w:val="none"/>
                <w:lang w:val="en-US" w:eastAsia="zh-CN"/>
              </w:rPr>
            </w:pPr>
            <w:r>
              <w:rPr>
                <w:rFonts w:hint="eastAsia"/>
                <w:color w:val="auto"/>
                <w:szCs w:val="21"/>
                <w:highlight w:val="none"/>
              </w:rPr>
              <w:t>堆存扬尘</w:t>
            </w:r>
          </w:p>
        </w:tc>
        <w:tc>
          <w:tcPr>
            <w:tcW w:w="2178" w:type="pct"/>
            <w:tcBorders>
              <w:tl2br w:val="nil"/>
              <w:tr2bl w:val="nil"/>
            </w:tcBorders>
            <w:noWrap w:val="0"/>
            <w:vAlign w:val="center"/>
          </w:tcPr>
          <w:p w14:paraId="5953D206">
            <w:pPr>
              <w:pStyle w:val="174"/>
              <w:adjustRightInd w:val="0"/>
              <w:snapToGrid w:val="0"/>
              <w:rPr>
                <w:rFonts w:hint="default" w:ascii="Times New Roman" w:hAnsi="Times New Roman" w:cs="Times New Roman"/>
                <w:bCs/>
                <w:color w:val="000000"/>
                <w:highlight w:val="none"/>
              </w:rPr>
            </w:pPr>
            <w:r>
              <w:rPr>
                <w:color w:val="auto"/>
                <w:szCs w:val="21"/>
                <w:highlight w:val="none"/>
              </w:rPr>
              <w:t>在堆置废石过程中，对台阶尚未形成最终堆积面的区域及时进行压实、苫盖；倾卸土石时洒水抑尘</w:t>
            </w:r>
            <w:r>
              <w:rPr>
                <w:rFonts w:hint="eastAsia"/>
                <w:color w:val="auto"/>
                <w:szCs w:val="21"/>
                <w:highlight w:val="none"/>
                <w:lang w:eastAsia="zh-CN"/>
              </w:rPr>
              <w:t>。</w:t>
            </w:r>
          </w:p>
        </w:tc>
        <w:tc>
          <w:tcPr>
            <w:tcW w:w="656" w:type="pct"/>
            <w:vMerge w:val="continue"/>
            <w:tcBorders>
              <w:tl2br w:val="nil"/>
              <w:tr2bl w:val="nil"/>
            </w:tcBorders>
            <w:noWrap w:val="0"/>
            <w:vAlign w:val="center"/>
          </w:tcPr>
          <w:p w14:paraId="7FAA216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p>
        </w:tc>
      </w:tr>
      <w:tr w14:paraId="1465C9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vMerge w:val="continue"/>
            <w:tcBorders>
              <w:tl2br w:val="nil"/>
              <w:tr2bl w:val="nil"/>
            </w:tcBorders>
            <w:noWrap w:val="0"/>
            <w:vAlign w:val="center"/>
          </w:tcPr>
          <w:p w14:paraId="387C0229">
            <w:pPr>
              <w:keepNext w:val="0"/>
              <w:keepLines w:val="0"/>
              <w:pageBreakBefore w:val="0"/>
              <w:kinsoku/>
              <w:wordWrap/>
              <w:overflowPunct/>
              <w:topLinePunct w:val="0"/>
              <w:autoSpaceDE/>
              <w:autoSpaceDN/>
              <w:bidi w:val="0"/>
              <w:adjustRightInd/>
              <w:snapToGrid/>
              <w:spacing w:line="240" w:lineRule="atLeast"/>
              <w:ind w:firstLine="0"/>
              <w:jc w:val="center"/>
              <w:textAlignment w:val="auto"/>
              <w:rPr>
                <w:rFonts w:hint="eastAsia" w:cs="Times New Roman"/>
                <w:b/>
                <w:bCs/>
                <w:color w:val="auto"/>
                <w:kern w:val="0"/>
                <w:sz w:val="21"/>
                <w:szCs w:val="21"/>
                <w:highlight w:val="none"/>
                <w:lang w:eastAsia="zh-CN"/>
              </w:rPr>
            </w:pPr>
          </w:p>
        </w:tc>
        <w:tc>
          <w:tcPr>
            <w:tcW w:w="696" w:type="pct"/>
            <w:tcBorders>
              <w:tl2br w:val="nil"/>
              <w:tr2bl w:val="nil"/>
            </w:tcBorders>
            <w:noWrap w:val="0"/>
            <w:vAlign w:val="center"/>
          </w:tcPr>
          <w:p w14:paraId="6B496D71">
            <w:pPr>
              <w:pStyle w:val="161"/>
              <w:spacing w:line="260" w:lineRule="exact"/>
              <w:rPr>
                <w:rFonts w:hint="default" w:ascii="Times New Roman" w:hAnsi="Times New Roman" w:eastAsia="宋体" w:cs="Times New Roman"/>
                <w:color w:val="auto"/>
                <w:kern w:val="2"/>
                <w:sz w:val="21"/>
                <w:szCs w:val="21"/>
                <w:highlight w:val="none"/>
                <w:lang w:val="en-US" w:eastAsia="zh-CN" w:bidi="ar-SA"/>
              </w:rPr>
            </w:pPr>
            <w:r>
              <w:rPr>
                <w:rFonts w:ascii="Times New Roman"/>
                <w:b w:val="0"/>
                <w:bCs/>
                <w:color w:val="auto"/>
                <w:highlight w:val="none"/>
                <w:lang w:val="en-US" w:eastAsia="zh-CN"/>
              </w:rPr>
              <w:t>封场覆土</w:t>
            </w:r>
          </w:p>
        </w:tc>
        <w:tc>
          <w:tcPr>
            <w:tcW w:w="1023" w:type="pct"/>
            <w:tcBorders>
              <w:tl2br w:val="nil"/>
              <w:tr2bl w:val="nil"/>
            </w:tcBorders>
            <w:noWrap w:val="0"/>
            <w:vAlign w:val="center"/>
          </w:tcPr>
          <w:p w14:paraId="7D20D41A">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封场覆土扬尘</w:t>
            </w:r>
          </w:p>
        </w:tc>
        <w:tc>
          <w:tcPr>
            <w:tcW w:w="2178" w:type="pct"/>
            <w:tcBorders>
              <w:tl2br w:val="nil"/>
              <w:tr2bl w:val="nil"/>
            </w:tcBorders>
            <w:noWrap w:val="0"/>
            <w:vAlign w:val="center"/>
          </w:tcPr>
          <w:p w14:paraId="6D1E8A23">
            <w:pPr>
              <w:pStyle w:val="174"/>
              <w:adjustRightInd w:val="0"/>
              <w:snapToGrid w:val="0"/>
              <w:rPr>
                <w:rFonts w:hint="default" w:ascii="Times New Roman" w:hAnsi="Times New Roman" w:cs="Times New Roman"/>
                <w:snapToGrid w:val="0"/>
                <w:color w:val="auto"/>
                <w:kern w:val="0"/>
                <w:sz w:val="21"/>
                <w:szCs w:val="21"/>
                <w:highlight w:val="none"/>
                <w:lang w:val="en-US" w:eastAsia="zh-CN"/>
              </w:rPr>
            </w:pPr>
            <w:r>
              <w:rPr>
                <w:color w:val="auto"/>
                <w:highlight w:val="none"/>
              </w:rPr>
              <w:t>配备洒水车辆降尘</w:t>
            </w:r>
            <w:r>
              <w:rPr>
                <w:rFonts w:hint="eastAsia"/>
                <w:color w:val="auto"/>
                <w:highlight w:val="none"/>
                <w:lang w:eastAsia="zh-CN"/>
              </w:rPr>
              <w:t>。</w:t>
            </w:r>
          </w:p>
        </w:tc>
        <w:tc>
          <w:tcPr>
            <w:tcW w:w="656" w:type="pct"/>
            <w:vMerge w:val="continue"/>
            <w:tcBorders>
              <w:tl2br w:val="nil"/>
              <w:tr2bl w:val="nil"/>
            </w:tcBorders>
            <w:noWrap w:val="0"/>
            <w:vAlign w:val="center"/>
          </w:tcPr>
          <w:p w14:paraId="794D8991">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p>
        </w:tc>
      </w:tr>
      <w:tr w14:paraId="3B6D2E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tcBorders>
              <w:tl2br w:val="nil"/>
              <w:tr2bl w:val="nil"/>
            </w:tcBorders>
            <w:noWrap w:val="0"/>
            <w:vAlign w:val="center"/>
          </w:tcPr>
          <w:p w14:paraId="58D66E29">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废水</w:t>
            </w:r>
          </w:p>
        </w:tc>
        <w:tc>
          <w:tcPr>
            <w:tcW w:w="696" w:type="pct"/>
            <w:tcBorders>
              <w:tl2br w:val="nil"/>
              <w:tr2bl w:val="nil"/>
            </w:tcBorders>
            <w:noWrap w:val="0"/>
            <w:vAlign w:val="center"/>
          </w:tcPr>
          <w:p w14:paraId="2BEC0A0E">
            <w:pPr>
              <w:pStyle w:val="174"/>
              <w:adjustRightInd w:val="0"/>
              <w:snapToGrid w:val="0"/>
              <w:rPr>
                <w:rFonts w:hint="eastAsia" w:ascii="Times New Roman" w:hAnsi="Times New Roman" w:eastAsia="宋体" w:cs="Times New Roman"/>
                <w:snapToGrid w:val="0"/>
                <w:color w:val="auto"/>
                <w:kern w:val="0"/>
                <w:sz w:val="21"/>
                <w:szCs w:val="21"/>
                <w:highlight w:val="none"/>
                <w:lang w:val="en-US" w:eastAsia="zh-CN" w:bidi="ar-SA"/>
              </w:rPr>
            </w:pPr>
            <w:r>
              <w:rPr>
                <w:color w:val="auto"/>
                <w:szCs w:val="21"/>
                <w:highlight w:val="none"/>
              </w:rPr>
              <w:t>排土场</w:t>
            </w:r>
          </w:p>
        </w:tc>
        <w:tc>
          <w:tcPr>
            <w:tcW w:w="1023" w:type="pct"/>
            <w:tcBorders>
              <w:tl2br w:val="nil"/>
              <w:tr2bl w:val="nil"/>
            </w:tcBorders>
            <w:noWrap w:val="0"/>
            <w:vAlign w:val="center"/>
          </w:tcPr>
          <w:p w14:paraId="7C88793D">
            <w:pPr>
              <w:pStyle w:val="174"/>
              <w:adjustRightInd w:val="0"/>
              <w:snapToGrid w:val="0"/>
              <w:rPr>
                <w:rFonts w:hint="default" w:ascii="Times New Roman" w:hAnsi="Times New Roman" w:cs="Times New Roman"/>
                <w:snapToGrid w:val="0"/>
                <w:color w:val="auto"/>
                <w:kern w:val="0"/>
                <w:sz w:val="21"/>
                <w:szCs w:val="21"/>
                <w:highlight w:val="none"/>
              </w:rPr>
            </w:pPr>
            <w:r>
              <w:rPr>
                <w:color w:val="auto"/>
                <w:highlight w:val="none"/>
              </w:rPr>
              <w:t>淋滤废水</w:t>
            </w:r>
          </w:p>
        </w:tc>
        <w:tc>
          <w:tcPr>
            <w:tcW w:w="2178" w:type="pct"/>
            <w:tcBorders>
              <w:tl2br w:val="nil"/>
              <w:tr2bl w:val="nil"/>
            </w:tcBorders>
            <w:noWrap w:val="0"/>
            <w:vAlign w:val="center"/>
          </w:tcPr>
          <w:p w14:paraId="7D32FD79">
            <w:pPr>
              <w:pStyle w:val="161"/>
              <w:keepNext w:val="0"/>
              <w:keepLines w:val="0"/>
              <w:pageBreakBefore w:val="0"/>
              <w:widowControl w:val="0"/>
              <w:kinsoku/>
              <w:wordWrap/>
              <w:overflowPunct/>
              <w:topLinePunct w:val="0"/>
              <w:autoSpaceDE/>
              <w:autoSpaceDN/>
              <w:bidi w:val="0"/>
              <w:adjustRightInd/>
              <w:snapToGrid/>
              <w:spacing w:line="240" w:lineRule="atLeast"/>
              <w:textAlignment w:val="auto"/>
              <w:outlineLvl w:val="9"/>
              <w:rPr>
                <w:rFonts w:hint="default" w:ascii="Times New Roman" w:hAnsi="Times New Roman" w:cs="Times New Roman"/>
                <w:color w:val="auto"/>
                <w:sz w:val="21"/>
                <w:szCs w:val="21"/>
                <w:highlight w:val="none"/>
              </w:rPr>
            </w:pPr>
            <w:r>
              <w:rPr>
                <w:rFonts w:hint="eastAsia"/>
                <w:color w:val="auto"/>
                <w:highlight w:val="none"/>
              </w:rPr>
              <w:t>在排渗层下部沿沟底走向布置排渗盲沟，排渗盲沟长度约18.0m</w:t>
            </w:r>
            <w:r>
              <w:rPr>
                <w:rFonts w:hint="eastAsia"/>
                <w:color w:val="auto"/>
                <w:highlight w:val="none"/>
                <w:lang w:eastAsia="zh-CN"/>
              </w:rPr>
              <w:t>；</w:t>
            </w:r>
            <w:r>
              <w:rPr>
                <w:rFonts w:hint="eastAsia"/>
                <w:color w:val="auto"/>
                <w:highlight w:val="none"/>
                <w:lang w:val="en-US" w:eastAsia="zh-CN"/>
              </w:rPr>
              <w:t>建设1</w:t>
            </w:r>
            <w:r>
              <w:rPr>
                <w:rFonts w:hint="eastAsia"/>
                <w:color w:val="auto"/>
                <w:highlight w:val="none"/>
                <w:lang w:eastAsia="zh-CN"/>
              </w:rPr>
              <w:t>座消力池</w:t>
            </w:r>
            <w:r>
              <w:rPr>
                <w:rFonts w:hint="eastAsia" w:cs="Times New Roman"/>
                <w:color w:val="000000"/>
                <w:szCs w:val="21"/>
                <w:highlight w:val="none"/>
                <w:lang w:eastAsia="zh-CN" w:bidi="ar"/>
              </w:rPr>
              <w:t>；</w:t>
            </w:r>
            <w:r>
              <w:rPr>
                <w:rFonts w:hint="eastAsia" w:ascii="Times New Roman" w:hAnsi="Times New Roman" w:cs="Times New Roman"/>
                <w:color w:val="000000"/>
                <w:szCs w:val="21"/>
                <w:highlight w:val="none"/>
                <w:lang w:eastAsia="zh-CN" w:bidi="ar"/>
              </w:rPr>
              <w:t>设置地下水跟踪监测井</w:t>
            </w:r>
            <w:r>
              <w:rPr>
                <w:rFonts w:hint="eastAsia" w:cs="Times New Roman"/>
                <w:color w:val="000000"/>
                <w:szCs w:val="21"/>
                <w:highlight w:val="none"/>
                <w:lang w:val="en-US" w:eastAsia="zh-CN" w:bidi="ar"/>
              </w:rPr>
              <w:t>3</w:t>
            </w:r>
            <w:r>
              <w:rPr>
                <w:rFonts w:hint="eastAsia" w:ascii="Times New Roman" w:hAnsi="Times New Roman" w:cs="Times New Roman"/>
                <w:color w:val="000000"/>
                <w:szCs w:val="21"/>
                <w:highlight w:val="none"/>
                <w:lang w:eastAsia="zh-CN" w:bidi="ar"/>
              </w:rPr>
              <w:t>口，定期监测地下水水质情况</w:t>
            </w:r>
            <w:r>
              <w:rPr>
                <w:rFonts w:hint="eastAsia" w:cs="Times New Roman"/>
                <w:color w:val="000000"/>
                <w:szCs w:val="21"/>
                <w:highlight w:val="none"/>
                <w:lang w:eastAsia="zh-CN" w:bidi="ar"/>
              </w:rPr>
              <w:t>。</w:t>
            </w:r>
          </w:p>
        </w:tc>
        <w:tc>
          <w:tcPr>
            <w:tcW w:w="656" w:type="pct"/>
            <w:tcBorders>
              <w:tl2br w:val="nil"/>
              <w:tr2bl w:val="nil"/>
            </w:tcBorders>
            <w:noWrap w:val="0"/>
            <w:vAlign w:val="center"/>
          </w:tcPr>
          <w:p w14:paraId="307F81FB">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5F1913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vMerge w:val="restart"/>
            <w:tcBorders>
              <w:tl2br w:val="nil"/>
              <w:tr2bl w:val="nil"/>
            </w:tcBorders>
            <w:noWrap w:val="0"/>
            <w:vAlign w:val="center"/>
          </w:tcPr>
          <w:p w14:paraId="46BFE1D8">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噪声</w:t>
            </w:r>
          </w:p>
        </w:tc>
        <w:tc>
          <w:tcPr>
            <w:tcW w:w="696" w:type="pct"/>
            <w:tcBorders>
              <w:tl2br w:val="nil"/>
              <w:tr2bl w:val="nil"/>
            </w:tcBorders>
            <w:noWrap w:val="0"/>
            <w:vAlign w:val="center"/>
          </w:tcPr>
          <w:p w14:paraId="455492E7">
            <w:pPr>
              <w:pStyle w:val="174"/>
              <w:adjustRightInd w:val="0"/>
              <w:snapToGrid w:val="0"/>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排土作业</w:t>
            </w:r>
            <w:r>
              <w:rPr>
                <w:rFonts w:hint="eastAsia"/>
                <w:color w:val="auto"/>
                <w:szCs w:val="21"/>
                <w:highlight w:val="none"/>
                <w:lang w:val="en-US" w:eastAsia="zh-CN"/>
              </w:rPr>
              <w:t>设备</w:t>
            </w:r>
          </w:p>
        </w:tc>
        <w:tc>
          <w:tcPr>
            <w:tcW w:w="1023" w:type="pct"/>
            <w:tcBorders>
              <w:tl2br w:val="nil"/>
              <w:tr2bl w:val="nil"/>
            </w:tcBorders>
            <w:noWrap w:val="0"/>
            <w:vAlign w:val="center"/>
          </w:tcPr>
          <w:p w14:paraId="5D171672">
            <w:pPr>
              <w:pStyle w:val="17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设备噪声</w:t>
            </w:r>
          </w:p>
        </w:tc>
        <w:tc>
          <w:tcPr>
            <w:tcW w:w="2178" w:type="pct"/>
            <w:tcBorders>
              <w:tl2br w:val="nil"/>
              <w:tr2bl w:val="nil"/>
            </w:tcBorders>
            <w:noWrap w:val="0"/>
            <w:vAlign w:val="center"/>
          </w:tcPr>
          <w:p w14:paraId="7AB70BD4">
            <w:pPr>
              <w:pStyle w:val="161"/>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eastAsia" w:ascii="Times New Roman" w:hAnsi="Times New Roman" w:eastAsia="宋体" w:cs="Times New Roman"/>
                <w:color w:val="auto"/>
                <w:kern w:val="0"/>
                <w:sz w:val="21"/>
                <w:szCs w:val="21"/>
                <w:highlight w:val="none"/>
                <w:lang w:eastAsia="zh-CN"/>
              </w:rPr>
            </w:pPr>
            <w:r>
              <w:rPr>
                <w:color w:val="auto"/>
                <w:highlight w:val="none"/>
              </w:rPr>
              <w:t>采用低噪声设备、加强管理、及时维护保养、排土场周边绿化</w:t>
            </w:r>
            <w:r>
              <w:rPr>
                <w:rFonts w:hint="eastAsia" w:ascii="Times New Roman" w:hAnsi="Times New Roman" w:cs="Times New Roman"/>
                <w:color w:val="000000"/>
                <w:szCs w:val="21"/>
                <w:highlight w:val="none"/>
                <w:lang w:eastAsia="zh-CN"/>
              </w:rPr>
              <w:t>。</w:t>
            </w:r>
          </w:p>
        </w:tc>
        <w:tc>
          <w:tcPr>
            <w:tcW w:w="656" w:type="pct"/>
            <w:vMerge w:val="restart"/>
            <w:tcBorders>
              <w:tl2br w:val="nil"/>
              <w:tr2bl w:val="nil"/>
            </w:tcBorders>
            <w:noWrap w:val="0"/>
            <w:vAlign w:val="center"/>
          </w:tcPr>
          <w:p w14:paraId="3AD862B3">
            <w:pPr>
              <w:keepNext w:val="0"/>
              <w:keepLines w:val="0"/>
              <w:pageBreakBefore w:val="0"/>
              <w:kinsoku/>
              <w:wordWrap/>
              <w:overflowPunct/>
              <w:topLinePunct w:val="0"/>
              <w:autoSpaceDE/>
              <w:autoSpaceDN/>
              <w:bidi w:val="0"/>
              <w:adjustRightInd/>
              <w:snapToGrid/>
              <w:spacing w:line="240" w:lineRule="atLeast"/>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7DE7B0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vMerge w:val="continue"/>
            <w:tcBorders>
              <w:tl2br w:val="nil"/>
              <w:tr2bl w:val="nil"/>
            </w:tcBorders>
            <w:noWrap w:val="0"/>
            <w:vAlign w:val="center"/>
          </w:tcPr>
          <w:p w14:paraId="27196EB5">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p>
        </w:tc>
        <w:tc>
          <w:tcPr>
            <w:tcW w:w="696" w:type="pct"/>
            <w:tcBorders>
              <w:tl2br w:val="nil"/>
              <w:tr2bl w:val="nil"/>
            </w:tcBorders>
            <w:noWrap w:val="0"/>
            <w:vAlign w:val="center"/>
          </w:tcPr>
          <w:p w14:paraId="666C2B71">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outlineLvl w:val="9"/>
              <w:rPr>
                <w:rFonts w:hint="eastAsia"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运输车辆</w:t>
            </w:r>
          </w:p>
        </w:tc>
        <w:tc>
          <w:tcPr>
            <w:tcW w:w="1023" w:type="pct"/>
            <w:tcBorders>
              <w:tl2br w:val="nil"/>
              <w:tr2bl w:val="nil"/>
            </w:tcBorders>
            <w:noWrap w:val="0"/>
            <w:vAlign w:val="center"/>
          </w:tcPr>
          <w:p w14:paraId="2D9003A0">
            <w:pPr>
              <w:pStyle w:val="161"/>
              <w:keepNext w:val="0"/>
              <w:keepLines w:val="0"/>
              <w:pageBreakBefore w:val="0"/>
              <w:widowControl w:val="0"/>
              <w:kinsoku/>
              <w:wordWrap/>
              <w:overflowPunct/>
              <w:topLinePunct w:val="0"/>
              <w:autoSpaceDE/>
              <w:autoSpaceDN/>
              <w:bidi w:val="0"/>
              <w:adjustRightInd/>
              <w:snapToGrid/>
              <w:spacing w:line="240" w:lineRule="atLeast"/>
              <w:ind w:firstLine="0" w:firstLineChars="0"/>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运输</w:t>
            </w:r>
            <w:r>
              <w:rPr>
                <w:rFonts w:hint="default" w:ascii="Times New Roman" w:hAnsi="Times New Roman" w:cs="Times New Roman"/>
                <w:color w:val="auto"/>
                <w:highlight w:val="none"/>
              </w:rPr>
              <w:t>噪声</w:t>
            </w:r>
          </w:p>
        </w:tc>
        <w:tc>
          <w:tcPr>
            <w:tcW w:w="2178" w:type="pct"/>
            <w:tcBorders>
              <w:tl2br w:val="nil"/>
              <w:tr2bl w:val="nil"/>
            </w:tcBorders>
            <w:noWrap w:val="0"/>
            <w:vAlign w:val="center"/>
          </w:tcPr>
          <w:p w14:paraId="3AF6D7DF">
            <w:pPr>
              <w:pStyle w:val="161"/>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hint="eastAsia" w:cs="Times New Roman"/>
                <w:snapToGrid w:val="0"/>
                <w:color w:val="auto"/>
                <w:kern w:val="0"/>
                <w:sz w:val="21"/>
                <w:szCs w:val="21"/>
                <w:highlight w:val="none"/>
                <w:lang w:eastAsia="zh-CN"/>
              </w:rPr>
            </w:pPr>
            <w:r>
              <w:rPr>
                <w:rFonts w:hint="default" w:ascii="Times New Roman" w:hAnsi="Times New Roman" w:cs="Times New Roman"/>
                <w:color w:val="auto"/>
                <w:highlight w:val="none"/>
              </w:rPr>
              <w:t>运输车辆减速慢行，禁止鸣笛</w:t>
            </w:r>
            <w:r>
              <w:rPr>
                <w:rFonts w:hint="default" w:ascii="Times New Roman" w:hAnsi="Times New Roman" w:cs="Times New Roman"/>
                <w:color w:val="auto"/>
                <w:highlight w:val="none"/>
                <w:lang w:eastAsia="zh-CN"/>
              </w:rPr>
              <w:t>。</w:t>
            </w:r>
          </w:p>
        </w:tc>
        <w:tc>
          <w:tcPr>
            <w:tcW w:w="656" w:type="pct"/>
            <w:vMerge w:val="continue"/>
            <w:tcBorders>
              <w:tl2br w:val="nil"/>
              <w:tr2bl w:val="nil"/>
            </w:tcBorders>
            <w:noWrap w:val="0"/>
            <w:vAlign w:val="center"/>
          </w:tcPr>
          <w:p w14:paraId="1025CE46">
            <w:pPr>
              <w:keepNext w:val="0"/>
              <w:keepLines w:val="0"/>
              <w:pageBreakBefore w:val="0"/>
              <w:kinsoku/>
              <w:wordWrap/>
              <w:overflowPunct/>
              <w:topLinePunct w:val="0"/>
              <w:autoSpaceDE/>
              <w:autoSpaceDN/>
              <w:bidi w:val="0"/>
              <w:adjustRightInd/>
              <w:snapToGrid/>
              <w:spacing w:line="240" w:lineRule="atLeast"/>
              <w:ind w:firstLine="0"/>
              <w:jc w:val="center"/>
              <w:textAlignment w:val="auto"/>
              <w:rPr>
                <w:rFonts w:hint="eastAsia" w:cs="Times New Roman"/>
                <w:color w:val="auto"/>
                <w:sz w:val="21"/>
                <w:szCs w:val="21"/>
                <w:highlight w:val="none"/>
                <w:lang w:val="en-US" w:eastAsia="zh-CN"/>
              </w:rPr>
            </w:pPr>
          </w:p>
        </w:tc>
      </w:tr>
      <w:tr w14:paraId="548DEB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tcBorders>
              <w:tl2br w:val="nil"/>
              <w:tr2bl w:val="nil"/>
            </w:tcBorders>
            <w:noWrap w:val="0"/>
            <w:vAlign w:val="center"/>
          </w:tcPr>
          <w:p w14:paraId="4297471F">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固体废物</w:t>
            </w:r>
          </w:p>
        </w:tc>
        <w:tc>
          <w:tcPr>
            <w:tcW w:w="696" w:type="pct"/>
            <w:tcBorders>
              <w:tl2br w:val="nil"/>
              <w:tr2bl w:val="nil"/>
            </w:tcBorders>
            <w:noWrap w:val="0"/>
            <w:vAlign w:val="center"/>
          </w:tcPr>
          <w:p w14:paraId="4963E965">
            <w:pPr>
              <w:pStyle w:val="174"/>
              <w:adjustRightInd w:val="0"/>
              <w:snapToGrid w:val="0"/>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排土作业</w:t>
            </w:r>
          </w:p>
        </w:tc>
        <w:tc>
          <w:tcPr>
            <w:tcW w:w="1023" w:type="pct"/>
            <w:tcBorders>
              <w:tl2br w:val="nil"/>
              <w:tr2bl w:val="nil"/>
            </w:tcBorders>
            <w:noWrap w:val="0"/>
            <w:vAlign w:val="center"/>
          </w:tcPr>
          <w:p w14:paraId="10582FCC">
            <w:pPr>
              <w:pStyle w:val="174"/>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color w:val="auto"/>
                <w:kern w:val="2"/>
                <w:szCs w:val="21"/>
                <w:highlight w:val="none"/>
                <w:lang w:val="en-US" w:eastAsia="zh-CN"/>
              </w:rPr>
              <w:t>废石</w:t>
            </w:r>
          </w:p>
        </w:tc>
        <w:tc>
          <w:tcPr>
            <w:tcW w:w="2178" w:type="pct"/>
            <w:tcBorders>
              <w:tl2br w:val="nil"/>
              <w:tr2bl w:val="nil"/>
            </w:tcBorders>
            <w:noWrap w:val="0"/>
            <w:vAlign w:val="center"/>
          </w:tcPr>
          <w:p w14:paraId="1CC5076E">
            <w:pPr>
              <w:pStyle w:val="161"/>
              <w:keepNext w:val="0"/>
              <w:keepLines w:val="0"/>
              <w:pageBreakBefore w:val="0"/>
              <w:widowControl w:val="0"/>
              <w:kinsoku/>
              <w:wordWrap/>
              <w:overflowPunct/>
              <w:topLinePunct w:val="0"/>
              <w:autoSpaceDE/>
              <w:autoSpaceDN/>
              <w:bidi w:val="0"/>
              <w:adjustRightInd/>
              <w:snapToGrid/>
              <w:spacing w:line="240" w:lineRule="atLeast"/>
              <w:textAlignment w:val="auto"/>
              <w:outlineLvl w:val="9"/>
              <w:rPr>
                <w:rFonts w:hint="eastAsia" w:ascii="Times New Roman" w:hAnsi="Times New Roman" w:eastAsia="宋体" w:cs="Times New Roman"/>
                <w:snapToGrid w:val="0"/>
                <w:color w:val="auto"/>
                <w:kern w:val="0"/>
                <w:sz w:val="21"/>
                <w:szCs w:val="21"/>
                <w:highlight w:val="none"/>
                <w:lang w:eastAsia="zh-CN"/>
              </w:rPr>
            </w:pPr>
            <w:r>
              <w:rPr>
                <w:rFonts w:hint="eastAsia"/>
                <w:color w:val="auto"/>
                <w:szCs w:val="21"/>
                <w:highlight w:val="none"/>
                <w:lang w:val="en-US" w:eastAsia="zh-CN"/>
              </w:rPr>
              <w:t>废石</w:t>
            </w:r>
            <w:r>
              <w:rPr>
                <w:color w:val="auto"/>
                <w:szCs w:val="21"/>
                <w:highlight w:val="none"/>
              </w:rPr>
              <w:t>置于排土场内</w:t>
            </w:r>
            <w:r>
              <w:rPr>
                <w:rFonts w:hint="eastAsia" w:cs="Times New Roman"/>
                <w:color w:val="000000"/>
                <w:highlight w:val="none"/>
                <w:lang w:eastAsia="zh-CN"/>
              </w:rPr>
              <w:t>，</w:t>
            </w:r>
            <w:r>
              <w:rPr>
                <w:rFonts w:hint="eastAsia" w:ascii="Times New Roman" w:hAnsi="Times New Roman" w:cs="Times New Roman"/>
                <w:color w:val="000000"/>
                <w:highlight w:val="none"/>
                <w:lang w:eastAsia="zh-CN"/>
              </w:rPr>
              <w:t>场区外和运输道路周边无不规范堆存</w:t>
            </w:r>
            <w:r>
              <w:rPr>
                <w:rFonts w:hint="eastAsia" w:cs="Times New Roman"/>
                <w:color w:val="000000"/>
                <w:highlight w:val="none"/>
                <w:lang w:eastAsia="zh-CN"/>
              </w:rPr>
              <w:t>。</w:t>
            </w:r>
          </w:p>
        </w:tc>
        <w:tc>
          <w:tcPr>
            <w:tcW w:w="656" w:type="pct"/>
            <w:tcBorders>
              <w:tl2br w:val="nil"/>
              <w:tr2bl w:val="nil"/>
            </w:tcBorders>
            <w:noWrap w:val="0"/>
            <w:vAlign w:val="center"/>
          </w:tcPr>
          <w:p w14:paraId="091A15A6">
            <w:pPr>
              <w:keepNext w:val="0"/>
              <w:keepLines w:val="0"/>
              <w:pageBreakBefore w:val="0"/>
              <w:kinsoku/>
              <w:wordWrap/>
              <w:overflowPunct/>
              <w:topLinePunct w:val="0"/>
              <w:autoSpaceDE/>
              <w:autoSpaceDN/>
              <w:bidi w:val="0"/>
              <w:adjustRightInd/>
              <w:snapToGrid/>
              <w:spacing w:line="240" w:lineRule="atLeast"/>
              <w:ind w:firstLine="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r>
      <w:tr w14:paraId="7A3762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45" w:type="pct"/>
            <w:tcBorders>
              <w:tl2br w:val="nil"/>
              <w:tr2bl w:val="nil"/>
            </w:tcBorders>
            <w:noWrap w:val="0"/>
            <w:vAlign w:val="center"/>
          </w:tcPr>
          <w:p w14:paraId="68319527">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生态</w:t>
            </w:r>
          </w:p>
        </w:tc>
        <w:tc>
          <w:tcPr>
            <w:tcW w:w="3897" w:type="pct"/>
            <w:gridSpan w:val="3"/>
            <w:tcBorders>
              <w:tl2br w:val="nil"/>
              <w:tr2bl w:val="nil"/>
            </w:tcBorders>
            <w:noWrap w:val="0"/>
            <w:vAlign w:val="center"/>
          </w:tcPr>
          <w:p w14:paraId="0F676A3C">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项目建设1座挡石坝、1座拦碴坝、1座挡石墙，并</w:t>
            </w:r>
            <w:r>
              <w:rPr>
                <w:rFonts w:hint="eastAsia" w:cs="Times New Roman"/>
                <w:color w:val="auto"/>
                <w:sz w:val="21"/>
                <w:szCs w:val="21"/>
                <w:highlight w:val="none"/>
                <w:lang w:eastAsia="zh-CN"/>
              </w:rPr>
              <w:t>严格按照生态恢复相关要求进行生态恢复治理，通过人工实施绿化，将增加区域植被覆盖，降低对区域生态环境的影响；堆存场堆存完成后应封场并采取污染防治措施和植被恢复措施。</w:t>
            </w:r>
          </w:p>
        </w:tc>
        <w:tc>
          <w:tcPr>
            <w:tcW w:w="656" w:type="pct"/>
            <w:tcBorders>
              <w:tl2br w:val="nil"/>
              <w:tr2bl w:val="nil"/>
            </w:tcBorders>
            <w:noWrap w:val="0"/>
            <w:vAlign w:val="center"/>
          </w:tcPr>
          <w:p w14:paraId="1383079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130</w:t>
            </w:r>
          </w:p>
        </w:tc>
      </w:tr>
      <w:tr w14:paraId="7A5710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4343" w:type="pct"/>
            <w:gridSpan w:val="4"/>
            <w:tcBorders>
              <w:tl2br w:val="nil"/>
              <w:tr2bl w:val="nil"/>
            </w:tcBorders>
            <w:noWrap w:val="0"/>
            <w:vAlign w:val="center"/>
          </w:tcPr>
          <w:p w14:paraId="36B7D309">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eastAsia" w:cs="Times New Roman"/>
                <w:color w:val="auto"/>
                <w:sz w:val="21"/>
                <w:szCs w:val="21"/>
                <w:highlight w:val="none"/>
                <w:lang w:val="en-US" w:eastAsia="zh-CN"/>
              </w:rPr>
            </w:pPr>
            <w:r>
              <w:rPr>
                <w:rFonts w:hint="eastAsia" w:ascii="Times New Roman" w:hAnsi="Times New Roman" w:cs="Times New Roman"/>
                <w:b/>
                <w:bCs/>
                <w:color w:val="auto"/>
                <w:kern w:val="0"/>
                <w:sz w:val="21"/>
                <w:szCs w:val="21"/>
                <w:highlight w:val="none"/>
                <w:lang w:eastAsia="zh-CN"/>
              </w:rPr>
              <w:t>合计</w:t>
            </w:r>
          </w:p>
        </w:tc>
        <w:tc>
          <w:tcPr>
            <w:tcW w:w="656" w:type="pct"/>
            <w:tcBorders>
              <w:tl2br w:val="nil"/>
              <w:tr2bl w:val="nil"/>
            </w:tcBorders>
            <w:noWrap w:val="0"/>
            <w:vAlign w:val="center"/>
          </w:tcPr>
          <w:p w14:paraId="26E03C77">
            <w:pPr>
              <w:keepNext w:val="0"/>
              <w:keepLines w:val="0"/>
              <w:pageBreakBefore w:val="0"/>
              <w:kinsoku/>
              <w:wordWrap/>
              <w:overflowPunct/>
              <w:topLinePunct w:val="0"/>
              <w:autoSpaceDE/>
              <w:autoSpaceDN/>
              <w:bidi w:val="0"/>
              <w:adjustRightInd/>
              <w:snapToGrid/>
              <w:spacing w:line="240" w:lineRule="atLeas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r>
    </w:tbl>
    <w:p w14:paraId="2D3D6C88">
      <w:pPr>
        <w:pStyle w:val="49"/>
        <w:rPr>
          <w:rStyle w:val="66"/>
          <w:rFonts w:hint="default" w:ascii="Times New Roman" w:hAnsi="Times New Roman" w:cs="Times New Roman"/>
          <w:color w:val="000000"/>
          <w:highlight w:val="none"/>
        </w:rPr>
      </w:pPr>
    </w:p>
    <w:p w14:paraId="74E4164C">
      <w:pPr>
        <w:rPr>
          <w:rFonts w:hint="default"/>
          <w:highlight w:val="none"/>
        </w:rPr>
      </w:pPr>
    </w:p>
    <w:p w14:paraId="2B198E00">
      <w:pPr>
        <w:spacing w:line="360" w:lineRule="auto"/>
        <w:ind w:firstLine="480"/>
        <w:rPr>
          <w:rFonts w:hint="default" w:ascii="Times New Roman" w:hAnsi="Times New Roman" w:cs="Times New Roman"/>
          <w:color w:val="000000"/>
          <w:sz w:val="24"/>
          <w:highlight w:val="none"/>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11599D56">
      <w:pPr>
        <w:pStyle w:val="187"/>
        <w:rPr>
          <w:rFonts w:hint="default" w:ascii="Times New Roman" w:hAnsi="Times New Roman" w:cs="Times New Roman"/>
          <w:color w:val="000000"/>
          <w:highlight w:val="none"/>
        </w:rPr>
      </w:pPr>
      <w:bookmarkStart w:id="373" w:name="_Toc9062"/>
      <w:bookmarkStart w:id="374" w:name="_Toc15350"/>
      <w:bookmarkStart w:id="375" w:name="_Toc5316"/>
      <w:bookmarkStart w:id="376" w:name="_Toc32410"/>
      <w:bookmarkStart w:id="377" w:name="_Toc29964"/>
      <w:r>
        <w:rPr>
          <w:rFonts w:hint="default" w:ascii="Times New Roman" w:hAnsi="Times New Roman" w:cs="Times New Roman"/>
          <w:color w:val="000000"/>
          <w:highlight w:val="none"/>
        </w:rPr>
        <w:t>环境影响经济损益分析</w:t>
      </w:r>
      <w:bookmarkEnd w:id="373"/>
      <w:bookmarkEnd w:id="374"/>
      <w:bookmarkEnd w:id="375"/>
      <w:bookmarkEnd w:id="376"/>
      <w:bookmarkEnd w:id="377"/>
    </w:p>
    <w:p w14:paraId="5DE450A0">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bookmarkStart w:id="378" w:name="_Toc24752"/>
      <w:bookmarkStart w:id="379" w:name="_Toc15762"/>
      <w:bookmarkStart w:id="380" w:name="_Toc5680"/>
      <w:bookmarkStart w:id="381" w:name="_Toc2131"/>
      <w:bookmarkStart w:id="382" w:name="_Toc5829"/>
      <w:bookmarkStart w:id="383" w:name="_Toc5189"/>
      <w:bookmarkStart w:id="384" w:name="_Toc17371"/>
      <w:bookmarkStart w:id="385" w:name="_Toc184712676"/>
      <w:bookmarkStart w:id="386" w:name="_Toc5026384"/>
      <w:bookmarkStart w:id="387" w:name="_Toc192907453"/>
      <w:bookmarkStart w:id="388" w:name="_Toc4576036"/>
      <w:bookmarkStart w:id="389" w:name="_Toc144863362"/>
      <w:bookmarkStart w:id="390" w:name="_Toc944048"/>
      <w:bookmarkStart w:id="391" w:name="_Toc45539961"/>
      <w:r>
        <w:rPr>
          <w:rFonts w:hint="default" w:ascii="Times New Roman" w:hAnsi="Times New Roman" w:eastAsia="宋体" w:cs="Times New Roman"/>
          <w:b/>
          <w:color w:val="000000"/>
          <w:sz w:val="28"/>
          <w:szCs w:val="28"/>
          <w:highlight w:val="none"/>
        </w:rPr>
        <w:t xml:space="preserve"> 项目建设前后区域环境质量变化情况</w:t>
      </w:r>
      <w:bookmarkEnd w:id="378"/>
      <w:bookmarkEnd w:id="379"/>
    </w:p>
    <w:p w14:paraId="1D96411E">
      <w:pPr>
        <w:spacing w:line="360" w:lineRule="auto"/>
        <w:ind w:firstLine="480"/>
        <w:rPr>
          <w:rFonts w:hint="default" w:ascii="Times New Roman" w:hAnsi="Times New Roman" w:cs="Times New Roman"/>
          <w:sz w:val="24"/>
          <w:highlight w:val="none"/>
          <w:lang w:eastAsia="zh-CN"/>
        </w:rPr>
      </w:pPr>
      <w:r>
        <w:rPr>
          <w:rFonts w:ascii="Times New Roman" w:hAnsi="Times New Roman"/>
          <w:sz w:val="24"/>
          <w:szCs w:val="24"/>
          <w:highlight w:val="none"/>
        </w:rPr>
        <w:t>根据</w:t>
      </w:r>
      <w:r>
        <w:rPr>
          <w:rFonts w:hint="eastAsia" w:ascii="Times New Roman" w:hAnsi="Times New Roman" w:cs="Times New Roman"/>
          <w:sz w:val="24"/>
          <w:highlight w:val="none"/>
          <w:lang w:eastAsia="zh-CN"/>
        </w:rPr>
        <w:t>《关于2023年12月份全市空气质量预警监测结果的通报》（承气领办〔2024〕12号）</w:t>
      </w:r>
      <w:r>
        <w:rPr>
          <w:rFonts w:hint="default" w:ascii="Times New Roman" w:hAnsi="Times New Roman" w:cs="Times New Roman"/>
          <w:color w:val="auto"/>
          <w:sz w:val="24"/>
          <w:szCs w:val="24"/>
          <w:highlight w:val="none"/>
        </w:rPr>
        <w:t>中</w:t>
      </w:r>
      <w:r>
        <w:rPr>
          <w:rFonts w:hint="eastAsia" w:cs="Times New Roman"/>
          <w:color w:val="auto"/>
          <w:sz w:val="24"/>
          <w:szCs w:val="24"/>
          <w:highlight w:val="none"/>
          <w:lang w:val="en-US" w:eastAsia="zh-CN"/>
        </w:rPr>
        <w:t>隆化县</w:t>
      </w:r>
      <w:r>
        <w:rPr>
          <w:rFonts w:hint="default" w:ascii="Times New Roman" w:hAnsi="Times New Roman" w:cs="Times New Roman"/>
          <w:color w:val="auto"/>
          <w:sz w:val="24"/>
          <w:szCs w:val="24"/>
          <w:highlight w:val="none"/>
        </w:rPr>
        <w:t>环境空气常规现状监测统计资料，</w:t>
      </w:r>
      <w:r>
        <w:rPr>
          <w:rFonts w:hint="default" w:ascii="Times New Roman" w:hAnsi="Times New Roman" w:cs="Times New Roman"/>
          <w:color w:val="auto"/>
          <w:sz w:val="24"/>
          <w:szCs w:val="24"/>
          <w:highlight w:val="none"/>
          <w:lang w:val="en-US" w:eastAsia="zh-CN"/>
        </w:rPr>
        <w:t>除O</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日最大8小时平均浓度第90百分位数超标外，</w:t>
      </w:r>
      <w:r>
        <w:rPr>
          <w:color w:val="auto"/>
          <w:sz w:val="24"/>
          <w:szCs w:val="40"/>
          <w:highlight w:val="none"/>
        </w:rPr>
        <w:t>PM</w:t>
      </w:r>
      <w:r>
        <w:rPr>
          <w:color w:val="auto"/>
          <w:sz w:val="24"/>
          <w:szCs w:val="40"/>
          <w:highlight w:val="none"/>
          <w:vertAlign w:val="subscript"/>
        </w:rPr>
        <w:t>10</w:t>
      </w:r>
      <w:r>
        <w:rPr>
          <w:color w:val="auto"/>
          <w:sz w:val="24"/>
          <w:szCs w:val="24"/>
          <w:highlight w:val="none"/>
        </w:rPr>
        <w:t>年均值</w:t>
      </w:r>
      <w:r>
        <w:rPr>
          <w:color w:val="auto"/>
          <w:sz w:val="24"/>
          <w:szCs w:val="40"/>
          <w:highlight w:val="none"/>
        </w:rPr>
        <w:t>、PM</w:t>
      </w:r>
      <w:r>
        <w:rPr>
          <w:color w:val="auto"/>
          <w:sz w:val="24"/>
          <w:szCs w:val="40"/>
          <w:highlight w:val="none"/>
          <w:vertAlign w:val="subscript"/>
        </w:rPr>
        <w:t>2.5</w:t>
      </w:r>
      <w:r>
        <w:rPr>
          <w:color w:val="auto"/>
          <w:sz w:val="24"/>
          <w:szCs w:val="24"/>
          <w:highlight w:val="none"/>
        </w:rPr>
        <w:t>年均值</w:t>
      </w:r>
      <w:r>
        <w:rPr>
          <w:rFonts w:hint="eastAsia"/>
          <w:color w:val="auto"/>
          <w:sz w:val="24"/>
          <w:szCs w:val="24"/>
          <w:highlight w:val="none"/>
        </w:rPr>
        <w:t>、</w:t>
      </w:r>
      <w:r>
        <w:rPr>
          <w:color w:val="auto"/>
          <w:sz w:val="24"/>
          <w:szCs w:val="24"/>
          <w:highlight w:val="none"/>
        </w:rPr>
        <w:t>SO</w:t>
      </w:r>
      <w:r>
        <w:rPr>
          <w:color w:val="auto"/>
          <w:sz w:val="24"/>
          <w:szCs w:val="24"/>
          <w:highlight w:val="none"/>
          <w:vertAlign w:val="subscript"/>
        </w:rPr>
        <w:t>2</w:t>
      </w:r>
      <w:r>
        <w:rPr>
          <w:color w:val="auto"/>
          <w:sz w:val="24"/>
          <w:szCs w:val="24"/>
          <w:highlight w:val="none"/>
        </w:rPr>
        <w:t>年均值、NO</w:t>
      </w:r>
      <w:r>
        <w:rPr>
          <w:color w:val="auto"/>
          <w:sz w:val="24"/>
          <w:szCs w:val="24"/>
          <w:highlight w:val="none"/>
          <w:vertAlign w:val="subscript"/>
        </w:rPr>
        <w:t>2</w:t>
      </w:r>
      <w:r>
        <w:rPr>
          <w:color w:val="auto"/>
          <w:sz w:val="24"/>
          <w:szCs w:val="24"/>
          <w:highlight w:val="none"/>
        </w:rPr>
        <w:t>年均值</w:t>
      </w:r>
      <w:r>
        <w:rPr>
          <w:rFonts w:hint="eastAsia"/>
          <w:color w:val="auto"/>
          <w:sz w:val="24"/>
          <w:szCs w:val="24"/>
          <w:highlight w:val="none"/>
        </w:rPr>
        <w:t>、</w:t>
      </w:r>
      <w:r>
        <w:rPr>
          <w:color w:val="auto"/>
          <w:sz w:val="24"/>
          <w:szCs w:val="24"/>
          <w:highlight w:val="none"/>
        </w:rPr>
        <w:t>CO24小时平均浓度第95百分位数</w:t>
      </w:r>
      <w:r>
        <w:rPr>
          <w:rFonts w:hint="default" w:ascii="Times New Roman" w:hAnsi="Times New Roman" w:cs="Times New Roman"/>
          <w:color w:val="auto"/>
          <w:sz w:val="24"/>
          <w:szCs w:val="24"/>
          <w:highlight w:val="none"/>
          <w:lang w:val="en-US" w:eastAsia="zh-CN"/>
        </w:rPr>
        <w:t>均满足《环境空气质量标准》（GB3095-2012）及其修改单的二级标准要求</w:t>
      </w:r>
      <w:r>
        <w:rPr>
          <w:rFonts w:hint="eastAsia" w:ascii="Times New Roman" w:hAnsi="Times New Roman" w:cs="Times New Roman"/>
          <w:color w:val="auto"/>
          <w:sz w:val="24"/>
          <w:szCs w:val="24"/>
          <w:highlight w:val="none"/>
          <w:lang w:val="en-US" w:eastAsia="zh-CN"/>
        </w:rPr>
        <w:t>，隆化县区域</w:t>
      </w:r>
      <w:r>
        <w:rPr>
          <w:rFonts w:hint="default" w:ascii="Times New Roman" w:hAnsi="Times New Roman" w:cs="Times New Roman"/>
          <w:color w:val="auto"/>
          <w:sz w:val="24"/>
          <w:szCs w:val="24"/>
          <w:highlight w:val="none"/>
          <w:lang w:val="en-US" w:eastAsia="zh-CN"/>
        </w:rPr>
        <w:t>为不达标区</w:t>
      </w:r>
      <w:r>
        <w:rPr>
          <w:rFonts w:hint="eastAsia" w:ascii="Times New Roman" w:hAnsi="Times New Roman" w:cs="Times New Roman"/>
          <w:color w:val="auto"/>
          <w:sz w:val="24"/>
          <w:szCs w:val="24"/>
          <w:highlight w:val="none"/>
          <w:lang w:val="en-US" w:eastAsia="zh-CN"/>
        </w:rPr>
        <w:t>。</w:t>
      </w:r>
      <w:r>
        <w:rPr>
          <w:rFonts w:hint="eastAsia"/>
          <w:color w:val="auto"/>
          <w:sz w:val="24"/>
          <w:szCs w:val="24"/>
          <w:highlight w:val="none"/>
        </w:rPr>
        <w:t>根据项目环境质量补充监测，TSP现状环境质量满足《环境空气质量标准》（GB3095-2012）</w:t>
      </w:r>
      <w:r>
        <w:rPr>
          <w:color w:val="auto"/>
          <w:sz w:val="24"/>
          <w:szCs w:val="24"/>
          <w:highlight w:val="none"/>
        </w:rPr>
        <w:t>及其修改单</w:t>
      </w:r>
      <w:r>
        <w:rPr>
          <w:rFonts w:hint="eastAsia"/>
          <w:color w:val="auto"/>
          <w:sz w:val="24"/>
          <w:szCs w:val="24"/>
          <w:highlight w:val="none"/>
        </w:rPr>
        <w:t>中的</w:t>
      </w:r>
      <w:r>
        <w:rPr>
          <w:color w:val="auto"/>
          <w:sz w:val="24"/>
          <w:szCs w:val="40"/>
          <w:highlight w:val="none"/>
        </w:rPr>
        <w:t>二级标准</w:t>
      </w:r>
      <w:r>
        <w:rPr>
          <w:rFonts w:hint="eastAsia" w:ascii="Times New Roman" w:hAnsi="Times New Roman" w:cs="Times New Roman"/>
          <w:sz w:val="24"/>
          <w:highlight w:val="none"/>
          <w:lang w:val="en-US" w:eastAsia="zh-CN"/>
        </w:rPr>
        <w:t>。</w:t>
      </w:r>
    </w:p>
    <w:p w14:paraId="285B70F9">
      <w:pPr>
        <w:spacing w:line="360" w:lineRule="auto"/>
        <w:ind w:firstLine="480"/>
        <w:rPr>
          <w:rFonts w:hint="eastAsia" w:ascii="Times New Roman" w:hAnsi="Times New Roman" w:cs="Times New Roman"/>
          <w:sz w:val="24"/>
          <w:szCs w:val="24"/>
          <w:highlight w:val="none"/>
          <w:lang w:eastAsia="zh-CN"/>
        </w:rPr>
      </w:pPr>
      <w:r>
        <w:rPr>
          <w:rFonts w:hint="default" w:ascii="Times New Roman" w:hAnsi="Times New Roman" w:cs="Times New Roman"/>
          <w:color w:val="000000"/>
          <w:kern w:val="0"/>
          <w:sz w:val="24"/>
          <w:szCs w:val="21"/>
          <w:highlight w:val="none"/>
        </w:rPr>
        <w:t>区域地表径流为</w:t>
      </w:r>
      <w:r>
        <w:rPr>
          <w:rFonts w:hint="eastAsia" w:cs="Times New Roman"/>
          <w:color w:val="000000"/>
          <w:kern w:val="0"/>
          <w:sz w:val="24"/>
          <w:szCs w:val="21"/>
          <w:highlight w:val="none"/>
          <w:lang w:eastAsia="zh-CN"/>
        </w:rPr>
        <w:t>兴隆河</w:t>
      </w:r>
      <w:r>
        <w:rPr>
          <w:rFonts w:hint="default" w:ascii="Times New Roman" w:hAnsi="Times New Roman" w:cs="Times New Roman"/>
          <w:color w:val="000000"/>
          <w:kern w:val="0"/>
          <w:sz w:val="24"/>
          <w:szCs w:val="21"/>
          <w:highlight w:val="none"/>
        </w:rPr>
        <w:t>，</w:t>
      </w:r>
      <w:r>
        <w:rPr>
          <w:rFonts w:hint="eastAsia" w:cs="Times New Roman"/>
          <w:color w:val="000000"/>
          <w:kern w:val="0"/>
          <w:sz w:val="24"/>
          <w:szCs w:val="21"/>
          <w:highlight w:val="none"/>
          <w:lang w:val="en-US" w:eastAsia="zh-CN"/>
        </w:rPr>
        <w:t>为武烈河支流</w:t>
      </w:r>
      <w:r>
        <w:rPr>
          <w:rFonts w:hint="eastAsia" w:ascii="Times New Roman" w:hAnsi="Times New Roman" w:cs="Times New Roman"/>
          <w:color w:val="auto"/>
          <w:sz w:val="24"/>
          <w:szCs w:val="24"/>
          <w:highlight w:val="none"/>
          <w:lang w:val="en-US" w:eastAsia="zh-CN"/>
        </w:rPr>
        <w:t>，</w:t>
      </w:r>
      <w:r>
        <w:rPr>
          <w:rFonts w:ascii="Times New Roman"/>
          <w:sz w:val="24"/>
          <w:szCs w:val="24"/>
          <w:highlight w:val="none"/>
        </w:rPr>
        <w:t>根据</w:t>
      </w:r>
      <w:r>
        <w:rPr>
          <w:rFonts w:hint="eastAsia" w:ascii="Times New Roman" w:hAnsi="Times New Roman" w:cs="Times New Roman"/>
          <w:sz w:val="24"/>
          <w:szCs w:val="24"/>
          <w:highlight w:val="none"/>
          <w:lang w:eastAsia="zh-CN"/>
        </w:rPr>
        <w:t>《2023年承德市生态环境状况公报》</w:t>
      </w:r>
      <w:r>
        <w:rPr>
          <w:rFonts w:hint="eastAsia" w:ascii="Times New Roman"/>
          <w:sz w:val="24"/>
          <w:szCs w:val="24"/>
          <w:highlight w:val="none"/>
          <w:lang w:eastAsia="zh-CN"/>
        </w:rPr>
        <w:t>，</w:t>
      </w:r>
      <w:r>
        <w:rPr>
          <w:rFonts w:hint="default" w:ascii="Times New Roman" w:hAnsi="Times New Roman" w:cs="Times New Roman"/>
          <w:color w:val="auto"/>
          <w:sz w:val="24"/>
          <w:szCs w:val="24"/>
          <w:highlight w:val="none"/>
        </w:rPr>
        <w:t>2023年</w:t>
      </w:r>
      <w:r>
        <w:rPr>
          <w:rFonts w:hint="eastAsia" w:cs="Times New Roman"/>
          <w:color w:val="auto"/>
          <w:sz w:val="24"/>
          <w:szCs w:val="24"/>
          <w:highlight w:val="none"/>
          <w:lang w:val="en-US" w:eastAsia="zh-CN"/>
        </w:rPr>
        <w:t>武烈河</w:t>
      </w:r>
      <w:r>
        <w:rPr>
          <w:rFonts w:hint="default" w:ascii="Times New Roman" w:hAnsi="Times New Roman" w:cs="Times New Roman"/>
          <w:color w:val="auto"/>
          <w:sz w:val="24"/>
          <w:szCs w:val="24"/>
          <w:highlight w:val="none"/>
        </w:rPr>
        <w:t>流域总体水质状况为优，水质总体为优，与2022年持平</w:t>
      </w:r>
      <w:r>
        <w:rPr>
          <w:rFonts w:hint="eastAsia" w:ascii="Times New Roman" w:hAnsi="Times New Roman" w:cs="Times New Roman"/>
          <w:sz w:val="24"/>
          <w:szCs w:val="24"/>
          <w:highlight w:val="none"/>
          <w:lang w:val="en-US" w:eastAsia="zh-CN"/>
        </w:rPr>
        <w:t>；根据</w:t>
      </w:r>
      <w:r>
        <w:rPr>
          <w:rFonts w:hint="eastAsia" w:cs="Times New Roman"/>
          <w:color w:val="000000"/>
          <w:sz w:val="24"/>
          <w:szCs w:val="24"/>
          <w:highlight w:val="none"/>
          <w:lang w:val="en-US" w:eastAsia="zh-CN"/>
        </w:rPr>
        <w:t>《承德天宝矿业集团大昌矿业有限公司东北沟排土场建设项目区域环境质量现状检测报告》（ZXLN（T）202503025）</w:t>
      </w:r>
      <w:r>
        <w:rPr>
          <w:rFonts w:hint="eastAsia" w:ascii="Times New Roman" w:hAnsi="Times New Roman" w:cs="Times New Roman"/>
          <w:sz w:val="24"/>
          <w:szCs w:val="24"/>
          <w:highlight w:val="none"/>
          <w:lang w:val="en-US" w:eastAsia="zh-CN"/>
        </w:rPr>
        <w:t>、</w:t>
      </w:r>
      <w:r>
        <w:rPr>
          <w:rFonts w:ascii="Times New Roman"/>
          <w:sz w:val="24"/>
          <w:szCs w:val="24"/>
          <w:highlight w:val="none"/>
        </w:rPr>
        <w:t>引用</w:t>
      </w:r>
      <w:r>
        <w:rPr>
          <w:rFonts w:hint="default" w:ascii="Times New Roman" w:hAnsi="Times New Roman" w:cs="Times New Roman"/>
          <w:color w:val="000000"/>
          <w:sz w:val="24"/>
          <w:szCs w:val="32"/>
          <w:highlight w:val="none"/>
        </w:rPr>
        <w:t>《佰布沟与兰家沟尾矿库联合扩容项目区域环境质量现状监测》（（辽鹏环测）字PY2408625-001号）</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区域地</w:t>
      </w:r>
      <w:r>
        <w:rPr>
          <w:rFonts w:hint="default" w:ascii="Times New Roman" w:hAnsi="Times New Roman" w:cs="Times New Roman"/>
          <w:color w:val="auto"/>
          <w:sz w:val="24"/>
          <w:szCs w:val="24"/>
          <w:highlight w:val="none"/>
          <w:lang w:eastAsia="zh-CN"/>
        </w:rPr>
        <w:t>下</w:t>
      </w:r>
      <w:r>
        <w:rPr>
          <w:rFonts w:hint="default" w:ascii="Times New Roman" w:hAnsi="Times New Roman" w:cs="Times New Roman"/>
          <w:color w:val="auto"/>
          <w:sz w:val="24"/>
          <w:szCs w:val="24"/>
          <w:highlight w:val="none"/>
        </w:rPr>
        <w:t>水质量现状能够满足《地下水质量标准》（GB/T14848-</w:t>
      </w:r>
      <w:r>
        <w:rPr>
          <w:rFonts w:hint="default" w:ascii="Times New Roman" w:hAnsi="Times New Roman" w:cs="Times New Roman"/>
          <w:color w:val="auto"/>
          <w:sz w:val="24"/>
          <w:szCs w:val="24"/>
          <w:highlight w:val="none"/>
          <w:lang w:val="en-US" w:eastAsia="zh-CN"/>
        </w:rPr>
        <w:t>2017</w:t>
      </w:r>
      <w:r>
        <w:rPr>
          <w:rFonts w:hint="default" w:ascii="Times New Roman" w:hAnsi="Times New Roman" w:cs="Times New Roman"/>
          <w:color w:val="auto"/>
          <w:sz w:val="24"/>
          <w:szCs w:val="24"/>
          <w:highlight w:val="none"/>
        </w:rPr>
        <w:t>）中的Ⅲ类标准要求</w:t>
      </w:r>
      <w:r>
        <w:rPr>
          <w:rFonts w:hint="eastAsia" w:ascii="Times New Roman" w:hAnsi="Times New Roman" w:cs="Times New Roman"/>
          <w:sz w:val="24"/>
          <w:szCs w:val="24"/>
          <w:highlight w:val="none"/>
          <w:lang w:eastAsia="zh-CN"/>
        </w:rPr>
        <w:t>。</w:t>
      </w:r>
    </w:p>
    <w:p w14:paraId="6962EFD8">
      <w:pPr>
        <w:spacing w:line="360" w:lineRule="auto"/>
        <w:ind w:firstLine="48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val="en-US" w:eastAsia="zh-CN"/>
        </w:rPr>
        <w:t>根据</w:t>
      </w:r>
      <w:r>
        <w:rPr>
          <w:rFonts w:hint="eastAsia" w:cs="Times New Roman"/>
          <w:color w:val="000000"/>
          <w:sz w:val="24"/>
          <w:szCs w:val="24"/>
          <w:highlight w:val="none"/>
          <w:lang w:val="en-US" w:eastAsia="zh-CN"/>
        </w:rPr>
        <w:t>《承德天宝矿业集团大昌矿业有限公司东北沟排土场建设项目区域环境质量现状检测报告》（ZXLN（T）202503025）</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000000"/>
          <w:sz w:val="24"/>
          <w:szCs w:val="24"/>
          <w:highlight w:val="none"/>
        </w:rPr>
        <w:t>项目区域声环境质量现状满足《声环境质量标准》（GB3096-2008）中的2类标准要求</w:t>
      </w:r>
      <w:r>
        <w:rPr>
          <w:rFonts w:hint="eastAsia" w:ascii="Times New Roman" w:hAnsi="Times New Roman" w:cs="Times New Roman"/>
          <w:color w:val="000000"/>
          <w:sz w:val="24"/>
          <w:szCs w:val="24"/>
          <w:highlight w:val="none"/>
          <w:lang w:eastAsia="zh-CN"/>
        </w:rPr>
        <w:t>；</w:t>
      </w:r>
      <w:r>
        <w:rPr>
          <w:rFonts w:hint="default" w:ascii="Times New Roman" w:hAnsi="Times New Roman" w:cs="Times New Roman"/>
          <w:color w:val="auto"/>
          <w:sz w:val="24"/>
          <w:szCs w:val="24"/>
          <w:highlight w:val="none"/>
          <w:lang w:eastAsia="zh-CN"/>
        </w:rPr>
        <w:t>土壤的</w:t>
      </w:r>
      <w:r>
        <w:rPr>
          <w:rFonts w:hint="default" w:ascii="Times New Roman" w:hAnsi="Times New Roman" w:cs="Times New Roman"/>
          <w:color w:val="auto"/>
          <w:sz w:val="24"/>
          <w:szCs w:val="24"/>
          <w:highlight w:val="none"/>
        </w:rPr>
        <w:t>各项监测因子均</w:t>
      </w:r>
      <w:r>
        <w:rPr>
          <w:rFonts w:hint="default" w:ascii="Times New Roman" w:hAnsi="Times New Roman" w:cs="Times New Roman"/>
          <w:color w:val="auto"/>
          <w:sz w:val="24"/>
          <w:szCs w:val="24"/>
          <w:highlight w:val="none"/>
          <w:lang w:val="en-US" w:eastAsia="zh-CN"/>
        </w:rPr>
        <w:t>满足</w:t>
      </w:r>
      <w:r>
        <w:rPr>
          <w:rFonts w:hint="default" w:ascii="Times New Roman" w:hAnsi="Times New Roman" w:cs="Times New Roman"/>
          <w:sz w:val="24"/>
          <w:szCs w:val="24"/>
          <w:highlight w:val="none"/>
        </w:rPr>
        <w:t>《土壤环境质量 建设用地土壤污染风险管控标准（试行）》（GB 36600-2018）</w:t>
      </w:r>
      <w:r>
        <w:rPr>
          <w:rFonts w:hint="default" w:ascii="Times New Roman" w:hAnsi="Times New Roman" w:cs="Times New Roman"/>
          <w:sz w:val="24"/>
          <w:szCs w:val="24"/>
          <w:highlight w:val="none"/>
          <w:lang w:eastAsia="zh-CN"/>
        </w:rPr>
        <w:t>相关</w:t>
      </w:r>
      <w:r>
        <w:rPr>
          <w:rFonts w:hint="default" w:ascii="Times New Roman" w:hAnsi="Times New Roman" w:cs="Times New Roman"/>
          <w:sz w:val="24"/>
          <w:szCs w:val="24"/>
          <w:highlight w:val="none"/>
        </w:rPr>
        <w:t>标准</w:t>
      </w:r>
      <w:r>
        <w:rPr>
          <w:rFonts w:hint="eastAsia" w:ascii="Times New Roman" w:hAnsi="Times New Roman" w:cs="Times New Roman"/>
          <w:sz w:val="24"/>
          <w:szCs w:val="24"/>
          <w:highlight w:val="none"/>
          <w:lang w:eastAsia="zh-CN"/>
        </w:rPr>
        <w:t>、</w:t>
      </w:r>
      <w:r>
        <w:rPr>
          <w:rFonts w:hint="eastAsia" w:ascii="Times New Roman" w:hAnsi="Times New Roman" w:cs="Times New Roman"/>
          <w:color w:val="000000"/>
          <w:sz w:val="24"/>
          <w:szCs w:val="24"/>
          <w:highlight w:val="none"/>
          <w:lang w:eastAsia="zh-CN"/>
        </w:rPr>
        <w:t>《建设用地土壤污染风险筛选值》（DB13/T5216-2022）</w:t>
      </w:r>
      <w:r>
        <w:rPr>
          <w:rFonts w:hint="default" w:ascii="Times New Roman" w:hAnsi="Times New Roman" w:cs="Times New Roman"/>
          <w:sz w:val="24"/>
          <w:szCs w:val="24"/>
          <w:highlight w:val="none"/>
          <w:lang w:eastAsia="zh-CN"/>
        </w:rPr>
        <w:t>相关</w:t>
      </w:r>
      <w:r>
        <w:rPr>
          <w:rFonts w:hint="default" w:ascii="Times New Roman" w:hAnsi="Times New Roman" w:cs="Times New Roman"/>
          <w:sz w:val="24"/>
          <w:szCs w:val="24"/>
          <w:highlight w:val="none"/>
        </w:rPr>
        <w:t>标准</w:t>
      </w: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农用地</w:t>
      </w:r>
      <w:r>
        <w:rPr>
          <w:rFonts w:hint="default" w:ascii="Times New Roman" w:hAnsi="Times New Roman" w:cs="Times New Roman"/>
          <w:color w:val="auto"/>
          <w:sz w:val="24"/>
          <w:szCs w:val="24"/>
          <w:highlight w:val="none"/>
        </w:rPr>
        <w:t>各项监测因子均</w:t>
      </w:r>
      <w:r>
        <w:rPr>
          <w:rFonts w:hint="default" w:ascii="Times New Roman" w:hAnsi="Times New Roman" w:cs="Times New Roman"/>
          <w:color w:val="auto"/>
          <w:sz w:val="24"/>
          <w:szCs w:val="24"/>
          <w:highlight w:val="none"/>
          <w:lang w:val="en-US" w:eastAsia="zh-CN"/>
        </w:rPr>
        <w:t>满足</w:t>
      </w:r>
      <w:r>
        <w:rPr>
          <w:rFonts w:hint="default" w:ascii="Times New Roman" w:hAnsi="Times New Roman" w:cs="Times New Roman"/>
          <w:kern w:val="0"/>
          <w:sz w:val="24"/>
          <w:szCs w:val="24"/>
          <w:highlight w:val="none"/>
        </w:rPr>
        <w:t>《土壤环境质量 农用地土壤污染风险管控标准（试行）》（GB 15618-2018）</w:t>
      </w:r>
      <w:r>
        <w:rPr>
          <w:rFonts w:hint="default" w:ascii="Times New Roman" w:hAnsi="Times New Roman" w:cs="Times New Roman"/>
          <w:kern w:val="0"/>
          <w:sz w:val="24"/>
          <w:szCs w:val="24"/>
          <w:highlight w:val="none"/>
          <w:lang w:eastAsia="zh-CN"/>
        </w:rPr>
        <w:t>表</w:t>
      </w:r>
      <w:r>
        <w:rPr>
          <w:rFonts w:hint="default" w:ascii="Times New Roman" w:hAnsi="Times New Roman" w:cs="Times New Roman"/>
          <w:kern w:val="0"/>
          <w:sz w:val="24"/>
          <w:szCs w:val="24"/>
          <w:highlight w:val="none"/>
          <w:lang w:val="en-US" w:eastAsia="zh-CN"/>
        </w:rPr>
        <w:t>1风险筛选值</w:t>
      </w:r>
      <w:r>
        <w:rPr>
          <w:rFonts w:hint="default" w:ascii="Times New Roman" w:hAnsi="Times New Roman" w:cs="Times New Roman"/>
          <w:color w:val="000000"/>
          <w:sz w:val="24"/>
          <w:szCs w:val="24"/>
          <w:highlight w:val="none"/>
        </w:rPr>
        <w:t>。</w:t>
      </w:r>
    </w:p>
    <w:p w14:paraId="0F7A36FB">
      <w:pPr>
        <w:spacing w:line="360" w:lineRule="auto"/>
        <w:ind w:firstLine="48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项目建设后，通过对生产运行阶段的环境影响预测可知，项目各项污染物在采取了合理的治理、防护措施后，各项污染物均能达标排放，项目建设后对区域环境质量影响较小。</w:t>
      </w:r>
    </w:p>
    <w:p w14:paraId="6502E026">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r>
        <w:rPr>
          <w:rFonts w:hint="default" w:ascii="Times New Roman" w:hAnsi="Times New Roman" w:eastAsia="宋体" w:cs="Times New Roman"/>
          <w:b/>
          <w:color w:val="000000"/>
          <w:sz w:val="28"/>
          <w:szCs w:val="28"/>
          <w:highlight w:val="none"/>
        </w:rPr>
        <w:t>社会效益分析</w:t>
      </w:r>
      <w:bookmarkEnd w:id="380"/>
      <w:bookmarkEnd w:id="381"/>
      <w:bookmarkEnd w:id="382"/>
      <w:bookmarkEnd w:id="383"/>
      <w:bookmarkEnd w:id="384"/>
    </w:p>
    <w:p w14:paraId="1150C4CE">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（1）促进区域经济的发展</w:t>
      </w:r>
    </w:p>
    <w:p w14:paraId="403E00D8">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项目</w:t>
      </w:r>
      <w:r>
        <w:rPr>
          <w:rFonts w:hint="eastAsia" w:cs="Times New Roman"/>
          <w:color w:val="000000"/>
          <w:kern w:val="0"/>
          <w:sz w:val="24"/>
          <w:highlight w:val="none"/>
          <w:lang w:val="en-US" w:eastAsia="zh-CN"/>
        </w:rPr>
        <w:t>为采区、选厂配套排土场工程，项目</w:t>
      </w:r>
      <w:r>
        <w:rPr>
          <w:rFonts w:hint="default" w:ascii="Times New Roman" w:hAnsi="Times New Roman" w:cs="Times New Roman"/>
          <w:color w:val="000000"/>
          <w:kern w:val="0"/>
          <w:sz w:val="24"/>
          <w:highlight w:val="none"/>
          <w:lang w:val="zh-CN"/>
        </w:rPr>
        <w:t>实施可推动</w:t>
      </w:r>
      <w:r>
        <w:rPr>
          <w:rFonts w:hint="eastAsia" w:cs="Times New Roman"/>
          <w:color w:val="000000"/>
          <w:kern w:val="0"/>
          <w:sz w:val="24"/>
          <w:highlight w:val="none"/>
          <w:lang w:val="zh-CN"/>
        </w:rPr>
        <w:t>隆化县</w:t>
      </w:r>
      <w:r>
        <w:rPr>
          <w:rFonts w:hint="default" w:ascii="Times New Roman" w:hAnsi="Times New Roman" w:cs="Times New Roman"/>
          <w:color w:val="000000"/>
          <w:kern w:val="0"/>
          <w:sz w:val="24"/>
          <w:highlight w:val="none"/>
          <w:lang w:val="zh-CN"/>
        </w:rPr>
        <w:t>铁行业发展，带动周边地区运输业等相关行业的发展，进一步提升矿产资源的利用效率和资源价值，使</w:t>
      </w:r>
      <w:r>
        <w:rPr>
          <w:rFonts w:hint="eastAsia" w:cs="Times New Roman"/>
          <w:color w:val="000000"/>
          <w:kern w:val="0"/>
          <w:sz w:val="24"/>
          <w:highlight w:val="none"/>
          <w:lang w:val="en-US" w:eastAsia="zh-CN"/>
        </w:rPr>
        <w:t>隆化县</w:t>
      </w:r>
      <w:r>
        <w:rPr>
          <w:rFonts w:hint="default" w:ascii="Times New Roman" w:hAnsi="Times New Roman" w:cs="Times New Roman"/>
          <w:color w:val="000000"/>
          <w:kern w:val="0"/>
          <w:sz w:val="24"/>
          <w:highlight w:val="none"/>
          <w:lang w:val="zh-CN"/>
        </w:rPr>
        <w:t>的矿产资源优势更大限度的转化为经济发展优势促进区域经济的发展</w:t>
      </w:r>
      <w:r>
        <w:rPr>
          <w:rFonts w:hint="eastAsia" w:ascii="Times New Roman" w:hAnsi="Times New Roman" w:cs="Times New Roman"/>
          <w:color w:val="000000"/>
          <w:kern w:val="0"/>
          <w:sz w:val="24"/>
          <w:highlight w:val="none"/>
          <w:lang w:val="zh-CN"/>
        </w:rPr>
        <w:t>，</w:t>
      </w:r>
      <w:r>
        <w:rPr>
          <w:rFonts w:hint="default" w:ascii="Times New Roman" w:hAnsi="Times New Roman" w:cs="Times New Roman"/>
          <w:color w:val="000000"/>
          <w:kern w:val="0"/>
          <w:sz w:val="24"/>
          <w:highlight w:val="none"/>
          <w:lang w:val="zh-CN"/>
        </w:rPr>
        <w:t>促进区域经济的发展。同时，项目投产后将增加当地的财政收入，从而促进</w:t>
      </w:r>
      <w:r>
        <w:rPr>
          <w:rFonts w:hint="eastAsia" w:cs="Times New Roman"/>
          <w:color w:val="000000"/>
          <w:kern w:val="0"/>
          <w:sz w:val="24"/>
          <w:highlight w:val="none"/>
          <w:lang w:val="zh-CN"/>
        </w:rPr>
        <w:t>隆化县</w:t>
      </w:r>
      <w:r>
        <w:rPr>
          <w:rFonts w:hint="default" w:ascii="Times New Roman" w:hAnsi="Times New Roman" w:cs="Times New Roman"/>
          <w:color w:val="000000"/>
          <w:kern w:val="0"/>
          <w:sz w:val="24"/>
          <w:highlight w:val="none"/>
          <w:lang w:val="zh-CN"/>
        </w:rPr>
        <w:t>市政建设的发展，为今后引进外资，创造良好的投资环境。</w:t>
      </w:r>
    </w:p>
    <w:p w14:paraId="1375E2BB">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（2）提高当地就业率</w:t>
      </w:r>
    </w:p>
    <w:p w14:paraId="304782D5">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项目的实施，为当地提供一定的就业岗位，而且通过带动当地相关产业的发展，提高当地就业率，增加居民收入，有利于改善居民生活水平。</w:t>
      </w:r>
    </w:p>
    <w:p w14:paraId="7D33AE44">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综合以上分析，项目具有较好的社会效益。</w:t>
      </w:r>
    </w:p>
    <w:p w14:paraId="345C7A9B">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bookmarkStart w:id="392" w:name="_Toc25030"/>
      <w:bookmarkStart w:id="393" w:name="_Toc3310"/>
      <w:bookmarkStart w:id="394" w:name="_Toc11067"/>
      <w:bookmarkStart w:id="395" w:name="_Toc31487"/>
      <w:bookmarkStart w:id="396" w:name="_Toc14163"/>
      <w:r>
        <w:rPr>
          <w:rFonts w:hint="default" w:ascii="Times New Roman" w:hAnsi="Times New Roman" w:eastAsia="宋体" w:cs="Times New Roman"/>
          <w:b/>
          <w:color w:val="000000"/>
          <w:sz w:val="28"/>
          <w:szCs w:val="28"/>
          <w:highlight w:val="none"/>
        </w:rPr>
        <w:t>经济效益分析</w:t>
      </w:r>
      <w:bookmarkEnd w:id="392"/>
      <w:bookmarkEnd w:id="393"/>
      <w:bookmarkEnd w:id="394"/>
      <w:bookmarkEnd w:id="395"/>
      <w:bookmarkEnd w:id="396"/>
    </w:p>
    <w:p w14:paraId="59D0B649">
      <w:pPr>
        <w:pStyle w:val="147"/>
        <w:pageBreakBefore w:val="0"/>
        <w:kinsoku/>
        <w:wordWrap/>
        <w:overflowPunct/>
        <w:topLinePunct w:val="0"/>
        <w:autoSpaceDE/>
        <w:autoSpaceDN/>
        <w:bidi w:val="0"/>
        <w:adjustRightInd/>
        <w:snapToGrid/>
        <w:ind w:firstLine="480"/>
        <w:textAlignment w:val="auto"/>
        <w:rPr>
          <w:rFonts w:hint="eastAsia" w:cs="Times New Roman"/>
          <w:b w:val="0"/>
          <w:bCs w:val="0"/>
          <w:color w:val="auto"/>
          <w:sz w:val="24"/>
          <w:szCs w:val="24"/>
          <w:highlight w:val="none"/>
          <w:lang w:val="en-US" w:eastAsia="zh-CN"/>
        </w:rPr>
      </w:pPr>
      <w:r>
        <w:rPr>
          <w:rFonts w:hint="default" w:ascii="Times New Roman" w:hAnsi="Times New Roman" w:cs="Times New Roman"/>
          <w:sz w:val="24"/>
          <w:szCs w:val="24"/>
          <w:highlight w:val="none"/>
          <w:lang w:val="en-US" w:eastAsia="zh-CN"/>
        </w:rPr>
        <w:t>根据</w:t>
      </w:r>
      <w:r>
        <w:rPr>
          <w:rFonts w:hint="default" w:ascii="Times New Roman" w:hAnsi="Times New Roman" w:cs="Times New Roman"/>
          <w:sz w:val="24"/>
          <w:szCs w:val="24"/>
          <w:highlight w:val="none"/>
          <w:lang w:eastAsia="zh-CN"/>
        </w:rPr>
        <w:t>《承德天宝矿业集团大昌矿业有限公司东北沟排土场建设项目初步设计》（铜源国际工程设计研究有限公司，2025年3月）</w:t>
      </w:r>
      <w:r>
        <w:rPr>
          <w:rFonts w:hint="default" w:ascii="Times New Roman" w:hAnsi="Times New Roman" w:cs="Times New Roman"/>
          <w:color w:val="000000"/>
          <w:highlight w:val="none"/>
        </w:rPr>
        <w:t>，项目概算总投资为2495.5万元，其中工程</w:t>
      </w:r>
      <w:r>
        <w:rPr>
          <w:rFonts w:hint="eastAsia" w:ascii="Times New Roman" w:hAnsi="Times New Roman" w:cs="Times New Roman"/>
          <w:color w:val="000000"/>
          <w:highlight w:val="none"/>
          <w:lang w:val="en-US" w:eastAsia="zh-CN"/>
        </w:rPr>
        <w:t>建设</w:t>
      </w:r>
      <w:r>
        <w:rPr>
          <w:rFonts w:hint="default" w:ascii="Times New Roman" w:hAnsi="Times New Roman" w:cs="Times New Roman"/>
          <w:color w:val="000000"/>
          <w:highlight w:val="none"/>
        </w:rPr>
        <w:t>费用为1962.1万元，其它费用266.0万元，预备费267.4万元。</w:t>
      </w:r>
      <w:r>
        <w:rPr>
          <w:rFonts w:hint="eastAsia" w:ascii="Times New Roman" w:hAnsi="Times New Roman" w:cs="Times New Roman"/>
          <w:color w:val="000000"/>
          <w:sz w:val="24"/>
          <w:highlight w:val="none"/>
          <w:lang w:val="en-US" w:eastAsia="zh-CN"/>
        </w:rPr>
        <w:t>本项目</w:t>
      </w:r>
      <w:r>
        <w:rPr>
          <w:rFonts w:hint="eastAsia" w:cs="Times New Roman"/>
          <w:color w:val="000000"/>
          <w:kern w:val="0"/>
          <w:sz w:val="24"/>
          <w:highlight w:val="none"/>
          <w:lang w:val="en-US" w:eastAsia="zh-CN"/>
        </w:rPr>
        <w:t>为采区、选厂配套排土场工程，采区</w:t>
      </w:r>
      <w:r>
        <w:rPr>
          <w:rFonts w:hint="eastAsia" w:cs="Times New Roman"/>
          <w:snapToGrid w:val="0"/>
          <w:kern w:val="0"/>
          <w:sz w:val="24"/>
          <w:szCs w:val="24"/>
          <w:highlight w:val="none"/>
          <w:lang w:val="en-US" w:eastAsia="zh-CN"/>
        </w:rPr>
        <w:t>开采能力为</w:t>
      </w:r>
      <w:r>
        <w:rPr>
          <w:rFonts w:hint="default" w:ascii="Times New Roman" w:hAnsi="Times New Roman" w:cs="Times New Roman"/>
          <w:snapToGrid w:val="0"/>
          <w:kern w:val="0"/>
          <w:sz w:val="24"/>
          <w:szCs w:val="24"/>
          <w:highlight w:val="none"/>
          <w:lang w:val="en-US" w:eastAsia="zh-CN"/>
        </w:rPr>
        <w:t>240万</w:t>
      </w:r>
      <w:r>
        <w:rPr>
          <w:rFonts w:hint="default" w:ascii="Times New Roman" w:hAnsi="Times New Roman" w:cs="Times New Roman"/>
          <w:sz w:val="24"/>
          <w:szCs w:val="32"/>
          <w:highlight w:val="none"/>
        </w:rPr>
        <w:t>t/a</w:t>
      </w:r>
      <w:r>
        <w:rPr>
          <w:rFonts w:hint="default" w:ascii="Times New Roman" w:hAnsi="Times New Roman" w:cs="Times New Roman"/>
          <w:sz w:val="24"/>
          <w:szCs w:val="24"/>
          <w:highlight w:val="none"/>
        </w:rPr>
        <w:t>，</w:t>
      </w:r>
      <w:r>
        <w:rPr>
          <w:rFonts w:hint="default" w:ascii="Times New Roman" w:hAnsi="Times New Roman" w:cs="Times New Roman"/>
          <w:color w:val="000000"/>
          <w:kern w:val="0"/>
          <w:sz w:val="24"/>
          <w:highlight w:val="none"/>
          <w:lang w:val="en-US" w:eastAsia="zh-CN"/>
        </w:rPr>
        <w:t>选厂年处理铁矿石120万t，年产铁精粉20万t、磷精粉10万t</w:t>
      </w:r>
      <w:r>
        <w:rPr>
          <w:rFonts w:hint="eastAsia" w:ascii="Times New Roman" w:hAnsi="Times New Roman" w:cs="Times New Roman"/>
          <w:color w:val="000000"/>
          <w:kern w:val="0"/>
          <w:sz w:val="24"/>
          <w:highlight w:val="none"/>
          <w:lang w:val="en-US" w:eastAsia="zh-CN"/>
        </w:rPr>
        <w:t>，项目建设为采区、选厂带来良好的经济效益，且排土场</w:t>
      </w:r>
      <w:r>
        <w:rPr>
          <w:rFonts w:hint="default" w:ascii="Times New Roman" w:hAnsi="Times New Roman" w:cs="Times New Roman"/>
          <w:color w:val="000000"/>
          <w:sz w:val="24"/>
          <w:highlight w:val="none"/>
        </w:rPr>
        <w:t>封场后</w:t>
      </w:r>
      <w:r>
        <w:rPr>
          <w:rFonts w:hint="eastAsia" w:ascii="Times New Roman" w:hAnsi="Times New Roman" w:cs="Times New Roman"/>
          <w:color w:val="000000"/>
          <w:sz w:val="24"/>
          <w:highlight w:val="none"/>
          <w:lang w:val="en-US" w:eastAsia="zh-CN"/>
        </w:rPr>
        <w:t>进行生态恢复</w:t>
      </w:r>
      <w:r>
        <w:rPr>
          <w:rFonts w:hint="default" w:ascii="Times New Roman" w:hAnsi="Times New Roman" w:cs="Times New Roman"/>
          <w:color w:val="000000"/>
          <w:sz w:val="24"/>
          <w:highlight w:val="none"/>
        </w:rPr>
        <w:t>，</w:t>
      </w:r>
      <w:r>
        <w:rPr>
          <w:rFonts w:hint="eastAsia" w:cs="Times New Roman"/>
          <w:b w:val="0"/>
          <w:bCs w:val="0"/>
          <w:color w:val="auto"/>
          <w:sz w:val="24"/>
          <w:szCs w:val="24"/>
          <w:highlight w:val="none"/>
          <w:lang w:val="en-US" w:eastAsia="zh-CN"/>
        </w:rPr>
        <w:t>可种植枣树、沙棘等经济作物，可为企业带来一定的经济收入。</w:t>
      </w:r>
    </w:p>
    <w:p w14:paraId="10B2BA3D">
      <w:pPr>
        <w:pStyle w:val="147"/>
        <w:pageBreakBefore w:val="0"/>
        <w:kinsoku/>
        <w:wordWrap/>
        <w:overflowPunct/>
        <w:topLinePunct w:val="0"/>
        <w:autoSpaceDE/>
        <w:autoSpaceDN/>
        <w:bidi w:val="0"/>
        <w:adjustRightInd/>
        <w:snapToGrid/>
        <w:ind w:firstLine="48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综上所述，项目具有一定的经济效益。</w:t>
      </w:r>
    </w:p>
    <w:p w14:paraId="5FC397A8">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r>
        <w:rPr>
          <w:rFonts w:hint="default" w:ascii="Times New Roman" w:hAnsi="Times New Roman" w:eastAsia="宋体" w:cs="Times New Roman"/>
          <w:b/>
          <w:color w:val="000000"/>
          <w:sz w:val="28"/>
          <w:szCs w:val="28"/>
          <w:highlight w:val="none"/>
        </w:rPr>
        <w:t>环境经济损益分析</w:t>
      </w:r>
    </w:p>
    <w:p w14:paraId="36CC44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Ansi="宋体"/>
          <w:color w:val="000000"/>
          <w:sz w:val="24"/>
          <w:szCs w:val="24"/>
          <w:highlight w:val="none"/>
        </w:rPr>
      </w:pPr>
      <w:bookmarkStart w:id="397" w:name="_Toc7115"/>
      <w:r>
        <w:rPr>
          <w:rFonts w:hint="eastAsia" w:hAnsi="宋体"/>
          <w:color w:val="000000"/>
          <w:sz w:val="24"/>
          <w:szCs w:val="24"/>
          <w:highlight w:val="none"/>
          <w:lang w:eastAsia="zh-CN"/>
        </w:rPr>
        <w:t>（</w:t>
      </w:r>
      <w:r>
        <w:rPr>
          <w:rFonts w:hint="eastAsia" w:hAnsi="宋体"/>
          <w:color w:val="000000"/>
          <w:sz w:val="24"/>
          <w:szCs w:val="24"/>
          <w:highlight w:val="none"/>
          <w:lang w:val="en-US" w:eastAsia="zh-CN"/>
        </w:rPr>
        <w:t>1</w:t>
      </w:r>
      <w:r>
        <w:rPr>
          <w:rFonts w:hint="eastAsia" w:hAnsi="宋体"/>
          <w:color w:val="000000"/>
          <w:sz w:val="24"/>
          <w:szCs w:val="24"/>
          <w:highlight w:val="none"/>
          <w:lang w:eastAsia="zh-CN"/>
        </w:rPr>
        <w:t>）</w:t>
      </w:r>
      <w:r>
        <w:rPr>
          <w:rFonts w:hint="eastAsia" w:hAnsi="宋体"/>
          <w:color w:val="000000"/>
          <w:sz w:val="24"/>
          <w:szCs w:val="24"/>
          <w:highlight w:val="none"/>
        </w:rPr>
        <w:t>环保投资</w:t>
      </w:r>
      <w:bookmarkEnd w:id="397"/>
    </w:p>
    <w:p w14:paraId="6AAA07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拟建工程环保投资为</w:t>
      </w:r>
      <w:r>
        <w:rPr>
          <w:rFonts w:hint="eastAsia" w:hAnsi="宋体"/>
          <w:color w:val="000000"/>
          <w:sz w:val="24"/>
          <w:szCs w:val="24"/>
          <w:highlight w:val="none"/>
          <w:lang w:val="en-US" w:eastAsia="zh-CN"/>
        </w:rPr>
        <w:t>200</w:t>
      </w:r>
      <w:r>
        <w:rPr>
          <w:rFonts w:hint="eastAsia" w:hAnsi="宋体"/>
          <w:color w:val="000000"/>
          <w:sz w:val="24"/>
          <w:szCs w:val="24"/>
          <w:highlight w:val="none"/>
        </w:rPr>
        <w:t>万元，主要用于污染物治理设施及</w:t>
      </w:r>
      <w:r>
        <w:rPr>
          <w:rFonts w:hint="eastAsia" w:hAnsi="宋体"/>
          <w:color w:val="000000"/>
          <w:sz w:val="24"/>
          <w:szCs w:val="24"/>
          <w:highlight w:val="none"/>
          <w:lang w:val="en-US" w:eastAsia="zh-CN"/>
        </w:rPr>
        <w:t>生态恢复</w:t>
      </w:r>
      <w:r>
        <w:rPr>
          <w:rFonts w:hint="eastAsia" w:hAnsi="宋体"/>
          <w:color w:val="000000"/>
          <w:sz w:val="24"/>
          <w:szCs w:val="24"/>
          <w:highlight w:val="none"/>
        </w:rPr>
        <w:t>等。</w:t>
      </w:r>
    </w:p>
    <w:p w14:paraId="69D4EE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Ansi="宋体"/>
          <w:color w:val="000000"/>
          <w:sz w:val="24"/>
          <w:szCs w:val="24"/>
          <w:highlight w:val="none"/>
        </w:rPr>
      </w:pPr>
      <w:bookmarkStart w:id="398" w:name="_Toc20671"/>
      <w:r>
        <w:rPr>
          <w:rFonts w:hint="eastAsia" w:hAnsi="宋体"/>
          <w:color w:val="000000"/>
          <w:sz w:val="24"/>
          <w:szCs w:val="24"/>
          <w:highlight w:val="none"/>
          <w:lang w:eastAsia="zh-CN"/>
        </w:rPr>
        <w:t>（</w:t>
      </w:r>
      <w:r>
        <w:rPr>
          <w:rFonts w:hint="eastAsia" w:hAnsi="宋体"/>
          <w:color w:val="000000"/>
          <w:sz w:val="24"/>
          <w:szCs w:val="24"/>
          <w:highlight w:val="none"/>
          <w:lang w:val="en-US" w:eastAsia="zh-CN"/>
        </w:rPr>
        <w:t>2</w:t>
      </w:r>
      <w:r>
        <w:rPr>
          <w:rFonts w:hint="eastAsia" w:hAnsi="宋体"/>
          <w:color w:val="000000"/>
          <w:sz w:val="24"/>
          <w:szCs w:val="24"/>
          <w:highlight w:val="none"/>
          <w:lang w:eastAsia="zh-CN"/>
        </w:rPr>
        <w:t>）</w:t>
      </w:r>
      <w:r>
        <w:rPr>
          <w:rFonts w:hint="eastAsia" w:hAnsi="宋体"/>
          <w:color w:val="000000"/>
          <w:sz w:val="24"/>
          <w:szCs w:val="24"/>
          <w:highlight w:val="none"/>
        </w:rPr>
        <w:t>环保投资效益分析</w:t>
      </w:r>
      <w:bookmarkEnd w:id="398"/>
    </w:p>
    <w:p w14:paraId="29D6E0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环保设施经营支出包括环保设施折旧费、运行费和环保设施管理费。</w:t>
      </w:r>
    </w:p>
    <w:p w14:paraId="12E410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Ansi="宋体"/>
          <w:color w:val="000000"/>
          <w:sz w:val="24"/>
          <w:szCs w:val="24"/>
          <w:highlight w:val="none"/>
        </w:rPr>
        <w:t>①</w:t>
      </w:r>
      <w:r>
        <w:rPr>
          <w:rFonts w:hint="eastAsia" w:hAnsi="宋体"/>
          <w:color w:val="000000"/>
          <w:sz w:val="24"/>
          <w:szCs w:val="24"/>
          <w:highlight w:val="none"/>
        </w:rPr>
        <w:t>环保设施折旧费C</w:t>
      </w:r>
      <w:r>
        <w:rPr>
          <w:rFonts w:hint="eastAsia" w:hAnsi="宋体"/>
          <w:color w:val="000000"/>
          <w:sz w:val="24"/>
          <w:szCs w:val="24"/>
          <w:highlight w:val="none"/>
          <w:vertAlign w:val="subscript"/>
        </w:rPr>
        <w:t>1</w:t>
      </w:r>
    </w:p>
    <w:p w14:paraId="3CCCDF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C</w:t>
      </w:r>
      <w:r>
        <w:rPr>
          <w:rFonts w:hint="eastAsia" w:hAnsi="宋体"/>
          <w:color w:val="000000"/>
          <w:sz w:val="24"/>
          <w:szCs w:val="24"/>
          <w:highlight w:val="none"/>
          <w:vertAlign w:val="subscript"/>
        </w:rPr>
        <w:t>1</w:t>
      </w:r>
      <w:r>
        <w:rPr>
          <w:rFonts w:hint="eastAsia" w:hAnsi="宋体"/>
          <w:color w:val="000000"/>
          <w:sz w:val="24"/>
          <w:szCs w:val="24"/>
          <w:highlight w:val="none"/>
        </w:rPr>
        <w:t>=</w:t>
      </w:r>
      <w:r>
        <w:rPr>
          <w:rFonts w:hAnsi="宋体"/>
          <w:color w:val="000000"/>
          <w:sz w:val="24"/>
          <w:szCs w:val="24"/>
          <w:highlight w:val="none"/>
        </w:rPr>
        <w:t>a×C</w:t>
      </w:r>
      <w:r>
        <w:rPr>
          <w:rFonts w:hAnsi="宋体"/>
          <w:color w:val="000000"/>
          <w:sz w:val="24"/>
          <w:szCs w:val="24"/>
          <w:highlight w:val="none"/>
          <w:vertAlign w:val="subscript"/>
        </w:rPr>
        <w:t>o</w:t>
      </w:r>
      <w:r>
        <w:rPr>
          <w:rFonts w:hAnsi="宋体"/>
          <w:color w:val="000000"/>
          <w:sz w:val="24"/>
          <w:szCs w:val="24"/>
          <w:highlight w:val="none"/>
        </w:rPr>
        <w:t>/n</w:t>
      </w:r>
    </w:p>
    <w:p w14:paraId="1477CA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式中：</w:t>
      </w:r>
      <w:r>
        <w:rPr>
          <w:rFonts w:hAnsi="宋体"/>
          <w:color w:val="000000"/>
          <w:sz w:val="24"/>
          <w:szCs w:val="24"/>
          <w:highlight w:val="none"/>
        </w:rPr>
        <w:t>a</w:t>
      </w:r>
      <w:r>
        <w:rPr>
          <w:rFonts w:hint="eastAsia" w:hAnsi="宋体"/>
          <w:color w:val="000000"/>
          <w:sz w:val="24"/>
          <w:szCs w:val="24"/>
          <w:highlight w:val="none"/>
        </w:rPr>
        <w:t>——固定资产形成率，取</w:t>
      </w:r>
      <w:r>
        <w:rPr>
          <w:rFonts w:hAnsi="宋体"/>
          <w:color w:val="000000"/>
          <w:sz w:val="24"/>
          <w:szCs w:val="24"/>
          <w:highlight w:val="none"/>
        </w:rPr>
        <w:t>95%</w:t>
      </w:r>
      <w:r>
        <w:rPr>
          <w:rFonts w:hint="eastAsia" w:hAnsi="宋体"/>
          <w:color w:val="000000"/>
          <w:sz w:val="24"/>
          <w:szCs w:val="24"/>
          <w:highlight w:val="none"/>
        </w:rPr>
        <w:t>；</w:t>
      </w:r>
    </w:p>
    <w:p w14:paraId="1E298B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C</w:t>
      </w:r>
      <w:r>
        <w:rPr>
          <w:rFonts w:hAnsi="宋体"/>
          <w:color w:val="000000"/>
          <w:sz w:val="24"/>
          <w:szCs w:val="24"/>
          <w:highlight w:val="none"/>
          <w:vertAlign w:val="subscript"/>
        </w:rPr>
        <w:t>o</w:t>
      </w:r>
      <w:r>
        <w:rPr>
          <w:rFonts w:hint="eastAsia" w:hAnsi="宋体"/>
          <w:color w:val="000000"/>
          <w:sz w:val="24"/>
          <w:szCs w:val="24"/>
          <w:highlight w:val="none"/>
        </w:rPr>
        <w:t>——环保总投资(万元)；</w:t>
      </w:r>
    </w:p>
    <w:p w14:paraId="0430E4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Ansi="宋体"/>
          <w:color w:val="000000"/>
          <w:sz w:val="24"/>
          <w:szCs w:val="24"/>
          <w:highlight w:val="none"/>
        </w:rPr>
        <w:t>n</w:t>
      </w:r>
      <w:r>
        <w:rPr>
          <w:rFonts w:hint="eastAsia" w:hAnsi="宋体"/>
          <w:color w:val="000000"/>
          <w:sz w:val="24"/>
          <w:szCs w:val="24"/>
          <w:highlight w:val="none"/>
        </w:rPr>
        <w:t>——折旧年限，取</w:t>
      </w:r>
      <w:r>
        <w:rPr>
          <w:rFonts w:hint="eastAsia" w:hAnsi="宋体"/>
          <w:color w:val="000000"/>
          <w:sz w:val="24"/>
          <w:szCs w:val="24"/>
          <w:highlight w:val="none"/>
          <w:lang w:val="en-US" w:eastAsia="zh-CN"/>
        </w:rPr>
        <w:t>5</w:t>
      </w:r>
      <w:r>
        <w:rPr>
          <w:rFonts w:hint="eastAsia" w:hAnsi="宋体"/>
          <w:color w:val="000000"/>
          <w:sz w:val="24"/>
          <w:szCs w:val="24"/>
          <w:highlight w:val="none"/>
        </w:rPr>
        <w:t>年；</w:t>
      </w:r>
    </w:p>
    <w:p w14:paraId="7AC791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Ansi="宋体"/>
          <w:color w:val="000000"/>
          <w:sz w:val="24"/>
          <w:szCs w:val="24"/>
          <w:highlight w:val="none"/>
        </w:rPr>
        <w:t>②</w:t>
      </w:r>
      <w:r>
        <w:rPr>
          <w:rFonts w:hint="eastAsia" w:hAnsi="宋体"/>
          <w:color w:val="000000"/>
          <w:sz w:val="24"/>
          <w:szCs w:val="24"/>
          <w:highlight w:val="none"/>
        </w:rPr>
        <w:t>环保设施运行费用C</w:t>
      </w:r>
      <w:r>
        <w:rPr>
          <w:rFonts w:hint="eastAsia" w:hAnsi="宋体"/>
          <w:color w:val="000000"/>
          <w:sz w:val="24"/>
          <w:szCs w:val="24"/>
          <w:highlight w:val="none"/>
          <w:vertAlign w:val="subscript"/>
        </w:rPr>
        <w:t>2</w:t>
      </w:r>
    </w:p>
    <w:p w14:paraId="081CAB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参照国内其它企业的有关资料，环保及综合利用设施的年运行费可按环保总投资的</w:t>
      </w:r>
      <w:r>
        <w:rPr>
          <w:rFonts w:hAnsi="宋体"/>
          <w:color w:val="000000"/>
          <w:sz w:val="24"/>
          <w:szCs w:val="24"/>
          <w:highlight w:val="none"/>
        </w:rPr>
        <w:t>15%</w:t>
      </w:r>
      <w:r>
        <w:rPr>
          <w:rFonts w:hint="eastAsia" w:hAnsi="宋体"/>
          <w:color w:val="000000"/>
          <w:sz w:val="24"/>
          <w:szCs w:val="24"/>
          <w:highlight w:val="none"/>
        </w:rPr>
        <w:t>计算。</w:t>
      </w:r>
    </w:p>
    <w:p w14:paraId="442AA6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C</w:t>
      </w:r>
      <w:r>
        <w:rPr>
          <w:rFonts w:hint="eastAsia" w:hAnsi="宋体"/>
          <w:color w:val="000000"/>
          <w:sz w:val="24"/>
          <w:szCs w:val="24"/>
          <w:highlight w:val="none"/>
          <w:vertAlign w:val="subscript"/>
        </w:rPr>
        <w:t>2</w:t>
      </w:r>
      <w:r>
        <w:rPr>
          <w:rFonts w:hint="eastAsia" w:hAnsi="宋体"/>
          <w:color w:val="000000"/>
          <w:sz w:val="24"/>
          <w:szCs w:val="24"/>
          <w:highlight w:val="none"/>
        </w:rPr>
        <w:t>=C</w:t>
      </w:r>
      <w:r>
        <w:rPr>
          <w:rFonts w:hint="eastAsia" w:hAnsi="宋体"/>
          <w:color w:val="000000"/>
          <w:sz w:val="24"/>
          <w:szCs w:val="24"/>
          <w:highlight w:val="none"/>
          <w:vertAlign w:val="subscript"/>
        </w:rPr>
        <w:t>O</w:t>
      </w:r>
      <w:r>
        <w:rPr>
          <w:rFonts w:hAnsi="宋体"/>
          <w:color w:val="000000"/>
          <w:sz w:val="24"/>
          <w:szCs w:val="24"/>
          <w:highlight w:val="none"/>
        </w:rPr>
        <w:t>×</w:t>
      </w:r>
      <w:r>
        <w:rPr>
          <w:rFonts w:hint="eastAsia" w:hAnsi="宋体"/>
          <w:color w:val="000000"/>
          <w:sz w:val="24"/>
          <w:szCs w:val="24"/>
          <w:highlight w:val="none"/>
        </w:rPr>
        <w:t>15%</w:t>
      </w:r>
    </w:p>
    <w:p w14:paraId="0F76D6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Ansi="宋体"/>
          <w:color w:val="000000"/>
          <w:sz w:val="24"/>
          <w:szCs w:val="24"/>
          <w:highlight w:val="none"/>
        </w:rPr>
        <w:t>③</w:t>
      </w:r>
      <w:r>
        <w:rPr>
          <w:rFonts w:hint="eastAsia" w:hAnsi="宋体"/>
          <w:color w:val="000000"/>
          <w:sz w:val="24"/>
          <w:szCs w:val="24"/>
          <w:highlight w:val="none"/>
        </w:rPr>
        <w:t>环保管理费用C</w:t>
      </w:r>
      <w:r>
        <w:rPr>
          <w:rFonts w:hint="eastAsia" w:hAnsi="宋体"/>
          <w:color w:val="000000"/>
          <w:sz w:val="24"/>
          <w:szCs w:val="24"/>
          <w:highlight w:val="none"/>
          <w:vertAlign w:val="subscript"/>
        </w:rPr>
        <w:t>3</w:t>
      </w:r>
    </w:p>
    <w:p w14:paraId="1E413B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环保设施管理费用可按运行费用和折旧费用之和的15%考虑，即：</w:t>
      </w:r>
    </w:p>
    <w:p w14:paraId="4BB495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C</w:t>
      </w:r>
      <w:r>
        <w:rPr>
          <w:rFonts w:hint="eastAsia" w:hAnsi="宋体"/>
          <w:color w:val="000000"/>
          <w:sz w:val="24"/>
          <w:szCs w:val="24"/>
          <w:highlight w:val="none"/>
          <w:vertAlign w:val="subscript"/>
        </w:rPr>
        <w:t>3</w:t>
      </w:r>
      <w:r>
        <w:rPr>
          <w:rFonts w:hint="eastAsia" w:hAnsi="宋体"/>
          <w:color w:val="000000"/>
          <w:sz w:val="24"/>
          <w:szCs w:val="24"/>
          <w:highlight w:val="none"/>
        </w:rPr>
        <w:t>=(C</w:t>
      </w:r>
      <w:r>
        <w:rPr>
          <w:rFonts w:hint="eastAsia" w:hAnsi="宋体"/>
          <w:color w:val="000000"/>
          <w:sz w:val="24"/>
          <w:szCs w:val="24"/>
          <w:highlight w:val="none"/>
          <w:vertAlign w:val="subscript"/>
        </w:rPr>
        <w:t>1</w:t>
      </w:r>
      <w:r>
        <w:rPr>
          <w:rFonts w:hAnsi="宋体"/>
          <w:color w:val="000000"/>
          <w:sz w:val="24"/>
          <w:szCs w:val="24"/>
          <w:highlight w:val="none"/>
        </w:rPr>
        <w:t>+</w:t>
      </w:r>
      <w:r>
        <w:rPr>
          <w:rFonts w:hint="eastAsia" w:hAnsi="宋体"/>
          <w:color w:val="000000"/>
          <w:sz w:val="24"/>
          <w:szCs w:val="24"/>
          <w:highlight w:val="none"/>
        </w:rPr>
        <w:t>C</w:t>
      </w:r>
      <w:r>
        <w:rPr>
          <w:rFonts w:hint="eastAsia" w:hAnsi="宋体"/>
          <w:color w:val="000000"/>
          <w:sz w:val="24"/>
          <w:szCs w:val="24"/>
          <w:highlight w:val="none"/>
          <w:vertAlign w:val="subscript"/>
        </w:rPr>
        <w:t>2</w:t>
      </w:r>
      <w:r>
        <w:rPr>
          <w:rFonts w:hint="eastAsia" w:hAnsi="宋体"/>
          <w:color w:val="000000"/>
          <w:sz w:val="24"/>
          <w:szCs w:val="24"/>
          <w:highlight w:val="none"/>
        </w:rPr>
        <w:t>)</w:t>
      </w:r>
      <w:r>
        <w:rPr>
          <w:rFonts w:hAnsi="宋体"/>
          <w:color w:val="000000"/>
          <w:sz w:val="24"/>
          <w:szCs w:val="24"/>
          <w:highlight w:val="none"/>
        </w:rPr>
        <w:t>×</w:t>
      </w:r>
      <w:r>
        <w:rPr>
          <w:rFonts w:hint="eastAsia" w:hAnsi="宋体"/>
          <w:color w:val="000000"/>
          <w:sz w:val="24"/>
          <w:szCs w:val="24"/>
          <w:highlight w:val="none"/>
        </w:rPr>
        <w:t>15%</w:t>
      </w:r>
    </w:p>
    <w:p w14:paraId="388F45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Ansi="宋体"/>
          <w:color w:val="000000"/>
          <w:sz w:val="24"/>
          <w:szCs w:val="24"/>
          <w:highlight w:val="none"/>
        </w:rPr>
        <w:t>④</w:t>
      </w:r>
      <w:r>
        <w:rPr>
          <w:rFonts w:hint="eastAsia" w:hAnsi="宋体"/>
          <w:color w:val="000000"/>
          <w:sz w:val="24"/>
          <w:szCs w:val="24"/>
          <w:highlight w:val="none"/>
        </w:rPr>
        <w:t>环保设施经营支出C</w:t>
      </w:r>
    </w:p>
    <w:p w14:paraId="485048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环保设施经营支出为上述C</w:t>
      </w:r>
      <w:r>
        <w:rPr>
          <w:rFonts w:hint="eastAsia" w:hAnsi="宋体"/>
          <w:color w:val="000000"/>
          <w:sz w:val="24"/>
          <w:szCs w:val="24"/>
          <w:highlight w:val="none"/>
          <w:vertAlign w:val="subscript"/>
        </w:rPr>
        <w:t>1</w:t>
      </w:r>
      <w:r>
        <w:rPr>
          <w:rFonts w:hint="eastAsia" w:hAnsi="宋体"/>
          <w:color w:val="000000"/>
          <w:sz w:val="24"/>
          <w:szCs w:val="24"/>
          <w:highlight w:val="none"/>
        </w:rPr>
        <w:t>、C</w:t>
      </w:r>
      <w:r>
        <w:rPr>
          <w:rFonts w:hint="eastAsia" w:hAnsi="宋体"/>
          <w:color w:val="000000"/>
          <w:sz w:val="24"/>
          <w:szCs w:val="24"/>
          <w:highlight w:val="none"/>
          <w:vertAlign w:val="subscript"/>
        </w:rPr>
        <w:t>2</w:t>
      </w:r>
      <w:r>
        <w:rPr>
          <w:rFonts w:hint="eastAsia" w:hAnsi="宋体"/>
          <w:color w:val="000000"/>
          <w:sz w:val="24"/>
          <w:szCs w:val="24"/>
          <w:highlight w:val="none"/>
        </w:rPr>
        <w:t>、C</w:t>
      </w:r>
      <w:r>
        <w:rPr>
          <w:rFonts w:hint="eastAsia" w:hAnsi="宋体"/>
          <w:color w:val="000000"/>
          <w:sz w:val="24"/>
          <w:szCs w:val="24"/>
          <w:highlight w:val="none"/>
          <w:vertAlign w:val="subscript"/>
        </w:rPr>
        <w:t>3</w:t>
      </w:r>
      <w:r>
        <w:rPr>
          <w:rFonts w:hint="eastAsia" w:hAnsi="宋体"/>
          <w:color w:val="000000"/>
          <w:sz w:val="24"/>
          <w:szCs w:val="24"/>
          <w:highlight w:val="none"/>
        </w:rPr>
        <w:t>三项费用之和，即：</w:t>
      </w:r>
    </w:p>
    <w:p w14:paraId="5769E3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C=C</w:t>
      </w:r>
      <w:r>
        <w:rPr>
          <w:rFonts w:hint="eastAsia" w:hAnsi="宋体"/>
          <w:color w:val="000000"/>
          <w:sz w:val="24"/>
          <w:szCs w:val="24"/>
          <w:highlight w:val="none"/>
          <w:vertAlign w:val="subscript"/>
        </w:rPr>
        <w:t>1</w:t>
      </w:r>
      <w:r>
        <w:rPr>
          <w:rFonts w:hAnsi="宋体"/>
          <w:color w:val="000000"/>
          <w:sz w:val="24"/>
          <w:szCs w:val="24"/>
          <w:highlight w:val="none"/>
        </w:rPr>
        <w:t>+</w:t>
      </w:r>
      <w:r>
        <w:rPr>
          <w:rFonts w:hint="eastAsia" w:hAnsi="宋体"/>
          <w:color w:val="000000"/>
          <w:sz w:val="24"/>
          <w:szCs w:val="24"/>
          <w:highlight w:val="none"/>
        </w:rPr>
        <w:t>C</w:t>
      </w:r>
      <w:r>
        <w:rPr>
          <w:rFonts w:hint="eastAsia" w:hAnsi="宋体"/>
          <w:color w:val="000000"/>
          <w:sz w:val="24"/>
          <w:szCs w:val="24"/>
          <w:highlight w:val="none"/>
          <w:vertAlign w:val="subscript"/>
        </w:rPr>
        <w:t>2</w:t>
      </w:r>
      <w:r>
        <w:rPr>
          <w:rFonts w:hAnsi="宋体"/>
          <w:color w:val="000000"/>
          <w:sz w:val="24"/>
          <w:szCs w:val="24"/>
          <w:highlight w:val="none"/>
        </w:rPr>
        <w:t>+</w:t>
      </w:r>
      <w:r>
        <w:rPr>
          <w:rFonts w:hint="eastAsia" w:hAnsi="宋体"/>
          <w:color w:val="000000"/>
          <w:sz w:val="24"/>
          <w:szCs w:val="24"/>
          <w:highlight w:val="none"/>
        </w:rPr>
        <w:t>C</w:t>
      </w:r>
      <w:r>
        <w:rPr>
          <w:rFonts w:hint="eastAsia" w:hAnsi="宋体"/>
          <w:color w:val="000000"/>
          <w:sz w:val="24"/>
          <w:szCs w:val="24"/>
          <w:highlight w:val="none"/>
          <w:vertAlign w:val="subscript"/>
        </w:rPr>
        <w:t>3</w:t>
      </w:r>
    </w:p>
    <w:p w14:paraId="6387CD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olor w:val="000000"/>
          <w:sz w:val="24"/>
          <w:szCs w:val="24"/>
          <w:highlight w:val="none"/>
        </w:rPr>
      </w:pPr>
      <w:r>
        <w:rPr>
          <w:rFonts w:hint="eastAsia" w:hAnsi="宋体"/>
          <w:color w:val="000000"/>
          <w:sz w:val="24"/>
          <w:szCs w:val="24"/>
          <w:highlight w:val="none"/>
        </w:rPr>
        <w:t>环保设施经营支出计算结果见</w:t>
      </w:r>
      <w:r>
        <w:rPr>
          <w:rFonts w:hint="eastAsia" w:hAnsi="宋体"/>
          <w:color w:val="000000"/>
          <w:sz w:val="24"/>
          <w:szCs w:val="24"/>
          <w:highlight w:val="none"/>
          <w:lang w:val="en-US" w:eastAsia="zh-CN"/>
        </w:rPr>
        <w:t>下表</w:t>
      </w:r>
      <w:r>
        <w:rPr>
          <w:rFonts w:hint="eastAsia" w:hAnsi="宋体"/>
          <w:color w:val="000000"/>
          <w:sz w:val="24"/>
          <w:szCs w:val="24"/>
          <w:highlight w:val="none"/>
        </w:rPr>
        <w:t>。</w:t>
      </w:r>
    </w:p>
    <w:p w14:paraId="767C6543">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highlight w:val="none"/>
        </w:rPr>
      </w:pPr>
      <w:r>
        <w:rPr>
          <w:rFonts w:hint="default" w:ascii="Times New Roman" w:hAnsi="Times New Roman" w:eastAsia="宋体" w:cs="Times New Roman"/>
          <w:b/>
          <w:bCs/>
          <w:color w:val="000000"/>
          <w:highlight w:val="none"/>
        </w:rPr>
        <w:t>表8-1  环保设施经营支出费用一览表</w:t>
      </w:r>
    </w:p>
    <w:tbl>
      <w:tblPr>
        <w:tblStyle w:val="5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702"/>
        <w:gridCol w:w="2477"/>
        <w:gridCol w:w="2126"/>
        <w:gridCol w:w="2063"/>
      </w:tblGrid>
      <w:tr w14:paraId="13078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34" w:type="dxa"/>
            <w:tcBorders>
              <w:top w:val="single" w:color="auto" w:sz="2" w:space="0"/>
              <w:left w:val="single" w:color="auto" w:sz="2" w:space="0"/>
              <w:bottom w:val="single" w:color="auto" w:sz="2" w:space="0"/>
              <w:right w:val="single" w:color="auto" w:sz="2" w:space="0"/>
            </w:tcBorders>
            <w:noWrap w:val="0"/>
            <w:vAlign w:val="center"/>
          </w:tcPr>
          <w:p w14:paraId="0B511406">
            <w:pPr>
              <w:spacing w:line="0" w:lineRule="atLeast"/>
              <w:jc w:val="center"/>
              <w:rPr>
                <w:rFonts w:hAnsi="宋体"/>
                <w:b/>
                <w:bCs/>
                <w:color w:val="000000"/>
                <w:spacing w:val="-10"/>
                <w:sz w:val="21"/>
                <w:szCs w:val="21"/>
                <w:highlight w:val="none"/>
              </w:rPr>
            </w:pPr>
            <w:r>
              <w:rPr>
                <w:rFonts w:hint="eastAsia" w:hAnsi="宋体"/>
                <w:b/>
                <w:bCs/>
                <w:color w:val="000000"/>
                <w:spacing w:val="-10"/>
                <w:sz w:val="21"/>
                <w:szCs w:val="21"/>
                <w:highlight w:val="none"/>
              </w:rPr>
              <w:t>序号</w:t>
            </w:r>
          </w:p>
        </w:tc>
        <w:tc>
          <w:tcPr>
            <w:tcW w:w="2668" w:type="dxa"/>
            <w:tcBorders>
              <w:top w:val="single" w:color="auto" w:sz="2" w:space="0"/>
              <w:left w:val="single" w:color="auto" w:sz="2" w:space="0"/>
              <w:bottom w:val="single" w:color="auto" w:sz="2" w:space="0"/>
              <w:right w:val="single" w:color="auto" w:sz="2" w:space="0"/>
            </w:tcBorders>
            <w:noWrap w:val="0"/>
            <w:vAlign w:val="center"/>
          </w:tcPr>
          <w:p w14:paraId="0CDFAC8D">
            <w:pPr>
              <w:spacing w:line="0" w:lineRule="atLeast"/>
              <w:jc w:val="center"/>
              <w:rPr>
                <w:rFonts w:hAnsi="宋体"/>
                <w:b/>
                <w:bCs/>
                <w:color w:val="000000"/>
                <w:spacing w:val="-10"/>
                <w:sz w:val="21"/>
                <w:szCs w:val="21"/>
                <w:highlight w:val="none"/>
              </w:rPr>
            </w:pPr>
            <w:r>
              <w:rPr>
                <w:rFonts w:hint="eastAsia" w:hAnsi="宋体"/>
                <w:b/>
                <w:bCs/>
                <w:color w:val="000000"/>
                <w:spacing w:val="-10"/>
                <w:sz w:val="21"/>
                <w:szCs w:val="21"/>
                <w:highlight w:val="none"/>
              </w:rPr>
              <w:t>项  目</w:t>
            </w:r>
          </w:p>
        </w:tc>
        <w:tc>
          <w:tcPr>
            <w:tcW w:w="2290" w:type="dxa"/>
            <w:tcBorders>
              <w:top w:val="single" w:color="auto" w:sz="2" w:space="0"/>
              <w:left w:val="single" w:color="auto" w:sz="2" w:space="0"/>
              <w:bottom w:val="single" w:color="auto" w:sz="2" w:space="0"/>
              <w:right w:val="single" w:color="auto" w:sz="2" w:space="0"/>
            </w:tcBorders>
            <w:noWrap w:val="0"/>
            <w:vAlign w:val="center"/>
          </w:tcPr>
          <w:p w14:paraId="1690AB61">
            <w:pPr>
              <w:spacing w:line="0" w:lineRule="atLeast"/>
              <w:jc w:val="center"/>
              <w:rPr>
                <w:rFonts w:hAnsi="宋体"/>
                <w:b/>
                <w:bCs/>
                <w:color w:val="000000"/>
                <w:spacing w:val="-10"/>
                <w:sz w:val="21"/>
                <w:szCs w:val="21"/>
                <w:highlight w:val="none"/>
              </w:rPr>
            </w:pPr>
            <w:r>
              <w:rPr>
                <w:rFonts w:hint="eastAsia" w:hAnsi="宋体"/>
                <w:b/>
                <w:bCs/>
                <w:color w:val="000000"/>
                <w:spacing w:val="-10"/>
                <w:sz w:val="21"/>
                <w:szCs w:val="21"/>
                <w:highlight w:val="none"/>
              </w:rPr>
              <w:t>计算方法</w:t>
            </w:r>
          </w:p>
        </w:tc>
        <w:tc>
          <w:tcPr>
            <w:tcW w:w="2223" w:type="dxa"/>
            <w:tcBorders>
              <w:top w:val="single" w:color="auto" w:sz="2" w:space="0"/>
              <w:left w:val="single" w:color="auto" w:sz="2" w:space="0"/>
              <w:bottom w:val="single" w:color="auto" w:sz="2" w:space="0"/>
              <w:right w:val="single" w:color="auto" w:sz="2" w:space="0"/>
            </w:tcBorders>
            <w:noWrap w:val="0"/>
            <w:vAlign w:val="center"/>
          </w:tcPr>
          <w:p w14:paraId="1750BE13">
            <w:pPr>
              <w:spacing w:line="0" w:lineRule="atLeast"/>
              <w:jc w:val="center"/>
              <w:rPr>
                <w:rFonts w:hint="eastAsia" w:hAnsi="宋体"/>
                <w:b/>
                <w:bCs/>
                <w:color w:val="000000"/>
                <w:spacing w:val="-10"/>
                <w:sz w:val="21"/>
                <w:szCs w:val="21"/>
                <w:highlight w:val="none"/>
              </w:rPr>
            </w:pPr>
            <w:r>
              <w:rPr>
                <w:rFonts w:hint="eastAsia" w:hAnsi="宋体"/>
                <w:b/>
                <w:bCs/>
                <w:color w:val="000000"/>
                <w:spacing w:val="-10"/>
                <w:sz w:val="21"/>
                <w:szCs w:val="21"/>
                <w:highlight w:val="none"/>
              </w:rPr>
              <w:t>费用(万元)</w:t>
            </w:r>
          </w:p>
        </w:tc>
      </w:tr>
      <w:tr w14:paraId="492ED6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34" w:type="dxa"/>
            <w:tcBorders>
              <w:top w:val="single" w:color="auto" w:sz="2" w:space="0"/>
              <w:left w:val="single" w:color="auto" w:sz="2" w:space="0"/>
              <w:bottom w:val="single" w:color="auto" w:sz="2" w:space="0"/>
              <w:right w:val="single" w:color="auto" w:sz="2" w:space="0"/>
            </w:tcBorders>
            <w:noWrap w:val="0"/>
            <w:vAlign w:val="center"/>
          </w:tcPr>
          <w:p w14:paraId="1A7B7DF8">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1</w:t>
            </w:r>
          </w:p>
        </w:tc>
        <w:tc>
          <w:tcPr>
            <w:tcW w:w="2668" w:type="dxa"/>
            <w:tcBorders>
              <w:top w:val="single" w:color="auto" w:sz="2" w:space="0"/>
              <w:left w:val="single" w:color="auto" w:sz="2" w:space="0"/>
              <w:bottom w:val="single" w:color="auto" w:sz="2" w:space="0"/>
              <w:right w:val="single" w:color="auto" w:sz="2" w:space="0"/>
            </w:tcBorders>
            <w:noWrap w:val="0"/>
            <w:vAlign w:val="center"/>
          </w:tcPr>
          <w:p w14:paraId="1EB45D63">
            <w:pPr>
              <w:spacing w:line="0" w:lineRule="atLeast"/>
              <w:jc w:val="center"/>
              <w:rPr>
                <w:rFonts w:hAnsi="宋体"/>
                <w:color w:val="000000"/>
                <w:spacing w:val="-10"/>
                <w:sz w:val="21"/>
                <w:szCs w:val="21"/>
                <w:highlight w:val="none"/>
                <w:vertAlign w:val="subscript"/>
              </w:rPr>
            </w:pPr>
            <w:r>
              <w:rPr>
                <w:rFonts w:hint="eastAsia" w:hAnsi="宋体"/>
                <w:color w:val="000000"/>
                <w:spacing w:val="-10"/>
                <w:sz w:val="21"/>
                <w:szCs w:val="21"/>
                <w:highlight w:val="none"/>
              </w:rPr>
              <w:t>环保设施折旧费C</w:t>
            </w:r>
            <w:r>
              <w:rPr>
                <w:rFonts w:hint="eastAsia" w:hAnsi="宋体"/>
                <w:color w:val="000000"/>
                <w:spacing w:val="-10"/>
                <w:sz w:val="21"/>
                <w:szCs w:val="21"/>
                <w:highlight w:val="none"/>
                <w:vertAlign w:val="subscript"/>
              </w:rPr>
              <w:t>1</w:t>
            </w:r>
          </w:p>
        </w:tc>
        <w:tc>
          <w:tcPr>
            <w:tcW w:w="2290" w:type="dxa"/>
            <w:tcBorders>
              <w:top w:val="single" w:color="auto" w:sz="2" w:space="0"/>
              <w:left w:val="single" w:color="auto" w:sz="2" w:space="0"/>
              <w:bottom w:val="single" w:color="auto" w:sz="2" w:space="0"/>
              <w:right w:val="single" w:color="auto" w:sz="2" w:space="0"/>
            </w:tcBorders>
            <w:noWrap w:val="0"/>
            <w:vAlign w:val="center"/>
          </w:tcPr>
          <w:p w14:paraId="504EA5DB">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1</w:t>
            </w:r>
            <w:r>
              <w:rPr>
                <w:rFonts w:hint="eastAsia" w:hAnsi="宋体"/>
                <w:color w:val="000000"/>
                <w:spacing w:val="-10"/>
                <w:sz w:val="21"/>
                <w:szCs w:val="21"/>
                <w:highlight w:val="none"/>
              </w:rPr>
              <w:t>=</w:t>
            </w:r>
            <w:r>
              <w:rPr>
                <w:rFonts w:hAnsi="宋体"/>
                <w:color w:val="000000"/>
                <w:spacing w:val="-10"/>
                <w:sz w:val="21"/>
                <w:szCs w:val="21"/>
                <w:highlight w:val="none"/>
              </w:rPr>
              <w:t>a×C</w:t>
            </w:r>
            <w:r>
              <w:rPr>
                <w:rFonts w:hAnsi="宋体"/>
                <w:color w:val="000000"/>
                <w:spacing w:val="-10"/>
                <w:sz w:val="21"/>
                <w:szCs w:val="21"/>
                <w:highlight w:val="none"/>
                <w:vertAlign w:val="subscript"/>
              </w:rPr>
              <w:t>o</w:t>
            </w:r>
            <w:r>
              <w:rPr>
                <w:rFonts w:hAnsi="宋体"/>
                <w:color w:val="000000"/>
                <w:spacing w:val="-10"/>
                <w:sz w:val="21"/>
                <w:szCs w:val="21"/>
                <w:highlight w:val="none"/>
              </w:rPr>
              <w:t>/n</w:t>
            </w:r>
          </w:p>
        </w:tc>
        <w:tc>
          <w:tcPr>
            <w:tcW w:w="2223" w:type="dxa"/>
            <w:tcBorders>
              <w:top w:val="single" w:color="auto" w:sz="2" w:space="0"/>
              <w:left w:val="single" w:color="auto" w:sz="2" w:space="0"/>
              <w:bottom w:val="single" w:color="auto" w:sz="2" w:space="0"/>
              <w:right w:val="single" w:color="auto" w:sz="2" w:space="0"/>
            </w:tcBorders>
            <w:noWrap w:val="0"/>
            <w:vAlign w:val="center"/>
          </w:tcPr>
          <w:p w14:paraId="34803206">
            <w:pPr>
              <w:spacing w:line="0" w:lineRule="atLeast"/>
              <w:jc w:val="center"/>
              <w:rPr>
                <w:rFonts w:hint="default" w:hAnsi="宋体" w:eastAsia="宋体"/>
                <w:color w:val="000000"/>
                <w:spacing w:val="-10"/>
                <w:sz w:val="21"/>
                <w:szCs w:val="21"/>
                <w:highlight w:val="none"/>
                <w:lang w:val="en-US" w:eastAsia="zh-CN"/>
              </w:rPr>
            </w:pPr>
            <w:r>
              <w:rPr>
                <w:rFonts w:hint="eastAsia" w:hAnsi="宋体"/>
                <w:color w:val="000000"/>
                <w:spacing w:val="-10"/>
                <w:sz w:val="21"/>
                <w:szCs w:val="21"/>
                <w:highlight w:val="none"/>
                <w:lang w:val="en-US" w:eastAsia="zh-CN"/>
              </w:rPr>
              <w:t>38</w:t>
            </w:r>
          </w:p>
        </w:tc>
      </w:tr>
      <w:tr w14:paraId="3E57BD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34" w:type="dxa"/>
            <w:tcBorders>
              <w:top w:val="single" w:color="auto" w:sz="2" w:space="0"/>
              <w:left w:val="single" w:color="auto" w:sz="2" w:space="0"/>
              <w:bottom w:val="single" w:color="auto" w:sz="2" w:space="0"/>
              <w:right w:val="single" w:color="auto" w:sz="2" w:space="0"/>
            </w:tcBorders>
            <w:noWrap w:val="0"/>
            <w:vAlign w:val="center"/>
          </w:tcPr>
          <w:p w14:paraId="7C8DD652">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2</w:t>
            </w:r>
          </w:p>
        </w:tc>
        <w:tc>
          <w:tcPr>
            <w:tcW w:w="2668" w:type="dxa"/>
            <w:tcBorders>
              <w:top w:val="single" w:color="auto" w:sz="2" w:space="0"/>
              <w:left w:val="single" w:color="auto" w:sz="2" w:space="0"/>
              <w:bottom w:val="single" w:color="auto" w:sz="2" w:space="0"/>
              <w:right w:val="single" w:color="auto" w:sz="2" w:space="0"/>
            </w:tcBorders>
            <w:noWrap w:val="0"/>
            <w:vAlign w:val="center"/>
          </w:tcPr>
          <w:p w14:paraId="63B52F03">
            <w:pPr>
              <w:spacing w:line="0" w:lineRule="atLeast"/>
              <w:jc w:val="center"/>
              <w:rPr>
                <w:rFonts w:hAnsi="宋体"/>
                <w:color w:val="000000"/>
                <w:spacing w:val="-10"/>
                <w:sz w:val="21"/>
                <w:szCs w:val="21"/>
                <w:highlight w:val="none"/>
                <w:vertAlign w:val="subscript"/>
              </w:rPr>
            </w:pPr>
            <w:r>
              <w:rPr>
                <w:rFonts w:hint="eastAsia" w:hAnsi="宋体"/>
                <w:color w:val="000000"/>
                <w:spacing w:val="-10"/>
                <w:sz w:val="21"/>
                <w:szCs w:val="21"/>
                <w:highlight w:val="none"/>
              </w:rPr>
              <w:t>环保设施运行费C</w:t>
            </w:r>
            <w:r>
              <w:rPr>
                <w:rFonts w:hint="eastAsia" w:hAnsi="宋体"/>
                <w:color w:val="000000"/>
                <w:spacing w:val="-10"/>
                <w:sz w:val="21"/>
                <w:szCs w:val="21"/>
                <w:highlight w:val="none"/>
                <w:vertAlign w:val="subscript"/>
              </w:rPr>
              <w:t>2</w:t>
            </w:r>
          </w:p>
        </w:tc>
        <w:tc>
          <w:tcPr>
            <w:tcW w:w="2290" w:type="dxa"/>
            <w:tcBorders>
              <w:top w:val="single" w:color="auto" w:sz="2" w:space="0"/>
              <w:left w:val="single" w:color="auto" w:sz="2" w:space="0"/>
              <w:bottom w:val="single" w:color="auto" w:sz="2" w:space="0"/>
              <w:right w:val="single" w:color="auto" w:sz="2" w:space="0"/>
            </w:tcBorders>
            <w:noWrap w:val="0"/>
            <w:vAlign w:val="center"/>
          </w:tcPr>
          <w:p w14:paraId="3E9D8B06">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2</w:t>
            </w: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O</w:t>
            </w:r>
            <w:r>
              <w:rPr>
                <w:rFonts w:hAnsi="宋体"/>
                <w:color w:val="000000"/>
                <w:spacing w:val="-10"/>
                <w:sz w:val="21"/>
                <w:szCs w:val="21"/>
                <w:highlight w:val="none"/>
              </w:rPr>
              <w:t>×</w:t>
            </w:r>
            <w:r>
              <w:rPr>
                <w:rFonts w:hint="eastAsia" w:hAnsi="宋体"/>
                <w:color w:val="000000"/>
                <w:spacing w:val="-10"/>
                <w:sz w:val="21"/>
                <w:szCs w:val="21"/>
                <w:highlight w:val="none"/>
              </w:rPr>
              <w:t>15%</w:t>
            </w:r>
          </w:p>
        </w:tc>
        <w:tc>
          <w:tcPr>
            <w:tcW w:w="2223" w:type="dxa"/>
            <w:tcBorders>
              <w:top w:val="single" w:color="auto" w:sz="2" w:space="0"/>
              <w:left w:val="single" w:color="auto" w:sz="2" w:space="0"/>
              <w:bottom w:val="single" w:color="auto" w:sz="2" w:space="0"/>
              <w:right w:val="single" w:color="auto" w:sz="2" w:space="0"/>
            </w:tcBorders>
            <w:noWrap w:val="0"/>
            <w:vAlign w:val="center"/>
          </w:tcPr>
          <w:p w14:paraId="40962CA7">
            <w:pPr>
              <w:spacing w:line="0" w:lineRule="atLeast"/>
              <w:jc w:val="center"/>
              <w:rPr>
                <w:rFonts w:hint="default" w:hAnsi="宋体" w:eastAsia="宋体"/>
                <w:color w:val="000000"/>
                <w:spacing w:val="-10"/>
                <w:sz w:val="21"/>
                <w:szCs w:val="21"/>
                <w:highlight w:val="none"/>
                <w:lang w:val="en-US" w:eastAsia="zh-CN"/>
              </w:rPr>
            </w:pPr>
            <w:r>
              <w:rPr>
                <w:rFonts w:hint="eastAsia" w:hAnsi="宋体"/>
                <w:color w:val="000000"/>
                <w:spacing w:val="-10"/>
                <w:sz w:val="21"/>
                <w:szCs w:val="21"/>
                <w:highlight w:val="none"/>
                <w:lang w:val="en-US" w:eastAsia="zh-CN"/>
              </w:rPr>
              <w:t>30</w:t>
            </w:r>
          </w:p>
        </w:tc>
      </w:tr>
      <w:tr w14:paraId="46A19A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34" w:type="dxa"/>
            <w:tcBorders>
              <w:top w:val="single" w:color="auto" w:sz="2" w:space="0"/>
              <w:left w:val="single" w:color="auto" w:sz="2" w:space="0"/>
              <w:bottom w:val="single" w:color="auto" w:sz="2" w:space="0"/>
              <w:right w:val="single" w:color="auto" w:sz="2" w:space="0"/>
            </w:tcBorders>
            <w:noWrap w:val="0"/>
            <w:vAlign w:val="center"/>
          </w:tcPr>
          <w:p w14:paraId="083B11B3">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3</w:t>
            </w:r>
          </w:p>
        </w:tc>
        <w:tc>
          <w:tcPr>
            <w:tcW w:w="2668" w:type="dxa"/>
            <w:tcBorders>
              <w:top w:val="single" w:color="auto" w:sz="2" w:space="0"/>
              <w:left w:val="single" w:color="auto" w:sz="2" w:space="0"/>
              <w:bottom w:val="single" w:color="auto" w:sz="2" w:space="0"/>
              <w:right w:val="single" w:color="auto" w:sz="2" w:space="0"/>
            </w:tcBorders>
            <w:noWrap w:val="0"/>
            <w:vAlign w:val="center"/>
          </w:tcPr>
          <w:p w14:paraId="57A61D22">
            <w:pPr>
              <w:spacing w:line="0" w:lineRule="atLeast"/>
              <w:jc w:val="center"/>
              <w:rPr>
                <w:rFonts w:hAnsi="宋体"/>
                <w:color w:val="000000"/>
                <w:spacing w:val="-10"/>
                <w:sz w:val="21"/>
                <w:szCs w:val="21"/>
                <w:highlight w:val="none"/>
                <w:vertAlign w:val="subscript"/>
              </w:rPr>
            </w:pPr>
            <w:r>
              <w:rPr>
                <w:rFonts w:hint="eastAsia" w:hAnsi="宋体"/>
                <w:color w:val="000000"/>
                <w:spacing w:val="-10"/>
                <w:sz w:val="21"/>
                <w:szCs w:val="21"/>
                <w:highlight w:val="none"/>
              </w:rPr>
              <w:t>环保管理费用C</w:t>
            </w:r>
            <w:r>
              <w:rPr>
                <w:rFonts w:hint="eastAsia" w:hAnsi="宋体"/>
                <w:color w:val="000000"/>
                <w:spacing w:val="-10"/>
                <w:sz w:val="21"/>
                <w:szCs w:val="21"/>
                <w:highlight w:val="none"/>
                <w:vertAlign w:val="subscript"/>
              </w:rPr>
              <w:t>3</w:t>
            </w:r>
          </w:p>
        </w:tc>
        <w:tc>
          <w:tcPr>
            <w:tcW w:w="2290" w:type="dxa"/>
            <w:tcBorders>
              <w:top w:val="single" w:color="auto" w:sz="2" w:space="0"/>
              <w:left w:val="single" w:color="auto" w:sz="2" w:space="0"/>
              <w:bottom w:val="single" w:color="auto" w:sz="2" w:space="0"/>
              <w:right w:val="single" w:color="auto" w:sz="2" w:space="0"/>
            </w:tcBorders>
            <w:noWrap w:val="0"/>
            <w:vAlign w:val="center"/>
          </w:tcPr>
          <w:p w14:paraId="284F43CC">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3</w:t>
            </w: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1</w:t>
            </w:r>
            <w:r>
              <w:rPr>
                <w:rFonts w:hAnsi="宋体"/>
                <w:color w:val="000000"/>
                <w:spacing w:val="-10"/>
                <w:sz w:val="21"/>
                <w:szCs w:val="21"/>
                <w:highlight w:val="none"/>
              </w:rPr>
              <w:t>+</w:t>
            </w: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2</w:t>
            </w:r>
            <w:r>
              <w:rPr>
                <w:rFonts w:hint="eastAsia" w:hAnsi="宋体"/>
                <w:color w:val="000000"/>
                <w:spacing w:val="-10"/>
                <w:sz w:val="21"/>
                <w:szCs w:val="21"/>
                <w:highlight w:val="none"/>
              </w:rPr>
              <w:t>)</w:t>
            </w:r>
            <w:r>
              <w:rPr>
                <w:rFonts w:hAnsi="宋体"/>
                <w:color w:val="000000"/>
                <w:spacing w:val="-10"/>
                <w:sz w:val="21"/>
                <w:szCs w:val="21"/>
                <w:highlight w:val="none"/>
              </w:rPr>
              <w:t>×</w:t>
            </w:r>
            <w:r>
              <w:rPr>
                <w:rFonts w:hint="eastAsia" w:hAnsi="宋体"/>
                <w:color w:val="000000"/>
                <w:spacing w:val="-10"/>
                <w:sz w:val="21"/>
                <w:szCs w:val="21"/>
                <w:highlight w:val="none"/>
              </w:rPr>
              <w:t>15%</w:t>
            </w:r>
          </w:p>
        </w:tc>
        <w:tc>
          <w:tcPr>
            <w:tcW w:w="2223" w:type="dxa"/>
            <w:tcBorders>
              <w:top w:val="single" w:color="auto" w:sz="2" w:space="0"/>
              <w:left w:val="single" w:color="auto" w:sz="2" w:space="0"/>
              <w:bottom w:val="single" w:color="auto" w:sz="2" w:space="0"/>
              <w:right w:val="single" w:color="auto" w:sz="2" w:space="0"/>
            </w:tcBorders>
            <w:noWrap w:val="0"/>
            <w:vAlign w:val="center"/>
          </w:tcPr>
          <w:p w14:paraId="4CCD0A68">
            <w:pPr>
              <w:spacing w:line="0" w:lineRule="atLeast"/>
              <w:jc w:val="center"/>
              <w:rPr>
                <w:rFonts w:hint="default" w:hAnsi="宋体" w:eastAsia="宋体"/>
                <w:color w:val="000000"/>
                <w:spacing w:val="-10"/>
                <w:sz w:val="21"/>
                <w:szCs w:val="21"/>
                <w:highlight w:val="none"/>
                <w:lang w:val="en-US" w:eastAsia="zh-CN"/>
              </w:rPr>
            </w:pPr>
            <w:r>
              <w:rPr>
                <w:rFonts w:hint="eastAsia" w:hAnsi="宋体"/>
                <w:color w:val="000000"/>
                <w:spacing w:val="-10"/>
                <w:sz w:val="21"/>
                <w:szCs w:val="21"/>
                <w:highlight w:val="none"/>
                <w:lang w:val="en-US" w:eastAsia="zh-CN"/>
              </w:rPr>
              <w:t>7.95</w:t>
            </w:r>
          </w:p>
        </w:tc>
      </w:tr>
      <w:tr w14:paraId="4930CF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34" w:type="dxa"/>
            <w:tcBorders>
              <w:top w:val="single" w:color="auto" w:sz="2" w:space="0"/>
              <w:left w:val="single" w:color="auto" w:sz="2" w:space="0"/>
              <w:bottom w:val="single" w:color="auto" w:sz="2" w:space="0"/>
              <w:right w:val="single" w:color="auto" w:sz="2" w:space="0"/>
            </w:tcBorders>
            <w:noWrap w:val="0"/>
            <w:vAlign w:val="center"/>
          </w:tcPr>
          <w:p w14:paraId="65C8DAB7">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4</w:t>
            </w:r>
          </w:p>
        </w:tc>
        <w:tc>
          <w:tcPr>
            <w:tcW w:w="2668" w:type="dxa"/>
            <w:tcBorders>
              <w:top w:val="single" w:color="auto" w:sz="2" w:space="0"/>
              <w:left w:val="single" w:color="auto" w:sz="2" w:space="0"/>
              <w:bottom w:val="single" w:color="auto" w:sz="2" w:space="0"/>
              <w:right w:val="single" w:color="auto" w:sz="2" w:space="0"/>
            </w:tcBorders>
            <w:noWrap w:val="0"/>
            <w:vAlign w:val="center"/>
          </w:tcPr>
          <w:p w14:paraId="1746B8D6">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环保设施经营支出C</w:t>
            </w:r>
          </w:p>
        </w:tc>
        <w:tc>
          <w:tcPr>
            <w:tcW w:w="2290" w:type="dxa"/>
            <w:tcBorders>
              <w:top w:val="single" w:color="auto" w:sz="2" w:space="0"/>
              <w:left w:val="single" w:color="auto" w:sz="2" w:space="0"/>
              <w:bottom w:val="single" w:color="auto" w:sz="2" w:space="0"/>
              <w:right w:val="single" w:color="auto" w:sz="2" w:space="0"/>
            </w:tcBorders>
            <w:noWrap w:val="0"/>
            <w:vAlign w:val="center"/>
          </w:tcPr>
          <w:p w14:paraId="154490BF">
            <w:pPr>
              <w:spacing w:line="0" w:lineRule="atLeast"/>
              <w:jc w:val="center"/>
              <w:rPr>
                <w:rFonts w:hAnsi="宋体"/>
                <w:color w:val="000000"/>
                <w:spacing w:val="-10"/>
                <w:sz w:val="21"/>
                <w:szCs w:val="21"/>
                <w:highlight w:val="none"/>
              </w:rPr>
            </w:pPr>
            <w:r>
              <w:rPr>
                <w:rFonts w:hint="eastAsia" w:hAnsi="宋体"/>
                <w:color w:val="000000"/>
                <w:spacing w:val="-10"/>
                <w:sz w:val="21"/>
                <w:szCs w:val="21"/>
                <w:highlight w:val="none"/>
              </w:rPr>
              <w:t>C=C</w:t>
            </w:r>
            <w:r>
              <w:rPr>
                <w:rFonts w:hint="eastAsia" w:hAnsi="宋体"/>
                <w:color w:val="000000"/>
                <w:spacing w:val="-10"/>
                <w:sz w:val="21"/>
                <w:szCs w:val="21"/>
                <w:highlight w:val="none"/>
                <w:vertAlign w:val="subscript"/>
              </w:rPr>
              <w:t>1</w:t>
            </w:r>
            <w:r>
              <w:rPr>
                <w:rFonts w:hAnsi="宋体"/>
                <w:color w:val="000000"/>
                <w:spacing w:val="-10"/>
                <w:sz w:val="21"/>
                <w:szCs w:val="21"/>
                <w:highlight w:val="none"/>
              </w:rPr>
              <w:t>+</w:t>
            </w: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2</w:t>
            </w:r>
            <w:r>
              <w:rPr>
                <w:rFonts w:hAnsi="宋体"/>
                <w:color w:val="000000"/>
                <w:spacing w:val="-10"/>
                <w:sz w:val="21"/>
                <w:szCs w:val="21"/>
                <w:highlight w:val="none"/>
              </w:rPr>
              <w:t>+</w:t>
            </w:r>
            <w:r>
              <w:rPr>
                <w:rFonts w:hint="eastAsia" w:hAnsi="宋体"/>
                <w:color w:val="000000"/>
                <w:spacing w:val="-10"/>
                <w:sz w:val="21"/>
                <w:szCs w:val="21"/>
                <w:highlight w:val="none"/>
              </w:rPr>
              <w:t>C</w:t>
            </w:r>
            <w:r>
              <w:rPr>
                <w:rFonts w:hint="eastAsia" w:hAnsi="宋体"/>
                <w:color w:val="000000"/>
                <w:spacing w:val="-10"/>
                <w:sz w:val="21"/>
                <w:szCs w:val="21"/>
                <w:highlight w:val="none"/>
                <w:vertAlign w:val="subscript"/>
              </w:rPr>
              <w:t>3</w:t>
            </w:r>
          </w:p>
        </w:tc>
        <w:tc>
          <w:tcPr>
            <w:tcW w:w="2223" w:type="dxa"/>
            <w:tcBorders>
              <w:top w:val="single" w:color="auto" w:sz="2" w:space="0"/>
              <w:left w:val="single" w:color="auto" w:sz="2" w:space="0"/>
              <w:bottom w:val="single" w:color="auto" w:sz="2" w:space="0"/>
              <w:right w:val="single" w:color="auto" w:sz="2" w:space="0"/>
            </w:tcBorders>
            <w:noWrap w:val="0"/>
            <w:vAlign w:val="center"/>
          </w:tcPr>
          <w:p w14:paraId="53DD6DA1">
            <w:pPr>
              <w:spacing w:line="0" w:lineRule="atLeast"/>
              <w:jc w:val="center"/>
              <w:rPr>
                <w:rFonts w:hint="default" w:hAnsi="宋体" w:eastAsia="宋体"/>
                <w:color w:val="000000"/>
                <w:spacing w:val="-10"/>
                <w:sz w:val="21"/>
                <w:szCs w:val="21"/>
                <w:highlight w:val="none"/>
                <w:lang w:val="en-US" w:eastAsia="zh-CN"/>
              </w:rPr>
            </w:pPr>
            <w:r>
              <w:rPr>
                <w:rFonts w:hint="eastAsia" w:hAnsi="宋体"/>
                <w:color w:val="000000"/>
                <w:spacing w:val="-10"/>
                <w:sz w:val="21"/>
                <w:szCs w:val="21"/>
                <w:highlight w:val="none"/>
                <w:lang w:val="en-US" w:eastAsia="zh-CN"/>
              </w:rPr>
              <w:t>75.95</w:t>
            </w:r>
          </w:p>
        </w:tc>
      </w:tr>
    </w:tbl>
    <w:p w14:paraId="7AD3FAD4">
      <w:pPr>
        <w:pStyle w:val="147"/>
        <w:pageBreakBefore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由</w:t>
      </w:r>
      <w:r>
        <w:rPr>
          <w:rFonts w:hint="eastAsia" w:ascii="Times New Roman" w:hAnsi="Times New Roman" w:cs="Times New Roman"/>
          <w:color w:val="000000"/>
          <w:highlight w:val="none"/>
          <w:lang w:val="en-US" w:eastAsia="zh-CN"/>
        </w:rPr>
        <w:t>上表</w:t>
      </w:r>
      <w:r>
        <w:rPr>
          <w:rFonts w:hint="default" w:ascii="Times New Roman" w:hAnsi="Times New Roman" w:cs="Times New Roman"/>
          <w:color w:val="000000"/>
          <w:highlight w:val="none"/>
        </w:rPr>
        <w:t>分析可知，拟建工程环保设施经营支出费用为</w:t>
      </w:r>
      <w:r>
        <w:rPr>
          <w:rFonts w:hint="default" w:ascii="Times New Roman" w:hAnsi="Times New Roman" w:cs="Times New Roman"/>
          <w:color w:val="000000"/>
          <w:highlight w:val="none"/>
          <w:lang w:val="en-US" w:eastAsia="zh-CN"/>
        </w:rPr>
        <w:t>75.95</w:t>
      </w:r>
      <w:r>
        <w:rPr>
          <w:rFonts w:hint="default" w:ascii="Times New Roman" w:hAnsi="Times New Roman" w:cs="Times New Roman"/>
          <w:color w:val="000000"/>
          <w:highlight w:val="none"/>
        </w:rPr>
        <w:t>万元</w:t>
      </w:r>
      <w:r>
        <w:rPr>
          <w:rFonts w:hint="default" w:ascii="Times New Roman" w:hAnsi="Times New Roman" w:cs="Times New Roman"/>
          <w:b w:val="0"/>
          <w:bCs w:val="0"/>
          <w:color w:val="auto"/>
          <w:sz w:val="24"/>
          <w:szCs w:val="24"/>
          <w:highlight w:val="none"/>
          <w:lang w:val="en-US" w:eastAsia="zh-CN"/>
        </w:rPr>
        <w:t>。</w:t>
      </w:r>
    </w:p>
    <w:p w14:paraId="7EC21739">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bookmarkStart w:id="399" w:name="_Toc10871"/>
      <w:bookmarkStart w:id="400" w:name="_Toc12261"/>
      <w:bookmarkStart w:id="401" w:name="_Toc10102"/>
      <w:bookmarkStart w:id="402" w:name="_Toc14693"/>
      <w:bookmarkStart w:id="403" w:name="_Toc24298"/>
      <w:r>
        <w:rPr>
          <w:rFonts w:hint="default" w:ascii="Times New Roman" w:hAnsi="Times New Roman" w:eastAsia="宋体" w:cs="Times New Roman"/>
          <w:b/>
          <w:color w:val="000000"/>
          <w:sz w:val="28"/>
          <w:szCs w:val="28"/>
          <w:highlight w:val="none"/>
        </w:rPr>
        <w:t>环境效益分析</w:t>
      </w:r>
      <w:bookmarkEnd w:id="399"/>
      <w:bookmarkEnd w:id="400"/>
      <w:bookmarkEnd w:id="401"/>
      <w:bookmarkEnd w:id="402"/>
      <w:bookmarkEnd w:id="403"/>
    </w:p>
    <w:p w14:paraId="40F35846">
      <w:pPr>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 w:val="0"/>
          <w:bCs w:val="0"/>
          <w:color w:val="000000"/>
          <w:sz w:val="24"/>
          <w:highlight w:val="none"/>
        </w:rPr>
      </w:pPr>
      <w:r>
        <w:rPr>
          <w:rFonts w:hint="default" w:ascii="Times New Roman" w:hAnsi="Times New Roman" w:cs="Times New Roman"/>
          <w:b w:val="0"/>
          <w:bCs w:val="0"/>
          <w:color w:val="000000"/>
          <w:sz w:val="24"/>
          <w:highlight w:val="none"/>
          <w:lang w:eastAsia="zh-CN"/>
        </w:rPr>
        <w:t>项目生产运行阶段，将对区域环境空气、地下水、声环境、生态环境带来一定程度的负面影响。通过采取污染防治措施后，可实现项目各类污染物的达标排放，将有效控制项目实施所造成的影响，把建设项目对区域环境质量的影响降到最低；</w:t>
      </w:r>
      <w:r>
        <w:rPr>
          <w:rFonts w:hint="eastAsia" w:ascii="Times New Roman" w:hAnsi="Times New Roman" w:cs="Times New Roman"/>
          <w:color w:val="000000"/>
          <w:sz w:val="24"/>
          <w:highlight w:val="none"/>
          <w:lang w:val="en-US" w:eastAsia="zh-CN"/>
        </w:rPr>
        <w:t>项目</w:t>
      </w:r>
      <w:r>
        <w:rPr>
          <w:rFonts w:hint="default" w:ascii="Times New Roman" w:hAnsi="Times New Roman" w:cs="Times New Roman"/>
          <w:color w:val="000000"/>
          <w:sz w:val="24"/>
          <w:highlight w:val="none"/>
        </w:rPr>
        <w:t>封场后</w:t>
      </w:r>
      <w:r>
        <w:rPr>
          <w:rFonts w:hint="eastAsia" w:ascii="Times New Roman" w:hAnsi="Times New Roman" w:cs="Times New Roman"/>
          <w:color w:val="000000"/>
          <w:sz w:val="24"/>
          <w:highlight w:val="none"/>
          <w:lang w:val="en-US" w:eastAsia="zh-CN"/>
        </w:rPr>
        <w:t>进行生态恢复</w:t>
      </w:r>
      <w:r>
        <w:rPr>
          <w:rFonts w:hint="default" w:ascii="Times New Roman" w:hAnsi="Times New Roman" w:cs="Times New Roman"/>
          <w:color w:val="000000"/>
          <w:sz w:val="24"/>
          <w:highlight w:val="none"/>
        </w:rPr>
        <w:t>，</w:t>
      </w:r>
      <w:r>
        <w:rPr>
          <w:rFonts w:hint="default" w:ascii="Times New Roman" w:hAnsi="Times New Roman" w:cs="Times New Roman"/>
          <w:b w:val="0"/>
          <w:bCs w:val="0"/>
          <w:color w:val="000000"/>
          <w:sz w:val="24"/>
          <w:highlight w:val="none"/>
          <w:lang w:eastAsia="zh-CN"/>
        </w:rPr>
        <w:t>可以提高建设区域的植被覆盖率，改善生态环境质量，降低水土流失影响</w:t>
      </w:r>
      <w:r>
        <w:rPr>
          <w:rFonts w:hint="default" w:ascii="Times New Roman" w:hAnsi="Times New Roman" w:cs="Times New Roman"/>
          <w:b w:val="0"/>
          <w:bCs w:val="0"/>
          <w:color w:val="000000"/>
          <w:sz w:val="24"/>
          <w:highlight w:val="none"/>
        </w:rPr>
        <w:t>。</w:t>
      </w:r>
    </w:p>
    <w:p w14:paraId="3C2375EE">
      <w:pPr>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sz w:val="24"/>
          <w:highlight w:val="none"/>
        </w:rPr>
      </w:pPr>
    </w:p>
    <w:p w14:paraId="44FFA765">
      <w:pPr>
        <w:pStyle w:val="72"/>
        <w:ind w:left="0" w:leftChars="0"/>
        <w:jc w:val="both"/>
        <w:rPr>
          <w:rFonts w:hint="default" w:ascii="Times New Roman" w:hAnsi="Times New Roman" w:cs="Times New Roman"/>
          <w:color w:val="000000"/>
          <w:highlight w:val="none"/>
        </w:rPr>
      </w:pPr>
    </w:p>
    <w:p w14:paraId="7FE0A57F">
      <w:pPr>
        <w:spacing w:line="360" w:lineRule="auto"/>
        <w:ind w:firstLine="480"/>
        <w:rPr>
          <w:rFonts w:hint="default" w:ascii="Times New Roman" w:hAnsi="Times New Roman" w:cs="Times New Roman"/>
          <w:color w:val="000000"/>
          <w:sz w:val="24"/>
          <w:highlight w:val="none"/>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144DDAE4">
      <w:pPr>
        <w:pStyle w:val="187"/>
        <w:rPr>
          <w:rFonts w:hint="default" w:ascii="Times New Roman" w:hAnsi="Times New Roman" w:cs="Times New Roman"/>
          <w:color w:val="000000"/>
          <w:highlight w:val="none"/>
        </w:rPr>
      </w:pPr>
      <w:bookmarkStart w:id="404" w:name="_Toc25579"/>
      <w:bookmarkStart w:id="405" w:name="_Toc12625"/>
      <w:bookmarkStart w:id="406" w:name="_Toc12323"/>
      <w:bookmarkStart w:id="407" w:name="_Toc1751"/>
      <w:bookmarkStart w:id="408" w:name="_Toc6516"/>
      <w:r>
        <w:rPr>
          <w:rFonts w:hint="default" w:ascii="Times New Roman" w:hAnsi="Times New Roman" w:cs="Times New Roman"/>
          <w:color w:val="000000"/>
          <w:highlight w:val="none"/>
        </w:rPr>
        <w:t>环境管理与监测制度</w:t>
      </w:r>
      <w:bookmarkEnd w:id="404"/>
      <w:bookmarkEnd w:id="405"/>
      <w:bookmarkEnd w:id="406"/>
      <w:bookmarkEnd w:id="407"/>
      <w:bookmarkEnd w:id="408"/>
    </w:p>
    <w:p w14:paraId="7D33FF3C">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eastAsia" w:ascii="Times New Roman" w:hAnsi="Times New Roman" w:cs="Times New Roman"/>
          <w:color w:val="000000"/>
          <w:kern w:val="0"/>
          <w:sz w:val="24"/>
          <w:highlight w:val="none"/>
          <w:lang w:val="zh-CN"/>
        </w:rPr>
        <w:t>环境管理体系是企业生产管理体系的重要组成部分，建立环境管理体系可使企业在发展生产的同时提高清洁生产水平，控制污染物排放，减小对环境的影响，为企业创造良好的社会效益、经济效益和环境效益。</w:t>
      </w:r>
    </w:p>
    <w:p w14:paraId="2BDD5BEC">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eastAsia" w:ascii="Times New Roman" w:hAnsi="Times New Roman" w:cs="Times New Roman"/>
          <w:color w:val="000000"/>
          <w:kern w:val="0"/>
          <w:sz w:val="24"/>
          <w:highlight w:val="none"/>
          <w:lang w:val="zh-CN"/>
        </w:rPr>
        <w:t>环境管理计划在充分了解项目执行过程中的特点后，抓住环境管理中易出现薄弱环节的基础上，制定行之有效的环境管理计划。环境管理计划贯穿项目建设的全过程，包括管理机构的建立、项目建设阶段、生产运行阶段等全过程。环境管理计划的主要内容包括环境管理体系、环境管理机构、环境监理与监测等。</w:t>
      </w:r>
    </w:p>
    <w:p w14:paraId="0856957A">
      <w:pPr>
        <w:pStyle w:val="5"/>
        <w:keepNext/>
        <w:keepLines/>
        <w:pageBreakBefore w:val="0"/>
        <w:widowControl w:val="0"/>
        <w:kinsoku/>
        <w:wordWrap/>
        <w:overflowPunct/>
        <w:topLinePunct w:val="0"/>
        <w:autoSpaceDE/>
        <w:autoSpaceDN/>
        <w:bidi w:val="0"/>
        <w:adjustRightInd/>
        <w:snapToGrid/>
        <w:spacing w:before="0" w:after="0" w:line="360" w:lineRule="auto"/>
        <w:ind w:left="0" w:firstLine="0"/>
        <w:textAlignment w:val="auto"/>
        <w:rPr>
          <w:rFonts w:hint="default" w:ascii="Times New Roman" w:hAnsi="Times New Roman" w:eastAsia="宋体" w:cs="Times New Roman"/>
          <w:b/>
          <w:color w:val="000000"/>
          <w:sz w:val="28"/>
          <w:szCs w:val="28"/>
          <w:highlight w:val="none"/>
        </w:rPr>
      </w:pPr>
      <w:bookmarkStart w:id="409" w:name="_Toc5004"/>
      <w:bookmarkStart w:id="410" w:name="_Toc16277"/>
      <w:bookmarkStart w:id="411" w:name="_Toc13461"/>
      <w:bookmarkStart w:id="412" w:name="_Toc12896"/>
      <w:bookmarkStart w:id="413" w:name="_Toc11938"/>
      <w:r>
        <w:rPr>
          <w:rFonts w:hint="default" w:ascii="Times New Roman" w:hAnsi="Times New Roman" w:eastAsia="宋体" w:cs="Times New Roman"/>
          <w:b/>
          <w:color w:val="000000"/>
          <w:sz w:val="28"/>
          <w:szCs w:val="28"/>
          <w:highlight w:val="none"/>
        </w:rPr>
        <w:t>环境管理</w:t>
      </w:r>
      <w:bookmarkEnd w:id="409"/>
      <w:bookmarkEnd w:id="410"/>
      <w:bookmarkEnd w:id="411"/>
      <w:bookmarkEnd w:id="412"/>
      <w:bookmarkEnd w:id="413"/>
    </w:p>
    <w:p w14:paraId="1A9F1DAA">
      <w:pPr>
        <w:pStyle w:val="6"/>
        <w:pageBreakBefore w:val="0"/>
        <w:widowControl w:val="0"/>
        <w:kinsoku/>
        <w:wordWrap/>
        <w:overflowPunct/>
        <w:topLinePunct w:val="0"/>
        <w:bidi w:val="0"/>
        <w:adjustRightInd w:val="0"/>
        <w:snapToGrid w:val="0"/>
        <w:spacing w:before="0" w:beforeLines="0" w:line="360" w:lineRule="auto"/>
        <w:textAlignment w:val="auto"/>
        <w:rPr>
          <w:rFonts w:hint="default" w:ascii="Times New Roman" w:hAnsi="Times New Roman" w:cs="Times New Roman"/>
          <w:color w:val="000000"/>
          <w:highlight w:val="none"/>
        </w:rPr>
      </w:pPr>
      <w:bookmarkStart w:id="414" w:name="_Toc18860"/>
      <w:r>
        <w:rPr>
          <w:rFonts w:hint="eastAsia" w:cs="Times New Roman"/>
          <w:color w:val="000000"/>
          <w:highlight w:val="none"/>
          <w:lang w:val="en-US" w:eastAsia="zh-CN"/>
        </w:rPr>
        <w:t>建设阶段</w:t>
      </w:r>
      <w:r>
        <w:rPr>
          <w:rFonts w:hint="default" w:ascii="Times New Roman" w:hAnsi="Times New Roman" w:cs="Times New Roman"/>
          <w:color w:val="000000"/>
          <w:highlight w:val="none"/>
        </w:rPr>
        <w:t>环境管理</w:t>
      </w:r>
      <w:bookmarkEnd w:id="414"/>
    </w:p>
    <w:p w14:paraId="275164E8">
      <w:pPr>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olor w:val="000000"/>
          <w:kern w:val="0"/>
          <w:sz w:val="24"/>
          <w:highlight w:val="none"/>
          <w:lang w:val="en-US" w:eastAsia="zh-CN"/>
        </w:rPr>
      </w:pPr>
      <w:r>
        <w:rPr>
          <w:rFonts w:hint="eastAsia" w:ascii="Times New Roman" w:hAnsi="Times New Roman" w:cs="Times New Roman"/>
          <w:b/>
          <w:bCs/>
          <w:color w:val="000000"/>
          <w:kern w:val="0"/>
          <w:sz w:val="24"/>
          <w:highlight w:val="none"/>
          <w:lang w:val="zh-CN"/>
        </w:rPr>
        <w:t>（</w:t>
      </w:r>
      <w:r>
        <w:rPr>
          <w:rFonts w:hint="eastAsia" w:ascii="Times New Roman" w:hAnsi="Times New Roman" w:cs="Times New Roman"/>
          <w:b/>
          <w:bCs/>
          <w:color w:val="000000"/>
          <w:kern w:val="0"/>
          <w:sz w:val="24"/>
          <w:highlight w:val="none"/>
          <w:lang w:val="en-US" w:eastAsia="zh-CN"/>
        </w:rPr>
        <w:t>1</w:t>
      </w:r>
      <w:r>
        <w:rPr>
          <w:rFonts w:hint="eastAsia" w:ascii="Times New Roman" w:hAnsi="Times New Roman" w:cs="Times New Roman"/>
          <w:b/>
          <w:bCs/>
          <w:color w:val="000000"/>
          <w:kern w:val="0"/>
          <w:sz w:val="24"/>
          <w:highlight w:val="none"/>
          <w:lang w:val="zh-CN"/>
        </w:rPr>
        <w:t>）</w:t>
      </w:r>
      <w:r>
        <w:rPr>
          <w:rFonts w:hint="eastAsia" w:ascii="Times New Roman" w:hAnsi="Times New Roman" w:cs="Times New Roman"/>
          <w:b/>
          <w:bCs/>
          <w:color w:val="000000"/>
          <w:kern w:val="0"/>
          <w:sz w:val="24"/>
          <w:highlight w:val="none"/>
          <w:lang w:val="en-US" w:eastAsia="zh-CN"/>
        </w:rPr>
        <w:t>环境管理机构</w:t>
      </w:r>
    </w:p>
    <w:p w14:paraId="6501C0CE">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建设阶段的环境管理由建设单位、施工单位负责，组建环境管理机构，并由建设单位负责监督。</w:t>
      </w:r>
    </w:p>
    <w:p w14:paraId="1C13D95F">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主要内容包括：依照国家环境保护法律、法规，对施工中可能产生污染的环节进行规范管理，定期或不定期的检查；督促建设单位、施工单位采取相应的污染防治措施，以减轻对环境的污染</w:t>
      </w:r>
      <w:r>
        <w:rPr>
          <w:rFonts w:hint="eastAsia" w:ascii="Times New Roman" w:hAnsi="Times New Roman" w:cs="Times New Roman"/>
          <w:color w:val="000000"/>
          <w:kern w:val="0"/>
          <w:sz w:val="24"/>
          <w:highlight w:val="none"/>
          <w:lang w:val="zh-CN"/>
        </w:rPr>
        <w:t>。</w:t>
      </w:r>
    </w:p>
    <w:p w14:paraId="2C825E9A">
      <w:pPr>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eastAsia" w:ascii="Times New Roman" w:hAnsi="Times New Roman" w:cs="Times New Roman"/>
          <w:b/>
          <w:bCs/>
          <w:color w:val="000000"/>
          <w:kern w:val="0"/>
          <w:sz w:val="24"/>
          <w:highlight w:val="none"/>
          <w:lang w:val="zh-CN"/>
        </w:rPr>
      </w:pPr>
      <w:r>
        <w:rPr>
          <w:rFonts w:hint="eastAsia" w:ascii="Times New Roman" w:hAnsi="Times New Roman" w:cs="Times New Roman"/>
          <w:b/>
          <w:bCs/>
          <w:color w:val="000000"/>
          <w:kern w:val="0"/>
          <w:sz w:val="24"/>
          <w:highlight w:val="none"/>
          <w:lang w:val="zh-CN"/>
        </w:rPr>
        <w:t>（</w:t>
      </w:r>
      <w:r>
        <w:rPr>
          <w:rFonts w:hint="eastAsia" w:ascii="Times New Roman" w:hAnsi="Times New Roman" w:cs="Times New Roman"/>
          <w:b/>
          <w:bCs/>
          <w:color w:val="000000"/>
          <w:kern w:val="0"/>
          <w:sz w:val="24"/>
          <w:highlight w:val="none"/>
          <w:lang w:val="en-US" w:eastAsia="zh-CN"/>
        </w:rPr>
        <w:t>2</w:t>
      </w:r>
      <w:r>
        <w:rPr>
          <w:rFonts w:hint="eastAsia" w:ascii="Times New Roman" w:hAnsi="Times New Roman" w:cs="Times New Roman"/>
          <w:b/>
          <w:bCs/>
          <w:color w:val="000000"/>
          <w:kern w:val="0"/>
          <w:sz w:val="24"/>
          <w:highlight w:val="none"/>
          <w:lang w:val="zh-CN"/>
        </w:rPr>
        <w:t>）环境管理机构职责</w:t>
      </w:r>
    </w:p>
    <w:p w14:paraId="35C0EB92">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eastAsia" w:ascii="Times New Roman" w:hAnsi="Times New Roman" w:cs="Times New Roman"/>
          <w:color w:val="000000"/>
          <w:kern w:val="0"/>
          <w:sz w:val="24"/>
          <w:highlight w:val="none"/>
          <w:lang w:val="en-US" w:eastAsia="zh-CN"/>
        </w:rPr>
        <w:t>①</w:t>
      </w:r>
      <w:r>
        <w:rPr>
          <w:rFonts w:hint="eastAsia" w:ascii="Times New Roman" w:hAnsi="Times New Roman" w:cs="Times New Roman"/>
          <w:color w:val="000000"/>
          <w:kern w:val="0"/>
          <w:sz w:val="24"/>
          <w:highlight w:val="none"/>
          <w:lang w:val="zh-CN"/>
        </w:rPr>
        <w:t>贯彻执行环境保护法律、法规和标准；根据国家有关施工管理条例和施工操作规范，制定施工环保管理条例，为施工单位的施工活动提出指导性要求，同时派专人监督施工单位对条例的执行情况；</w:t>
      </w:r>
    </w:p>
    <w:p w14:paraId="37CFCB99">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eastAsia" w:ascii="Times New Roman" w:hAnsi="Times New Roman" w:cs="Times New Roman"/>
          <w:color w:val="000000"/>
          <w:kern w:val="0"/>
          <w:sz w:val="24"/>
          <w:highlight w:val="none"/>
          <w:lang w:val="en-US" w:eastAsia="zh-CN"/>
        </w:rPr>
        <w:t>②</w:t>
      </w:r>
      <w:r>
        <w:rPr>
          <w:rFonts w:hint="eastAsia" w:ascii="Times New Roman" w:hAnsi="Times New Roman" w:cs="Times New Roman"/>
          <w:color w:val="000000"/>
          <w:kern w:val="0"/>
          <w:sz w:val="24"/>
          <w:highlight w:val="none"/>
          <w:lang w:val="zh-CN"/>
        </w:rPr>
        <w:t>对施工中可能产生污染的环节进行规范管理，定期或不定期检查；检查建设阶段环境保护设施运行情况；</w:t>
      </w:r>
    </w:p>
    <w:p w14:paraId="4BA4AD6E">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eastAsia" w:ascii="Times New Roman" w:hAnsi="Times New Roman" w:cs="Times New Roman"/>
          <w:color w:val="000000"/>
          <w:kern w:val="0"/>
          <w:sz w:val="24"/>
          <w:highlight w:val="none"/>
          <w:lang w:val="en-US" w:eastAsia="zh-CN"/>
        </w:rPr>
        <w:t>③</w:t>
      </w:r>
      <w:r>
        <w:rPr>
          <w:rFonts w:hint="eastAsia" w:ascii="Times New Roman" w:hAnsi="Times New Roman" w:cs="Times New Roman"/>
          <w:color w:val="000000"/>
          <w:kern w:val="0"/>
          <w:sz w:val="24"/>
          <w:highlight w:val="none"/>
          <w:lang w:val="zh-CN"/>
        </w:rPr>
        <w:t>推广应用施工环境保护先进技术；</w:t>
      </w:r>
    </w:p>
    <w:p w14:paraId="7407C0E9">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eastAsia" w:ascii="Times New Roman" w:hAnsi="Times New Roman" w:cs="Times New Roman"/>
          <w:color w:val="000000"/>
          <w:kern w:val="0"/>
          <w:sz w:val="24"/>
          <w:highlight w:val="none"/>
          <w:lang w:val="en-US" w:eastAsia="zh-CN"/>
        </w:rPr>
        <w:t>④</w:t>
      </w:r>
      <w:r>
        <w:rPr>
          <w:rFonts w:hint="eastAsia" w:ascii="Times New Roman" w:hAnsi="Times New Roman" w:cs="Times New Roman"/>
          <w:color w:val="000000"/>
          <w:kern w:val="0"/>
          <w:sz w:val="24"/>
          <w:highlight w:val="none"/>
          <w:lang w:val="zh-CN"/>
        </w:rPr>
        <w:t>组织开展必要的环境保护专业技能培训，提供施工人员环境保护意识；</w:t>
      </w:r>
    </w:p>
    <w:p w14:paraId="2B602A2A">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eastAsia" w:ascii="Times New Roman" w:hAnsi="Times New Roman" w:cs="Times New Roman"/>
          <w:color w:val="000000"/>
          <w:kern w:val="0"/>
          <w:sz w:val="24"/>
          <w:highlight w:val="none"/>
          <w:lang w:val="en-US" w:eastAsia="zh-CN"/>
        </w:rPr>
        <w:t>⑤</w:t>
      </w:r>
      <w:r>
        <w:rPr>
          <w:rFonts w:hint="eastAsia" w:ascii="Times New Roman" w:hAnsi="Times New Roman" w:cs="Times New Roman"/>
          <w:color w:val="000000"/>
          <w:kern w:val="0"/>
          <w:sz w:val="24"/>
          <w:highlight w:val="none"/>
          <w:lang w:val="zh-CN"/>
        </w:rPr>
        <w:t>听取环保部门和周围居民对施工中环保方面的意见，以便进一步加强文明施工和管理。</w:t>
      </w:r>
    </w:p>
    <w:p w14:paraId="2BDC0443">
      <w:pPr>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eastAsia" w:ascii="Times New Roman" w:hAnsi="Times New Roman" w:eastAsia="宋体" w:cs="Times New Roman"/>
          <w:b/>
          <w:bCs w:val="0"/>
          <w:color w:val="000000"/>
          <w:sz w:val="24"/>
          <w:szCs w:val="24"/>
          <w:highlight w:val="none"/>
          <w:lang w:eastAsia="zh-CN"/>
        </w:rPr>
      </w:pPr>
      <w:r>
        <w:rPr>
          <w:rFonts w:hint="eastAsia" w:ascii="Times New Roman" w:hAnsi="Times New Roman" w:cs="Times New Roman"/>
          <w:b/>
          <w:bCs w:val="0"/>
          <w:color w:val="000000"/>
          <w:sz w:val="24"/>
          <w:szCs w:val="24"/>
          <w:highlight w:val="none"/>
          <w:lang w:eastAsia="zh-CN"/>
        </w:rPr>
        <w:t>（</w:t>
      </w:r>
      <w:r>
        <w:rPr>
          <w:rFonts w:hint="eastAsia" w:ascii="Times New Roman" w:hAnsi="Times New Roman" w:cs="Times New Roman"/>
          <w:b/>
          <w:bCs w:val="0"/>
          <w:color w:val="000000"/>
          <w:sz w:val="24"/>
          <w:szCs w:val="24"/>
          <w:highlight w:val="none"/>
          <w:lang w:val="en-US" w:eastAsia="zh-CN"/>
        </w:rPr>
        <w:t>3</w:t>
      </w:r>
      <w:r>
        <w:rPr>
          <w:rFonts w:hint="eastAsia" w:ascii="Times New Roman" w:hAnsi="Times New Roman" w:cs="Times New Roman"/>
          <w:b/>
          <w:bCs w:val="0"/>
          <w:color w:val="000000"/>
          <w:sz w:val="24"/>
          <w:szCs w:val="24"/>
          <w:highlight w:val="none"/>
          <w:lang w:eastAsia="zh-CN"/>
        </w:rPr>
        <w:t>）环境管理</w:t>
      </w:r>
    </w:p>
    <w:p w14:paraId="7A8A2F6D">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color w:val="000000"/>
          <w:sz w:val="24"/>
          <w:szCs w:val="24"/>
          <w:highlight w:val="none"/>
        </w:rPr>
      </w:pPr>
      <w:r>
        <w:rPr>
          <w:rFonts w:hint="default" w:ascii="Times New Roman" w:hAnsi="Times New Roman" w:cs="Times New Roman"/>
          <w:bCs/>
          <w:color w:val="000000"/>
          <w:sz w:val="24"/>
          <w:szCs w:val="24"/>
          <w:highlight w:val="none"/>
        </w:rPr>
        <w:t>①施工噪声控制：合理安排施工时间，避免施工噪声对村庄敏感点的干扰。强化管理，避免夜间推土机、载重汽车等高噪设备的使用。</w:t>
      </w:r>
    </w:p>
    <w:p w14:paraId="482C2DC9">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color w:val="000000"/>
          <w:sz w:val="24"/>
          <w:szCs w:val="24"/>
          <w:highlight w:val="none"/>
        </w:rPr>
      </w:pPr>
      <w:r>
        <w:rPr>
          <w:rFonts w:hint="default" w:ascii="Times New Roman" w:hAnsi="Times New Roman" w:cs="Times New Roman"/>
          <w:bCs/>
          <w:color w:val="000000"/>
          <w:sz w:val="24"/>
          <w:szCs w:val="24"/>
          <w:highlight w:val="none"/>
        </w:rPr>
        <w:t>②车辆运输：土石方运输杜绝超载，以减少散落，施工便道定时洒水抑尘。</w:t>
      </w:r>
    </w:p>
    <w:p w14:paraId="0DA7F528">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4"/>
          <w:highlight w:val="none"/>
          <w:lang w:val="zh-CN"/>
        </w:rPr>
      </w:pPr>
      <w:r>
        <w:rPr>
          <w:rFonts w:hint="default" w:ascii="Times New Roman" w:hAnsi="Times New Roman" w:cs="Times New Roman"/>
          <w:bCs/>
          <w:color w:val="000000"/>
          <w:sz w:val="24"/>
          <w:szCs w:val="24"/>
          <w:highlight w:val="none"/>
        </w:rPr>
        <w:t>③施工单位加强对施工现场、临时驻地及其他施工临时设施的管理，禁止施工材料的随意堆放，易引起扬尘的物料堆存应采取必要的防尘措施。雨季施工加强对弃土、施工材料堆放管理，以防流失。施工完毕，妥善处理弃渣，并进行绿化，恢复施工现场。</w:t>
      </w:r>
    </w:p>
    <w:p w14:paraId="66311111">
      <w:pPr>
        <w:pStyle w:val="6"/>
        <w:pageBreakBefore w:val="0"/>
        <w:widowControl w:val="0"/>
        <w:kinsoku/>
        <w:wordWrap/>
        <w:overflowPunct/>
        <w:topLinePunct w:val="0"/>
        <w:bidi w:val="0"/>
        <w:adjustRightInd w:val="0"/>
        <w:snapToGrid w:val="0"/>
        <w:spacing w:before="0" w:beforeLines="0" w:line="360" w:lineRule="auto"/>
        <w:textAlignment w:val="auto"/>
        <w:rPr>
          <w:rFonts w:hint="default" w:ascii="Times New Roman" w:hAnsi="Times New Roman" w:cs="Times New Roman"/>
          <w:color w:val="000000"/>
          <w:highlight w:val="none"/>
        </w:rPr>
      </w:pPr>
      <w:bookmarkStart w:id="415" w:name="_Toc19175"/>
      <w:r>
        <w:rPr>
          <w:rFonts w:hint="eastAsia" w:cs="Times New Roman"/>
          <w:color w:val="000000"/>
          <w:highlight w:val="none"/>
          <w:lang w:val="en-US" w:eastAsia="zh-CN"/>
        </w:rPr>
        <w:t>生产运行</w:t>
      </w:r>
      <w:r>
        <w:rPr>
          <w:rFonts w:hint="default" w:ascii="Times New Roman" w:hAnsi="Times New Roman" w:cs="Times New Roman"/>
          <w:color w:val="000000"/>
          <w:highlight w:val="none"/>
        </w:rPr>
        <w:t>阶段环境管理</w:t>
      </w:r>
      <w:bookmarkEnd w:id="415"/>
    </w:p>
    <w:p w14:paraId="10E64D77">
      <w:pPr>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olor w:val="000000"/>
          <w:kern w:val="0"/>
          <w:sz w:val="24"/>
          <w:highlight w:val="none"/>
          <w:lang w:val="en-US" w:eastAsia="zh-CN"/>
        </w:rPr>
      </w:pPr>
      <w:r>
        <w:rPr>
          <w:rFonts w:hint="eastAsia" w:ascii="Times New Roman" w:hAnsi="Times New Roman" w:cs="Times New Roman"/>
          <w:b/>
          <w:bCs/>
          <w:color w:val="000000"/>
          <w:kern w:val="0"/>
          <w:sz w:val="24"/>
          <w:highlight w:val="none"/>
          <w:lang w:val="zh-CN"/>
        </w:rPr>
        <w:t>（</w:t>
      </w:r>
      <w:r>
        <w:rPr>
          <w:rFonts w:hint="eastAsia" w:ascii="Times New Roman" w:hAnsi="Times New Roman" w:cs="Times New Roman"/>
          <w:b/>
          <w:bCs/>
          <w:color w:val="000000"/>
          <w:kern w:val="0"/>
          <w:sz w:val="24"/>
          <w:highlight w:val="none"/>
          <w:lang w:val="en-US" w:eastAsia="zh-CN"/>
        </w:rPr>
        <w:t>1</w:t>
      </w:r>
      <w:r>
        <w:rPr>
          <w:rFonts w:hint="eastAsia" w:ascii="Times New Roman" w:hAnsi="Times New Roman" w:cs="Times New Roman"/>
          <w:b/>
          <w:bCs/>
          <w:color w:val="000000"/>
          <w:kern w:val="0"/>
          <w:sz w:val="24"/>
          <w:highlight w:val="none"/>
          <w:lang w:val="zh-CN"/>
        </w:rPr>
        <w:t>）</w:t>
      </w:r>
      <w:r>
        <w:rPr>
          <w:rFonts w:hint="eastAsia" w:ascii="Times New Roman" w:hAnsi="Times New Roman" w:cs="Times New Roman"/>
          <w:b/>
          <w:bCs/>
          <w:color w:val="000000"/>
          <w:kern w:val="0"/>
          <w:sz w:val="24"/>
          <w:highlight w:val="none"/>
          <w:lang w:val="en-US" w:eastAsia="zh-CN"/>
        </w:rPr>
        <w:t>环境管理机构</w:t>
      </w:r>
    </w:p>
    <w:p w14:paraId="4CA8E05D">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eastAsia" w:cs="Times New Roman"/>
          <w:color w:val="000000"/>
          <w:kern w:val="0"/>
          <w:sz w:val="24"/>
          <w:highlight w:val="none"/>
          <w:lang w:val="zh-CN"/>
        </w:rPr>
        <w:t>承德天宝矿业集团大昌矿业有限公司</w:t>
      </w:r>
      <w:r>
        <w:rPr>
          <w:rFonts w:hint="eastAsia" w:ascii="Times New Roman" w:hAnsi="Times New Roman" w:cs="Times New Roman"/>
          <w:color w:val="000000"/>
          <w:kern w:val="0"/>
          <w:sz w:val="24"/>
          <w:highlight w:val="none"/>
          <w:lang w:val="en-US" w:eastAsia="zh-CN"/>
        </w:rPr>
        <w:t>设置专门的环保管理部门，</w:t>
      </w:r>
      <w:r>
        <w:rPr>
          <w:rFonts w:hint="default" w:ascii="Times New Roman" w:hAnsi="Times New Roman" w:cs="Times New Roman"/>
          <w:color w:val="000000"/>
          <w:kern w:val="0"/>
          <w:sz w:val="24"/>
          <w:highlight w:val="none"/>
          <w:lang w:val="zh-CN"/>
        </w:rPr>
        <w:t>需配置1</w:t>
      </w:r>
      <w:r>
        <w:rPr>
          <w:rFonts w:hint="eastAsia" w:ascii="Times New Roman" w:hAnsi="Times New Roman" w:cs="Times New Roman"/>
          <w:color w:val="000000"/>
          <w:kern w:val="0"/>
          <w:sz w:val="24"/>
          <w:highlight w:val="none"/>
          <w:lang w:val="en-US" w:eastAsia="zh-CN"/>
        </w:rPr>
        <w:t>-</w:t>
      </w:r>
      <w:r>
        <w:rPr>
          <w:rFonts w:hint="default" w:ascii="Times New Roman" w:hAnsi="Times New Roman" w:cs="Times New Roman"/>
          <w:color w:val="000000"/>
          <w:kern w:val="0"/>
          <w:sz w:val="24"/>
          <w:highlight w:val="none"/>
          <w:lang w:val="zh-CN"/>
        </w:rPr>
        <w:t>2名专职或兼职管理人员</w:t>
      </w:r>
      <w:r>
        <w:rPr>
          <w:rFonts w:hint="eastAsia" w:ascii="Times New Roman" w:hAnsi="Times New Roman" w:cs="Times New Roman"/>
          <w:color w:val="000000"/>
          <w:kern w:val="0"/>
          <w:sz w:val="24"/>
          <w:highlight w:val="none"/>
          <w:lang w:val="zh-CN"/>
        </w:rPr>
        <w:t>，</w:t>
      </w:r>
      <w:r>
        <w:rPr>
          <w:rFonts w:hint="eastAsia" w:ascii="Times New Roman" w:hAnsi="Times New Roman" w:cs="Times New Roman"/>
          <w:color w:val="000000"/>
          <w:kern w:val="0"/>
          <w:sz w:val="24"/>
          <w:highlight w:val="none"/>
          <w:lang w:val="en-US" w:eastAsia="zh-CN"/>
        </w:rPr>
        <w:t>主要负责全厂的环保措施的实施、环境监测及污染治理等有关环境保护、治理等方面的工作，负责企业对社会的环境承诺，协调与当地环保部门的工作</w:t>
      </w:r>
      <w:r>
        <w:rPr>
          <w:rFonts w:hint="default" w:ascii="Times New Roman" w:hAnsi="Times New Roman" w:cs="Times New Roman"/>
          <w:color w:val="000000"/>
          <w:kern w:val="0"/>
          <w:sz w:val="24"/>
          <w:highlight w:val="none"/>
          <w:lang w:val="zh-CN"/>
        </w:rPr>
        <w:t>。</w:t>
      </w:r>
    </w:p>
    <w:p w14:paraId="2B0ECE32">
      <w:pPr>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eastAsia" w:ascii="Times New Roman" w:hAnsi="Times New Roman" w:cs="Times New Roman"/>
          <w:b/>
          <w:bCs/>
          <w:color w:val="000000"/>
          <w:kern w:val="0"/>
          <w:sz w:val="24"/>
          <w:highlight w:val="none"/>
          <w:lang w:val="zh-CN"/>
        </w:rPr>
      </w:pPr>
      <w:r>
        <w:rPr>
          <w:rFonts w:hint="eastAsia" w:ascii="Times New Roman" w:hAnsi="Times New Roman" w:cs="Times New Roman"/>
          <w:b/>
          <w:bCs/>
          <w:color w:val="000000"/>
          <w:kern w:val="0"/>
          <w:sz w:val="24"/>
          <w:highlight w:val="none"/>
          <w:lang w:val="zh-CN"/>
        </w:rPr>
        <w:t>（</w:t>
      </w:r>
      <w:r>
        <w:rPr>
          <w:rFonts w:hint="eastAsia" w:ascii="Times New Roman" w:hAnsi="Times New Roman" w:cs="Times New Roman"/>
          <w:b/>
          <w:bCs/>
          <w:color w:val="000000"/>
          <w:kern w:val="0"/>
          <w:sz w:val="24"/>
          <w:highlight w:val="none"/>
          <w:lang w:val="en-US" w:eastAsia="zh-CN"/>
        </w:rPr>
        <w:t>2</w:t>
      </w:r>
      <w:r>
        <w:rPr>
          <w:rFonts w:hint="eastAsia" w:ascii="Times New Roman" w:hAnsi="Times New Roman" w:cs="Times New Roman"/>
          <w:b/>
          <w:bCs/>
          <w:color w:val="000000"/>
          <w:kern w:val="0"/>
          <w:sz w:val="24"/>
          <w:highlight w:val="none"/>
          <w:lang w:val="zh-CN"/>
        </w:rPr>
        <w:t>）环境管理机构职责</w:t>
      </w:r>
    </w:p>
    <w:p w14:paraId="23600C45">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①贯彻执行《中华人民共和国环境保护法》及其相关法律、法规</w:t>
      </w:r>
      <w:r>
        <w:rPr>
          <w:rFonts w:hint="eastAsia" w:ascii="Times New Roman" w:hAnsi="Times New Roman" w:cs="Times New Roman"/>
          <w:color w:val="000000"/>
          <w:kern w:val="0"/>
          <w:sz w:val="24"/>
          <w:highlight w:val="none"/>
          <w:lang w:val="zh-CN"/>
        </w:rPr>
        <w:t>，</w:t>
      </w:r>
      <w:r>
        <w:rPr>
          <w:rFonts w:hint="default" w:ascii="Times New Roman" w:hAnsi="Times New Roman" w:cs="Times New Roman"/>
          <w:color w:val="000000"/>
          <w:kern w:val="0"/>
          <w:sz w:val="24"/>
          <w:highlight w:val="none"/>
          <w:lang w:val="zh-CN"/>
        </w:rPr>
        <w:t>按国家的环保政策、环境标准及环境监测要求，制定环境管理规章制度，并监督执行。</w:t>
      </w:r>
    </w:p>
    <w:p w14:paraId="169EF10A">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②制定环境政策，包括经济政策，综合利用政策，综合防治政策，自然资源利用政策和环境技术政策。全面贯彻落实环境保护政策，做好项目的环境污染和环境保护工作。</w:t>
      </w:r>
    </w:p>
    <w:p w14:paraId="613C38B9">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③编制环境规划，制定本企业环境保护的远、近期发展规划和年度工作计划，制定并检查各项环境保护管理制度及执行情况。</w:t>
      </w:r>
    </w:p>
    <w:p w14:paraId="6472DDE8">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④制定出本企业的环境保护目标和实施措施，把环境保护的目标和要求，纳入国民经济发展中去，把防治污染和综合利用指标纳入企业的生产计划。并在年度计划中予以落实。负责建立企业内部环境保护责任制度的考核制度，协助企业完成围绕环境保护的各项考核指标。</w:t>
      </w:r>
    </w:p>
    <w:p w14:paraId="32EB8509">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⑤执行国家有关建设项目环境保护的规定，做好环保设施管理和维护工作。建立并管理好环保设施的档案工作，保证环保设施按照设计要求运行，加强企业经营管理，杜绝擅自拆除和闲置不用的现象发生。做到环保设施及设备的利用率和完好率。</w:t>
      </w:r>
    </w:p>
    <w:p w14:paraId="78A09C16">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⑥清除污染，改善环境。认真保护和合理利用自然资源，加强企业所在区域的绿化工作。</w:t>
      </w:r>
    </w:p>
    <w:p w14:paraId="46EC3279">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⑦组织并抓好本企业污染治理和综合利用工作，抓好本企业范围内的重点环保治理工作，定期对各项环保设施进行检查，负责环保设备的维修保养，保证其正常运行。</w:t>
      </w:r>
    </w:p>
    <w:p w14:paraId="47491D54">
      <w:pPr>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⑧搞好厂区内绿化工作</w:t>
      </w:r>
      <w:r>
        <w:rPr>
          <w:rFonts w:hint="eastAsia" w:ascii="Times New Roman" w:hAnsi="Times New Roman" w:cs="Times New Roman"/>
          <w:color w:val="000000"/>
          <w:kern w:val="0"/>
          <w:sz w:val="24"/>
          <w:highlight w:val="none"/>
          <w:lang w:val="zh-CN"/>
        </w:rPr>
        <w:t>。</w:t>
      </w:r>
    </w:p>
    <w:p w14:paraId="62C5A690">
      <w:pPr>
        <w:pStyle w:val="5"/>
        <w:keepNext/>
        <w:keepLines/>
        <w:pageBreakBefore w:val="0"/>
        <w:widowControl w:val="0"/>
        <w:kinsoku/>
        <w:wordWrap/>
        <w:overflowPunct/>
        <w:topLinePunct w:val="0"/>
        <w:autoSpaceDE/>
        <w:autoSpaceDN/>
        <w:bidi w:val="0"/>
        <w:adjustRightInd/>
        <w:snapToGrid/>
        <w:spacing w:before="0" w:after="0" w:line="360" w:lineRule="auto"/>
        <w:ind w:left="0" w:firstLine="0"/>
        <w:textAlignment w:val="auto"/>
        <w:rPr>
          <w:rFonts w:hint="default" w:ascii="Times New Roman" w:hAnsi="Times New Roman" w:eastAsia="宋体" w:cs="Times New Roman"/>
          <w:b/>
          <w:color w:val="000000"/>
          <w:sz w:val="28"/>
          <w:szCs w:val="28"/>
          <w:highlight w:val="none"/>
        </w:rPr>
      </w:pPr>
      <w:bookmarkStart w:id="416" w:name="_Toc29543"/>
      <w:bookmarkStart w:id="417" w:name="_Toc17693"/>
      <w:bookmarkStart w:id="418" w:name="_Toc4767"/>
      <w:bookmarkStart w:id="419" w:name="_Toc14618"/>
      <w:bookmarkStart w:id="420" w:name="_Toc4760"/>
      <w:r>
        <w:rPr>
          <w:rFonts w:hint="default" w:ascii="Times New Roman" w:hAnsi="Times New Roman" w:eastAsia="宋体" w:cs="Times New Roman"/>
          <w:b/>
          <w:color w:val="000000"/>
          <w:sz w:val="28"/>
          <w:szCs w:val="28"/>
          <w:highlight w:val="none"/>
        </w:rPr>
        <w:t>环境</w:t>
      </w:r>
      <w:bookmarkEnd w:id="416"/>
      <w:bookmarkEnd w:id="417"/>
      <w:r>
        <w:rPr>
          <w:rFonts w:hint="eastAsia" w:ascii="Times New Roman" w:hAnsi="Times New Roman" w:eastAsia="宋体" w:cs="Times New Roman"/>
          <w:b/>
          <w:color w:val="000000"/>
          <w:sz w:val="28"/>
          <w:szCs w:val="28"/>
          <w:highlight w:val="none"/>
          <w:lang w:val="en-US" w:eastAsia="zh-CN"/>
        </w:rPr>
        <w:t>监测计划</w:t>
      </w:r>
      <w:bookmarkEnd w:id="418"/>
      <w:bookmarkEnd w:id="419"/>
      <w:bookmarkEnd w:id="420"/>
    </w:p>
    <w:p w14:paraId="05E5B4DB">
      <w:pPr>
        <w:pStyle w:val="6"/>
        <w:pageBreakBefore w:val="0"/>
        <w:widowControl w:val="0"/>
        <w:kinsoku/>
        <w:wordWrap/>
        <w:overflowPunct/>
        <w:topLinePunct w:val="0"/>
        <w:bidi w:val="0"/>
        <w:adjustRightInd w:val="0"/>
        <w:snapToGrid w:val="0"/>
        <w:spacing w:before="0" w:beforeLines="0" w:line="360" w:lineRule="auto"/>
        <w:textAlignment w:val="auto"/>
        <w:rPr>
          <w:rFonts w:hint="default" w:ascii="Times New Roman" w:hAnsi="Times New Roman" w:eastAsia="宋体" w:cs="Times New Roman"/>
          <w:b/>
          <w:bCs/>
          <w:color w:val="000000"/>
          <w:highlight w:val="none"/>
          <w:lang w:val="zh-CN" w:eastAsia="zh-CN"/>
        </w:rPr>
      </w:pPr>
      <w:r>
        <w:rPr>
          <w:rFonts w:hint="default" w:ascii="Times New Roman" w:hAnsi="Times New Roman" w:eastAsia="宋体" w:cs="Times New Roman"/>
          <w:b/>
          <w:bCs/>
          <w:color w:val="000000"/>
          <w:highlight w:val="none"/>
          <w:lang w:val="zh-CN" w:eastAsia="zh-CN"/>
        </w:rPr>
        <w:t>监测机构</w:t>
      </w:r>
    </w:p>
    <w:p w14:paraId="714CCDA6">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环境监测是环境保护的基础，是进行污染治理和监督管理的依据，矿区地质灾害监测可委托当地地质部门按有关规程定期监测</w:t>
      </w:r>
      <w:r>
        <w:rPr>
          <w:rFonts w:hint="eastAsia" w:ascii="Times New Roman" w:hAnsi="Times New Roman" w:cs="Times New Roman"/>
          <w:color w:val="000000"/>
          <w:kern w:val="0"/>
          <w:sz w:val="24"/>
          <w:highlight w:val="none"/>
          <w:lang w:val="zh-CN"/>
        </w:rPr>
        <w:t>，</w:t>
      </w:r>
      <w:r>
        <w:rPr>
          <w:rFonts w:hint="default" w:ascii="Times New Roman" w:hAnsi="Times New Roman" w:cs="Times New Roman"/>
          <w:color w:val="000000"/>
          <w:kern w:val="0"/>
          <w:sz w:val="24"/>
          <w:highlight w:val="none"/>
          <w:lang w:val="zh-CN"/>
        </w:rPr>
        <w:t>环境和污染源监测工作可委托由当地环保监测部门承担。</w:t>
      </w:r>
    </w:p>
    <w:p w14:paraId="77BCCA2E">
      <w:pPr>
        <w:pStyle w:val="6"/>
        <w:keepNext/>
        <w:keepLines/>
        <w:pageBreakBefore w:val="0"/>
        <w:widowControl w:val="0"/>
        <w:kinsoku/>
        <w:wordWrap/>
        <w:overflowPunct/>
        <w:topLinePunct w:val="0"/>
        <w:autoSpaceDE/>
        <w:autoSpaceDN/>
        <w:bidi w:val="0"/>
        <w:adjustRightInd w:val="0"/>
        <w:snapToGrid w:val="0"/>
        <w:spacing w:before="0" w:beforeLines="0"/>
        <w:textAlignment w:val="auto"/>
        <w:rPr>
          <w:rFonts w:hint="default" w:ascii="Times New Roman" w:hAnsi="Times New Roman" w:cs="Times New Roman"/>
          <w:color w:val="000000"/>
          <w:highlight w:val="none"/>
        </w:rPr>
      </w:pPr>
      <w:bookmarkStart w:id="421" w:name="_Toc31943"/>
      <w:r>
        <w:rPr>
          <w:rFonts w:hint="default" w:ascii="Times New Roman" w:hAnsi="Times New Roman" w:cs="Times New Roman"/>
          <w:color w:val="000000"/>
          <w:highlight w:val="none"/>
        </w:rPr>
        <w:t>环境监测</w:t>
      </w:r>
      <w:bookmarkEnd w:id="421"/>
      <w:r>
        <w:rPr>
          <w:rFonts w:hint="eastAsia" w:ascii="Times New Roman" w:hAnsi="Times New Roman" w:cs="Times New Roman"/>
          <w:color w:val="000000"/>
          <w:highlight w:val="none"/>
          <w:lang w:val="en-US" w:eastAsia="zh-CN"/>
        </w:rPr>
        <w:t>计划</w:t>
      </w:r>
    </w:p>
    <w:p w14:paraId="2476BF2B">
      <w:pPr>
        <w:autoSpaceDE w:val="0"/>
        <w:autoSpaceDN w:val="0"/>
        <w:adjustRightInd w:val="0"/>
        <w:spacing w:line="500" w:lineRule="exact"/>
        <w:ind w:firstLine="480" w:firstLineChars="200"/>
        <w:rPr>
          <w:rFonts w:hint="eastAsia"/>
          <w:color w:val="auto"/>
          <w:sz w:val="24"/>
          <w:szCs w:val="24"/>
          <w:highlight w:val="none"/>
          <w:lang w:val="en-US" w:eastAsia="zh-CN"/>
        </w:rPr>
      </w:pPr>
      <w:r>
        <w:rPr>
          <w:color w:val="auto"/>
          <w:sz w:val="24"/>
          <w:szCs w:val="24"/>
          <w:highlight w:val="none"/>
        </w:rPr>
        <w:t>建设单位可委托有资质环境监测部门或建设单位（具备检测条件）自行进行监测。并按照国家有关规定和监测规范，对其排放的污染物进行监测，并保存原始监测记录。</w:t>
      </w:r>
      <w:r>
        <w:rPr>
          <w:rFonts w:hint="eastAsia"/>
          <w:color w:val="auto"/>
          <w:sz w:val="24"/>
          <w:szCs w:val="24"/>
          <w:highlight w:val="none"/>
          <w:lang w:eastAsia="zh-CN"/>
        </w:rPr>
        <w:t>同时，应在排土场安装</w:t>
      </w:r>
      <w:r>
        <w:rPr>
          <w:rFonts w:hint="eastAsia"/>
          <w:color w:val="auto"/>
          <w:sz w:val="24"/>
          <w:szCs w:val="24"/>
          <w:highlight w:val="none"/>
          <w:lang w:val="en-US" w:eastAsia="zh-CN"/>
        </w:rPr>
        <w:t>PM</w:t>
      </w:r>
      <w:r>
        <w:rPr>
          <w:rFonts w:hint="eastAsia"/>
          <w:color w:val="auto"/>
          <w:sz w:val="24"/>
          <w:szCs w:val="24"/>
          <w:highlight w:val="none"/>
          <w:vertAlign w:val="subscript"/>
          <w:lang w:val="en-US" w:eastAsia="zh-CN"/>
        </w:rPr>
        <w:t>10</w:t>
      </w:r>
      <w:r>
        <w:rPr>
          <w:rFonts w:hint="eastAsia"/>
          <w:color w:val="auto"/>
          <w:sz w:val="24"/>
          <w:szCs w:val="24"/>
          <w:highlight w:val="none"/>
          <w:lang w:val="en-US" w:eastAsia="zh-CN"/>
        </w:rPr>
        <w:t>在线监测设备。</w:t>
      </w:r>
    </w:p>
    <w:p w14:paraId="4C5AEA29">
      <w:pPr>
        <w:autoSpaceDE w:val="0"/>
        <w:autoSpaceDN w:val="0"/>
        <w:adjustRightInd w:val="0"/>
        <w:spacing w:line="500" w:lineRule="exact"/>
        <w:ind w:firstLine="480" w:firstLineChars="200"/>
        <w:rPr>
          <w:rFonts w:hint="eastAsia" w:cs="Times New Roman"/>
          <w:color w:val="000000"/>
          <w:kern w:val="0"/>
          <w:sz w:val="24"/>
          <w:highlight w:val="none"/>
          <w:lang w:val="en-US" w:eastAsia="zh-CN"/>
        </w:rPr>
      </w:pPr>
      <w:r>
        <w:rPr>
          <w:rFonts w:hint="default" w:ascii="Times New Roman" w:hAnsi="Times New Roman" w:cs="Times New Roman"/>
          <w:color w:val="000000"/>
          <w:kern w:val="0"/>
          <w:sz w:val="24"/>
          <w:highlight w:val="none"/>
          <w:lang w:val="zh-CN"/>
        </w:rPr>
        <w:t>本项目的监测计划</w:t>
      </w:r>
      <w:r>
        <w:rPr>
          <w:rFonts w:hint="eastAsia" w:ascii="Times New Roman" w:hAnsi="Times New Roman" w:cs="Times New Roman"/>
          <w:color w:val="000000"/>
          <w:kern w:val="0"/>
          <w:sz w:val="24"/>
          <w:highlight w:val="none"/>
          <w:lang w:val="en-US" w:eastAsia="zh-CN"/>
        </w:rPr>
        <w:t>见下表</w:t>
      </w:r>
      <w:r>
        <w:rPr>
          <w:rFonts w:hint="eastAsia" w:cs="Times New Roman"/>
          <w:color w:val="000000"/>
          <w:kern w:val="0"/>
          <w:sz w:val="24"/>
          <w:highlight w:val="none"/>
          <w:lang w:val="en-US" w:eastAsia="zh-CN"/>
        </w:rPr>
        <w:t>。</w:t>
      </w:r>
    </w:p>
    <w:p w14:paraId="6DD1F9C1">
      <w:pPr>
        <w:adjustRightInd w:val="0"/>
        <w:snapToGrid w:val="0"/>
        <w:jc w:val="center"/>
        <w:rPr>
          <w:rFonts w:ascii="Times New Roman"/>
          <w:b/>
          <w:sz w:val="21"/>
          <w:szCs w:val="21"/>
          <w:highlight w:val="none"/>
        </w:rPr>
      </w:pPr>
      <w:r>
        <w:rPr>
          <w:rFonts w:ascii="Times New Roman"/>
          <w:b/>
          <w:sz w:val="21"/>
          <w:szCs w:val="21"/>
          <w:highlight w:val="none"/>
        </w:rPr>
        <w:t>表8-</w:t>
      </w:r>
      <w:r>
        <w:rPr>
          <w:rFonts w:hint="eastAsia"/>
          <w:b/>
          <w:sz w:val="21"/>
          <w:szCs w:val="21"/>
          <w:highlight w:val="none"/>
          <w:lang w:val="en-US" w:eastAsia="zh-CN"/>
        </w:rPr>
        <w:t xml:space="preserve">2 </w:t>
      </w:r>
      <w:r>
        <w:rPr>
          <w:rFonts w:ascii="Times New Roman"/>
          <w:b/>
          <w:sz w:val="21"/>
          <w:szCs w:val="21"/>
          <w:highlight w:val="none"/>
        </w:rPr>
        <w:t xml:space="preserve"> 污染源监测计划</w:t>
      </w:r>
    </w:p>
    <w:tbl>
      <w:tblPr>
        <w:tblStyle w:val="58"/>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064"/>
        <w:gridCol w:w="2075"/>
        <w:gridCol w:w="1156"/>
        <w:gridCol w:w="1470"/>
        <w:gridCol w:w="2758"/>
      </w:tblGrid>
      <w:tr w14:paraId="7C97E3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4" w:type="pct"/>
            <w:tcBorders>
              <w:tl2br w:val="nil"/>
              <w:tr2bl w:val="nil"/>
            </w:tcBorders>
            <w:noWrap w:val="0"/>
            <w:vAlign w:val="center"/>
          </w:tcPr>
          <w:p w14:paraId="6DC99122">
            <w:pPr>
              <w:spacing w:line="280" w:lineRule="exact"/>
              <w:jc w:val="center"/>
              <w:rPr>
                <w:rFonts w:ascii="Times New Roman"/>
                <w:b/>
                <w:sz w:val="21"/>
                <w:szCs w:val="21"/>
                <w:highlight w:val="none"/>
              </w:rPr>
            </w:pPr>
            <w:r>
              <w:rPr>
                <w:rFonts w:ascii="Times New Roman"/>
                <w:b/>
                <w:sz w:val="21"/>
                <w:szCs w:val="21"/>
                <w:highlight w:val="none"/>
              </w:rPr>
              <w:t>环境要素</w:t>
            </w:r>
          </w:p>
        </w:tc>
        <w:tc>
          <w:tcPr>
            <w:tcW w:w="1217" w:type="pct"/>
            <w:tcBorders>
              <w:tl2br w:val="nil"/>
              <w:tr2bl w:val="nil"/>
            </w:tcBorders>
            <w:noWrap w:val="0"/>
            <w:vAlign w:val="center"/>
          </w:tcPr>
          <w:p w14:paraId="3216EFC2">
            <w:pPr>
              <w:spacing w:line="280" w:lineRule="exact"/>
              <w:jc w:val="center"/>
              <w:rPr>
                <w:rFonts w:ascii="Times New Roman"/>
                <w:b/>
                <w:sz w:val="21"/>
                <w:szCs w:val="21"/>
                <w:highlight w:val="none"/>
              </w:rPr>
            </w:pPr>
            <w:r>
              <w:rPr>
                <w:rFonts w:ascii="Times New Roman"/>
                <w:b/>
                <w:sz w:val="21"/>
                <w:szCs w:val="21"/>
                <w:highlight w:val="none"/>
              </w:rPr>
              <w:t>监测位置</w:t>
            </w:r>
          </w:p>
        </w:tc>
        <w:tc>
          <w:tcPr>
            <w:tcW w:w="678" w:type="pct"/>
            <w:tcBorders>
              <w:tl2br w:val="nil"/>
              <w:tr2bl w:val="nil"/>
            </w:tcBorders>
            <w:noWrap w:val="0"/>
            <w:vAlign w:val="center"/>
          </w:tcPr>
          <w:p w14:paraId="6C57E7DF">
            <w:pPr>
              <w:spacing w:line="280" w:lineRule="exact"/>
              <w:jc w:val="center"/>
              <w:rPr>
                <w:rFonts w:ascii="Times New Roman"/>
                <w:b/>
                <w:sz w:val="21"/>
                <w:szCs w:val="21"/>
                <w:highlight w:val="none"/>
              </w:rPr>
            </w:pPr>
            <w:r>
              <w:rPr>
                <w:rFonts w:ascii="Times New Roman"/>
                <w:b/>
                <w:sz w:val="21"/>
                <w:szCs w:val="21"/>
                <w:highlight w:val="none"/>
              </w:rPr>
              <w:t>监测项目</w:t>
            </w:r>
          </w:p>
        </w:tc>
        <w:tc>
          <w:tcPr>
            <w:tcW w:w="862" w:type="pct"/>
            <w:tcBorders>
              <w:tl2br w:val="nil"/>
              <w:tr2bl w:val="nil"/>
            </w:tcBorders>
            <w:noWrap w:val="0"/>
            <w:vAlign w:val="center"/>
          </w:tcPr>
          <w:p w14:paraId="4DF4588E">
            <w:pPr>
              <w:spacing w:line="280" w:lineRule="exact"/>
              <w:jc w:val="center"/>
              <w:rPr>
                <w:rFonts w:ascii="Times New Roman"/>
                <w:b/>
                <w:sz w:val="21"/>
                <w:szCs w:val="21"/>
                <w:highlight w:val="none"/>
              </w:rPr>
            </w:pPr>
            <w:r>
              <w:rPr>
                <w:rFonts w:ascii="Times New Roman"/>
                <w:b/>
                <w:sz w:val="21"/>
                <w:szCs w:val="21"/>
                <w:highlight w:val="none"/>
              </w:rPr>
              <w:t>频次</w:t>
            </w:r>
          </w:p>
        </w:tc>
        <w:tc>
          <w:tcPr>
            <w:tcW w:w="1617" w:type="pct"/>
            <w:tcBorders>
              <w:tl2br w:val="nil"/>
              <w:tr2bl w:val="nil"/>
            </w:tcBorders>
            <w:noWrap w:val="0"/>
            <w:vAlign w:val="center"/>
          </w:tcPr>
          <w:p w14:paraId="0132CC9C">
            <w:pPr>
              <w:spacing w:line="280" w:lineRule="exact"/>
              <w:jc w:val="center"/>
              <w:rPr>
                <w:rFonts w:hint="default" w:ascii="Times New Roman" w:eastAsia="宋体"/>
                <w:b/>
                <w:sz w:val="21"/>
                <w:szCs w:val="21"/>
                <w:highlight w:val="none"/>
                <w:lang w:val="en-US" w:eastAsia="zh-CN"/>
              </w:rPr>
            </w:pPr>
            <w:r>
              <w:rPr>
                <w:rFonts w:hint="eastAsia"/>
                <w:b/>
                <w:sz w:val="21"/>
                <w:szCs w:val="21"/>
                <w:highlight w:val="none"/>
                <w:lang w:val="en-US" w:eastAsia="zh-CN"/>
              </w:rPr>
              <w:t>执行标准</w:t>
            </w:r>
          </w:p>
        </w:tc>
      </w:tr>
      <w:tr w14:paraId="754CAE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4" w:type="pct"/>
            <w:tcBorders>
              <w:tl2br w:val="nil"/>
              <w:tr2bl w:val="nil"/>
            </w:tcBorders>
            <w:noWrap w:val="0"/>
            <w:vAlign w:val="center"/>
          </w:tcPr>
          <w:p w14:paraId="3AE69295">
            <w:pPr>
              <w:spacing w:line="280" w:lineRule="exact"/>
              <w:jc w:val="center"/>
              <w:rPr>
                <w:rFonts w:ascii="Times New Roman"/>
                <w:sz w:val="21"/>
                <w:szCs w:val="21"/>
                <w:highlight w:val="none"/>
              </w:rPr>
            </w:pPr>
            <w:r>
              <w:rPr>
                <w:rFonts w:ascii="Times New Roman"/>
                <w:sz w:val="21"/>
                <w:szCs w:val="21"/>
                <w:highlight w:val="none"/>
              </w:rPr>
              <w:t>废气</w:t>
            </w:r>
          </w:p>
        </w:tc>
        <w:tc>
          <w:tcPr>
            <w:tcW w:w="1217" w:type="pct"/>
            <w:tcBorders>
              <w:tl2br w:val="nil"/>
              <w:tr2bl w:val="nil"/>
            </w:tcBorders>
            <w:noWrap w:val="0"/>
            <w:vAlign w:val="center"/>
          </w:tcPr>
          <w:p w14:paraId="4C879FA0">
            <w:pPr>
              <w:spacing w:line="280" w:lineRule="exact"/>
              <w:jc w:val="center"/>
              <w:rPr>
                <w:rFonts w:hint="eastAsia" w:ascii="Times New Roman" w:eastAsia="宋体"/>
                <w:sz w:val="21"/>
                <w:szCs w:val="21"/>
                <w:highlight w:val="none"/>
                <w:lang w:eastAsia="zh-CN"/>
              </w:rPr>
            </w:pPr>
            <w:r>
              <w:rPr>
                <w:rFonts w:hint="eastAsia"/>
                <w:sz w:val="21"/>
                <w:szCs w:val="21"/>
                <w:highlight w:val="none"/>
                <w:lang w:val="en-US" w:eastAsia="zh-CN"/>
              </w:rPr>
              <w:t>厂界</w:t>
            </w:r>
          </w:p>
        </w:tc>
        <w:tc>
          <w:tcPr>
            <w:tcW w:w="678" w:type="pct"/>
            <w:tcBorders>
              <w:tl2br w:val="nil"/>
              <w:tr2bl w:val="nil"/>
            </w:tcBorders>
            <w:noWrap w:val="0"/>
            <w:vAlign w:val="center"/>
          </w:tcPr>
          <w:p w14:paraId="4F979ADD">
            <w:pPr>
              <w:spacing w:line="280" w:lineRule="exact"/>
              <w:jc w:val="center"/>
              <w:rPr>
                <w:rFonts w:ascii="Times New Roman"/>
                <w:sz w:val="21"/>
                <w:szCs w:val="21"/>
                <w:highlight w:val="none"/>
              </w:rPr>
            </w:pPr>
            <w:r>
              <w:rPr>
                <w:rFonts w:ascii="Times New Roman"/>
                <w:sz w:val="21"/>
                <w:szCs w:val="21"/>
                <w:highlight w:val="none"/>
              </w:rPr>
              <w:t>颗粒物</w:t>
            </w:r>
          </w:p>
        </w:tc>
        <w:tc>
          <w:tcPr>
            <w:tcW w:w="862" w:type="pct"/>
            <w:tcBorders>
              <w:tl2br w:val="nil"/>
              <w:tr2bl w:val="nil"/>
            </w:tcBorders>
            <w:noWrap w:val="0"/>
            <w:vAlign w:val="center"/>
          </w:tcPr>
          <w:p w14:paraId="037332BC">
            <w:pPr>
              <w:spacing w:line="280" w:lineRule="exact"/>
              <w:jc w:val="center"/>
              <w:rPr>
                <w:rFonts w:ascii="Times New Roman"/>
                <w:sz w:val="21"/>
                <w:szCs w:val="21"/>
                <w:highlight w:val="none"/>
              </w:rPr>
            </w:pPr>
            <w:r>
              <w:rPr>
                <w:rFonts w:ascii="Times New Roman"/>
                <w:sz w:val="21"/>
                <w:szCs w:val="21"/>
                <w:highlight w:val="none"/>
              </w:rPr>
              <w:t>每</w:t>
            </w:r>
            <w:r>
              <w:rPr>
                <w:rFonts w:hint="eastAsia"/>
                <w:sz w:val="21"/>
                <w:szCs w:val="21"/>
                <w:highlight w:val="none"/>
                <w:lang w:val="en-US" w:eastAsia="zh-CN"/>
              </w:rPr>
              <w:t>季度</w:t>
            </w:r>
            <w:r>
              <w:rPr>
                <w:rFonts w:ascii="Times New Roman"/>
                <w:sz w:val="21"/>
                <w:szCs w:val="21"/>
                <w:highlight w:val="none"/>
              </w:rPr>
              <w:t>1次</w:t>
            </w:r>
          </w:p>
        </w:tc>
        <w:tc>
          <w:tcPr>
            <w:tcW w:w="1617" w:type="pct"/>
            <w:tcBorders>
              <w:tl2br w:val="nil"/>
              <w:tr2bl w:val="nil"/>
            </w:tcBorders>
            <w:noWrap w:val="0"/>
            <w:vAlign w:val="center"/>
          </w:tcPr>
          <w:p w14:paraId="521BC88B">
            <w:pPr>
              <w:spacing w:line="280" w:lineRule="exact"/>
              <w:jc w:val="center"/>
              <w:rPr>
                <w:rFonts w:ascii="Times New Roman"/>
                <w:sz w:val="21"/>
                <w:szCs w:val="21"/>
                <w:highlight w:val="none"/>
              </w:rPr>
            </w:pPr>
            <w:r>
              <w:rPr>
                <w:rFonts w:hint="eastAsia"/>
                <w:snapToGrid w:val="0"/>
                <w:color w:val="auto"/>
                <w:kern w:val="0"/>
                <w:sz w:val="21"/>
                <w:szCs w:val="21"/>
                <w:highlight w:val="none"/>
                <w:lang w:eastAsia="zh-CN"/>
              </w:rPr>
              <w:t>《</w:t>
            </w:r>
            <w:r>
              <w:rPr>
                <w:rFonts w:hint="default"/>
                <w:snapToGrid w:val="0"/>
                <w:color w:val="auto"/>
                <w:kern w:val="0"/>
                <w:sz w:val="21"/>
                <w:szCs w:val="21"/>
                <w:highlight w:val="none"/>
              </w:rPr>
              <w:t>铁矿采选工业污染物排放标准》（GB28661-2012）中表7新建企业大气污染物无组织排放浓度限值</w:t>
            </w:r>
          </w:p>
        </w:tc>
      </w:tr>
      <w:tr w14:paraId="373A8D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4" w:type="pct"/>
            <w:tcBorders>
              <w:tl2br w:val="nil"/>
              <w:tr2bl w:val="nil"/>
            </w:tcBorders>
            <w:noWrap w:val="0"/>
            <w:vAlign w:val="center"/>
          </w:tcPr>
          <w:p w14:paraId="2E218C14">
            <w:pPr>
              <w:spacing w:line="280" w:lineRule="exact"/>
              <w:jc w:val="center"/>
              <w:rPr>
                <w:rFonts w:ascii="Times New Roman"/>
                <w:sz w:val="21"/>
                <w:szCs w:val="21"/>
                <w:highlight w:val="none"/>
              </w:rPr>
            </w:pPr>
            <w:r>
              <w:rPr>
                <w:rFonts w:ascii="Times New Roman"/>
                <w:sz w:val="21"/>
                <w:szCs w:val="21"/>
                <w:highlight w:val="none"/>
              </w:rPr>
              <w:t>噪声</w:t>
            </w:r>
          </w:p>
        </w:tc>
        <w:tc>
          <w:tcPr>
            <w:tcW w:w="1217" w:type="pct"/>
            <w:tcBorders>
              <w:tl2br w:val="nil"/>
              <w:tr2bl w:val="nil"/>
            </w:tcBorders>
            <w:noWrap w:val="0"/>
            <w:vAlign w:val="center"/>
          </w:tcPr>
          <w:p w14:paraId="633ACF1B">
            <w:pPr>
              <w:spacing w:line="280" w:lineRule="exact"/>
              <w:jc w:val="center"/>
              <w:rPr>
                <w:rFonts w:ascii="Times New Roman"/>
                <w:sz w:val="21"/>
                <w:szCs w:val="21"/>
                <w:highlight w:val="none"/>
              </w:rPr>
            </w:pPr>
            <w:r>
              <w:rPr>
                <w:rFonts w:ascii="Times New Roman"/>
                <w:sz w:val="21"/>
                <w:szCs w:val="21"/>
                <w:highlight w:val="none"/>
              </w:rPr>
              <w:t>四侧厂界外1m处</w:t>
            </w:r>
          </w:p>
        </w:tc>
        <w:tc>
          <w:tcPr>
            <w:tcW w:w="678" w:type="pct"/>
            <w:tcBorders>
              <w:tl2br w:val="nil"/>
              <w:tr2bl w:val="nil"/>
            </w:tcBorders>
            <w:noWrap w:val="0"/>
            <w:vAlign w:val="center"/>
          </w:tcPr>
          <w:p w14:paraId="2E0BE02A">
            <w:pPr>
              <w:spacing w:line="280" w:lineRule="exact"/>
              <w:jc w:val="center"/>
              <w:rPr>
                <w:rFonts w:ascii="Times New Roman"/>
                <w:sz w:val="21"/>
                <w:szCs w:val="21"/>
                <w:highlight w:val="none"/>
              </w:rPr>
            </w:pPr>
            <w:r>
              <w:rPr>
                <w:rFonts w:ascii="Times New Roman"/>
                <w:sz w:val="21"/>
                <w:szCs w:val="21"/>
                <w:highlight w:val="none"/>
              </w:rPr>
              <w:t>Leq</w:t>
            </w:r>
          </w:p>
        </w:tc>
        <w:tc>
          <w:tcPr>
            <w:tcW w:w="862" w:type="pct"/>
            <w:tcBorders>
              <w:tl2br w:val="nil"/>
              <w:tr2bl w:val="nil"/>
            </w:tcBorders>
            <w:noWrap w:val="0"/>
            <w:vAlign w:val="center"/>
          </w:tcPr>
          <w:p w14:paraId="7A7ADBC0">
            <w:pPr>
              <w:spacing w:line="280" w:lineRule="exact"/>
              <w:jc w:val="center"/>
              <w:rPr>
                <w:rFonts w:ascii="Times New Roman"/>
                <w:sz w:val="21"/>
                <w:szCs w:val="21"/>
                <w:highlight w:val="none"/>
              </w:rPr>
            </w:pPr>
            <w:r>
              <w:rPr>
                <w:rFonts w:ascii="Times New Roman"/>
                <w:sz w:val="21"/>
                <w:szCs w:val="21"/>
                <w:highlight w:val="none"/>
              </w:rPr>
              <w:t>每季度1次</w:t>
            </w:r>
          </w:p>
        </w:tc>
        <w:tc>
          <w:tcPr>
            <w:tcW w:w="1617" w:type="pct"/>
            <w:tcBorders>
              <w:tl2br w:val="nil"/>
              <w:tr2bl w:val="nil"/>
            </w:tcBorders>
            <w:noWrap w:val="0"/>
            <w:vAlign w:val="center"/>
          </w:tcPr>
          <w:p w14:paraId="7E3BEEC0">
            <w:pPr>
              <w:spacing w:line="280" w:lineRule="exact"/>
              <w:jc w:val="center"/>
              <w:rPr>
                <w:rFonts w:ascii="Times New Roman"/>
                <w:sz w:val="21"/>
                <w:szCs w:val="21"/>
                <w:highlight w:val="none"/>
              </w:rPr>
            </w:pPr>
            <w:r>
              <w:rPr>
                <w:rFonts w:hint="default"/>
                <w:color w:val="auto"/>
                <w:highlight w:val="none"/>
              </w:rPr>
              <w:t>《工业企业厂界环境噪声排放标准》（GB 12348-2008）</w:t>
            </w:r>
            <w:r>
              <w:rPr>
                <w:rFonts w:hint="eastAsia"/>
                <w:color w:val="auto"/>
                <w:highlight w:val="none"/>
                <w:lang w:val="en-US" w:eastAsia="zh-CN"/>
              </w:rPr>
              <w:t>2</w:t>
            </w:r>
            <w:r>
              <w:rPr>
                <w:rFonts w:hint="default"/>
                <w:color w:val="auto"/>
                <w:highlight w:val="none"/>
              </w:rPr>
              <w:t>类标准</w:t>
            </w:r>
          </w:p>
        </w:tc>
      </w:tr>
    </w:tbl>
    <w:p w14:paraId="48B9D203">
      <w:pPr>
        <w:ind w:firstLine="422"/>
        <w:jc w:val="center"/>
        <w:rPr>
          <w:rStyle w:val="66"/>
          <w:rFonts w:hint="default" w:ascii="Times New Roman" w:hAnsi="Times New Roman" w:eastAsia="宋体" w:cs="Times New Roman"/>
          <w:b/>
          <w:color w:val="000000"/>
          <w:highlight w:val="none"/>
          <w:lang w:val="en-US" w:eastAsia="zh-CN"/>
        </w:rPr>
      </w:pPr>
      <w:r>
        <w:rPr>
          <w:rStyle w:val="66"/>
          <w:rFonts w:hint="eastAsia" w:ascii="Times New Roman" w:hAnsi="Times New Roman" w:eastAsia="宋体" w:cs="Times New Roman"/>
          <w:b/>
          <w:color w:val="000000"/>
          <w:highlight w:val="none"/>
          <w:lang w:val="en-US" w:eastAsia="zh-CN"/>
        </w:rPr>
        <w:t>表8-</w:t>
      </w:r>
      <w:r>
        <w:rPr>
          <w:rStyle w:val="66"/>
          <w:rFonts w:hint="eastAsia" w:cs="Times New Roman"/>
          <w:b/>
          <w:color w:val="000000"/>
          <w:highlight w:val="none"/>
          <w:lang w:val="en-US" w:eastAsia="zh-CN"/>
        </w:rPr>
        <w:t>3</w:t>
      </w:r>
      <w:r>
        <w:rPr>
          <w:rStyle w:val="66"/>
          <w:rFonts w:hint="eastAsia" w:ascii="Times New Roman" w:hAnsi="Times New Roman" w:eastAsia="宋体" w:cs="Times New Roman"/>
          <w:b/>
          <w:color w:val="000000"/>
          <w:highlight w:val="none"/>
          <w:lang w:val="en-US" w:eastAsia="zh-CN"/>
        </w:rPr>
        <w:t xml:space="preserve">  </w:t>
      </w:r>
      <w:r>
        <w:rPr>
          <w:rStyle w:val="66"/>
          <w:rFonts w:hint="eastAsia" w:cs="Times New Roman"/>
          <w:b/>
          <w:color w:val="000000"/>
          <w:highlight w:val="none"/>
          <w:lang w:val="en-US" w:eastAsia="zh-CN"/>
        </w:rPr>
        <w:t>环境质量</w:t>
      </w:r>
      <w:r>
        <w:rPr>
          <w:rStyle w:val="66"/>
          <w:rFonts w:hint="default" w:ascii="Times New Roman" w:hAnsi="Times New Roman" w:eastAsia="宋体" w:cs="Times New Roman"/>
          <w:b/>
          <w:color w:val="000000"/>
          <w:highlight w:val="none"/>
          <w:lang w:val="en-US" w:eastAsia="zh-CN"/>
        </w:rPr>
        <w:t>监测计划</w:t>
      </w:r>
    </w:p>
    <w:tbl>
      <w:tblPr>
        <w:tblStyle w:val="58"/>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42"/>
        <w:gridCol w:w="1140"/>
        <w:gridCol w:w="3735"/>
        <w:gridCol w:w="1470"/>
        <w:gridCol w:w="1438"/>
      </w:tblGrid>
      <w:tr w14:paraId="5D1B4D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tcBorders>
              <w:tl2br w:val="nil"/>
              <w:tr2bl w:val="nil"/>
            </w:tcBorders>
            <w:vAlign w:val="center"/>
          </w:tcPr>
          <w:p w14:paraId="439DFE01">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bookmarkStart w:id="422" w:name="_Toc27716"/>
            <w:bookmarkStart w:id="423" w:name="_Toc21625"/>
            <w:bookmarkStart w:id="424" w:name="_Toc18468"/>
            <w:r>
              <w:rPr>
                <w:rFonts w:hint="default"/>
                <w:b/>
                <w:color w:val="auto"/>
                <w:sz w:val="21"/>
                <w:szCs w:val="21"/>
                <w:highlight w:val="none"/>
              </w:rPr>
              <w:t>环境要素</w:t>
            </w:r>
          </w:p>
        </w:tc>
        <w:tc>
          <w:tcPr>
            <w:tcW w:w="668" w:type="pct"/>
            <w:tcBorders>
              <w:tl2br w:val="nil"/>
              <w:tr2bl w:val="nil"/>
            </w:tcBorders>
            <w:vAlign w:val="center"/>
          </w:tcPr>
          <w:p w14:paraId="44BCA605">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default"/>
                <w:b/>
                <w:color w:val="auto"/>
                <w:sz w:val="21"/>
                <w:szCs w:val="21"/>
                <w:highlight w:val="none"/>
              </w:rPr>
              <w:t>监测位置</w:t>
            </w:r>
          </w:p>
        </w:tc>
        <w:tc>
          <w:tcPr>
            <w:tcW w:w="2190" w:type="pct"/>
            <w:tcBorders>
              <w:tl2br w:val="nil"/>
              <w:tr2bl w:val="nil"/>
            </w:tcBorders>
            <w:vAlign w:val="center"/>
          </w:tcPr>
          <w:p w14:paraId="647BECF6">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default"/>
                <w:b/>
                <w:color w:val="auto"/>
                <w:sz w:val="21"/>
                <w:szCs w:val="21"/>
                <w:highlight w:val="none"/>
              </w:rPr>
              <w:t>监测项目</w:t>
            </w:r>
          </w:p>
        </w:tc>
        <w:tc>
          <w:tcPr>
            <w:tcW w:w="862" w:type="pct"/>
            <w:tcBorders>
              <w:tl2br w:val="nil"/>
              <w:tr2bl w:val="nil"/>
            </w:tcBorders>
            <w:vAlign w:val="center"/>
          </w:tcPr>
          <w:p w14:paraId="3CDF5966">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default"/>
                <w:b/>
                <w:color w:val="auto"/>
                <w:sz w:val="21"/>
                <w:szCs w:val="21"/>
                <w:highlight w:val="none"/>
              </w:rPr>
              <w:t>频次</w:t>
            </w:r>
          </w:p>
        </w:tc>
        <w:tc>
          <w:tcPr>
            <w:tcW w:w="843" w:type="pct"/>
            <w:tcBorders>
              <w:tl2br w:val="nil"/>
              <w:tr2bl w:val="nil"/>
            </w:tcBorders>
            <w:vAlign w:val="center"/>
          </w:tcPr>
          <w:p w14:paraId="0449B746">
            <w:pPr>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eastAsia"/>
                <w:b/>
                <w:sz w:val="21"/>
                <w:szCs w:val="21"/>
                <w:highlight w:val="none"/>
                <w:lang w:val="en-US" w:eastAsia="zh-CN"/>
              </w:rPr>
              <w:t>执行标准</w:t>
            </w:r>
          </w:p>
        </w:tc>
      </w:tr>
      <w:tr w14:paraId="2E4402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tcBorders>
              <w:tl2br w:val="nil"/>
              <w:tr2bl w:val="nil"/>
            </w:tcBorders>
            <w:vAlign w:val="center"/>
          </w:tcPr>
          <w:p w14:paraId="1B7D0A8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地下水</w:t>
            </w:r>
          </w:p>
        </w:tc>
        <w:tc>
          <w:tcPr>
            <w:tcW w:w="668" w:type="pct"/>
            <w:tcBorders>
              <w:tl2br w:val="nil"/>
              <w:tr2bl w:val="nil"/>
            </w:tcBorders>
            <w:vAlign w:val="center"/>
          </w:tcPr>
          <w:p w14:paraId="47685122">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w:t>
            </w:r>
            <w:r>
              <w:rPr>
                <w:rFonts w:hint="default"/>
                <w:color w:val="auto"/>
                <w:sz w:val="21"/>
                <w:szCs w:val="21"/>
                <w:highlight w:val="none"/>
              </w:rPr>
              <w:t>口监测井</w:t>
            </w:r>
            <w:r>
              <w:rPr>
                <w:rFonts w:hint="eastAsia"/>
                <w:color w:val="auto"/>
                <w:sz w:val="21"/>
                <w:szCs w:val="21"/>
                <w:highlight w:val="none"/>
                <w:lang w:eastAsia="zh-CN"/>
              </w:rPr>
              <w:t>，分别位于排土场消力池下游、排土场沟口上游、东兴村</w:t>
            </w:r>
          </w:p>
        </w:tc>
        <w:tc>
          <w:tcPr>
            <w:tcW w:w="2190" w:type="pct"/>
            <w:tcBorders>
              <w:tl2br w:val="nil"/>
              <w:tr2bl w:val="nil"/>
            </w:tcBorders>
            <w:vAlign w:val="center"/>
          </w:tcPr>
          <w:p w14:paraId="0C5441D0">
            <w:pPr>
              <w:pStyle w:val="171"/>
              <w:keepNext w:val="0"/>
              <w:keepLines w:val="0"/>
              <w:suppressLineNumbers w:val="0"/>
              <w:spacing w:before="0" w:beforeAutospacing="0" w:after="0" w:afterAutospacing="0"/>
              <w:ind w:left="0" w:right="0" w:firstLine="0" w:firstLineChars="0"/>
              <w:rPr>
                <w:rFonts w:hint="eastAsia" w:cs="Times New Roman"/>
                <w:b w:val="0"/>
                <w:bCs/>
                <w:snapToGrid w:val="0"/>
                <w:kern w:val="0"/>
                <w:sz w:val="21"/>
                <w:szCs w:val="21"/>
                <w:highlight w:val="none"/>
                <w:lang w:eastAsia="zh-CN"/>
              </w:rPr>
            </w:pPr>
            <w:r>
              <w:rPr>
                <w:rFonts w:hint="eastAsia" w:cs="Times New Roman"/>
                <w:b w:val="0"/>
                <w:bCs/>
                <w:color w:val="000000"/>
                <w:sz w:val="21"/>
                <w:szCs w:val="21"/>
                <w:highlight w:val="none"/>
                <w:lang w:val="en-US" w:eastAsia="zh-CN"/>
              </w:rPr>
              <w:t>基本因子：</w:t>
            </w:r>
            <w:r>
              <w:rPr>
                <w:rFonts w:hint="default" w:ascii="Times New Roman" w:hAnsi="Times New Roman" w:cs="Times New Roman"/>
                <w:b w:val="0"/>
                <w:bCs/>
                <w:color w:val="000000"/>
                <w:sz w:val="21"/>
                <w:szCs w:val="21"/>
                <w:highlight w:val="none"/>
              </w:rPr>
              <w:t>色</w:t>
            </w:r>
            <w:r>
              <w:rPr>
                <w:rFonts w:hint="eastAsia" w:cs="Times New Roman"/>
                <w:b w:val="0"/>
                <w:bCs/>
                <w:color w:val="000000"/>
                <w:sz w:val="21"/>
                <w:szCs w:val="21"/>
                <w:highlight w:val="none"/>
                <w:lang w:val="en-US" w:eastAsia="zh-CN"/>
              </w:rPr>
              <w:t>度</w:t>
            </w:r>
            <w:r>
              <w:rPr>
                <w:rFonts w:hint="default" w:ascii="Times New Roman" w:hAnsi="Times New Roman" w:cs="Times New Roman"/>
                <w:b w:val="0"/>
                <w:bCs/>
                <w:color w:val="000000"/>
                <w:sz w:val="21"/>
                <w:szCs w:val="21"/>
                <w:highlight w:val="none"/>
              </w:rPr>
              <w:t>、嗅和味、浑浊度、肉眼可见物、</w:t>
            </w:r>
            <w:r>
              <w:rPr>
                <w:rFonts w:hint="default" w:ascii="Times New Roman" w:hAnsi="Times New Roman" w:cs="Times New Roman"/>
                <w:b w:val="0"/>
                <w:bCs/>
                <w:sz w:val="21"/>
                <w:szCs w:val="21"/>
                <w:highlight w:val="none"/>
              </w:rPr>
              <w:t>pH、总硬度、溶解性总固体、</w:t>
            </w:r>
            <w:r>
              <w:rPr>
                <w:rFonts w:hint="default" w:ascii="Times New Roman" w:hAnsi="Times New Roman" w:cs="Times New Roman"/>
                <w:b w:val="0"/>
                <w:bCs/>
                <w:snapToGrid w:val="0"/>
                <w:kern w:val="0"/>
                <w:sz w:val="21"/>
                <w:szCs w:val="21"/>
                <w:highlight w:val="none"/>
              </w:rPr>
              <w:t>硫酸盐、</w:t>
            </w:r>
            <w:r>
              <w:rPr>
                <w:rFonts w:hint="default" w:ascii="Times New Roman" w:hAnsi="Times New Roman" w:cs="Times New Roman"/>
                <w:b w:val="0"/>
                <w:bCs/>
                <w:sz w:val="21"/>
                <w:szCs w:val="21"/>
                <w:highlight w:val="none"/>
              </w:rPr>
              <w:t>氯化物、</w:t>
            </w:r>
            <w:r>
              <w:rPr>
                <w:rFonts w:hint="default" w:ascii="Times New Roman" w:hAnsi="Times New Roman" w:cs="Times New Roman"/>
                <w:b w:val="0"/>
                <w:bCs/>
                <w:spacing w:val="-8"/>
                <w:sz w:val="21"/>
                <w:szCs w:val="21"/>
                <w:highlight w:val="none"/>
              </w:rPr>
              <w:t>锰、</w:t>
            </w:r>
            <w:r>
              <w:rPr>
                <w:rFonts w:hint="default" w:ascii="Times New Roman" w:hAnsi="Times New Roman" w:cs="Times New Roman"/>
                <w:b w:val="0"/>
                <w:bCs/>
                <w:color w:val="000000"/>
                <w:sz w:val="21"/>
                <w:szCs w:val="21"/>
                <w:highlight w:val="none"/>
              </w:rPr>
              <w:t>铜、锌、</w:t>
            </w:r>
            <w:r>
              <w:rPr>
                <w:rFonts w:hint="default" w:ascii="Times New Roman" w:hAnsi="Times New Roman" w:cs="Times New Roman"/>
                <w:b w:val="0"/>
                <w:bCs/>
                <w:color w:val="000000"/>
                <w:sz w:val="21"/>
                <w:szCs w:val="21"/>
                <w:highlight w:val="none"/>
                <w:lang w:val="en-US" w:eastAsia="zh-CN"/>
              </w:rPr>
              <w:t>铝</w:t>
            </w:r>
            <w:r>
              <w:rPr>
                <w:rFonts w:hint="default" w:ascii="Times New Roman" w:hAnsi="Times New Roman" w:cs="Times New Roman"/>
                <w:b w:val="0"/>
                <w:bCs/>
                <w:color w:val="000000"/>
                <w:sz w:val="21"/>
                <w:szCs w:val="21"/>
                <w:highlight w:val="none"/>
              </w:rPr>
              <w:t>、</w:t>
            </w:r>
            <w:r>
              <w:rPr>
                <w:rFonts w:hint="default" w:ascii="Times New Roman" w:hAnsi="Times New Roman" w:cs="Times New Roman"/>
                <w:b w:val="0"/>
                <w:bCs/>
                <w:spacing w:val="-8"/>
                <w:sz w:val="21"/>
                <w:szCs w:val="21"/>
                <w:highlight w:val="none"/>
              </w:rPr>
              <w:t>挥发性酚类、</w:t>
            </w:r>
            <w:r>
              <w:rPr>
                <w:rFonts w:hint="default" w:ascii="Times New Roman" w:hAnsi="Times New Roman" w:cs="Times New Roman"/>
                <w:b w:val="0"/>
                <w:bCs/>
                <w:color w:val="000000"/>
                <w:sz w:val="21"/>
                <w:szCs w:val="21"/>
                <w:highlight w:val="none"/>
              </w:rPr>
              <w:t>阴离子表面活性剂、</w:t>
            </w:r>
            <w:r>
              <w:rPr>
                <w:rFonts w:hint="default" w:ascii="Times New Roman" w:hAnsi="Times New Roman" w:cs="Times New Roman"/>
                <w:b w:val="0"/>
                <w:bCs/>
                <w:sz w:val="21"/>
                <w:szCs w:val="21"/>
                <w:highlight w:val="none"/>
              </w:rPr>
              <w:t>氨氮、</w:t>
            </w:r>
            <w:r>
              <w:rPr>
                <w:rFonts w:hint="default" w:ascii="Times New Roman" w:hAnsi="Times New Roman" w:cs="Times New Roman"/>
                <w:b w:val="0"/>
                <w:bCs/>
                <w:color w:val="000000"/>
                <w:sz w:val="21"/>
                <w:szCs w:val="21"/>
                <w:highlight w:val="none"/>
              </w:rPr>
              <w:t>硫化物、钠、</w:t>
            </w:r>
            <w:r>
              <w:rPr>
                <w:rFonts w:hint="default" w:ascii="Times New Roman" w:hAnsi="Times New Roman" w:cs="Times New Roman"/>
                <w:b w:val="0"/>
                <w:bCs/>
                <w:snapToGrid w:val="0"/>
                <w:kern w:val="0"/>
                <w:sz w:val="21"/>
                <w:szCs w:val="21"/>
                <w:highlight w:val="none"/>
              </w:rPr>
              <w:t>总大肠菌群</w:t>
            </w:r>
            <w:r>
              <w:rPr>
                <w:rFonts w:hint="default" w:ascii="Times New Roman" w:hAnsi="Times New Roman" w:cs="Times New Roman"/>
                <w:b w:val="0"/>
                <w:bCs/>
                <w:spacing w:val="-8"/>
                <w:sz w:val="21"/>
                <w:szCs w:val="21"/>
                <w:highlight w:val="none"/>
              </w:rPr>
              <w:t>数</w:t>
            </w:r>
            <w:r>
              <w:rPr>
                <w:rFonts w:hint="default" w:ascii="Times New Roman" w:hAnsi="Times New Roman" w:cs="Times New Roman"/>
                <w:b w:val="0"/>
                <w:bCs/>
                <w:color w:val="000000"/>
                <w:sz w:val="21"/>
                <w:szCs w:val="21"/>
                <w:highlight w:val="none"/>
              </w:rPr>
              <w:t>、菌落总数</w:t>
            </w:r>
            <w:r>
              <w:rPr>
                <w:rFonts w:hint="default" w:ascii="Times New Roman" w:hAnsi="Times New Roman" w:cs="Times New Roman"/>
                <w:b w:val="0"/>
                <w:bCs/>
                <w:snapToGrid w:val="0"/>
                <w:kern w:val="0"/>
                <w:sz w:val="21"/>
                <w:szCs w:val="21"/>
                <w:highlight w:val="none"/>
              </w:rPr>
              <w:t>、</w:t>
            </w:r>
            <w:r>
              <w:rPr>
                <w:rFonts w:hint="default" w:ascii="Times New Roman" w:hAnsi="Times New Roman" w:cs="Times New Roman"/>
                <w:b w:val="0"/>
                <w:bCs/>
                <w:sz w:val="21"/>
                <w:szCs w:val="21"/>
                <w:highlight w:val="none"/>
              </w:rPr>
              <w:t>亚硝酸盐</w:t>
            </w:r>
            <w:r>
              <w:rPr>
                <w:rFonts w:hint="default" w:ascii="Times New Roman" w:hAnsi="Times New Roman" w:cs="Times New Roman"/>
                <w:b w:val="0"/>
                <w:bCs/>
                <w:snapToGrid w:val="0"/>
                <w:kern w:val="0"/>
                <w:sz w:val="21"/>
                <w:szCs w:val="21"/>
                <w:highlight w:val="none"/>
              </w:rPr>
              <w:t>、</w:t>
            </w:r>
            <w:r>
              <w:rPr>
                <w:rFonts w:hint="default" w:ascii="Times New Roman" w:hAnsi="Times New Roman" w:cs="Times New Roman"/>
                <w:b w:val="0"/>
                <w:bCs/>
                <w:sz w:val="21"/>
                <w:szCs w:val="21"/>
                <w:highlight w:val="none"/>
              </w:rPr>
              <w:t>硝酸盐、</w:t>
            </w:r>
            <w:r>
              <w:rPr>
                <w:rFonts w:hint="default" w:ascii="Times New Roman" w:hAnsi="Times New Roman" w:cs="Times New Roman"/>
                <w:b w:val="0"/>
                <w:bCs/>
                <w:spacing w:val="-8"/>
                <w:sz w:val="21"/>
                <w:szCs w:val="21"/>
                <w:highlight w:val="none"/>
              </w:rPr>
              <w:t>氰化物、</w:t>
            </w:r>
            <w:r>
              <w:rPr>
                <w:rFonts w:hint="default" w:ascii="Times New Roman" w:hAnsi="Times New Roman" w:cs="Times New Roman"/>
                <w:b w:val="0"/>
                <w:bCs/>
                <w:sz w:val="21"/>
                <w:szCs w:val="21"/>
                <w:highlight w:val="none"/>
              </w:rPr>
              <w:t>氟化物</w:t>
            </w:r>
            <w:r>
              <w:rPr>
                <w:rFonts w:hint="default" w:ascii="Times New Roman" w:hAnsi="Times New Roman" w:cs="Times New Roman"/>
                <w:b w:val="0"/>
                <w:bCs/>
                <w:spacing w:val="-8"/>
                <w:sz w:val="21"/>
                <w:szCs w:val="21"/>
                <w:highlight w:val="none"/>
              </w:rPr>
              <w:t>、</w:t>
            </w:r>
            <w:r>
              <w:rPr>
                <w:rFonts w:hint="default" w:ascii="Times New Roman" w:hAnsi="Times New Roman" w:cs="Times New Roman"/>
                <w:b w:val="0"/>
                <w:bCs/>
                <w:color w:val="000000"/>
                <w:sz w:val="21"/>
                <w:szCs w:val="21"/>
                <w:highlight w:val="none"/>
              </w:rPr>
              <w:t>碘化物、</w:t>
            </w:r>
            <w:r>
              <w:rPr>
                <w:rFonts w:hint="default" w:ascii="Times New Roman" w:hAnsi="Times New Roman" w:cs="Times New Roman"/>
                <w:b w:val="0"/>
                <w:bCs/>
                <w:snapToGrid w:val="0"/>
                <w:kern w:val="0"/>
                <w:sz w:val="21"/>
                <w:szCs w:val="21"/>
                <w:highlight w:val="none"/>
              </w:rPr>
              <w:t>汞、砷、</w:t>
            </w:r>
            <w:r>
              <w:rPr>
                <w:rFonts w:hint="default" w:ascii="Times New Roman" w:hAnsi="Times New Roman" w:cs="Times New Roman"/>
                <w:b w:val="0"/>
                <w:bCs/>
                <w:color w:val="000000"/>
                <w:sz w:val="21"/>
                <w:szCs w:val="21"/>
                <w:highlight w:val="none"/>
              </w:rPr>
              <w:t>硒</w:t>
            </w:r>
            <w:r>
              <w:rPr>
                <w:rFonts w:hint="default" w:ascii="Times New Roman" w:hAnsi="Times New Roman" w:cs="Times New Roman"/>
                <w:b w:val="0"/>
                <w:bCs/>
                <w:color w:val="000000"/>
                <w:sz w:val="21"/>
                <w:szCs w:val="21"/>
                <w:highlight w:val="none"/>
                <w:lang w:eastAsia="zh-CN"/>
              </w:rPr>
              <w:t>、</w:t>
            </w:r>
            <w:r>
              <w:rPr>
                <w:rFonts w:hint="default" w:ascii="Times New Roman" w:hAnsi="Times New Roman" w:cs="Times New Roman"/>
                <w:b w:val="0"/>
                <w:bCs/>
                <w:snapToGrid w:val="0"/>
                <w:kern w:val="0"/>
                <w:sz w:val="21"/>
                <w:szCs w:val="21"/>
                <w:highlight w:val="none"/>
              </w:rPr>
              <w:t>镉、六价铬、铅</w:t>
            </w:r>
            <w:r>
              <w:rPr>
                <w:rFonts w:hint="eastAsia" w:cs="Times New Roman"/>
                <w:b w:val="0"/>
                <w:bCs/>
                <w:snapToGrid w:val="0"/>
                <w:kern w:val="0"/>
                <w:sz w:val="21"/>
                <w:szCs w:val="21"/>
                <w:highlight w:val="none"/>
                <w:lang w:eastAsia="zh-CN"/>
              </w:rPr>
              <w:t>；</w:t>
            </w:r>
          </w:p>
          <w:p w14:paraId="1A2C99D4">
            <w:pPr>
              <w:pStyle w:val="171"/>
              <w:keepNext w:val="0"/>
              <w:keepLines w:val="0"/>
              <w:suppressLineNumbers w:val="0"/>
              <w:spacing w:before="0" w:beforeAutospacing="0" w:after="0" w:afterAutospacing="0"/>
              <w:ind w:left="0" w:right="0" w:firstLine="0" w:firstLineChars="0"/>
              <w:rPr>
                <w:rFonts w:hint="default"/>
                <w:color w:val="auto"/>
                <w:szCs w:val="20"/>
                <w:highlight w:val="none"/>
              </w:rPr>
            </w:pPr>
            <w:r>
              <w:rPr>
                <w:rFonts w:hint="eastAsia" w:cs="Times New Roman"/>
                <w:b w:val="0"/>
                <w:bCs/>
                <w:snapToGrid w:val="0"/>
                <w:kern w:val="0"/>
                <w:sz w:val="21"/>
                <w:szCs w:val="21"/>
                <w:highlight w:val="none"/>
                <w:lang w:val="en-US" w:eastAsia="zh-CN"/>
              </w:rPr>
              <w:t>特征因子：</w:t>
            </w:r>
            <w:r>
              <w:rPr>
                <w:rFonts w:hint="eastAsia"/>
                <w:sz w:val="21"/>
                <w:szCs w:val="21"/>
                <w:highlight w:val="none"/>
                <w:lang w:val="en-US" w:eastAsia="zh-CN"/>
              </w:rPr>
              <w:t>铁、耗氧量</w:t>
            </w:r>
            <w:r>
              <w:rPr>
                <w:rFonts w:hint="default"/>
                <w:color w:val="auto"/>
                <w:spacing w:val="-8"/>
                <w:sz w:val="21"/>
                <w:szCs w:val="21"/>
                <w:highlight w:val="none"/>
              </w:rPr>
              <w:t>。</w:t>
            </w:r>
          </w:p>
        </w:tc>
        <w:tc>
          <w:tcPr>
            <w:tcW w:w="862" w:type="pct"/>
            <w:tcBorders>
              <w:tl2br w:val="nil"/>
              <w:tr2bl w:val="nil"/>
            </w:tcBorders>
            <w:vAlign w:val="center"/>
          </w:tcPr>
          <w:p w14:paraId="6CB71FE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eastAsia"/>
                <w:color w:val="auto"/>
                <w:sz w:val="21"/>
                <w:szCs w:val="21"/>
                <w:highlight w:val="none"/>
              </w:rPr>
              <w:t>运行期：</w:t>
            </w:r>
            <w:r>
              <w:rPr>
                <w:rFonts w:hint="eastAsia" w:cs="Times New Roman"/>
                <w:b w:val="0"/>
                <w:bCs/>
                <w:color w:val="000000"/>
                <w:sz w:val="21"/>
                <w:szCs w:val="21"/>
                <w:highlight w:val="none"/>
                <w:lang w:val="en-US" w:eastAsia="zh-CN"/>
              </w:rPr>
              <w:t>每季度监测1次</w:t>
            </w:r>
            <w:r>
              <w:rPr>
                <w:rFonts w:hint="eastAsia"/>
                <w:color w:val="auto"/>
                <w:sz w:val="21"/>
                <w:szCs w:val="21"/>
                <w:highlight w:val="none"/>
              </w:rPr>
              <w:t>；封场期：每半年一次，直到地下水水质连续2年不超出地下水本底水平。</w:t>
            </w:r>
          </w:p>
        </w:tc>
        <w:tc>
          <w:tcPr>
            <w:tcW w:w="843" w:type="pct"/>
            <w:tcBorders>
              <w:tl2br w:val="nil"/>
              <w:tr2bl w:val="nil"/>
            </w:tcBorders>
            <w:vAlign w:val="center"/>
          </w:tcPr>
          <w:p w14:paraId="64EA0A8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《地下水质量标准》（GB/T14848-2017）Ⅲ类标准要求</w:t>
            </w:r>
          </w:p>
        </w:tc>
      </w:tr>
      <w:tr w14:paraId="218887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tcBorders>
              <w:tl2br w:val="nil"/>
              <w:tr2bl w:val="nil"/>
            </w:tcBorders>
            <w:vAlign w:val="center"/>
          </w:tcPr>
          <w:p w14:paraId="2956A9BA">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土壤</w:t>
            </w:r>
          </w:p>
        </w:tc>
        <w:tc>
          <w:tcPr>
            <w:tcW w:w="668" w:type="pct"/>
            <w:tcBorders>
              <w:tl2br w:val="nil"/>
              <w:tr2bl w:val="nil"/>
            </w:tcBorders>
            <w:vAlign w:val="center"/>
          </w:tcPr>
          <w:p w14:paraId="786784A4">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排土场堆存区不受影响区</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排土场下游</w:t>
            </w:r>
            <w:r>
              <w:rPr>
                <w:rFonts w:hint="default" w:ascii="Times New Roman" w:hAnsi="Times New Roman" w:cs="Times New Roman"/>
                <w:color w:val="auto"/>
                <w:sz w:val="21"/>
                <w:szCs w:val="21"/>
                <w:highlight w:val="none"/>
              </w:rPr>
              <w:t>农用地</w:t>
            </w:r>
          </w:p>
        </w:tc>
        <w:tc>
          <w:tcPr>
            <w:tcW w:w="2190" w:type="pct"/>
            <w:tcBorders>
              <w:tl2br w:val="nil"/>
              <w:tr2bl w:val="nil"/>
            </w:tcBorders>
            <w:vAlign w:val="center"/>
          </w:tcPr>
          <w:p w14:paraId="26E32168">
            <w:pPr>
              <w:keepNext w:val="0"/>
              <w:keepLines w:val="0"/>
              <w:suppressLineNumbers w:val="0"/>
              <w:spacing w:before="0" w:beforeAutospacing="0" w:after="0" w:afterAutospacing="0" w:line="240" w:lineRule="auto"/>
              <w:ind w:left="0" w:right="0" w:firstLine="0" w:firstLineChars="0"/>
              <w:jc w:val="center"/>
              <w:rPr>
                <w:rFonts w:hint="eastAsia" w:cs="Times New Roman"/>
                <w:b w:val="0"/>
                <w:bCs/>
                <w:sz w:val="21"/>
                <w:szCs w:val="21"/>
                <w:highlight w:val="none"/>
                <w:lang w:val="en-US" w:eastAsia="zh-CN"/>
              </w:rPr>
            </w:pPr>
            <w:r>
              <w:rPr>
                <w:rFonts w:hint="eastAsia" w:cs="Times New Roman"/>
                <w:b w:val="0"/>
                <w:bCs/>
                <w:sz w:val="21"/>
                <w:szCs w:val="21"/>
                <w:highlight w:val="none"/>
                <w:lang w:val="en-US" w:eastAsia="zh-CN"/>
              </w:rPr>
              <w:t>基本因子：</w:t>
            </w:r>
            <w:r>
              <w:rPr>
                <w:rFonts w:hint="default" w:ascii="Times New Roman" w:hAnsi="Times New Roman" w:eastAsia="Times New Roman" w:cs="Times New Roman"/>
                <w:color w:val="auto"/>
                <w:spacing w:val="-1"/>
                <w:kern w:val="2"/>
                <w:sz w:val="21"/>
                <w:szCs w:val="21"/>
                <w:highlight w:val="none"/>
                <w:lang w:val="en-US" w:eastAsia="zh-CN" w:bidi="ar-SA"/>
              </w:rPr>
              <w:t>砷、镉、</w:t>
            </w:r>
            <w:r>
              <w:rPr>
                <w:rFonts w:hint="eastAsia" w:ascii="Times New Roman" w:hAnsi="Times New Roman" w:eastAsia="宋体" w:cs="Times New Roman"/>
                <w:sz w:val="21"/>
                <w:szCs w:val="21"/>
                <w:highlight w:val="none"/>
                <w:lang w:val="en-US" w:eastAsia="zh-CN"/>
              </w:rPr>
              <w:t>铬、</w:t>
            </w:r>
            <w:r>
              <w:rPr>
                <w:rFonts w:hint="default" w:ascii="Times New Roman" w:hAnsi="Times New Roman" w:eastAsia="Times New Roman" w:cs="Times New Roman"/>
                <w:color w:val="auto"/>
                <w:spacing w:val="-1"/>
                <w:kern w:val="2"/>
                <w:sz w:val="21"/>
                <w:szCs w:val="21"/>
                <w:highlight w:val="none"/>
                <w:lang w:val="en-US" w:eastAsia="zh-CN" w:bidi="ar-SA"/>
              </w:rPr>
              <w:t>铬（六价）、铜、铅、汞、镍、四氯化碳、氯仿、氯甲烷、1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1-二氯乙烷、1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1-二氯乙烯、顺-1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2-二氯乙烯、反-1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2-二氯乙烯、二氯甲烷、1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2-四氯乙烷、1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2-四氯乙烷、四氯乙烯、1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1-三氯乙烷、1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2-三氯乙烷、三氯乙烯、1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3-三氯丙烷、氯乙烯、苯、氯苯、1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2-二氯苯、1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4-二氯苯、乙苯、苯乙烯、甲苯、间二甲苯+对二甲苯、邻二甲苯、硝基苯、苯胺、2-氯酚、苯并[a]蒽、苯并[a]芘、苯并[b]荧蒽、苯并荧[k]蒽、䓛、二苯并[a</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h]蒽、茚并[1</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2</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eastAsia="Times New Roman" w:cs="Times New Roman"/>
                <w:color w:val="auto"/>
                <w:spacing w:val="-1"/>
                <w:kern w:val="2"/>
                <w:sz w:val="21"/>
                <w:szCs w:val="21"/>
                <w:highlight w:val="none"/>
                <w:lang w:val="en-US" w:eastAsia="zh-CN" w:bidi="ar-SA"/>
              </w:rPr>
              <w:t>3-cd]芘、萘</w:t>
            </w:r>
            <w:r>
              <w:rPr>
                <w:rFonts w:hint="eastAsia" w:ascii="Times New Roman" w:hAnsi="Times New Roman" w:eastAsia="Times New Roman" w:cs="Times New Roman"/>
                <w:color w:val="auto"/>
                <w:spacing w:val="-1"/>
                <w:kern w:val="2"/>
                <w:sz w:val="21"/>
                <w:szCs w:val="21"/>
                <w:highlight w:val="none"/>
                <w:lang w:val="en-US" w:eastAsia="zh-CN" w:bidi="ar-SA"/>
              </w:rPr>
              <w:t>、</w:t>
            </w:r>
            <w:r>
              <w:rPr>
                <w:rFonts w:hint="default" w:ascii="Times New Roman" w:hAnsi="Times New Roman" w:cs="Times New Roman"/>
                <w:b w:val="0"/>
                <w:bCs w:val="0"/>
                <w:color w:val="auto"/>
                <w:sz w:val="21"/>
                <w:szCs w:val="21"/>
                <w:highlight w:val="none"/>
              </w:rPr>
              <w:t>钒</w:t>
            </w:r>
            <w:r>
              <w:rPr>
                <w:rFonts w:hint="eastAsia" w:ascii="Times New Roman" w:hAnsi="Times New Roman" w:cs="Times New Roman"/>
                <w:b w:val="0"/>
                <w:bCs w:val="0"/>
                <w:sz w:val="21"/>
                <w:szCs w:val="21"/>
                <w:highlight w:val="none"/>
                <w:lang w:val="en-US" w:eastAsia="zh-CN"/>
              </w:rPr>
              <w:t>、</w:t>
            </w:r>
            <w:r>
              <w:rPr>
                <w:rFonts w:hint="default" w:ascii="Times New Roman" w:hAnsi="Times New Roman" w:cs="Times New Roman"/>
                <w:b w:val="0"/>
                <w:bCs w:val="0"/>
                <w:sz w:val="21"/>
                <w:szCs w:val="21"/>
                <w:highlight w:val="none"/>
              </w:rPr>
              <w:t>石油烃（C</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rPr>
              <w:t>-C</w:t>
            </w:r>
            <w:r>
              <w:rPr>
                <w:rFonts w:hint="default" w:ascii="Times New Roman" w:hAnsi="Times New Roman" w:cs="Times New Roman"/>
                <w:b w:val="0"/>
                <w:bCs w:val="0"/>
                <w:sz w:val="21"/>
                <w:szCs w:val="21"/>
                <w:highlight w:val="none"/>
                <w:vertAlign w:val="subscript"/>
              </w:rPr>
              <w:t>40</w:t>
            </w:r>
            <w:r>
              <w:rPr>
                <w:rFonts w:hint="default" w:ascii="Times New Roman" w:hAnsi="Times New Roman" w:cs="Times New Roman"/>
                <w:b w:val="0"/>
                <w:bCs w:val="0"/>
                <w:sz w:val="21"/>
                <w:szCs w:val="21"/>
                <w:highlight w:val="none"/>
              </w:rPr>
              <w:t>）</w:t>
            </w:r>
            <w:r>
              <w:rPr>
                <w:rFonts w:hint="eastAsia" w:ascii="Times New Roman" w:hAnsi="Times New Roman" w:cs="Times New Roman"/>
                <w:b w:val="0"/>
                <w:bCs w:val="0"/>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水溶性氟化物、氨氮</w:t>
            </w:r>
          </w:p>
          <w:p w14:paraId="4E142099">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b w:val="0"/>
                <w:bCs/>
                <w:sz w:val="21"/>
                <w:szCs w:val="21"/>
                <w:highlight w:val="none"/>
                <w:lang w:val="en-US" w:eastAsia="zh-CN"/>
              </w:rPr>
              <w:t>特征因子：</w:t>
            </w:r>
            <w:r>
              <w:rPr>
                <w:rFonts w:hint="eastAsia" w:ascii="Times New Roman" w:hAnsi="Times New Roman" w:cs="Times New Roman"/>
                <w:b w:val="0"/>
                <w:bCs/>
                <w:sz w:val="21"/>
                <w:szCs w:val="21"/>
                <w:highlight w:val="none"/>
                <w:lang w:eastAsia="zh-CN"/>
              </w:rPr>
              <w:t>铁</w:t>
            </w:r>
          </w:p>
        </w:tc>
        <w:tc>
          <w:tcPr>
            <w:tcW w:w="862" w:type="pct"/>
            <w:tcBorders>
              <w:tl2br w:val="nil"/>
              <w:tr2bl w:val="nil"/>
            </w:tcBorders>
            <w:vAlign w:val="center"/>
          </w:tcPr>
          <w:p w14:paraId="68404DE8">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eastAsia="zh-CN"/>
              </w:rPr>
              <w:t>每3年1次</w:t>
            </w:r>
          </w:p>
        </w:tc>
        <w:tc>
          <w:tcPr>
            <w:tcW w:w="843" w:type="pct"/>
            <w:tcBorders>
              <w:tl2br w:val="nil"/>
              <w:tr2bl w:val="nil"/>
            </w:tcBorders>
            <w:vAlign w:val="center"/>
          </w:tcPr>
          <w:p w14:paraId="30EFE15F">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highlight w:val="none"/>
                <w:lang w:eastAsia="zh-CN"/>
              </w:rPr>
            </w:pPr>
            <w:r>
              <w:rPr>
                <w:rFonts w:hint="eastAsia"/>
                <w:color w:val="auto"/>
                <w:sz w:val="21"/>
                <w:szCs w:val="21"/>
                <w:highlight w:val="none"/>
                <w:lang w:val="en-US" w:eastAsia="zh-CN"/>
              </w:rPr>
              <w:t>《土壤环境质量 建设用地土壤污染风险管控标准（试行）》（GB36600-2018）、《建设用地土壤污染风险筛选值》（DB13/T5216-2022）</w:t>
            </w:r>
          </w:p>
        </w:tc>
      </w:tr>
      <w:bookmarkEnd w:id="422"/>
      <w:bookmarkEnd w:id="423"/>
      <w:bookmarkEnd w:id="424"/>
    </w:tbl>
    <w:p w14:paraId="29936720">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bookmarkStart w:id="425" w:name="_Toc13552"/>
      <w:bookmarkStart w:id="426" w:name="_Toc190"/>
      <w:bookmarkStart w:id="427" w:name="_Toc16507"/>
      <w:bookmarkStart w:id="428" w:name="_Toc12635"/>
      <w:bookmarkStart w:id="429" w:name="_Toc24862"/>
      <w:r>
        <w:rPr>
          <w:rFonts w:hint="default" w:ascii="Times New Roman" w:hAnsi="Times New Roman" w:eastAsia="宋体" w:cs="Times New Roman"/>
          <w:b/>
          <w:color w:val="000000"/>
          <w:sz w:val="28"/>
          <w:szCs w:val="28"/>
          <w:highlight w:val="none"/>
        </w:rPr>
        <w:t>环保设</w:t>
      </w:r>
      <w:r>
        <w:rPr>
          <w:rFonts w:hint="eastAsia" w:ascii="宋体" w:hAnsi="宋体" w:eastAsia="宋体" w:cs="宋体"/>
          <w:b/>
          <w:color w:val="000000"/>
          <w:sz w:val="28"/>
          <w:szCs w:val="28"/>
          <w:highlight w:val="none"/>
        </w:rPr>
        <w:t>施“三同时”验</w:t>
      </w:r>
      <w:r>
        <w:rPr>
          <w:rFonts w:hint="default" w:ascii="Times New Roman" w:hAnsi="Times New Roman" w:eastAsia="宋体" w:cs="Times New Roman"/>
          <w:b/>
          <w:color w:val="000000"/>
          <w:sz w:val="28"/>
          <w:szCs w:val="28"/>
          <w:highlight w:val="none"/>
        </w:rPr>
        <w:t>收清单</w:t>
      </w:r>
      <w:bookmarkEnd w:id="425"/>
      <w:bookmarkEnd w:id="426"/>
      <w:bookmarkEnd w:id="427"/>
      <w:bookmarkEnd w:id="428"/>
      <w:bookmarkEnd w:id="429"/>
    </w:p>
    <w:p w14:paraId="1AF17F0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color w:val="000000"/>
          <w:kern w:val="0"/>
          <w:sz w:val="24"/>
          <w:highlight w:val="none"/>
          <w:lang w:val="en-US" w:eastAsia="zh-CN"/>
        </w:rPr>
      </w:pPr>
      <w:r>
        <w:rPr>
          <w:rFonts w:hint="default" w:ascii="Times New Roman" w:hAnsi="Times New Roman" w:cs="Times New Roman"/>
          <w:color w:val="000000"/>
          <w:kern w:val="0"/>
          <w:sz w:val="24"/>
          <w:highlight w:val="none"/>
          <w:lang w:val="zh-CN"/>
        </w:rPr>
        <w:t>环保设施</w:t>
      </w:r>
      <w:r>
        <w:rPr>
          <w:rFonts w:hint="eastAsia" w:ascii="宋体" w:hAnsi="宋体" w:eastAsia="宋体" w:cs="宋体"/>
          <w:color w:val="000000"/>
          <w:kern w:val="0"/>
          <w:sz w:val="24"/>
          <w:highlight w:val="none"/>
          <w:lang w:val="zh-CN"/>
        </w:rPr>
        <w:t>“三同时”验收</w:t>
      </w:r>
      <w:r>
        <w:rPr>
          <w:rFonts w:hint="default" w:ascii="Times New Roman" w:hAnsi="Times New Roman" w:cs="Times New Roman"/>
          <w:color w:val="000000"/>
          <w:kern w:val="0"/>
          <w:sz w:val="24"/>
          <w:highlight w:val="none"/>
          <w:lang w:val="zh-CN"/>
        </w:rPr>
        <w:t>清单见</w:t>
      </w:r>
      <w:r>
        <w:rPr>
          <w:rFonts w:hint="eastAsia" w:ascii="Times New Roman" w:hAnsi="Times New Roman" w:cs="Times New Roman"/>
          <w:color w:val="000000"/>
          <w:kern w:val="0"/>
          <w:sz w:val="24"/>
          <w:highlight w:val="none"/>
          <w:lang w:val="en-US" w:eastAsia="zh-CN"/>
        </w:rPr>
        <w:t>下表</w:t>
      </w:r>
      <w:r>
        <w:rPr>
          <w:rFonts w:hint="eastAsia" w:cs="Times New Roman"/>
          <w:color w:val="000000"/>
          <w:kern w:val="0"/>
          <w:sz w:val="24"/>
          <w:highlight w:val="none"/>
          <w:lang w:val="en-US" w:eastAsia="zh-CN"/>
        </w:rPr>
        <w:t>。</w:t>
      </w:r>
    </w:p>
    <w:p w14:paraId="4F8E463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color w:val="000000"/>
          <w:kern w:val="0"/>
          <w:sz w:val="24"/>
          <w:highlight w:val="none"/>
          <w:lang w:val="en-US" w:eastAsia="zh-CN"/>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0070DFCC">
      <w:pPr>
        <w:autoSpaceDE w:val="0"/>
        <w:autoSpaceDN w:val="0"/>
        <w:adjustRightInd w:val="0"/>
        <w:spacing w:line="500" w:lineRule="exact"/>
        <w:ind w:firstLine="442" w:firstLineChars="200"/>
        <w:jc w:val="center"/>
        <w:rPr>
          <w:rFonts w:hint="default" w:ascii="Times New Roman" w:hAnsi="Times New Roman" w:cs="Times New Roman"/>
          <w:b/>
          <w:color w:val="000000"/>
          <w:spacing w:val="5"/>
          <w:szCs w:val="21"/>
          <w:highlight w:val="none"/>
        </w:rPr>
      </w:pPr>
      <w:r>
        <w:rPr>
          <w:rFonts w:hint="default" w:ascii="Times New Roman" w:hAnsi="Times New Roman" w:cs="Times New Roman"/>
          <w:b/>
          <w:color w:val="000000"/>
          <w:spacing w:val="5"/>
          <w:szCs w:val="21"/>
          <w:highlight w:val="none"/>
        </w:rPr>
        <w:t>表8-</w:t>
      </w:r>
      <w:r>
        <w:rPr>
          <w:rFonts w:hint="eastAsia" w:ascii="Times New Roman" w:hAnsi="Times New Roman" w:cs="Times New Roman"/>
          <w:b/>
          <w:color w:val="000000"/>
          <w:spacing w:val="5"/>
          <w:szCs w:val="21"/>
          <w:highlight w:val="none"/>
          <w:lang w:val="en-US" w:eastAsia="zh-CN"/>
        </w:rPr>
        <w:t>3</w:t>
      </w:r>
      <w:r>
        <w:rPr>
          <w:rFonts w:hint="default" w:ascii="Times New Roman" w:hAnsi="Times New Roman" w:cs="Times New Roman"/>
          <w:b/>
          <w:color w:val="000000"/>
          <w:spacing w:val="5"/>
          <w:szCs w:val="21"/>
          <w:highlight w:val="none"/>
        </w:rPr>
        <w:t xml:space="preserve">  环保设</w:t>
      </w:r>
      <w:r>
        <w:rPr>
          <w:rFonts w:hint="eastAsia" w:ascii="宋体" w:hAnsi="宋体" w:eastAsia="宋体" w:cs="宋体"/>
          <w:b/>
          <w:color w:val="000000"/>
          <w:spacing w:val="5"/>
          <w:szCs w:val="21"/>
          <w:highlight w:val="none"/>
        </w:rPr>
        <w:t>施“三同时”验</w:t>
      </w:r>
      <w:r>
        <w:rPr>
          <w:rFonts w:hint="default" w:ascii="Times New Roman" w:hAnsi="Times New Roman" w:cs="Times New Roman"/>
          <w:b/>
          <w:color w:val="000000"/>
          <w:spacing w:val="5"/>
          <w:szCs w:val="21"/>
          <w:highlight w:val="none"/>
        </w:rPr>
        <w:t>收内容</w:t>
      </w:r>
    </w:p>
    <w:tbl>
      <w:tblPr>
        <w:tblStyle w:val="58"/>
        <w:tblpPr w:leftFromText="180" w:rightFromText="180" w:vertAnchor="text" w:horzAnchor="margin" w:tblpY="121"/>
        <w:tblW w:w="4996"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96"/>
        <w:gridCol w:w="6132"/>
        <w:gridCol w:w="893"/>
        <w:gridCol w:w="2035"/>
        <w:gridCol w:w="3807"/>
      </w:tblGrid>
      <w:tr w14:paraId="5DCD41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tcBorders>
              <w:tl2br w:val="nil"/>
              <w:tr2bl w:val="nil"/>
            </w:tcBorders>
            <w:vAlign w:val="center"/>
          </w:tcPr>
          <w:p w14:paraId="0303282F">
            <w:pPr>
              <w:pStyle w:val="161"/>
              <w:keepNext w:val="0"/>
              <w:keepLines w:val="0"/>
              <w:suppressLineNumbers w:val="0"/>
              <w:spacing w:before="0" w:beforeAutospacing="0" w:after="0" w:afterAutospacing="0" w:line="240" w:lineRule="auto"/>
              <w:ind w:left="0" w:right="0"/>
              <w:jc w:val="left"/>
              <w:rPr>
                <w:rFonts w:hint="default"/>
                <w:b/>
                <w:color w:val="auto"/>
                <w:highlight w:val="none"/>
              </w:rPr>
            </w:pPr>
            <w:r>
              <w:rPr>
                <w:rFonts w:hint="default"/>
                <w:b/>
                <w:color w:val="auto"/>
                <w:highlight w:val="none"/>
              </w:rPr>
              <w:t>保护目标</w:t>
            </w:r>
          </w:p>
        </w:tc>
        <w:tc>
          <w:tcPr>
            <w:tcW w:w="2163" w:type="pct"/>
            <w:tcBorders>
              <w:tl2br w:val="nil"/>
              <w:tr2bl w:val="nil"/>
            </w:tcBorders>
            <w:vAlign w:val="center"/>
          </w:tcPr>
          <w:p w14:paraId="0056C2B6">
            <w:pPr>
              <w:pStyle w:val="161"/>
              <w:keepNext w:val="0"/>
              <w:keepLines w:val="0"/>
              <w:suppressLineNumbers w:val="0"/>
              <w:spacing w:before="0" w:beforeAutospacing="0" w:after="0" w:afterAutospacing="0" w:line="240" w:lineRule="auto"/>
              <w:ind w:left="0" w:right="0"/>
              <w:rPr>
                <w:rFonts w:hint="default"/>
                <w:b/>
                <w:color w:val="auto"/>
                <w:highlight w:val="none"/>
              </w:rPr>
            </w:pPr>
            <w:r>
              <w:rPr>
                <w:rFonts w:hint="default"/>
                <w:b/>
                <w:color w:val="auto"/>
                <w:highlight w:val="none"/>
              </w:rPr>
              <w:t>设备设施名称及措施</w:t>
            </w:r>
          </w:p>
        </w:tc>
        <w:tc>
          <w:tcPr>
            <w:tcW w:w="315" w:type="pct"/>
            <w:tcBorders>
              <w:tl2br w:val="nil"/>
              <w:tr2bl w:val="nil"/>
            </w:tcBorders>
            <w:vAlign w:val="center"/>
          </w:tcPr>
          <w:p w14:paraId="41899F60">
            <w:pPr>
              <w:pStyle w:val="161"/>
              <w:keepNext w:val="0"/>
              <w:keepLines w:val="0"/>
              <w:suppressLineNumbers w:val="0"/>
              <w:spacing w:before="0" w:beforeAutospacing="0" w:after="0" w:afterAutospacing="0" w:line="240" w:lineRule="auto"/>
              <w:ind w:left="0" w:right="0"/>
              <w:rPr>
                <w:rFonts w:hint="default"/>
                <w:b/>
                <w:color w:val="auto"/>
                <w:highlight w:val="none"/>
              </w:rPr>
            </w:pPr>
            <w:r>
              <w:rPr>
                <w:rFonts w:hint="default"/>
                <w:b/>
                <w:color w:val="auto"/>
                <w:highlight w:val="none"/>
              </w:rPr>
              <w:t>数量</w:t>
            </w:r>
          </w:p>
        </w:tc>
        <w:tc>
          <w:tcPr>
            <w:tcW w:w="718" w:type="pct"/>
            <w:tcBorders>
              <w:tl2br w:val="nil"/>
              <w:tr2bl w:val="nil"/>
            </w:tcBorders>
            <w:vAlign w:val="center"/>
          </w:tcPr>
          <w:p w14:paraId="48E1E223">
            <w:pPr>
              <w:pStyle w:val="161"/>
              <w:keepNext w:val="0"/>
              <w:keepLines w:val="0"/>
              <w:suppressLineNumbers w:val="0"/>
              <w:spacing w:before="0" w:beforeAutospacing="0" w:after="0" w:afterAutospacing="0" w:line="240" w:lineRule="auto"/>
              <w:ind w:left="0" w:right="0"/>
              <w:rPr>
                <w:rFonts w:hint="default"/>
                <w:b/>
                <w:color w:val="auto"/>
                <w:highlight w:val="none"/>
              </w:rPr>
            </w:pPr>
            <w:r>
              <w:rPr>
                <w:rFonts w:hint="default"/>
                <w:b/>
                <w:color w:val="auto"/>
                <w:highlight w:val="none"/>
              </w:rPr>
              <w:t>功能</w:t>
            </w:r>
          </w:p>
        </w:tc>
        <w:tc>
          <w:tcPr>
            <w:tcW w:w="1343" w:type="pct"/>
            <w:tcBorders>
              <w:tl2br w:val="nil"/>
              <w:tr2bl w:val="nil"/>
            </w:tcBorders>
            <w:vAlign w:val="center"/>
          </w:tcPr>
          <w:p w14:paraId="43C2A2E2">
            <w:pPr>
              <w:pStyle w:val="161"/>
              <w:keepNext w:val="0"/>
              <w:keepLines w:val="0"/>
              <w:suppressLineNumbers w:val="0"/>
              <w:spacing w:before="0" w:beforeAutospacing="0" w:after="0" w:afterAutospacing="0" w:line="240" w:lineRule="auto"/>
              <w:ind w:left="0" w:right="0"/>
              <w:rPr>
                <w:rFonts w:hint="default"/>
                <w:b/>
                <w:color w:val="auto"/>
                <w:highlight w:val="none"/>
              </w:rPr>
            </w:pPr>
            <w:r>
              <w:rPr>
                <w:rFonts w:hint="default"/>
                <w:b/>
                <w:color w:val="auto"/>
                <w:highlight w:val="none"/>
              </w:rPr>
              <w:t>验收标准</w:t>
            </w:r>
          </w:p>
        </w:tc>
      </w:tr>
      <w:tr w14:paraId="37818B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vMerge w:val="restart"/>
            <w:tcBorders>
              <w:tl2br w:val="nil"/>
              <w:tr2bl w:val="nil"/>
            </w:tcBorders>
            <w:vAlign w:val="center"/>
          </w:tcPr>
          <w:p w14:paraId="620FCB5E">
            <w:pPr>
              <w:pStyle w:val="161"/>
              <w:keepNext w:val="0"/>
              <w:keepLines w:val="0"/>
              <w:suppressLineNumbers w:val="0"/>
              <w:spacing w:before="0" w:beforeAutospacing="0" w:after="0" w:afterAutospacing="0" w:line="240" w:lineRule="auto"/>
              <w:ind w:left="0" w:right="0"/>
              <w:rPr>
                <w:rFonts w:hint="default"/>
                <w:b/>
                <w:color w:val="auto"/>
                <w:highlight w:val="none"/>
              </w:rPr>
            </w:pPr>
            <w:r>
              <w:rPr>
                <w:rFonts w:hint="default"/>
                <w:color w:val="auto"/>
                <w:highlight w:val="none"/>
              </w:rPr>
              <w:t>大气环境</w:t>
            </w:r>
          </w:p>
        </w:tc>
        <w:tc>
          <w:tcPr>
            <w:tcW w:w="2163" w:type="pct"/>
            <w:tcBorders>
              <w:tl2br w:val="nil"/>
              <w:tr2bl w:val="nil"/>
            </w:tcBorders>
            <w:vAlign w:val="center"/>
          </w:tcPr>
          <w:p w14:paraId="472DB5A9">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bCs/>
                <w:color w:val="auto"/>
                <w:sz w:val="21"/>
                <w:szCs w:val="21"/>
                <w:highlight w:val="none"/>
              </w:rPr>
              <w:t>在堆置过程中分区作业，对尚未形成最终堆积面的区域及时进行压实、苫盖；作业过程中配套使用</w:t>
            </w:r>
            <w:r>
              <w:rPr>
                <w:rFonts w:hint="eastAsia"/>
                <w:bCs/>
                <w:color w:val="auto"/>
                <w:sz w:val="21"/>
                <w:szCs w:val="21"/>
                <w:highlight w:val="none"/>
                <w:lang w:eastAsia="zh-CN"/>
              </w:rPr>
              <w:t>喷淋降尘设备</w:t>
            </w:r>
            <w:r>
              <w:rPr>
                <w:rFonts w:hint="default"/>
                <w:bCs/>
                <w:color w:val="auto"/>
                <w:sz w:val="21"/>
                <w:szCs w:val="21"/>
                <w:highlight w:val="none"/>
              </w:rPr>
              <w:t>，保持废弃土石料的湿度，倾卸物料时不随意扬撒</w:t>
            </w:r>
          </w:p>
        </w:tc>
        <w:tc>
          <w:tcPr>
            <w:tcW w:w="315" w:type="pct"/>
            <w:tcBorders>
              <w:tl2br w:val="nil"/>
              <w:tr2bl w:val="nil"/>
            </w:tcBorders>
            <w:vAlign w:val="center"/>
          </w:tcPr>
          <w:p w14:paraId="14281637">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eastAsia"/>
                <w:color w:val="auto"/>
                <w:highlight w:val="none"/>
              </w:rPr>
              <w:t>/</w:t>
            </w:r>
          </w:p>
        </w:tc>
        <w:tc>
          <w:tcPr>
            <w:tcW w:w="718" w:type="pct"/>
            <w:vMerge w:val="restart"/>
            <w:tcBorders>
              <w:tl2br w:val="nil"/>
              <w:tr2bl w:val="nil"/>
            </w:tcBorders>
            <w:vAlign w:val="center"/>
          </w:tcPr>
          <w:p w14:paraId="32A16244">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降低</w:t>
            </w:r>
            <w:r>
              <w:rPr>
                <w:rFonts w:hint="eastAsia"/>
                <w:color w:val="auto"/>
                <w:highlight w:val="none"/>
                <w:lang w:val="en-US" w:eastAsia="zh-CN"/>
              </w:rPr>
              <w:t>颗粒物</w:t>
            </w:r>
            <w:r>
              <w:rPr>
                <w:rFonts w:hint="default"/>
                <w:color w:val="auto"/>
                <w:highlight w:val="none"/>
              </w:rPr>
              <w:t>排放量</w:t>
            </w:r>
          </w:p>
        </w:tc>
        <w:tc>
          <w:tcPr>
            <w:tcW w:w="1343" w:type="pct"/>
            <w:vMerge w:val="restart"/>
            <w:tcBorders>
              <w:tl2br w:val="nil"/>
              <w:tr2bl w:val="nil"/>
            </w:tcBorders>
            <w:vAlign w:val="center"/>
          </w:tcPr>
          <w:p w14:paraId="1173B69B">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eastAsia"/>
                <w:snapToGrid w:val="0"/>
                <w:color w:val="auto"/>
                <w:kern w:val="0"/>
                <w:sz w:val="21"/>
                <w:szCs w:val="21"/>
                <w:highlight w:val="none"/>
                <w:lang w:eastAsia="zh-CN"/>
              </w:rPr>
              <w:t>《</w:t>
            </w:r>
            <w:r>
              <w:rPr>
                <w:rFonts w:hint="default"/>
                <w:snapToGrid w:val="0"/>
                <w:color w:val="auto"/>
                <w:kern w:val="0"/>
                <w:sz w:val="21"/>
                <w:szCs w:val="21"/>
                <w:highlight w:val="none"/>
              </w:rPr>
              <w:t>铁矿采选工业污染物排放标准》（GB28661-2012）中表7新建企业大气污染物无组织排放浓度限值</w:t>
            </w:r>
          </w:p>
        </w:tc>
      </w:tr>
      <w:tr w14:paraId="4AD29D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vMerge w:val="continue"/>
            <w:tcBorders>
              <w:tl2br w:val="nil"/>
              <w:tr2bl w:val="nil"/>
            </w:tcBorders>
            <w:vAlign w:val="center"/>
          </w:tcPr>
          <w:p w14:paraId="1432DDA9">
            <w:pPr>
              <w:pStyle w:val="161"/>
              <w:keepNext w:val="0"/>
              <w:keepLines w:val="0"/>
              <w:suppressLineNumbers w:val="0"/>
              <w:spacing w:before="0" w:beforeAutospacing="0" w:after="0" w:afterAutospacing="0" w:line="240" w:lineRule="auto"/>
              <w:ind w:left="0" w:right="0"/>
              <w:rPr>
                <w:rFonts w:hint="default"/>
                <w:color w:val="auto"/>
                <w:highlight w:val="none"/>
              </w:rPr>
            </w:pPr>
          </w:p>
        </w:tc>
        <w:tc>
          <w:tcPr>
            <w:tcW w:w="2163" w:type="pct"/>
            <w:tcBorders>
              <w:tl2br w:val="nil"/>
              <w:tr2bl w:val="nil"/>
            </w:tcBorders>
            <w:vAlign w:val="center"/>
          </w:tcPr>
          <w:p w14:paraId="166B8B40">
            <w:pPr>
              <w:keepNext w:val="0"/>
              <w:keepLines w:val="0"/>
              <w:suppressLineNumbers w:val="0"/>
              <w:spacing w:before="0" w:beforeAutospacing="0" w:after="0" w:afterAutospacing="0" w:line="240" w:lineRule="auto"/>
              <w:ind w:left="0" w:right="0" w:firstLine="0" w:firstLineChars="0"/>
              <w:jc w:val="center"/>
              <w:rPr>
                <w:rFonts w:hint="default"/>
                <w:color w:val="auto"/>
                <w:szCs w:val="20"/>
                <w:highlight w:val="none"/>
              </w:rPr>
            </w:pPr>
            <w:r>
              <w:rPr>
                <w:rFonts w:hint="default"/>
                <w:bCs/>
                <w:color w:val="auto"/>
                <w:sz w:val="21"/>
                <w:szCs w:val="21"/>
                <w:highlight w:val="none"/>
              </w:rPr>
              <w:t>道路</w:t>
            </w:r>
            <w:r>
              <w:rPr>
                <w:rFonts w:hint="eastAsia"/>
                <w:bCs/>
                <w:color w:val="auto"/>
                <w:sz w:val="21"/>
                <w:szCs w:val="21"/>
                <w:highlight w:val="none"/>
                <w:lang w:val="en-US" w:eastAsia="zh-CN"/>
              </w:rPr>
              <w:t>碎石</w:t>
            </w:r>
            <w:r>
              <w:rPr>
                <w:rFonts w:hint="default"/>
                <w:bCs/>
                <w:color w:val="auto"/>
                <w:sz w:val="21"/>
                <w:szCs w:val="21"/>
                <w:highlight w:val="none"/>
              </w:rPr>
              <w:t>硬化</w:t>
            </w:r>
            <w:r>
              <w:rPr>
                <w:rFonts w:hint="eastAsia"/>
                <w:bCs/>
                <w:color w:val="auto"/>
                <w:sz w:val="21"/>
                <w:szCs w:val="21"/>
                <w:highlight w:val="none"/>
              </w:rPr>
              <w:t>，</w:t>
            </w:r>
            <w:r>
              <w:rPr>
                <w:rFonts w:hint="default"/>
                <w:bCs/>
                <w:color w:val="auto"/>
                <w:sz w:val="21"/>
                <w:szCs w:val="21"/>
                <w:highlight w:val="none"/>
              </w:rPr>
              <w:t>车辆减速慢行</w:t>
            </w:r>
            <w:r>
              <w:rPr>
                <w:rFonts w:hint="eastAsia"/>
                <w:bCs/>
                <w:color w:val="auto"/>
                <w:sz w:val="21"/>
                <w:szCs w:val="21"/>
                <w:highlight w:val="none"/>
              </w:rPr>
              <w:t>，</w:t>
            </w:r>
            <w:r>
              <w:rPr>
                <w:rFonts w:hint="default"/>
                <w:bCs/>
                <w:color w:val="auto"/>
                <w:sz w:val="21"/>
                <w:szCs w:val="21"/>
                <w:highlight w:val="none"/>
              </w:rPr>
              <w:t>定期洒水抑尘</w:t>
            </w:r>
          </w:p>
        </w:tc>
        <w:tc>
          <w:tcPr>
            <w:tcW w:w="315" w:type="pct"/>
            <w:tcBorders>
              <w:tl2br w:val="nil"/>
              <w:tr2bl w:val="nil"/>
            </w:tcBorders>
            <w:vAlign w:val="center"/>
          </w:tcPr>
          <w:p w14:paraId="7431BE20">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eastAsia"/>
                <w:color w:val="auto"/>
                <w:highlight w:val="none"/>
              </w:rPr>
              <w:t>/</w:t>
            </w:r>
          </w:p>
        </w:tc>
        <w:tc>
          <w:tcPr>
            <w:tcW w:w="718" w:type="pct"/>
            <w:vMerge w:val="continue"/>
            <w:tcBorders>
              <w:tl2br w:val="nil"/>
              <w:tr2bl w:val="nil"/>
            </w:tcBorders>
            <w:vAlign w:val="center"/>
          </w:tcPr>
          <w:p w14:paraId="2B02CC0D">
            <w:pPr>
              <w:pStyle w:val="161"/>
              <w:keepNext w:val="0"/>
              <w:keepLines w:val="0"/>
              <w:suppressLineNumbers w:val="0"/>
              <w:spacing w:before="0" w:beforeAutospacing="0" w:after="0" w:afterAutospacing="0" w:line="240" w:lineRule="auto"/>
              <w:ind w:left="0" w:right="0"/>
              <w:rPr>
                <w:rFonts w:hint="default"/>
                <w:color w:val="auto"/>
                <w:highlight w:val="none"/>
              </w:rPr>
            </w:pPr>
          </w:p>
        </w:tc>
        <w:tc>
          <w:tcPr>
            <w:tcW w:w="1343" w:type="pct"/>
            <w:vMerge w:val="continue"/>
            <w:tcBorders>
              <w:tl2br w:val="nil"/>
              <w:tr2bl w:val="nil"/>
            </w:tcBorders>
            <w:vAlign w:val="center"/>
          </w:tcPr>
          <w:p w14:paraId="2391A6F9">
            <w:pPr>
              <w:pStyle w:val="161"/>
              <w:keepNext w:val="0"/>
              <w:keepLines w:val="0"/>
              <w:suppressLineNumbers w:val="0"/>
              <w:spacing w:before="0" w:beforeAutospacing="0" w:after="0" w:afterAutospacing="0" w:line="240" w:lineRule="auto"/>
              <w:ind w:left="0" w:right="0"/>
              <w:rPr>
                <w:rFonts w:hint="default"/>
                <w:color w:val="auto"/>
                <w:highlight w:val="none"/>
              </w:rPr>
            </w:pPr>
          </w:p>
        </w:tc>
      </w:tr>
      <w:tr w14:paraId="18EDA5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vMerge w:val="continue"/>
            <w:tcBorders>
              <w:tl2br w:val="nil"/>
              <w:tr2bl w:val="nil"/>
            </w:tcBorders>
            <w:vAlign w:val="center"/>
          </w:tcPr>
          <w:p w14:paraId="5B73E73A">
            <w:pPr>
              <w:pStyle w:val="161"/>
              <w:keepNext w:val="0"/>
              <w:keepLines w:val="0"/>
              <w:suppressLineNumbers w:val="0"/>
              <w:spacing w:before="0" w:beforeAutospacing="0" w:after="0" w:afterAutospacing="0" w:line="240" w:lineRule="auto"/>
              <w:ind w:left="0" w:right="0"/>
              <w:rPr>
                <w:rFonts w:hint="default"/>
                <w:color w:val="auto"/>
                <w:highlight w:val="none"/>
              </w:rPr>
            </w:pPr>
          </w:p>
        </w:tc>
        <w:tc>
          <w:tcPr>
            <w:tcW w:w="2163" w:type="pct"/>
            <w:tcBorders>
              <w:tl2br w:val="nil"/>
              <w:tr2bl w:val="nil"/>
            </w:tcBorders>
            <w:vAlign w:val="center"/>
          </w:tcPr>
          <w:p w14:paraId="08D3809F">
            <w:pPr>
              <w:keepNext w:val="0"/>
              <w:keepLines w:val="0"/>
              <w:suppressLineNumbers w:val="0"/>
              <w:spacing w:before="0" w:beforeAutospacing="0" w:after="0" w:afterAutospacing="0" w:line="240" w:lineRule="auto"/>
              <w:ind w:left="0" w:right="0" w:firstLine="0" w:firstLineChars="0"/>
              <w:jc w:val="center"/>
              <w:rPr>
                <w:rFonts w:hint="default"/>
                <w:color w:val="auto"/>
                <w:szCs w:val="20"/>
                <w:highlight w:val="none"/>
              </w:rPr>
            </w:pPr>
            <w:r>
              <w:rPr>
                <w:rFonts w:hint="default"/>
                <w:bCs/>
                <w:color w:val="auto"/>
                <w:sz w:val="21"/>
                <w:szCs w:val="21"/>
                <w:highlight w:val="none"/>
              </w:rPr>
              <w:t>配备洒水车辆降尘，降低装卸高度</w:t>
            </w:r>
          </w:p>
        </w:tc>
        <w:tc>
          <w:tcPr>
            <w:tcW w:w="315" w:type="pct"/>
            <w:tcBorders>
              <w:tl2br w:val="nil"/>
              <w:tr2bl w:val="nil"/>
            </w:tcBorders>
            <w:vAlign w:val="center"/>
          </w:tcPr>
          <w:p w14:paraId="66604E5B">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eastAsia"/>
                <w:color w:val="auto"/>
                <w:highlight w:val="none"/>
              </w:rPr>
              <w:t>/</w:t>
            </w:r>
          </w:p>
        </w:tc>
        <w:tc>
          <w:tcPr>
            <w:tcW w:w="718" w:type="pct"/>
            <w:vMerge w:val="continue"/>
            <w:tcBorders>
              <w:tl2br w:val="nil"/>
              <w:tr2bl w:val="nil"/>
            </w:tcBorders>
            <w:vAlign w:val="center"/>
          </w:tcPr>
          <w:p w14:paraId="4C7A2253">
            <w:pPr>
              <w:pStyle w:val="161"/>
              <w:keepNext w:val="0"/>
              <w:keepLines w:val="0"/>
              <w:suppressLineNumbers w:val="0"/>
              <w:spacing w:before="0" w:beforeAutospacing="0" w:after="0" w:afterAutospacing="0" w:line="240" w:lineRule="auto"/>
              <w:ind w:left="0" w:right="0"/>
              <w:rPr>
                <w:rFonts w:hint="default"/>
                <w:color w:val="auto"/>
                <w:highlight w:val="none"/>
              </w:rPr>
            </w:pPr>
          </w:p>
        </w:tc>
        <w:tc>
          <w:tcPr>
            <w:tcW w:w="1343" w:type="pct"/>
            <w:vMerge w:val="continue"/>
            <w:tcBorders>
              <w:tl2br w:val="nil"/>
              <w:tr2bl w:val="nil"/>
            </w:tcBorders>
            <w:vAlign w:val="center"/>
          </w:tcPr>
          <w:p w14:paraId="35A786F2">
            <w:pPr>
              <w:pStyle w:val="161"/>
              <w:keepNext w:val="0"/>
              <w:keepLines w:val="0"/>
              <w:suppressLineNumbers w:val="0"/>
              <w:spacing w:before="0" w:beforeAutospacing="0" w:after="0" w:afterAutospacing="0" w:line="240" w:lineRule="auto"/>
              <w:ind w:left="0" w:right="0"/>
              <w:rPr>
                <w:rFonts w:hint="default"/>
                <w:color w:val="auto"/>
                <w:highlight w:val="none"/>
              </w:rPr>
            </w:pPr>
          </w:p>
        </w:tc>
      </w:tr>
      <w:tr w14:paraId="6CF986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vMerge w:val="restart"/>
            <w:tcBorders>
              <w:tl2br w:val="nil"/>
              <w:tr2bl w:val="nil"/>
            </w:tcBorders>
            <w:vAlign w:val="center"/>
          </w:tcPr>
          <w:p w14:paraId="0A6D5A08">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水环境</w:t>
            </w:r>
          </w:p>
        </w:tc>
        <w:tc>
          <w:tcPr>
            <w:tcW w:w="2163" w:type="pct"/>
            <w:tcBorders>
              <w:tl2br w:val="nil"/>
              <w:tr2bl w:val="nil"/>
            </w:tcBorders>
            <w:vAlign w:val="center"/>
          </w:tcPr>
          <w:p w14:paraId="4B2D8411">
            <w:pPr>
              <w:pStyle w:val="161"/>
              <w:keepNext w:val="0"/>
              <w:keepLines w:val="0"/>
              <w:pageBreakBefore w:val="0"/>
              <w:widowControl w:val="0"/>
              <w:kinsoku/>
              <w:wordWrap/>
              <w:overflowPunct/>
              <w:topLinePunct w:val="0"/>
              <w:autoSpaceDE/>
              <w:autoSpaceDN/>
              <w:bidi w:val="0"/>
              <w:adjustRightInd/>
              <w:snapToGrid/>
              <w:spacing w:line="240" w:lineRule="atLeas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rPr>
              <w:t>在排渗层下部沿沟底走向布置排渗盲沟，排渗盲沟长度约18.0m</w:t>
            </w:r>
            <w:r>
              <w:rPr>
                <w:rFonts w:hint="eastAsia"/>
                <w:color w:val="auto"/>
                <w:highlight w:val="none"/>
                <w:lang w:eastAsia="zh-CN"/>
              </w:rPr>
              <w:t>；</w:t>
            </w:r>
            <w:r>
              <w:rPr>
                <w:rFonts w:hint="eastAsia"/>
                <w:color w:val="auto"/>
                <w:highlight w:val="none"/>
                <w:lang w:val="en-US" w:eastAsia="zh-CN"/>
              </w:rPr>
              <w:t>建设1</w:t>
            </w:r>
            <w:r>
              <w:rPr>
                <w:rFonts w:hint="eastAsia"/>
                <w:color w:val="auto"/>
                <w:highlight w:val="none"/>
                <w:lang w:eastAsia="zh-CN"/>
              </w:rPr>
              <w:t>座消力池</w:t>
            </w:r>
            <w:r>
              <w:rPr>
                <w:rFonts w:hint="eastAsia" w:ascii="Times New Roman" w:hAnsi="Times New Roman" w:cs="Times New Roman"/>
                <w:color w:val="000000"/>
                <w:szCs w:val="21"/>
                <w:highlight w:val="none"/>
                <w:lang w:eastAsia="zh-CN" w:bidi="ar"/>
              </w:rPr>
              <w:t>。淋溶废水回用降尘、选厂生产，不外排</w:t>
            </w:r>
            <w:r>
              <w:rPr>
                <w:rFonts w:hint="eastAsia" w:cs="Times New Roman"/>
                <w:color w:val="000000"/>
                <w:szCs w:val="21"/>
                <w:highlight w:val="none"/>
                <w:lang w:eastAsia="zh-CN" w:bidi="ar"/>
              </w:rPr>
              <w:t>。</w:t>
            </w:r>
          </w:p>
        </w:tc>
        <w:tc>
          <w:tcPr>
            <w:tcW w:w="315" w:type="pct"/>
            <w:tcBorders>
              <w:tl2br w:val="nil"/>
              <w:tr2bl w:val="nil"/>
            </w:tcBorders>
            <w:vAlign w:val="center"/>
          </w:tcPr>
          <w:p w14:paraId="529FAC33">
            <w:pPr>
              <w:pStyle w:val="161"/>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1座</w:t>
            </w:r>
          </w:p>
        </w:tc>
        <w:tc>
          <w:tcPr>
            <w:tcW w:w="718" w:type="pct"/>
            <w:tcBorders>
              <w:tl2br w:val="nil"/>
              <w:tr2bl w:val="nil"/>
            </w:tcBorders>
            <w:vAlign w:val="center"/>
          </w:tcPr>
          <w:p w14:paraId="64A5D62F">
            <w:pPr>
              <w:pStyle w:val="161"/>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排土场排渗</w:t>
            </w:r>
          </w:p>
        </w:tc>
        <w:tc>
          <w:tcPr>
            <w:tcW w:w="1343" w:type="pct"/>
            <w:vMerge w:val="restart"/>
            <w:tcBorders>
              <w:tl2br w:val="nil"/>
              <w:tr2bl w:val="nil"/>
            </w:tcBorders>
            <w:vAlign w:val="center"/>
          </w:tcPr>
          <w:p w14:paraId="2F8948BC">
            <w:pPr>
              <w:pStyle w:val="161"/>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w:t>
            </w:r>
          </w:p>
        </w:tc>
      </w:tr>
      <w:tr w14:paraId="07C42A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vMerge w:val="continue"/>
            <w:tcBorders>
              <w:tl2br w:val="nil"/>
              <w:tr2bl w:val="nil"/>
            </w:tcBorders>
            <w:vAlign w:val="center"/>
          </w:tcPr>
          <w:p w14:paraId="669475BE">
            <w:pPr>
              <w:pStyle w:val="161"/>
              <w:keepNext w:val="0"/>
              <w:keepLines w:val="0"/>
              <w:suppressLineNumbers w:val="0"/>
              <w:spacing w:before="0" w:beforeAutospacing="0" w:after="0" w:afterAutospacing="0" w:line="240" w:lineRule="auto"/>
              <w:ind w:left="0" w:right="0"/>
              <w:rPr>
                <w:rFonts w:hint="default"/>
                <w:color w:val="auto"/>
                <w:highlight w:val="none"/>
              </w:rPr>
            </w:pPr>
          </w:p>
        </w:tc>
        <w:tc>
          <w:tcPr>
            <w:tcW w:w="2163" w:type="pct"/>
            <w:tcBorders>
              <w:tl2br w:val="nil"/>
              <w:tr2bl w:val="nil"/>
            </w:tcBorders>
            <w:vAlign w:val="center"/>
          </w:tcPr>
          <w:p w14:paraId="040F7078">
            <w:pPr>
              <w:pStyle w:val="161"/>
              <w:keepNext w:val="0"/>
              <w:keepLines w:val="0"/>
              <w:suppressLineNumbers w:val="0"/>
              <w:spacing w:before="0" w:beforeAutospacing="0" w:after="0" w:afterAutospacing="0" w:line="240" w:lineRule="auto"/>
              <w:ind w:left="0" w:leftChars="0" w:right="0" w:rightChars="0" w:firstLine="0" w:firstLineChars="0"/>
              <w:rPr>
                <w:rFonts w:hint="eastAsia" w:ascii="Times New Roman" w:hAnsi="Times New Roman" w:cs="Times New Roman"/>
                <w:color w:val="000000"/>
                <w:szCs w:val="21"/>
                <w:highlight w:val="none"/>
                <w:lang w:eastAsia="zh-CN" w:bidi="ar"/>
              </w:rPr>
            </w:pPr>
            <w:r>
              <w:rPr>
                <w:rFonts w:hint="eastAsia" w:ascii="Times New Roman" w:hAnsi="Times New Roman" w:cs="Times New Roman"/>
                <w:color w:val="000000"/>
                <w:szCs w:val="21"/>
                <w:highlight w:val="none"/>
                <w:lang w:eastAsia="zh-CN" w:bidi="ar"/>
              </w:rPr>
              <w:t>设置地下水跟踪监测井</w:t>
            </w:r>
            <w:r>
              <w:rPr>
                <w:rFonts w:hint="eastAsia" w:cs="Times New Roman"/>
                <w:color w:val="000000"/>
                <w:szCs w:val="21"/>
                <w:highlight w:val="none"/>
                <w:lang w:val="en-US" w:eastAsia="zh-CN" w:bidi="ar"/>
              </w:rPr>
              <w:t>3</w:t>
            </w:r>
            <w:r>
              <w:rPr>
                <w:rFonts w:hint="eastAsia" w:ascii="Times New Roman" w:hAnsi="Times New Roman" w:cs="Times New Roman"/>
                <w:color w:val="000000"/>
                <w:szCs w:val="21"/>
                <w:highlight w:val="none"/>
                <w:lang w:eastAsia="zh-CN" w:bidi="ar"/>
              </w:rPr>
              <w:t>口，定期监测地下水水质情况</w:t>
            </w:r>
            <w:r>
              <w:rPr>
                <w:rFonts w:hint="eastAsia" w:cs="Times New Roman"/>
                <w:color w:val="000000"/>
                <w:szCs w:val="21"/>
                <w:highlight w:val="none"/>
                <w:lang w:eastAsia="zh-CN" w:bidi="ar"/>
              </w:rPr>
              <w:t>。</w:t>
            </w:r>
          </w:p>
        </w:tc>
        <w:tc>
          <w:tcPr>
            <w:tcW w:w="315" w:type="pct"/>
            <w:tcBorders>
              <w:tl2br w:val="nil"/>
              <w:tr2bl w:val="nil"/>
            </w:tcBorders>
            <w:vAlign w:val="center"/>
          </w:tcPr>
          <w:p w14:paraId="63F40430">
            <w:pPr>
              <w:pStyle w:val="161"/>
              <w:keepNext w:val="0"/>
              <w:keepLines w:val="0"/>
              <w:suppressLineNumbers w:val="0"/>
              <w:spacing w:before="0" w:beforeAutospacing="0" w:after="0" w:afterAutospacing="0" w:line="240" w:lineRule="auto"/>
              <w:ind w:left="0" w:leftChars="0" w:right="0" w:rightChars="0" w:firstLine="0" w:firstLineChars="0"/>
              <w:rPr>
                <w:rFonts w:hint="default"/>
                <w:color w:val="auto"/>
                <w:highlight w:val="none"/>
                <w:lang w:val="en-US" w:eastAsia="zh-CN"/>
              </w:rPr>
            </w:pPr>
            <w:r>
              <w:rPr>
                <w:rFonts w:hint="eastAsia"/>
                <w:color w:val="auto"/>
                <w:highlight w:val="none"/>
                <w:lang w:val="en-US" w:eastAsia="zh-CN"/>
              </w:rPr>
              <w:t>3口</w:t>
            </w:r>
          </w:p>
        </w:tc>
        <w:tc>
          <w:tcPr>
            <w:tcW w:w="718" w:type="pct"/>
            <w:tcBorders>
              <w:tl2br w:val="nil"/>
              <w:tr2bl w:val="nil"/>
            </w:tcBorders>
            <w:vAlign w:val="center"/>
          </w:tcPr>
          <w:p w14:paraId="065215D0">
            <w:pPr>
              <w:pStyle w:val="161"/>
              <w:keepNext w:val="0"/>
              <w:keepLines w:val="0"/>
              <w:suppressLineNumbers w:val="0"/>
              <w:spacing w:before="0" w:beforeAutospacing="0" w:after="0" w:afterAutospacing="0" w:line="240" w:lineRule="auto"/>
              <w:ind w:left="0" w:leftChars="0" w:right="0" w:rightChars="0" w:firstLine="0" w:firstLineChars="0"/>
              <w:rPr>
                <w:rFonts w:hint="default"/>
                <w:color w:val="auto"/>
                <w:highlight w:val="none"/>
              </w:rPr>
            </w:pPr>
            <w:r>
              <w:rPr>
                <w:rFonts w:hint="default"/>
                <w:color w:val="auto"/>
                <w:highlight w:val="none"/>
              </w:rPr>
              <w:t>监测地下水</w:t>
            </w:r>
          </w:p>
        </w:tc>
        <w:tc>
          <w:tcPr>
            <w:tcW w:w="1343" w:type="pct"/>
            <w:vMerge w:val="continue"/>
            <w:tcBorders>
              <w:tl2br w:val="nil"/>
              <w:tr2bl w:val="nil"/>
            </w:tcBorders>
            <w:vAlign w:val="center"/>
          </w:tcPr>
          <w:p w14:paraId="092D9C40">
            <w:pPr>
              <w:pStyle w:val="161"/>
              <w:keepNext w:val="0"/>
              <w:keepLines w:val="0"/>
              <w:suppressLineNumbers w:val="0"/>
              <w:spacing w:before="0" w:beforeAutospacing="0" w:after="0" w:afterAutospacing="0" w:line="240" w:lineRule="auto"/>
              <w:ind w:left="0" w:leftChars="0" w:right="0" w:rightChars="0" w:firstLine="0" w:firstLineChars="0"/>
              <w:rPr>
                <w:rFonts w:hint="eastAsia"/>
                <w:color w:val="auto"/>
                <w:highlight w:val="none"/>
                <w:lang w:eastAsia="zh-CN"/>
              </w:rPr>
            </w:pPr>
          </w:p>
        </w:tc>
      </w:tr>
      <w:tr w14:paraId="4CD9F9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tcBorders>
              <w:tl2br w:val="nil"/>
              <w:tr2bl w:val="nil"/>
            </w:tcBorders>
            <w:vAlign w:val="center"/>
          </w:tcPr>
          <w:p w14:paraId="32EC56BB">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声环境</w:t>
            </w:r>
          </w:p>
        </w:tc>
        <w:tc>
          <w:tcPr>
            <w:tcW w:w="2163" w:type="pct"/>
            <w:tcBorders>
              <w:tl2br w:val="nil"/>
              <w:tr2bl w:val="nil"/>
            </w:tcBorders>
            <w:vAlign w:val="center"/>
          </w:tcPr>
          <w:p w14:paraId="482E6E4F">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sz w:val="21"/>
                <w:szCs w:val="21"/>
                <w:highlight w:val="none"/>
              </w:rPr>
              <w:t>采用先进的低噪声机械，并加强管理、及时维护保养；绿化降噪、加强车辆管理等。</w:t>
            </w:r>
          </w:p>
        </w:tc>
        <w:tc>
          <w:tcPr>
            <w:tcW w:w="315" w:type="pct"/>
            <w:tcBorders>
              <w:tl2br w:val="nil"/>
              <w:tr2bl w:val="nil"/>
            </w:tcBorders>
            <w:vAlign w:val="center"/>
          </w:tcPr>
          <w:p w14:paraId="4FC04080">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w:t>
            </w:r>
          </w:p>
        </w:tc>
        <w:tc>
          <w:tcPr>
            <w:tcW w:w="718" w:type="pct"/>
            <w:tcBorders>
              <w:tl2br w:val="nil"/>
              <w:tr2bl w:val="nil"/>
            </w:tcBorders>
            <w:vAlign w:val="center"/>
          </w:tcPr>
          <w:p w14:paraId="51093C1A">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降噪</w:t>
            </w:r>
          </w:p>
        </w:tc>
        <w:tc>
          <w:tcPr>
            <w:tcW w:w="1343" w:type="pct"/>
            <w:tcBorders>
              <w:tl2br w:val="nil"/>
              <w:tr2bl w:val="nil"/>
            </w:tcBorders>
            <w:vAlign w:val="center"/>
          </w:tcPr>
          <w:p w14:paraId="0E30077F">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《工业企业厂界环境噪声排放标准》（GB 12348-2008）</w:t>
            </w:r>
            <w:r>
              <w:rPr>
                <w:rFonts w:hint="eastAsia"/>
                <w:color w:val="auto"/>
                <w:highlight w:val="none"/>
                <w:lang w:val="en-US" w:eastAsia="zh-CN"/>
              </w:rPr>
              <w:t>2</w:t>
            </w:r>
            <w:r>
              <w:rPr>
                <w:rFonts w:hint="default"/>
                <w:color w:val="auto"/>
                <w:highlight w:val="none"/>
              </w:rPr>
              <w:t>类标准。</w:t>
            </w:r>
          </w:p>
        </w:tc>
      </w:tr>
      <w:tr w14:paraId="472A5C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tcBorders>
              <w:tl2br w:val="nil"/>
              <w:tr2bl w:val="nil"/>
            </w:tcBorders>
            <w:vAlign w:val="center"/>
          </w:tcPr>
          <w:p w14:paraId="2D4D0C8D">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固体废物</w:t>
            </w:r>
          </w:p>
        </w:tc>
        <w:tc>
          <w:tcPr>
            <w:tcW w:w="2163" w:type="pct"/>
            <w:tcBorders>
              <w:tl2br w:val="nil"/>
              <w:tr2bl w:val="nil"/>
            </w:tcBorders>
            <w:vAlign w:val="center"/>
          </w:tcPr>
          <w:p w14:paraId="356055B5">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eastAsia"/>
                <w:color w:val="auto"/>
                <w:szCs w:val="21"/>
                <w:highlight w:val="none"/>
                <w:lang w:val="en-US" w:eastAsia="zh-CN"/>
              </w:rPr>
              <w:t>废石</w:t>
            </w:r>
            <w:r>
              <w:rPr>
                <w:color w:val="auto"/>
                <w:szCs w:val="21"/>
                <w:highlight w:val="none"/>
              </w:rPr>
              <w:t>置于排土场内</w:t>
            </w:r>
            <w:r>
              <w:rPr>
                <w:rFonts w:hint="eastAsia" w:ascii="Times New Roman" w:hAnsi="Times New Roman" w:cs="Times New Roman"/>
                <w:color w:val="000000"/>
                <w:highlight w:val="none"/>
                <w:lang w:eastAsia="zh-CN"/>
              </w:rPr>
              <w:t>。场区外和运输道路周边无不规范堆存</w:t>
            </w:r>
            <w:r>
              <w:rPr>
                <w:rFonts w:hint="eastAsia" w:cs="Times New Roman"/>
                <w:color w:val="000000"/>
                <w:highlight w:val="none"/>
                <w:lang w:eastAsia="zh-CN"/>
              </w:rPr>
              <w:t>。</w:t>
            </w:r>
          </w:p>
        </w:tc>
        <w:tc>
          <w:tcPr>
            <w:tcW w:w="315" w:type="pct"/>
            <w:tcBorders>
              <w:tl2br w:val="nil"/>
              <w:tr2bl w:val="nil"/>
            </w:tcBorders>
            <w:shd w:val="clear" w:color="auto" w:fill="auto"/>
            <w:vAlign w:val="center"/>
          </w:tcPr>
          <w:p w14:paraId="593F134A">
            <w:pPr>
              <w:pStyle w:val="161"/>
              <w:keepNext w:val="0"/>
              <w:keepLines w:val="0"/>
              <w:suppressLineNumbers w:val="0"/>
              <w:spacing w:before="0" w:beforeAutospacing="0" w:after="0" w:afterAutospacing="0" w:line="240" w:lineRule="auto"/>
              <w:ind w:left="0" w:right="0"/>
              <w:rPr>
                <w:rFonts w:hint="eastAsia" w:eastAsia="宋体"/>
                <w:color w:val="auto"/>
                <w:highlight w:val="none"/>
                <w:lang w:eastAsia="zh-CN"/>
              </w:rPr>
            </w:pPr>
            <w:r>
              <w:rPr>
                <w:rFonts w:hint="eastAsia"/>
                <w:color w:val="auto"/>
                <w:highlight w:val="none"/>
                <w:lang w:val="en-US" w:eastAsia="zh-CN"/>
              </w:rPr>
              <w:t>/</w:t>
            </w:r>
          </w:p>
        </w:tc>
        <w:tc>
          <w:tcPr>
            <w:tcW w:w="718" w:type="pct"/>
            <w:tcBorders>
              <w:tl2br w:val="nil"/>
              <w:tr2bl w:val="nil"/>
            </w:tcBorders>
            <w:shd w:val="clear" w:color="auto" w:fill="auto"/>
            <w:vAlign w:val="center"/>
          </w:tcPr>
          <w:p w14:paraId="07B277F3">
            <w:pPr>
              <w:pStyle w:val="161"/>
              <w:keepNext w:val="0"/>
              <w:keepLines w:val="0"/>
              <w:suppressLineNumbers w:val="0"/>
              <w:spacing w:before="0" w:beforeAutospacing="0" w:after="0" w:afterAutospacing="0" w:line="240" w:lineRule="auto"/>
              <w:ind w:left="0" w:right="0"/>
              <w:rPr>
                <w:rFonts w:hint="default" w:eastAsia="宋体"/>
                <w:color w:val="auto"/>
                <w:highlight w:val="none"/>
                <w:lang w:val="en-US" w:eastAsia="zh-CN"/>
              </w:rPr>
            </w:pPr>
            <w:r>
              <w:rPr>
                <w:rFonts w:hint="eastAsia"/>
                <w:color w:val="auto"/>
                <w:highlight w:val="none"/>
                <w:lang w:val="en-US" w:eastAsia="zh-CN"/>
              </w:rPr>
              <w:t>废石堆存</w:t>
            </w:r>
          </w:p>
        </w:tc>
        <w:tc>
          <w:tcPr>
            <w:tcW w:w="1343" w:type="pct"/>
            <w:tcBorders>
              <w:tl2br w:val="nil"/>
              <w:tr2bl w:val="nil"/>
            </w:tcBorders>
            <w:vAlign w:val="center"/>
          </w:tcPr>
          <w:p w14:paraId="763DA278">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妥善处置</w:t>
            </w:r>
            <w:r>
              <w:rPr>
                <w:rFonts w:hint="eastAsia"/>
                <w:color w:val="auto"/>
                <w:highlight w:val="none"/>
              </w:rPr>
              <w:t>，</w:t>
            </w:r>
            <w:r>
              <w:rPr>
                <w:rFonts w:hint="default"/>
                <w:color w:val="auto"/>
                <w:highlight w:val="none"/>
              </w:rPr>
              <w:t>不外排</w:t>
            </w:r>
          </w:p>
        </w:tc>
      </w:tr>
      <w:tr w14:paraId="1CBBAF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457" w:type="pct"/>
            <w:tcBorders>
              <w:tl2br w:val="nil"/>
              <w:tr2bl w:val="nil"/>
            </w:tcBorders>
            <w:vAlign w:val="center"/>
          </w:tcPr>
          <w:p w14:paraId="704B78B4">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生态环境</w:t>
            </w:r>
          </w:p>
        </w:tc>
        <w:tc>
          <w:tcPr>
            <w:tcW w:w="2163" w:type="pct"/>
            <w:tcBorders>
              <w:tl2br w:val="nil"/>
              <w:tr2bl w:val="nil"/>
            </w:tcBorders>
            <w:vAlign w:val="center"/>
          </w:tcPr>
          <w:p w14:paraId="4C6463EB">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eastAsia" w:cs="Times New Roman"/>
                <w:color w:val="auto"/>
                <w:sz w:val="21"/>
                <w:szCs w:val="21"/>
                <w:highlight w:val="none"/>
                <w:lang w:val="en-US" w:eastAsia="zh-CN"/>
              </w:rPr>
              <w:t>项目建设1座挡石坝、1座拦碴坝、1座挡石墙，</w:t>
            </w:r>
            <w:r>
              <w:rPr>
                <w:rFonts w:hint="eastAsia"/>
                <w:color w:val="auto"/>
                <w:highlight w:val="none"/>
              </w:rPr>
              <w:t>剥离表土的保存、封场生态恢复工程</w:t>
            </w:r>
          </w:p>
        </w:tc>
        <w:tc>
          <w:tcPr>
            <w:tcW w:w="315" w:type="pct"/>
            <w:tcBorders>
              <w:tl2br w:val="nil"/>
              <w:tr2bl w:val="nil"/>
            </w:tcBorders>
            <w:shd w:val="clear" w:color="auto" w:fill="auto"/>
            <w:vAlign w:val="center"/>
          </w:tcPr>
          <w:p w14:paraId="03A91E7F">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w:t>
            </w:r>
          </w:p>
        </w:tc>
        <w:tc>
          <w:tcPr>
            <w:tcW w:w="718" w:type="pct"/>
            <w:tcBorders>
              <w:tl2br w:val="nil"/>
              <w:tr2bl w:val="nil"/>
            </w:tcBorders>
            <w:shd w:val="clear" w:color="auto" w:fill="auto"/>
            <w:vAlign w:val="center"/>
          </w:tcPr>
          <w:p w14:paraId="3B3D4D4A">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default"/>
                <w:color w:val="auto"/>
                <w:highlight w:val="none"/>
              </w:rPr>
              <w:t>防治水土流失，改善区域生态环境质量</w:t>
            </w:r>
          </w:p>
        </w:tc>
        <w:tc>
          <w:tcPr>
            <w:tcW w:w="1343" w:type="pct"/>
            <w:tcBorders>
              <w:tl2br w:val="nil"/>
              <w:tr2bl w:val="nil"/>
            </w:tcBorders>
            <w:vAlign w:val="center"/>
          </w:tcPr>
          <w:p w14:paraId="7B690EFF">
            <w:pPr>
              <w:pStyle w:val="161"/>
              <w:keepNext w:val="0"/>
              <w:keepLines w:val="0"/>
              <w:suppressLineNumbers w:val="0"/>
              <w:spacing w:before="0" w:beforeAutospacing="0" w:after="0" w:afterAutospacing="0" w:line="240" w:lineRule="auto"/>
              <w:ind w:left="0" w:right="0"/>
              <w:rPr>
                <w:rFonts w:hint="default"/>
                <w:color w:val="auto"/>
                <w:highlight w:val="none"/>
              </w:rPr>
            </w:pPr>
            <w:r>
              <w:rPr>
                <w:rFonts w:hint="eastAsia"/>
                <w:color w:val="auto"/>
                <w:highlight w:val="none"/>
              </w:rPr>
              <w:t>/</w:t>
            </w:r>
          </w:p>
        </w:tc>
      </w:tr>
    </w:tbl>
    <w:p w14:paraId="04364C66">
      <w:pPr>
        <w:pStyle w:val="49"/>
        <w:rPr>
          <w:rFonts w:hint="eastAsia"/>
          <w:highlight w:val="none"/>
          <w:lang w:val="en-US" w:eastAsia="zh-CN"/>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cols w:space="720" w:num="1"/>
          <w:docGrid w:type="lines" w:linePitch="312" w:charSpace="0"/>
        </w:sectPr>
      </w:pPr>
    </w:p>
    <w:bookmarkEnd w:id="385"/>
    <w:bookmarkEnd w:id="386"/>
    <w:bookmarkEnd w:id="387"/>
    <w:bookmarkEnd w:id="388"/>
    <w:bookmarkEnd w:id="389"/>
    <w:bookmarkEnd w:id="390"/>
    <w:bookmarkEnd w:id="391"/>
    <w:p w14:paraId="6BD4219B">
      <w:pPr>
        <w:pStyle w:val="187"/>
        <w:rPr>
          <w:rFonts w:hint="default" w:ascii="Times New Roman" w:hAnsi="Times New Roman" w:cs="Times New Roman"/>
          <w:color w:val="000000"/>
          <w:highlight w:val="none"/>
        </w:rPr>
      </w:pPr>
      <w:bookmarkStart w:id="430" w:name="_Toc26296"/>
      <w:bookmarkStart w:id="431" w:name="_Toc30527"/>
      <w:bookmarkStart w:id="432" w:name="_Toc6034"/>
      <w:bookmarkStart w:id="433" w:name="_Toc30374"/>
      <w:bookmarkStart w:id="434" w:name="_Toc7841"/>
      <w:r>
        <w:rPr>
          <w:rFonts w:hint="default" w:ascii="Times New Roman" w:hAnsi="Times New Roman" w:cs="Times New Roman"/>
          <w:color w:val="000000"/>
          <w:highlight w:val="none"/>
        </w:rPr>
        <w:t>环境影响评价结论</w:t>
      </w:r>
      <w:bookmarkEnd w:id="430"/>
      <w:bookmarkEnd w:id="431"/>
      <w:bookmarkEnd w:id="432"/>
      <w:bookmarkEnd w:id="433"/>
      <w:bookmarkEnd w:id="434"/>
    </w:p>
    <w:p w14:paraId="0017C852">
      <w:pPr>
        <w:pStyle w:val="5"/>
        <w:keepNext/>
        <w:keepLines/>
        <w:pageBreakBefore w:val="0"/>
        <w:widowControl w:val="0"/>
        <w:kinsoku/>
        <w:wordWrap/>
        <w:overflowPunct/>
        <w:topLinePunct w:val="0"/>
        <w:autoSpaceDE/>
        <w:autoSpaceDN/>
        <w:bidi w:val="0"/>
        <w:adjustRightInd/>
        <w:snapToGrid/>
        <w:spacing w:before="0" w:after="0" w:line="360" w:lineRule="auto"/>
        <w:ind w:left="0" w:firstLine="0"/>
        <w:textAlignment w:val="auto"/>
        <w:rPr>
          <w:rFonts w:hint="default" w:ascii="Times New Roman" w:hAnsi="Times New Roman" w:eastAsia="宋体" w:cs="Times New Roman"/>
          <w:b/>
          <w:color w:val="000000"/>
          <w:sz w:val="28"/>
          <w:szCs w:val="28"/>
          <w:highlight w:val="none"/>
        </w:rPr>
      </w:pPr>
      <w:bookmarkStart w:id="435" w:name="_Toc12827"/>
      <w:bookmarkStart w:id="436" w:name="_Toc9810"/>
      <w:bookmarkStart w:id="437" w:name="_Toc17898"/>
      <w:bookmarkStart w:id="438" w:name="_Toc453"/>
      <w:bookmarkStart w:id="439" w:name="_Toc31778"/>
      <w:r>
        <w:rPr>
          <w:rFonts w:hint="default" w:ascii="Times New Roman" w:hAnsi="Times New Roman" w:eastAsia="宋体" w:cs="Times New Roman"/>
          <w:b/>
          <w:color w:val="000000"/>
          <w:sz w:val="28"/>
          <w:szCs w:val="28"/>
          <w:highlight w:val="none"/>
        </w:rPr>
        <w:t>结论</w:t>
      </w:r>
      <w:bookmarkEnd w:id="435"/>
      <w:bookmarkEnd w:id="436"/>
      <w:bookmarkEnd w:id="437"/>
      <w:bookmarkEnd w:id="438"/>
      <w:bookmarkEnd w:id="439"/>
    </w:p>
    <w:p w14:paraId="7BFE1179">
      <w:pPr>
        <w:pStyle w:val="6"/>
        <w:pageBreakBefore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cs="Times New Roman"/>
          <w:color w:val="000000"/>
          <w:highlight w:val="none"/>
        </w:rPr>
      </w:pPr>
      <w:bookmarkStart w:id="440" w:name="_Toc12354"/>
      <w:r>
        <w:rPr>
          <w:rFonts w:hint="default" w:ascii="Times New Roman" w:hAnsi="Times New Roman" w:cs="Times New Roman"/>
          <w:color w:val="000000"/>
          <w:highlight w:val="none"/>
        </w:rPr>
        <w:t>工程分析</w:t>
      </w:r>
      <w:bookmarkEnd w:id="440"/>
    </w:p>
    <w:p w14:paraId="787F26E8">
      <w:pPr>
        <w:pStyle w:val="147"/>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kern w:val="2"/>
          <w:highlight w:val="none"/>
        </w:rPr>
      </w:pPr>
      <w:r>
        <w:rPr>
          <w:rFonts w:hint="eastAsia" w:ascii="Times New Roman" w:hAnsi="Times New Roman" w:cs="Times New Roman"/>
          <w:b w:val="0"/>
          <w:bCs/>
          <w:color w:val="000000"/>
          <w:kern w:val="0"/>
          <w:sz w:val="24"/>
          <w:szCs w:val="21"/>
          <w:highlight w:val="none"/>
          <w:lang w:eastAsia="zh-CN"/>
        </w:rPr>
        <w:t>承德天宝矿业集团大昌矿业有限公司</w:t>
      </w:r>
      <w:r>
        <w:rPr>
          <w:rFonts w:hint="default" w:ascii="Times New Roman" w:hAnsi="Times New Roman" w:eastAsia="宋体" w:cs="Times New Roman"/>
          <w:b w:val="0"/>
          <w:bCs/>
          <w:color w:val="auto"/>
          <w:kern w:val="0"/>
          <w:sz w:val="24"/>
          <w:szCs w:val="21"/>
          <w:highlight w:val="none"/>
          <w:lang w:val="en-US" w:eastAsia="zh-CN"/>
        </w:rPr>
        <w:t>拟</w:t>
      </w:r>
      <w:r>
        <w:rPr>
          <w:rFonts w:hint="default" w:ascii="Times New Roman" w:hAnsi="Times New Roman" w:cs="Times New Roman"/>
          <w:color w:val="auto"/>
          <w:sz w:val="24"/>
          <w:highlight w:val="none"/>
          <w:lang w:val="en-US" w:eastAsia="zh-CN"/>
        </w:rPr>
        <w:t>拟投资</w:t>
      </w:r>
      <w:r>
        <w:rPr>
          <w:rFonts w:hint="eastAsia" w:ascii="Times New Roman" w:hAnsi="Times New Roman" w:cs="Times New Roman"/>
          <w:color w:val="auto"/>
          <w:sz w:val="24"/>
          <w:highlight w:val="none"/>
          <w:lang w:val="en-US" w:eastAsia="zh-CN"/>
        </w:rPr>
        <w:t>2495.5万元</w:t>
      </w:r>
      <w:r>
        <w:rPr>
          <w:rFonts w:hint="default" w:ascii="Times New Roman" w:hAnsi="Times New Roman" w:cs="Times New Roman"/>
          <w:color w:val="auto"/>
          <w:sz w:val="24"/>
          <w:highlight w:val="none"/>
          <w:lang w:val="en-US" w:eastAsia="zh-CN"/>
        </w:rPr>
        <w:t>建设</w:t>
      </w:r>
      <w:r>
        <w:rPr>
          <w:rFonts w:hint="eastAsia" w:ascii="Times New Roman" w:hAnsi="Times New Roman" w:cs="Times New Roman"/>
          <w:color w:val="000000"/>
          <w:sz w:val="24"/>
          <w:highlight w:val="none"/>
          <w:lang w:eastAsia="zh-CN"/>
        </w:rPr>
        <w:t>东北沟排土场建设项目</w:t>
      </w:r>
      <w:r>
        <w:rPr>
          <w:rFonts w:hint="eastAsia" w:ascii="Times New Roman" w:hAnsi="Times New Roman" w:cs="Times New Roman"/>
          <w:color w:val="000000"/>
          <w:sz w:val="24"/>
          <w:highlight w:val="none"/>
          <w:lang w:val="en-US" w:eastAsia="zh-CN"/>
        </w:rPr>
        <w:t>，</w:t>
      </w:r>
      <w:r>
        <w:rPr>
          <w:rFonts w:hint="eastAsia" w:ascii="Times New Roman" w:hAnsi="Times New Roman" w:eastAsia="宋体"/>
          <w:color w:val="auto"/>
          <w:sz w:val="24"/>
          <w:szCs w:val="24"/>
          <w:highlight w:val="none"/>
        </w:rPr>
        <w:t>项目占地</w:t>
      </w:r>
      <w:r>
        <w:rPr>
          <w:rFonts w:hint="eastAsia" w:ascii="Times New Roman" w:hAnsi="Times New Roman" w:eastAsia="宋体"/>
          <w:color w:val="auto"/>
          <w:sz w:val="24"/>
          <w:szCs w:val="24"/>
          <w:highlight w:val="none"/>
          <w:lang w:val="en-US" w:eastAsia="zh-CN"/>
        </w:rPr>
        <w:t>0.39km</w:t>
      </w:r>
      <w:r>
        <w:rPr>
          <w:rFonts w:hint="eastAsia" w:ascii="Times New Roman" w:hAnsi="Times New Roman" w:eastAsia="宋体"/>
          <w:color w:val="auto"/>
          <w:sz w:val="24"/>
          <w:szCs w:val="24"/>
          <w:highlight w:val="none"/>
          <w:vertAlign w:val="superscript"/>
          <w:lang w:val="en-US" w:eastAsia="zh-CN"/>
        </w:rPr>
        <w:t>2</w:t>
      </w:r>
      <w:r>
        <w:rPr>
          <w:rFonts w:hint="eastAsia" w:ascii="Times New Roman" w:hAnsi="Times New Roman" w:eastAsia="宋体"/>
          <w:color w:val="auto"/>
          <w:sz w:val="24"/>
          <w:szCs w:val="24"/>
          <w:highlight w:val="none"/>
        </w:rPr>
        <w:t>，建设</w:t>
      </w:r>
      <w:r>
        <w:rPr>
          <w:rFonts w:hint="eastAsia" w:ascii="Times New Roman" w:hAnsi="Times New Roman" w:eastAsia="宋体"/>
          <w:color w:val="auto"/>
          <w:sz w:val="24"/>
          <w:szCs w:val="24"/>
          <w:highlight w:val="none"/>
          <w:lang w:val="en-US" w:eastAsia="zh-CN"/>
        </w:rPr>
        <w:t>1座</w:t>
      </w:r>
      <w:r>
        <w:rPr>
          <w:rFonts w:hint="eastAsia" w:ascii="Times New Roman" w:hAnsi="Times New Roman" w:eastAsia="宋体"/>
          <w:color w:val="auto"/>
          <w:sz w:val="24"/>
          <w:szCs w:val="24"/>
          <w:highlight w:val="none"/>
        </w:rPr>
        <w:t>排土场，排土场场底标高670.0m，最终标高808.0m，总堆置高度138.0m，总排土容积约652.8万m</w:t>
      </w:r>
      <w:r>
        <w:rPr>
          <w:rFonts w:hint="eastAsia" w:ascii="Times New Roman" w:hAnsi="Times New Roman" w:eastAsia="宋体"/>
          <w:color w:val="auto"/>
          <w:sz w:val="24"/>
          <w:szCs w:val="24"/>
          <w:highlight w:val="none"/>
          <w:vertAlign w:val="superscript"/>
          <w:lang w:val="en-US" w:eastAsia="zh-CN"/>
        </w:rPr>
        <w:t>3</w:t>
      </w:r>
      <w:r>
        <w:rPr>
          <w:rFonts w:hint="eastAsia" w:ascii="Times New Roman" w:hAnsi="Times New Roman" w:eastAsia="宋体"/>
          <w:color w:val="auto"/>
          <w:sz w:val="24"/>
          <w:szCs w:val="24"/>
          <w:highlight w:val="none"/>
          <w:lang w:eastAsia="zh-CN"/>
        </w:rPr>
        <w:t>，</w:t>
      </w:r>
      <w:r>
        <w:rPr>
          <w:rFonts w:hint="eastAsia" w:ascii="Times New Roman" w:hAnsi="Times New Roman" w:eastAsia="宋体"/>
          <w:color w:val="auto"/>
          <w:sz w:val="24"/>
          <w:szCs w:val="24"/>
          <w:highlight w:val="none"/>
        </w:rPr>
        <w:t>排土场等级为一级</w:t>
      </w:r>
      <w:r>
        <w:rPr>
          <w:rFonts w:hint="default" w:ascii="Times New Roman" w:hAnsi="Times New Roman" w:cs="Times New Roman"/>
          <w:color w:val="auto"/>
          <w:sz w:val="24"/>
          <w:highlight w:val="none"/>
          <w:lang w:val="en-US" w:eastAsia="zh-CN"/>
        </w:rPr>
        <w:t>，</w:t>
      </w:r>
      <w:r>
        <w:rPr>
          <w:rFonts w:hint="eastAsia" w:ascii="Times New Roman" w:hAnsi="Times New Roman" w:eastAsia="宋体"/>
          <w:color w:val="auto"/>
          <w:sz w:val="24"/>
          <w:szCs w:val="24"/>
          <w:highlight w:val="none"/>
        </w:rPr>
        <w:t>建设</w:t>
      </w:r>
      <w:r>
        <w:rPr>
          <w:rFonts w:hint="eastAsia" w:ascii="Times New Roman" w:hAnsi="Times New Roman" w:eastAsia="宋体"/>
          <w:color w:val="auto"/>
          <w:sz w:val="24"/>
          <w:szCs w:val="24"/>
          <w:highlight w:val="none"/>
          <w:lang w:val="en-US" w:eastAsia="zh-CN"/>
        </w:rPr>
        <w:t>挡石坝、拦碴坝、</w:t>
      </w:r>
      <w:r>
        <w:rPr>
          <w:rFonts w:hint="eastAsia" w:ascii="Times New Roman" w:hAnsi="Times New Roman" w:eastAsia="宋体"/>
          <w:color w:val="auto"/>
          <w:sz w:val="24"/>
          <w:szCs w:val="24"/>
          <w:highlight w:val="none"/>
        </w:rPr>
        <w:t>观测设施、排洪设施、安全警示标志及其他辅助设施</w:t>
      </w:r>
      <w:r>
        <w:rPr>
          <w:rFonts w:hint="eastAsia" w:ascii="Times New Roman" w:hAnsi="Times New Roman" w:cs="Times New Roman"/>
          <w:color w:val="auto"/>
          <w:kern w:val="0"/>
          <w:sz w:val="24"/>
          <w:szCs w:val="24"/>
          <w:highlight w:val="none"/>
          <w:lang w:val="en-US" w:eastAsia="zh-CN"/>
        </w:rPr>
        <w:t>。</w:t>
      </w:r>
    </w:p>
    <w:p w14:paraId="6CA08AFF">
      <w:pPr>
        <w:pStyle w:val="6"/>
        <w:pageBreakBefore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cs="Times New Roman"/>
          <w:color w:val="000000"/>
          <w:highlight w:val="none"/>
        </w:rPr>
      </w:pPr>
      <w:bookmarkStart w:id="441" w:name="_Toc6356"/>
      <w:r>
        <w:rPr>
          <w:rFonts w:hint="default" w:ascii="Times New Roman" w:hAnsi="Times New Roman" w:cs="Times New Roman"/>
          <w:color w:val="000000"/>
          <w:highlight w:val="none"/>
        </w:rPr>
        <w:t>环境质量现状调查与评价</w:t>
      </w:r>
      <w:bookmarkEnd w:id="441"/>
    </w:p>
    <w:p w14:paraId="47A59D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color w:val="auto"/>
          <w:sz w:val="24"/>
          <w:szCs w:val="24"/>
          <w:highlight w:val="none"/>
        </w:rPr>
        <w:t>根据《关于2023年12月份全市空气质量预警监测结果的通报》</w:t>
      </w:r>
      <w:r>
        <w:rPr>
          <w:rFonts w:hint="eastAsia"/>
          <w:color w:val="auto"/>
          <w:sz w:val="24"/>
          <w:szCs w:val="24"/>
          <w:highlight w:val="none"/>
        </w:rPr>
        <w:t>（</w:t>
      </w:r>
      <w:r>
        <w:rPr>
          <w:color w:val="auto"/>
          <w:sz w:val="24"/>
          <w:szCs w:val="24"/>
          <w:highlight w:val="none"/>
        </w:rPr>
        <w:t>承气领办〔2024〕12号</w:t>
      </w:r>
      <w:r>
        <w:rPr>
          <w:rFonts w:hint="eastAsia"/>
          <w:color w:val="auto"/>
          <w:sz w:val="24"/>
          <w:szCs w:val="24"/>
          <w:highlight w:val="none"/>
        </w:rPr>
        <w:t>）</w:t>
      </w:r>
      <w:r>
        <w:rPr>
          <w:color w:val="auto"/>
          <w:sz w:val="24"/>
          <w:szCs w:val="24"/>
          <w:highlight w:val="none"/>
        </w:rPr>
        <w:t>中</w:t>
      </w:r>
      <w:r>
        <w:rPr>
          <w:rFonts w:hint="eastAsia"/>
          <w:color w:val="auto"/>
          <w:sz w:val="24"/>
          <w:szCs w:val="24"/>
          <w:highlight w:val="none"/>
          <w:lang w:eastAsia="zh-CN"/>
        </w:rPr>
        <w:t>隆化县</w:t>
      </w:r>
      <w:r>
        <w:rPr>
          <w:color w:val="auto"/>
          <w:sz w:val="24"/>
          <w:szCs w:val="24"/>
          <w:highlight w:val="none"/>
        </w:rPr>
        <w:t>环境空气质量监测结果</w:t>
      </w:r>
      <w:r>
        <w:rPr>
          <w:rFonts w:hint="eastAsia"/>
          <w:color w:val="auto"/>
          <w:sz w:val="24"/>
          <w:szCs w:val="24"/>
          <w:highlight w:val="none"/>
        </w:rPr>
        <w:t>，</w:t>
      </w:r>
      <w:r>
        <w:rPr>
          <w:rFonts w:hint="default" w:ascii="Times New Roman" w:hAnsi="Times New Roman" w:cs="Times New Roman"/>
          <w:color w:val="auto"/>
          <w:sz w:val="24"/>
          <w:szCs w:val="24"/>
          <w:highlight w:val="none"/>
          <w:lang w:val="en-US" w:eastAsia="zh-CN"/>
        </w:rPr>
        <w:t>除O</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日最大8小时平均浓度第90百分位数超标外，</w:t>
      </w:r>
      <w:r>
        <w:rPr>
          <w:color w:val="auto"/>
          <w:sz w:val="24"/>
          <w:szCs w:val="40"/>
          <w:highlight w:val="none"/>
        </w:rPr>
        <w:t>PM</w:t>
      </w:r>
      <w:r>
        <w:rPr>
          <w:color w:val="auto"/>
          <w:sz w:val="24"/>
          <w:szCs w:val="40"/>
          <w:highlight w:val="none"/>
          <w:vertAlign w:val="subscript"/>
        </w:rPr>
        <w:t>10</w:t>
      </w:r>
      <w:r>
        <w:rPr>
          <w:color w:val="auto"/>
          <w:sz w:val="24"/>
          <w:szCs w:val="24"/>
          <w:highlight w:val="none"/>
        </w:rPr>
        <w:t>年均值</w:t>
      </w:r>
      <w:r>
        <w:rPr>
          <w:color w:val="auto"/>
          <w:sz w:val="24"/>
          <w:szCs w:val="40"/>
          <w:highlight w:val="none"/>
        </w:rPr>
        <w:t>、PM</w:t>
      </w:r>
      <w:r>
        <w:rPr>
          <w:color w:val="auto"/>
          <w:sz w:val="24"/>
          <w:szCs w:val="40"/>
          <w:highlight w:val="none"/>
          <w:vertAlign w:val="subscript"/>
        </w:rPr>
        <w:t>2.5</w:t>
      </w:r>
      <w:r>
        <w:rPr>
          <w:color w:val="auto"/>
          <w:sz w:val="24"/>
          <w:szCs w:val="24"/>
          <w:highlight w:val="none"/>
        </w:rPr>
        <w:t>年均值</w:t>
      </w:r>
      <w:r>
        <w:rPr>
          <w:rFonts w:hint="eastAsia"/>
          <w:color w:val="auto"/>
          <w:sz w:val="24"/>
          <w:szCs w:val="24"/>
          <w:highlight w:val="none"/>
        </w:rPr>
        <w:t>、</w:t>
      </w:r>
      <w:r>
        <w:rPr>
          <w:color w:val="auto"/>
          <w:sz w:val="24"/>
          <w:szCs w:val="24"/>
          <w:highlight w:val="none"/>
        </w:rPr>
        <w:t>SO</w:t>
      </w:r>
      <w:r>
        <w:rPr>
          <w:color w:val="auto"/>
          <w:sz w:val="24"/>
          <w:szCs w:val="24"/>
          <w:highlight w:val="none"/>
          <w:vertAlign w:val="subscript"/>
        </w:rPr>
        <w:t>2</w:t>
      </w:r>
      <w:r>
        <w:rPr>
          <w:color w:val="auto"/>
          <w:sz w:val="24"/>
          <w:szCs w:val="24"/>
          <w:highlight w:val="none"/>
        </w:rPr>
        <w:t>年均值、NO</w:t>
      </w:r>
      <w:r>
        <w:rPr>
          <w:color w:val="auto"/>
          <w:sz w:val="24"/>
          <w:szCs w:val="24"/>
          <w:highlight w:val="none"/>
          <w:vertAlign w:val="subscript"/>
        </w:rPr>
        <w:t>2</w:t>
      </w:r>
      <w:r>
        <w:rPr>
          <w:color w:val="auto"/>
          <w:sz w:val="24"/>
          <w:szCs w:val="24"/>
          <w:highlight w:val="none"/>
        </w:rPr>
        <w:t>年均值</w:t>
      </w:r>
      <w:r>
        <w:rPr>
          <w:rFonts w:hint="eastAsia"/>
          <w:color w:val="auto"/>
          <w:sz w:val="24"/>
          <w:szCs w:val="24"/>
          <w:highlight w:val="none"/>
        </w:rPr>
        <w:t>、</w:t>
      </w:r>
      <w:r>
        <w:rPr>
          <w:color w:val="auto"/>
          <w:sz w:val="24"/>
          <w:szCs w:val="24"/>
          <w:highlight w:val="none"/>
        </w:rPr>
        <w:t>CO24小时平均浓度第95百分位数</w:t>
      </w:r>
      <w:r>
        <w:rPr>
          <w:rFonts w:hint="default" w:ascii="Times New Roman" w:hAnsi="Times New Roman" w:cs="Times New Roman"/>
          <w:color w:val="auto"/>
          <w:sz w:val="24"/>
          <w:szCs w:val="24"/>
          <w:highlight w:val="none"/>
          <w:lang w:val="en-US" w:eastAsia="zh-CN"/>
        </w:rPr>
        <w:t>均满足《环境空气质量标准》（GB3095-2012）及其修改单的二级标准要求</w:t>
      </w:r>
      <w:r>
        <w:rPr>
          <w:rFonts w:hint="eastAsia" w:ascii="Times New Roman" w:hAnsi="Times New Roman" w:cs="Times New Roman"/>
          <w:color w:val="auto"/>
          <w:sz w:val="24"/>
          <w:szCs w:val="24"/>
          <w:highlight w:val="none"/>
          <w:lang w:val="en-US" w:eastAsia="zh-CN"/>
        </w:rPr>
        <w:t>，隆化县区域</w:t>
      </w:r>
      <w:r>
        <w:rPr>
          <w:rFonts w:hint="default" w:ascii="Times New Roman" w:hAnsi="Times New Roman" w:cs="Times New Roman"/>
          <w:color w:val="auto"/>
          <w:sz w:val="24"/>
          <w:szCs w:val="24"/>
          <w:highlight w:val="none"/>
          <w:lang w:val="en-US" w:eastAsia="zh-CN"/>
        </w:rPr>
        <w:t>为不达标区</w:t>
      </w:r>
      <w:r>
        <w:rPr>
          <w:rFonts w:hint="eastAsia" w:ascii="Times New Roman" w:hAnsi="Times New Roman" w:cs="Times New Roman"/>
          <w:color w:val="auto"/>
          <w:sz w:val="24"/>
          <w:szCs w:val="24"/>
          <w:highlight w:val="none"/>
          <w:lang w:val="en-US" w:eastAsia="zh-CN"/>
        </w:rPr>
        <w:t>。</w:t>
      </w:r>
      <w:r>
        <w:rPr>
          <w:rFonts w:hint="eastAsia"/>
          <w:color w:val="auto"/>
          <w:sz w:val="24"/>
          <w:szCs w:val="24"/>
          <w:highlight w:val="none"/>
        </w:rPr>
        <w:t>根据项目环境质量补充监测，TSP现状环境质量满足《环境空气质量标准》（GB3095-2012）</w:t>
      </w:r>
      <w:r>
        <w:rPr>
          <w:color w:val="auto"/>
          <w:sz w:val="24"/>
          <w:szCs w:val="24"/>
          <w:highlight w:val="none"/>
        </w:rPr>
        <w:t>及其修改单</w:t>
      </w:r>
      <w:r>
        <w:rPr>
          <w:rFonts w:hint="eastAsia"/>
          <w:color w:val="auto"/>
          <w:sz w:val="24"/>
          <w:szCs w:val="24"/>
          <w:highlight w:val="none"/>
        </w:rPr>
        <w:t>中的</w:t>
      </w:r>
      <w:r>
        <w:rPr>
          <w:color w:val="auto"/>
          <w:sz w:val="24"/>
          <w:szCs w:val="40"/>
          <w:highlight w:val="none"/>
        </w:rPr>
        <w:t>二级标准</w:t>
      </w:r>
      <w:r>
        <w:rPr>
          <w:rFonts w:hint="default" w:ascii="Times New Roman" w:hAnsi="Times New Roman" w:cs="Times New Roman"/>
          <w:color w:val="auto"/>
          <w:sz w:val="24"/>
          <w:szCs w:val="24"/>
          <w:highlight w:val="none"/>
        </w:rPr>
        <w:t>。</w:t>
      </w:r>
    </w:p>
    <w:p w14:paraId="63C82C7D">
      <w:pPr>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highlight w:val="none"/>
          <w:lang w:eastAsia="zh-CN"/>
        </w:rPr>
      </w:pPr>
      <w:r>
        <w:rPr>
          <w:rFonts w:ascii="Times New Roman" w:hAnsi="Times New Roman"/>
          <w:color w:val="auto"/>
          <w:sz w:val="24"/>
          <w:szCs w:val="24"/>
          <w:highlight w:val="none"/>
        </w:rPr>
        <w:t>根据《</w:t>
      </w:r>
      <w:r>
        <w:rPr>
          <w:rFonts w:hint="eastAsia" w:ascii="Times New Roman" w:hAnsi="Times New Roman"/>
          <w:color w:val="auto"/>
          <w:sz w:val="24"/>
          <w:szCs w:val="24"/>
          <w:highlight w:val="none"/>
        </w:rPr>
        <w:t>202</w:t>
      </w:r>
      <w:r>
        <w:rPr>
          <w:rFonts w:hint="eastAsia"/>
          <w:color w:val="auto"/>
          <w:sz w:val="24"/>
          <w:szCs w:val="24"/>
          <w:highlight w:val="none"/>
          <w:lang w:val="en-US" w:eastAsia="zh-CN"/>
        </w:rPr>
        <w:t>3</w:t>
      </w:r>
      <w:r>
        <w:rPr>
          <w:rFonts w:ascii="Times New Roman" w:hAnsi="Times New Roman"/>
          <w:color w:val="auto"/>
          <w:sz w:val="24"/>
          <w:szCs w:val="24"/>
          <w:highlight w:val="none"/>
        </w:rPr>
        <w:t>年承德市</w:t>
      </w:r>
      <w:r>
        <w:rPr>
          <w:rFonts w:hint="eastAsia" w:ascii="Times New Roman" w:hAnsi="Times New Roman"/>
          <w:color w:val="auto"/>
          <w:sz w:val="24"/>
          <w:szCs w:val="24"/>
          <w:highlight w:val="none"/>
        </w:rPr>
        <w:t>生态</w:t>
      </w:r>
      <w:r>
        <w:rPr>
          <w:rFonts w:ascii="Times New Roman" w:hAnsi="Times New Roman"/>
          <w:color w:val="auto"/>
          <w:sz w:val="24"/>
          <w:szCs w:val="24"/>
          <w:highlight w:val="none"/>
        </w:rPr>
        <w:t>环境状况公报》，</w:t>
      </w:r>
      <w:r>
        <w:rPr>
          <w:rFonts w:hint="default" w:ascii="Times New Roman" w:hAnsi="Times New Roman" w:cs="Times New Roman"/>
          <w:color w:val="auto"/>
          <w:sz w:val="24"/>
          <w:szCs w:val="24"/>
          <w:highlight w:val="none"/>
        </w:rPr>
        <w:t>2023年</w:t>
      </w:r>
      <w:r>
        <w:rPr>
          <w:rFonts w:hint="eastAsia" w:cs="Times New Roman"/>
          <w:color w:val="auto"/>
          <w:sz w:val="24"/>
          <w:szCs w:val="24"/>
          <w:highlight w:val="none"/>
          <w:lang w:val="en-US" w:eastAsia="zh-CN"/>
        </w:rPr>
        <w:t>武烈河</w:t>
      </w:r>
      <w:r>
        <w:rPr>
          <w:rFonts w:hint="default" w:ascii="Times New Roman" w:hAnsi="Times New Roman" w:cs="Times New Roman"/>
          <w:color w:val="auto"/>
          <w:sz w:val="24"/>
          <w:szCs w:val="24"/>
          <w:highlight w:val="none"/>
        </w:rPr>
        <w:t>流域总体水质状况为优，水质总体为优，与2022年持平</w:t>
      </w:r>
      <w:r>
        <w:rPr>
          <w:rFonts w:hint="eastAsia" w:ascii="Times New Roman"/>
          <w:sz w:val="24"/>
          <w:szCs w:val="24"/>
          <w:highlight w:val="none"/>
          <w:lang w:val="en-US" w:eastAsia="zh-CN"/>
        </w:rPr>
        <w:t>。</w:t>
      </w:r>
    </w:p>
    <w:p w14:paraId="1C18A5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根据</w:t>
      </w:r>
      <w:r>
        <w:rPr>
          <w:rFonts w:hint="eastAsia"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监测数据，地下水各项监测因子均满足《地下水质量标准》（GB/T14848-2017）Ⅲ类标准要求，</w:t>
      </w:r>
      <w:r>
        <w:rPr>
          <w:rFonts w:hint="default" w:ascii="Times New Roman" w:hAnsi="Times New Roman" w:cs="Times New Roman"/>
          <w:color w:val="000000"/>
          <w:kern w:val="0"/>
          <w:sz w:val="24"/>
          <w:highlight w:val="none"/>
          <w:lang w:eastAsia="zh-CN"/>
        </w:rPr>
        <w:t>石油类、总磷</w:t>
      </w:r>
      <w:r>
        <w:rPr>
          <w:rFonts w:hint="eastAsia" w:ascii="Times New Roman" w:hAnsi="Times New Roman" w:cs="Times New Roman"/>
          <w:color w:val="000000"/>
          <w:kern w:val="0"/>
          <w:sz w:val="24"/>
          <w:highlight w:val="none"/>
          <w:lang w:val="en-US" w:eastAsia="zh-CN"/>
        </w:rPr>
        <w:t>满足</w:t>
      </w:r>
      <w:r>
        <w:rPr>
          <w:rFonts w:hint="default" w:ascii="Times New Roman" w:hAnsi="Times New Roman" w:cs="Times New Roman"/>
          <w:color w:val="000000"/>
          <w:kern w:val="0"/>
          <w:sz w:val="24"/>
          <w:highlight w:val="none"/>
          <w:lang w:eastAsia="zh-CN"/>
        </w:rPr>
        <w:t>《地表水环境质量标准》（GB3838-2002）表1地表水环境质量标准基本项目标准限值中的Ⅲ类标准</w:t>
      </w:r>
      <w:r>
        <w:rPr>
          <w:rFonts w:hint="eastAsia" w:cs="Times New Roman"/>
          <w:color w:val="000000"/>
          <w:kern w:val="0"/>
          <w:sz w:val="24"/>
          <w:highlight w:val="none"/>
          <w:lang w:eastAsia="zh-CN"/>
        </w:rPr>
        <w:t>，</w:t>
      </w:r>
      <w:r>
        <w:rPr>
          <w:rFonts w:hint="default" w:ascii="Times New Roman" w:hAnsi="Times New Roman" w:cs="Times New Roman"/>
          <w:color w:val="auto"/>
          <w:sz w:val="24"/>
          <w:szCs w:val="24"/>
          <w:highlight w:val="none"/>
        </w:rPr>
        <w:t>区域地下水环境质量较好</w:t>
      </w:r>
      <w:r>
        <w:rPr>
          <w:rFonts w:hint="eastAsia" w:ascii="Times New Roman" w:hAnsi="Times New Roman" w:cs="Times New Roman"/>
          <w:color w:val="auto"/>
          <w:sz w:val="24"/>
          <w:szCs w:val="24"/>
          <w:highlight w:val="none"/>
          <w:lang w:eastAsia="zh-CN"/>
        </w:rPr>
        <w:t>。</w:t>
      </w:r>
    </w:p>
    <w:p w14:paraId="32B10A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根据</w:t>
      </w:r>
      <w:r>
        <w:rPr>
          <w:rFonts w:hint="eastAsia"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监测数据，声环境能满足《声环境质量标准》（GB3096-2008）中2类区标准要求</w:t>
      </w:r>
      <w:r>
        <w:rPr>
          <w:rFonts w:hint="eastAsia" w:ascii="Times New Roman" w:hAnsi="Times New Roman" w:cs="Times New Roman"/>
          <w:color w:val="auto"/>
          <w:sz w:val="24"/>
          <w:szCs w:val="24"/>
          <w:highlight w:val="none"/>
          <w:lang w:eastAsia="zh-CN"/>
        </w:rPr>
        <w:t>。</w:t>
      </w:r>
    </w:p>
    <w:p w14:paraId="53971DF2">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jc w:val="both"/>
        <w:textAlignment w:val="auto"/>
        <w:outlineLvl w:val="9"/>
        <w:rPr>
          <w:rFonts w:hint="eastAsia" w:ascii="Times New Roman" w:hAnsi="Times New Roman" w:eastAsia="宋体" w:cs="Times New Roman"/>
          <w:b w:val="0"/>
          <w:bCs/>
          <w:sz w:val="24"/>
          <w:szCs w:val="24"/>
          <w:highlight w:val="none"/>
          <w:lang w:val="en-US" w:eastAsia="zh-CN"/>
        </w:rPr>
      </w:pPr>
      <w:r>
        <w:rPr>
          <w:rFonts w:hint="default" w:ascii="Times New Roman" w:hAnsi="Times New Roman" w:cs="Times New Roman"/>
          <w:color w:val="auto"/>
          <w:sz w:val="24"/>
          <w:szCs w:val="24"/>
          <w:highlight w:val="none"/>
        </w:rPr>
        <w:t>根据</w:t>
      </w:r>
      <w:r>
        <w:rPr>
          <w:rFonts w:hint="eastAsia"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监测数据，</w:t>
      </w:r>
      <w:r>
        <w:rPr>
          <w:rFonts w:hint="eastAsia" w:ascii="Times New Roman" w:hAnsi="Times New Roman" w:cs="Times New Roman"/>
          <w:color w:val="auto"/>
          <w:sz w:val="24"/>
          <w:highlight w:val="none"/>
          <w:lang w:val="en-US" w:eastAsia="zh-CN"/>
        </w:rPr>
        <w:t>各建设用地监测点位</w:t>
      </w:r>
      <w:r>
        <w:rPr>
          <w:rFonts w:hint="default" w:ascii="Times New Roman" w:hAnsi="Times New Roman" w:cs="Times New Roman"/>
          <w:color w:val="auto"/>
          <w:sz w:val="24"/>
          <w:highlight w:val="none"/>
        </w:rPr>
        <w:t>各项监测因子均满足《土壤环境质量 建设用地土壤污染风险管控标准（试行）》（GB36600-2018）、《建设用地土壤污染风险筛选值》（</w:t>
      </w:r>
      <w:r>
        <w:rPr>
          <w:rFonts w:hint="eastAsia" w:ascii="Times New Roman" w:hAnsi="Times New Roman" w:cs="Times New Roman"/>
          <w:color w:val="auto"/>
          <w:sz w:val="24"/>
          <w:highlight w:val="none"/>
          <w:lang w:eastAsia="zh-CN"/>
        </w:rPr>
        <w:t>DB13/T5216-2022</w:t>
      </w:r>
      <w:r>
        <w:rPr>
          <w:rFonts w:hint="default" w:ascii="Times New Roman" w:hAnsi="Times New Roman" w:cs="Times New Roman"/>
          <w:color w:val="auto"/>
          <w:sz w:val="24"/>
          <w:highlight w:val="none"/>
        </w:rPr>
        <w:t>）相关标准</w:t>
      </w:r>
      <w:r>
        <w:rPr>
          <w:rFonts w:hint="eastAsia" w:ascii="Times New Roman" w:hAnsi="Times New Roman" w:cs="Times New Roman"/>
          <w:color w:val="auto"/>
          <w:sz w:val="24"/>
          <w:highlight w:val="none"/>
          <w:lang w:val="en-US" w:eastAsia="zh-CN"/>
        </w:rPr>
        <w:t>要求</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各农用地</w:t>
      </w:r>
      <w:r>
        <w:rPr>
          <w:rFonts w:hint="default" w:ascii="Times New Roman" w:hAnsi="Times New Roman" w:cs="Times New Roman"/>
          <w:color w:val="auto"/>
          <w:sz w:val="24"/>
          <w:highlight w:val="none"/>
        </w:rPr>
        <w:t>各项监测因子均满足《土壤环境质量 农用地土壤污染风险管控标准（试行）》（GB15618-2018）表1风险筛选值，项目区域土壤环境质量较好</w:t>
      </w:r>
      <w:r>
        <w:rPr>
          <w:rFonts w:hint="eastAsia" w:ascii="Times New Roman" w:hAnsi="Times New Roman" w:eastAsia="宋体" w:cs="Times New Roman"/>
          <w:b w:val="0"/>
          <w:bCs/>
          <w:sz w:val="24"/>
          <w:szCs w:val="24"/>
          <w:highlight w:val="none"/>
          <w:lang w:eastAsia="zh-CN"/>
        </w:rPr>
        <w:t>。</w:t>
      </w:r>
    </w:p>
    <w:p w14:paraId="0151A0A9">
      <w:pPr>
        <w:pStyle w:val="6"/>
        <w:pageBreakBefore w:val="0"/>
        <w:kinsoku/>
        <w:wordWrap/>
        <w:overflowPunct/>
        <w:topLinePunct w:val="0"/>
        <w:bidi w:val="0"/>
        <w:adjustRightInd w:val="0"/>
        <w:snapToGrid w:val="0"/>
        <w:spacing w:line="360" w:lineRule="auto"/>
        <w:textAlignment w:val="auto"/>
        <w:rPr>
          <w:rFonts w:hint="default" w:ascii="Times New Roman" w:hAnsi="Times New Roman" w:cs="Times New Roman"/>
          <w:color w:val="000000"/>
          <w:highlight w:val="none"/>
        </w:rPr>
      </w:pPr>
      <w:bookmarkStart w:id="442" w:name="_Toc6202"/>
      <w:r>
        <w:rPr>
          <w:rFonts w:hint="default" w:ascii="Times New Roman" w:hAnsi="Times New Roman" w:cs="Times New Roman"/>
          <w:color w:val="000000"/>
          <w:highlight w:val="none"/>
        </w:rPr>
        <w:t>环境影响预测与分析和污染防治措施可行性论证</w:t>
      </w:r>
      <w:bookmarkEnd w:id="442"/>
    </w:p>
    <w:p w14:paraId="1F676B7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zh-CN"/>
        </w:rPr>
      </w:pPr>
      <w:r>
        <w:rPr>
          <w:rFonts w:hint="default" w:ascii="Times New Roman" w:hAnsi="Times New Roman" w:eastAsia="宋体" w:cs="Times New Roman"/>
          <w:b/>
          <w:sz w:val="24"/>
          <w:szCs w:val="24"/>
          <w:highlight w:val="none"/>
        </w:rPr>
        <w:t>9</w:t>
      </w:r>
      <w:r>
        <w:rPr>
          <w:rFonts w:hint="default" w:ascii="Times New Roman" w:hAnsi="Times New Roman" w:eastAsia="宋体" w:cs="Times New Roman"/>
          <w:b/>
          <w:sz w:val="24"/>
          <w:szCs w:val="24"/>
          <w:highlight w:val="none"/>
          <w:lang w:val="zh-CN"/>
        </w:rPr>
        <w:t>.1.</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zh-CN"/>
        </w:rPr>
        <w:t>.1 大气环境影响分析和污染防治措施可行性</w:t>
      </w:r>
    </w:p>
    <w:p w14:paraId="015C7045">
      <w:pPr>
        <w:keepNext w:val="0"/>
        <w:keepLines w:val="0"/>
        <w:pageBreakBefore w:val="0"/>
        <w:widowControl w:val="0"/>
        <w:wordWrap/>
        <w:topLinePunct w:val="0"/>
        <w:autoSpaceDE/>
        <w:autoSpaceDN/>
        <w:bidi w:val="0"/>
        <w:spacing w:line="360" w:lineRule="auto"/>
        <w:ind w:firstLine="480" w:firstLineChars="200"/>
        <w:textAlignment w:val="auto"/>
        <w:rPr>
          <w:color w:val="auto"/>
          <w:spacing w:val="-2"/>
          <w:kern w:val="0"/>
          <w:sz w:val="24"/>
          <w:szCs w:val="24"/>
          <w:highlight w:val="none"/>
        </w:rPr>
      </w:pPr>
      <w:r>
        <w:rPr>
          <w:rFonts w:hint="eastAsia" w:ascii="Times New Roman" w:hAnsi="Times New Roman" w:cs="Times New Roman"/>
          <w:color w:val="000000"/>
          <w:kern w:val="0"/>
          <w:sz w:val="24"/>
          <w:szCs w:val="24"/>
          <w:highlight w:val="none"/>
          <w:lang w:val="en-US" w:eastAsia="zh-CN"/>
        </w:rPr>
        <w:t>本项目大气污染源</w:t>
      </w:r>
      <w:r>
        <w:rPr>
          <w:rFonts w:hint="eastAsia" w:cs="Times New Roman"/>
          <w:color w:val="000000"/>
          <w:kern w:val="0"/>
          <w:sz w:val="24"/>
          <w:szCs w:val="24"/>
          <w:highlight w:val="none"/>
          <w:lang w:val="en-US" w:eastAsia="zh-CN"/>
        </w:rPr>
        <w:t>为</w:t>
      </w:r>
      <w:r>
        <w:rPr>
          <w:rFonts w:hint="eastAsia" w:cs="Times New Roman"/>
          <w:color w:val="auto"/>
          <w:kern w:val="0"/>
          <w:sz w:val="24"/>
          <w:szCs w:val="21"/>
          <w:highlight w:val="none"/>
          <w:lang w:val="en-US" w:eastAsia="zh-CN"/>
        </w:rPr>
        <w:t>运输扬尘、堆存扬尘、封场覆土扬尘</w:t>
      </w:r>
      <w:r>
        <w:rPr>
          <w:rFonts w:hint="eastAsia"/>
          <w:color w:val="auto"/>
          <w:spacing w:val="-2"/>
          <w:sz w:val="24"/>
          <w:szCs w:val="24"/>
          <w:highlight w:val="none"/>
          <w:lang w:eastAsia="zh-CN"/>
        </w:rPr>
        <w:t>。</w:t>
      </w:r>
      <w:r>
        <w:rPr>
          <w:rFonts w:hint="eastAsia"/>
          <w:color w:val="auto"/>
          <w:spacing w:val="-2"/>
          <w:kern w:val="0"/>
          <w:sz w:val="24"/>
          <w:szCs w:val="24"/>
          <w:highlight w:val="none"/>
        </w:rPr>
        <w:t>在堆置过程中分区作业，对尚未形成最终堆积面的区域及时进行压实、苫盖；作业过程中配套使用</w:t>
      </w:r>
      <w:r>
        <w:rPr>
          <w:rFonts w:hint="eastAsia"/>
          <w:color w:val="auto"/>
          <w:spacing w:val="-2"/>
          <w:kern w:val="0"/>
          <w:sz w:val="24"/>
          <w:szCs w:val="24"/>
          <w:highlight w:val="none"/>
          <w:lang w:eastAsia="zh-CN"/>
        </w:rPr>
        <w:t>喷淋降尘设备</w:t>
      </w:r>
      <w:r>
        <w:rPr>
          <w:rFonts w:hint="eastAsia"/>
          <w:color w:val="auto"/>
          <w:spacing w:val="-2"/>
          <w:kern w:val="0"/>
          <w:sz w:val="24"/>
          <w:szCs w:val="24"/>
          <w:highlight w:val="none"/>
        </w:rPr>
        <w:t>，保持废弃土石料的湿度，倾卸物料时不随意扬撒</w:t>
      </w:r>
      <w:r>
        <w:rPr>
          <w:color w:val="auto"/>
          <w:spacing w:val="-2"/>
          <w:kern w:val="0"/>
          <w:sz w:val="24"/>
          <w:szCs w:val="24"/>
          <w:highlight w:val="none"/>
        </w:rPr>
        <w:t>。</w:t>
      </w:r>
      <w:r>
        <w:rPr>
          <w:rFonts w:hint="eastAsia" w:cs="Times New Roman"/>
          <w:color w:val="000000"/>
          <w:sz w:val="24"/>
          <w:szCs w:val="24"/>
          <w:highlight w:val="none"/>
          <w:lang w:val="en-US" w:eastAsia="zh-CN"/>
        </w:rPr>
        <w:t>废石运输车辆采取苫盖，限制汽车超载，避免车辆沿路遗撒，降低运输扬尘；对厂内道路硬化并进行清扫和洒水，保持路面的湿度和清洁度，减少起尘量。</w:t>
      </w:r>
    </w:p>
    <w:p w14:paraId="4141A7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eastAsia"/>
          <w:color w:val="auto"/>
          <w:sz w:val="24"/>
          <w:szCs w:val="24"/>
          <w:highlight w:val="none"/>
          <w:lang w:eastAsia="zh-CN"/>
        </w:rPr>
        <w:t>采取上述措施后</w:t>
      </w:r>
      <w:r>
        <w:rPr>
          <w:color w:val="auto"/>
          <w:sz w:val="24"/>
          <w:szCs w:val="24"/>
          <w:highlight w:val="none"/>
        </w:rPr>
        <w:t>，污染物的排放满足《铁矿采选工业污染物排放标准》（GB28661-2012）表7中现有和新建企业大气污染物无组织排放浓度限值</w:t>
      </w:r>
      <w:r>
        <w:rPr>
          <w:rFonts w:hint="eastAsia"/>
          <w:color w:val="auto"/>
          <w:sz w:val="24"/>
          <w:szCs w:val="24"/>
          <w:highlight w:val="none"/>
        </w:rPr>
        <w:t>要求</w:t>
      </w:r>
      <w:r>
        <w:rPr>
          <w:color w:val="auto"/>
          <w:sz w:val="24"/>
          <w:szCs w:val="24"/>
          <w:highlight w:val="none"/>
        </w:rPr>
        <w:t>，污染物能够得到有效治理，措施可行。</w:t>
      </w:r>
    </w:p>
    <w:p w14:paraId="25F685D3">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zh-CN"/>
        </w:rPr>
      </w:pPr>
      <w:r>
        <w:rPr>
          <w:rFonts w:hint="default" w:ascii="Times New Roman" w:hAnsi="Times New Roman" w:eastAsia="宋体" w:cs="Times New Roman"/>
          <w:b/>
          <w:sz w:val="24"/>
          <w:szCs w:val="24"/>
          <w:highlight w:val="none"/>
          <w:lang w:val="zh-CN"/>
        </w:rPr>
        <w:t>9.1.</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zh-CN"/>
        </w:rPr>
        <w:t>.2 水环境影响分析和污染防治措施可行性</w:t>
      </w:r>
    </w:p>
    <w:p w14:paraId="6AC78F4A">
      <w:pPr>
        <w:pStyle w:val="147"/>
        <w:pageBreakBefore w:val="0"/>
        <w:kinsoku/>
        <w:wordWrap/>
        <w:overflowPunct/>
        <w:topLinePunct w:val="0"/>
        <w:bidi w:val="0"/>
        <w:adjustRightInd w:val="0"/>
        <w:snapToGrid w:val="0"/>
        <w:spacing w:line="360" w:lineRule="auto"/>
        <w:ind w:firstLine="480"/>
        <w:textAlignment w:val="auto"/>
        <w:rPr>
          <w:rFonts w:hint="eastAsia" w:ascii="Times New Roman" w:hAnsi="Times New Roman" w:eastAsia="宋体" w:cs="Times New Roman"/>
          <w:color w:val="auto"/>
          <w:szCs w:val="24"/>
          <w:highlight w:val="none"/>
          <w:lang w:eastAsia="zh-CN"/>
        </w:rPr>
      </w:pPr>
      <w:r>
        <w:rPr>
          <w:rFonts w:hint="eastAsia"/>
          <w:sz w:val="24"/>
          <w:szCs w:val="24"/>
          <w:highlight w:val="none"/>
          <w:lang w:val="en-US" w:eastAsia="zh-CN"/>
        </w:rPr>
        <w:t>项目排土场</w:t>
      </w:r>
      <w:r>
        <w:rPr>
          <w:rFonts w:ascii="Times New Roman" w:eastAsia="宋体"/>
          <w:sz w:val="24"/>
          <w:szCs w:val="24"/>
          <w:highlight w:val="none"/>
        </w:rPr>
        <w:t>场区内降雨下渗后产生淋滤废水</w:t>
      </w:r>
      <w:r>
        <w:rPr>
          <w:rFonts w:hint="eastAsia" w:ascii="Times New Roman" w:eastAsia="宋体"/>
          <w:sz w:val="24"/>
          <w:szCs w:val="24"/>
          <w:highlight w:val="none"/>
          <w:lang w:eastAsia="zh-CN"/>
        </w:rPr>
        <w:t>，</w:t>
      </w:r>
      <w:r>
        <w:rPr>
          <w:rFonts w:hint="eastAsia"/>
          <w:sz w:val="24"/>
          <w:szCs w:val="24"/>
          <w:highlight w:val="none"/>
          <w:lang w:val="en-US" w:eastAsia="zh-CN"/>
        </w:rPr>
        <w:t>回用降尘、选厂生产，不外排。</w:t>
      </w:r>
    </w:p>
    <w:p w14:paraId="59A673A7">
      <w:pPr>
        <w:pStyle w:val="147"/>
        <w:pageBreakBefore w:val="0"/>
        <w:kinsoku/>
        <w:wordWrap/>
        <w:overflowPunct/>
        <w:topLinePunct w:val="0"/>
        <w:bidi w:val="0"/>
        <w:adjustRightInd w:val="0"/>
        <w:snapToGrid w:val="0"/>
        <w:spacing w:line="360" w:lineRule="auto"/>
        <w:ind w:firstLine="480"/>
        <w:textAlignment w:val="auto"/>
        <w:rPr>
          <w:rFonts w:hint="eastAsia" w:ascii="Times New Roman" w:hAnsi="Times New Roman" w:cs="Times New Roman"/>
          <w:color w:val="000000"/>
          <w:sz w:val="24"/>
          <w:highlight w:val="none"/>
          <w:lang w:eastAsia="zh-CN"/>
        </w:rPr>
      </w:pPr>
      <w:r>
        <w:rPr>
          <w:rFonts w:hint="default" w:ascii="Times New Roman" w:hAnsi="Times New Roman" w:cs="Times New Roman"/>
          <w:color w:val="auto"/>
          <w:szCs w:val="24"/>
          <w:highlight w:val="none"/>
        </w:rPr>
        <w:t>在正常状况下，</w:t>
      </w:r>
      <w:r>
        <w:rPr>
          <w:rFonts w:hint="default" w:ascii="Times New Roman" w:hAnsi="Times New Roman" w:eastAsia="宋体" w:cs="Times New Roman"/>
          <w:color w:val="auto"/>
          <w:sz w:val="24"/>
          <w:szCs w:val="24"/>
          <w:highlight w:val="none"/>
        </w:rPr>
        <w:t>由于雨水通过排土场垂直渗透进入包气带，进入包气带的污染物在物理、化学和生物作用下经吸附、转化、迁移和分解后输入地下水，</w:t>
      </w:r>
      <w:r>
        <w:rPr>
          <w:rFonts w:hint="default" w:ascii="Times New Roman" w:hAnsi="Times New Roman" w:eastAsia="宋体" w:cs="Times New Roman"/>
          <w:color w:val="auto"/>
          <w:sz w:val="24"/>
          <w:szCs w:val="24"/>
          <w:highlight w:val="none"/>
          <w:lang w:val="en-US" w:eastAsia="zh-CN"/>
        </w:rPr>
        <w:t>通过预测，项目</w:t>
      </w:r>
      <w:r>
        <w:rPr>
          <w:rFonts w:hint="default" w:ascii="Times New Roman" w:hAnsi="Times New Roman" w:eastAsia="宋体" w:cs="Times New Roman"/>
          <w:color w:val="auto"/>
          <w:sz w:val="24"/>
          <w:szCs w:val="24"/>
          <w:highlight w:val="none"/>
        </w:rPr>
        <w:t>对地下水环境影响</w:t>
      </w:r>
      <w:r>
        <w:rPr>
          <w:rFonts w:hint="default" w:ascii="Times New Roman" w:hAnsi="Times New Roman" w:eastAsia="宋体" w:cs="Times New Roman"/>
          <w:color w:val="auto"/>
          <w:sz w:val="24"/>
          <w:szCs w:val="24"/>
          <w:highlight w:val="none"/>
          <w:lang w:val="en-US" w:eastAsia="zh-CN"/>
        </w:rPr>
        <w:t>可接受</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000000"/>
          <w:sz w:val="24"/>
          <w:highlight w:val="none"/>
        </w:rPr>
        <w:t>项目设置地下水跟踪监测井</w:t>
      </w:r>
      <w:r>
        <w:rPr>
          <w:rFonts w:hint="eastAsia" w:ascii="Times New Roman" w:hAnsi="Times New Roman" w:cs="Times New Roman"/>
          <w:color w:val="000000"/>
          <w:sz w:val="24"/>
          <w:highlight w:val="none"/>
          <w:lang w:eastAsia="zh-CN"/>
        </w:rPr>
        <w:t>3口</w:t>
      </w:r>
      <w:r>
        <w:rPr>
          <w:rFonts w:hint="default" w:ascii="Times New Roman" w:hAnsi="Times New Roman" w:cs="Times New Roman"/>
          <w:color w:val="000000"/>
          <w:sz w:val="24"/>
          <w:highlight w:val="none"/>
        </w:rPr>
        <w:t>，定期监测地下水水质情况，掌握本工程对地下水的污染情况。及时发现对地下水的污染情况，以便及时采取有效补救措施。</w:t>
      </w:r>
    </w:p>
    <w:p w14:paraId="3F214D8D">
      <w:pPr>
        <w:pStyle w:val="147"/>
        <w:pageBreakBefore w:val="0"/>
        <w:kinsoku/>
        <w:wordWrap/>
        <w:overflowPunct/>
        <w:topLinePunct w:val="0"/>
        <w:bidi w:val="0"/>
        <w:adjustRightInd w:val="0"/>
        <w:snapToGrid w:val="0"/>
        <w:spacing w:line="360" w:lineRule="auto"/>
        <w:ind w:firstLine="480"/>
        <w:textAlignment w:val="auto"/>
        <w:rPr>
          <w:rFonts w:hint="default" w:ascii="Times New Roman" w:hAnsi="Times New Roman" w:cs="Times New Roman"/>
          <w:color w:val="000000"/>
          <w:kern w:val="2"/>
          <w:highlight w:val="none"/>
        </w:rPr>
      </w:pPr>
      <w:r>
        <w:rPr>
          <w:rFonts w:hint="default" w:ascii="Times New Roman" w:hAnsi="Times New Roman" w:cs="Times New Roman"/>
          <w:color w:val="000000"/>
          <w:sz w:val="24"/>
          <w:highlight w:val="none"/>
        </w:rPr>
        <w:t>综上所述，项目</w:t>
      </w:r>
      <w:r>
        <w:rPr>
          <w:rFonts w:hint="eastAsia" w:ascii="Times New Roman" w:hAnsi="Times New Roman" w:cs="Times New Roman"/>
          <w:color w:val="000000"/>
          <w:sz w:val="24"/>
          <w:highlight w:val="none"/>
          <w:lang w:val="en-US" w:eastAsia="zh-CN"/>
        </w:rPr>
        <w:t>废水</w:t>
      </w:r>
      <w:r>
        <w:rPr>
          <w:rFonts w:hint="default" w:ascii="Times New Roman" w:hAnsi="Times New Roman" w:cs="Times New Roman"/>
          <w:color w:val="000000"/>
          <w:sz w:val="24"/>
          <w:highlight w:val="none"/>
        </w:rPr>
        <w:t>不外排，对</w:t>
      </w:r>
      <w:r>
        <w:rPr>
          <w:rFonts w:hint="eastAsia" w:ascii="Times New Roman" w:hAnsi="Times New Roman" w:cs="Times New Roman"/>
          <w:color w:val="000000"/>
          <w:sz w:val="24"/>
          <w:highlight w:val="none"/>
          <w:lang w:eastAsia="zh-CN"/>
        </w:rPr>
        <w:t>区域地表水、</w:t>
      </w:r>
      <w:r>
        <w:rPr>
          <w:rFonts w:hint="eastAsia" w:ascii="Times New Roman" w:hAnsi="Times New Roman" w:cs="Times New Roman"/>
          <w:color w:val="000000"/>
          <w:sz w:val="24"/>
          <w:highlight w:val="none"/>
          <w:lang w:val="en-US" w:eastAsia="zh-CN"/>
        </w:rPr>
        <w:t>地下水</w:t>
      </w:r>
      <w:r>
        <w:rPr>
          <w:rFonts w:hint="eastAsia" w:ascii="Times New Roman" w:hAnsi="Times New Roman" w:cs="Times New Roman"/>
          <w:color w:val="000000"/>
          <w:sz w:val="24"/>
          <w:highlight w:val="none"/>
          <w:lang w:eastAsia="zh-CN"/>
        </w:rPr>
        <w:t>环境影响可接受。</w:t>
      </w:r>
    </w:p>
    <w:p w14:paraId="3A5BEF73">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zh-CN"/>
        </w:rPr>
      </w:pPr>
      <w:r>
        <w:rPr>
          <w:rFonts w:hint="default" w:ascii="Times New Roman" w:hAnsi="Times New Roman" w:eastAsia="宋体" w:cs="Times New Roman"/>
          <w:b/>
          <w:sz w:val="24"/>
          <w:szCs w:val="24"/>
          <w:highlight w:val="none"/>
          <w:lang w:val="zh-CN"/>
        </w:rPr>
        <w:t>9.1.</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zh-CN"/>
        </w:rPr>
        <w:t>.</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zh-CN"/>
        </w:rPr>
        <w:t xml:space="preserve"> 声环境影响分析和污染防治措施可行性</w:t>
      </w:r>
    </w:p>
    <w:p w14:paraId="460E63AC">
      <w:pPr>
        <w:pStyle w:val="147"/>
        <w:pageBreakBefore w:val="0"/>
        <w:kinsoku/>
        <w:wordWrap/>
        <w:overflowPunct/>
        <w:topLinePunct w:val="0"/>
        <w:bidi w:val="0"/>
        <w:adjustRightInd w:val="0"/>
        <w:snapToGrid w:val="0"/>
        <w:spacing w:line="360" w:lineRule="auto"/>
        <w:ind w:firstLine="480"/>
        <w:textAlignment w:val="auto"/>
        <w:rPr>
          <w:rFonts w:hint="default" w:ascii="Times New Roman" w:hAnsi="Times New Roman" w:cs="Times New Roman"/>
          <w:color w:val="000000"/>
          <w:kern w:val="0"/>
          <w:sz w:val="24"/>
          <w:szCs w:val="24"/>
          <w:highlight w:val="none"/>
          <w:lang w:val="zh-CN"/>
        </w:rPr>
      </w:pPr>
      <w:r>
        <w:rPr>
          <w:rFonts w:hint="eastAsia" w:ascii="Times New Roman" w:hAnsi="Times New Roman" w:cs="Times New Roman"/>
          <w:color w:val="auto"/>
          <w:sz w:val="24"/>
          <w:highlight w:val="none"/>
          <w:lang w:val="en-US" w:eastAsia="zh-CN"/>
        </w:rPr>
        <w:t>本项目主要噪声源为装载机、压实机、运输车辆等。采用先进的低噪声机械，并加强管理、及时维护保养；绿化降噪、加强车辆管理等。</w:t>
      </w:r>
      <w:r>
        <w:rPr>
          <w:rFonts w:hint="eastAsia" w:ascii="Times New Roman" w:hAnsi="Times New Roman" w:cs="Times New Roman"/>
          <w:color w:val="000000"/>
          <w:highlight w:val="none"/>
          <w:lang w:val="en-US" w:eastAsia="zh-CN"/>
        </w:rPr>
        <w:t>经预测</w:t>
      </w:r>
      <w:r>
        <w:rPr>
          <w:rFonts w:hint="eastAsia" w:ascii="Times New Roman" w:hAnsi="Times New Roman" w:cs="Times New Roman"/>
          <w:color w:val="000000"/>
          <w:kern w:val="0"/>
          <w:sz w:val="24"/>
          <w:highlight w:val="none"/>
          <w:lang w:val="en-US" w:eastAsia="zh-CN"/>
        </w:rPr>
        <w:t>各场地四场界噪声可</w:t>
      </w:r>
      <w:r>
        <w:rPr>
          <w:rFonts w:hint="default" w:ascii="Times New Roman" w:hAnsi="Times New Roman" w:cs="Times New Roman"/>
          <w:color w:val="000000"/>
          <w:kern w:val="0"/>
          <w:sz w:val="24"/>
          <w:highlight w:val="none"/>
          <w:lang w:val="zh-CN"/>
        </w:rPr>
        <w:t>满足《工业企业厂界环境噪声排放标准》(GB12348-2008)2类区标准</w:t>
      </w:r>
      <w:r>
        <w:rPr>
          <w:rFonts w:hint="default" w:ascii="Times New Roman" w:hAnsi="Times New Roman" w:cs="Times New Roman"/>
          <w:color w:val="000000"/>
          <w:kern w:val="0"/>
          <w:sz w:val="24"/>
          <w:szCs w:val="24"/>
          <w:highlight w:val="none"/>
          <w:lang w:val="zh-CN"/>
        </w:rPr>
        <w:t>。</w:t>
      </w:r>
    </w:p>
    <w:p w14:paraId="4CCD662D">
      <w:pPr>
        <w:pStyle w:val="147"/>
        <w:pageBreakBefore w:val="0"/>
        <w:kinsoku/>
        <w:wordWrap/>
        <w:overflowPunct/>
        <w:topLinePunct w:val="0"/>
        <w:bidi w:val="0"/>
        <w:adjustRightInd w:val="0"/>
        <w:snapToGrid w:val="0"/>
        <w:spacing w:line="360" w:lineRule="auto"/>
        <w:ind w:firstLine="480"/>
        <w:textAlignment w:val="auto"/>
        <w:rPr>
          <w:rFonts w:hint="default" w:ascii="Times New Roman" w:hAnsi="Times New Roman" w:cs="Times New Roman"/>
          <w:color w:val="000000"/>
          <w:kern w:val="2"/>
          <w:highlight w:val="none"/>
        </w:rPr>
      </w:pPr>
      <w:r>
        <w:rPr>
          <w:rFonts w:hint="default" w:ascii="Times New Roman" w:hAnsi="Times New Roman" w:cs="Times New Roman"/>
          <w:color w:val="000000"/>
          <w:sz w:val="24"/>
          <w:highlight w:val="none"/>
        </w:rPr>
        <w:t>综上所述，</w:t>
      </w:r>
      <w:r>
        <w:rPr>
          <w:rFonts w:hint="default" w:ascii="Times New Roman" w:hAnsi="Times New Roman" w:cs="Times New Roman"/>
          <w:color w:val="000000"/>
          <w:kern w:val="0"/>
          <w:sz w:val="24"/>
          <w:highlight w:val="none"/>
          <w:lang w:val="zh-CN"/>
        </w:rPr>
        <w:t>项目不会改变区域声环境质量功能要求，对区域声环境影响较小</w:t>
      </w:r>
      <w:r>
        <w:rPr>
          <w:rFonts w:hint="default" w:ascii="Times New Roman" w:hAnsi="Times New Roman" w:cs="Times New Roman"/>
          <w:color w:val="000000"/>
          <w:highlight w:val="none"/>
        </w:rPr>
        <w:t>。</w:t>
      </w:r>
    </w:p>
    <w:p w14:paraId="19FE28E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zh-CN"/>
        </w:rPr>
      </w:pPr>
      <w:r>
        <w:rPr>
          <w:rFonts w:hint="default" w:ascii="Times New Roman" w:hAnsi="Times New Roman" w:eastAsia="宋体" w:cs="Times New Roman"/>
          <w:b/>
          <w:sz w:val="24"/>
          <w:szCs w:val="24"/>
          <w:highlight w:val="none"/>
          <w:lang w:val="zh-CN"/>
        </w:rPr>
        <w:t>9.1.</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zh-CN"/>
        </w:rPr>
        <w:t>.</w:t>
      </w:r>
      <w:r>
        <w:rPr>
          <w:rFonts w:hint="eastAsia" w:cs="Times New Roman"/>
          <w:b/>
          <w:sz w:val="24"/>
          <w:szCs w:val="24"/>
          <w:highlight w:val="none"/>
          <w:lang w:val="en-US" w:eastAsia="zh-CN"/>
        </w:rPr>
        <w:t>4</w:t>
      </w:r>
      <w:r>
        <w:rPr>
          <w:rFonts w:hint="default" w:ascii="Times New Roman" w:hAnsi="Times New Roman" w:eastAsia="宋体" w:cs="Times New Roman"/>
          <w:b/>
          <w:sz w:val="24"/>
          <w:szCs w:val="24"/>
          <w:highlight w:val="none"/>
          <w:lang w:val="zh-CN"/>
        </w:rPr>
        <w:t xml:space="preserve"> 固体废物环境影响分析和污染防治措施可行性</w:t>
      </w:r>
    </w:p>
    <w:p w14:paraId="10B3FD01">
      <w:pPr>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sz w:val="24"/>
          <w:highlight w:val="none"/>
        </w:rPr>
      </w:pPr>
      <w:r>
        <w:rPr>
          <w:rFonts w:ascii="Times New Roman"/>
          <w:color w:val="auto"/>
          <w:sz w:val="24"/>
          <w:szCs w:val="24"/>
          <w:highlight w:val="none"/>
        </w:rPr>
        <w:t>本项目固废主要为排土场内贮存的废石</w:t>
      </w:r>
      <w:r>
        <w:rPr>
          <w:rFonts w:hint="eastAsia"/>
          <w:color w:val="auto"/>
          <w:sz w:val="24"/>
          <w:szCs w:val="24"/>
          <w:highlight w:val="none"/>
          <w:lang w:eastAsia="zh-CN"/>
        </w:rPr>
        <w:t>，</w:t>
      </w:r>
      <w:r>
        <w:rPr>
          <w:rFonts w:ascii="Times New Roman"/>
          <w:color w:val="auto"/>
          <w:sz w:val="24"/>
          <w:szCs w:val="24"/>
          <w:highlight w:val="none"/>
        </w:rPr>
        <w:t>项目废石妥善处置，不会对周围环境产生明显影响</w:t>
      </w:r>
      <w:r>
        <w:rPr>
          <w:rFonts w:hint="eastAsia" w:ascii="Times New Roman" w:hAnsi="Times New Roman" w:cs="Times New Roman"/>
          <w:color w:val="000000"/>
          <w:sz w:val="24"/>
          <w:szCs w:val="21"/>
          <w:highlight w:val="none"/>
          <w:lang w:eastAsia="zh-CN"/>
        </w:rPr>
        <w:t>。</w:t>
      </w:r>
    </w:p>
    <w:p w14:paraId="0B337EB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default" w:ascii="Times New Roman" w:hAnsi="Times New Roman" w:eastAsia="宋体" w:cs="Times New Roman"/>
          <w:b/>
          <w:sz w:val="24"/>
          <w:szCs w:val="24"/>
          <w:highlight w:val="none"/>
          <w:lang w:val="zh-CN"/>
        </w:rPr>
      </w:pPr>
      <w:r>
        <w:rPr>
          <w:rFonts w:hint="default" w:ascii="Times New Roman" w:hAnsi="Times New Roman" w:eastAsia="宋体" w:cs="Times New Roman"/>
          <w:b/>
          <w:sz w:val="24"/>
          <w:szCs w:val="24"/>
          <w:highlight w:val="none"/>
          <w:lang w:val="zh-CN"/>
        </w:rPr>
        <w:t>9.1.</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zh-CN"/>
        </w:rPr>
        <w:t>.</w:t>
      </w:r>
      <w:r>
        <w:rPr>
          <w:rFonts w:hint="eastAsia" w:cs="Times New Roman"/>
          <w:b/>
          <w:sz w:val="24"/>
          <w:szCs w:val="24"/>
          <w:highlight w:val="none"/>
          <w:lang w:val="en-US" w:eastAsia="zh-CN"/>
        </w:rPr>
        <w:t>5</w:t>
      </w:r>
      <w:r>
        <w:rPr>
          <w:rFonts w:hint="default" w:ascii="Times New Roman" w:hAnsi="Times New Roman" w:eastAsia="宋体" w:cs="Times New Roman"/>
          <w:b/>
          <w:sz w:val="24"/>
          <w:szCs w:val="24"/>
          <w:highlight w:val="none"/>
          <w:lang w:val="zh-CN"/>
        </w:rPr>
        <w:t xml:space="preserve"> </w:t>
      </w:r>
      <w:r>
        <w:rPr>
          <w:rFonts w:hint="eastAsia" w:ascii="Times New Roman" w:hAnsi="Times New Roman" w:eastAsia="宋体" w:cs="Times New Roman"/>
          <w:b/>
          <w:sz w:val="24"/>
          <w:szCs w:val="24"/>
          <w:highlight w:val="none"/>
          <w:lang w:val="en-US" w:eastAsia="zh-CN"/>
        </w:rPr>
        <w:t>土壤</w:t>
      </w:r>
      <w:r>
        <w:rPr>
          <w:rFonts w:hint="default" w:ascii="Times New Roman" w:hAnsi="Times New Roman" w:eastAsia="宋体" w:cs="Times New Roman"/>
          <w:b/>
          <w:sz w:val="24"/>
          <w:szCs w:val="24"/>
          <w:highlight w:val="none"/>
          <w:lang w:val="zh-CN"/>
        </w:rPr>
        <w:t>环境影响分析和污染防治措施可行性</w:t>
      </w:r>
    </w:p>
    <w:p w14:paraId="62D9FE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000000"/>
          <w:sz w:val="24"/>
          <w:highlight w:val="none"/>
          <w:lang w:eastAsia="zh-CN"/>
        </w:rPr>
      </w:pPr>
      <w:r>
        <w:rPr>
          <w:rFonts w:hint="eastAsia" w:cs="Times New Roman"/>
          <w:color w:val="auto"/>
          <w:kern w:val="0"/>
          <w:sz w:val="24"/>
          <w:szCs w:val="24"/>
          <w:highlight w:val="none"/>
          <w:lang w:eastAsia="zh-CN"/>
        </w:rPr>
        <w:t>项目属于土壤污染影响型建设项目，产生的</w:t>
      </w:r>
      <w:r>
        <w:rPr>
          <w:rFonts w:hint="eastAsia" w:cs="Times New Roman"/>
          <w:color w:val="auto"/>
          <w:kern w:val="0"/>
          <w:sz w:val="24"/>
          <w:szCs w:val="24"/>
          <w:highlight w:val="none"/>
          <w:lang w:val="en-US" w:eastAsia="zh-CN"/>
        </w:rPr>
        <w:t>主要</w:t>
      </w:r>
      <w:r>
        <w:rPr>
          <w:rFonts w:hint="eastAsia" w:cs="Times New Roman"/>
          <w:color w:val="auto"/>
          <w:kern w:val="0"/>
          <w:sz w:val="24"/>
          <w:szCs w:val="24"/>
          <w:highlight w:val="none"/>
          <w:lang w:eastAsia="zh-CN"/>
        </w:rPr>
        <w:t>影响途径为垂直入渗</w:t>
      </w:r>
      <w:r>
        <w:rPr>
          <w:rFonts w:hint="default" w:ascii="Times New Roman" w:hAnsi="Times New Roman" w:eastAsia="宋体"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建设单位</w:t>
      </w:r>
      <w:r>
        <w:rPr>
          <w:rFonts w:hint="default" w:ascii="Times New Roman" w:hAnsi="Times New Roman" w:eastAsia="宋体" w:cs="Times New Roman"/>
          <w:color w:val="auto"/>
          <w:kern w:val="0"/>
          <w:sz w:val="24"/>
          <w:szCs w:val="24"/>
          <w:highlight w:val="none"/>
          <w:lang w:eastAsia="zh-CN"/>
        </w:rPr>
        <w:t>严格按照国家相关规范要求，</w:t>
      </w:r>
      <w:r>
        <w:rPr>
          <w:rFonts w:hint="eastAsia" w:ascii="Times New Roman" w:hAnsi="Times New Roman"/>
          <w:color w:val="auto"/>
          <w:sz w:val="24"/>
          <w:szCs w:val="24"/>
          <w:highlight w:val="none"/>
        </w:rPr>
        <w:t>采取“源头控制”、“分区防控”的对策</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建设单位</w:t>
      </w:r>
      <w:r>
        <w:rPr>
          <w:rFonts w:hint="eastAsia" w:ascii="Times New Roman" w:hAnsi="Times New Roman"/>
          <w:color w:val="auto"/>
          <w:sz w:val="24"/>
          <w:szCs w:val="32"/>
          <w:highlight w:val="none"/>
        </w:rPr>
        <w:t>制定监测计划，</w:t>
      </w:r>
      <w:r>
        <w:rPr>
          <w:rFonts w:hint="eastAsia" w:ascii="Times New Roman" w:hAnsi="Times New Roman"/>
          <w:color w:val="auto"/>
          <w:sz w:val="24"/>
          <w:szCs w:val="32"/>
          <w:highlight w:val="none"/>
          <w:lang w:eastAsia="zh-CN"/>
        </w:rPr>
        <w:t>定期跟踪</w:t>
      </w:r>
      <w:r>
        <w:rPr>
          <w:rFonts w:hint="eastAsia"/>
          <w:color w:val="auto"/>
          <w:sz w:val="24"/>
          <w:szCs w:val="32"/>
          <w:highlight w:val="none"/>
          <w:lang w:eastAsia="zh-CN"/>
        </w:rPr>
        <w:t>场区内</w:t>
      </w:r>
      <w:r>
        <w:rPr>
          <w:rFonts w:hint="eastAsia" w:ascii="Times New Roman" w:hAnsi="Times New Roman"/>
          <w:color w:val="auto"/>
          <w:sz w:val="24"/>
          <w:szCs w:val="32"/>
          <w:highlight w:val="none"/>
          <w:lang w:eastAsia="zh-CN"/>
        </w:rPr>
        <w:t>土壤环境质量</w:t>
      </w:r>
      <w:r>
        <w:rPr>
          <w:rFonts w:hint="eastAsia" w:ascii="Times New Roman" w:hAnsi="Times New Roman"/>
          <w:color w:val="auto"/>
          <w:sz w:val="24"/>
          <w:szCs w:val="32"/>
          <w:highlight w:val="none"/>
        </w:rPr>
        <w:t>，以便及时发现问题，采取有效措施</w:t>
      </w:r>
      <w:r>
        <w:rPr>
          <w:rFonts w:hint="eastAsia" w:ascii="Times New Roman" w:hAnsi="Times New Roman"/>
          <w:color w:val="auto"/>
          <w:sz w:val="24"/>
          <w:szCs w:val="32"/>
          <w:highlight w:val="none"/>
          <w:lang w:eastAsia="zh-CN"/>
        </w:rPr>
        <w:t>。</w:t>
      </w:r>
      <w:r>
        <w:rPr>
          <w:rFonts w:hint="eastAsia" w:cs="Times New Roman"/>
          <w:color w:val="auto"/>
          <w:kern w:val="0"/>
          <w:sz w:val="24"/>
          <w:szCs w:val="24"/>
          <w:highlight w:val="none"/>
          <w:lang w:val="en-US" w:eastAsia="zh-CN"/>
        </w:rPr>
        <w:t>建设单位拟采取上述措施后，</w:t>
      </w:r>
      <w:r>
        <w:rPr>
          <w:rFonts w:hint="eastAsia" w:ascii="Times New Roman" w:hAnsi="Times New Roman" w:eastAsia="宋体" w:cs="Times New Roman"/>
          <w:color w:val="auto"/>
          <w:kern w:val="0"/>
          <w:sz w:val="24"/>
          <w:szCs w:val="24"/>
          <w:highlight w:val="none"/>
          <w:lang w:val="en-US" w:eastAsia="zh-CN"/>
        </w:rPr>
        <w:t>项目对土壤环境影响可接受。</w:t>
      </w:r>
    </w:p>
    <w:p w14:paraId="04D1A6D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both"/>
        <w:textAlignment w:val="auto"/>
        <w:outlineLvl w:val="3"/>
        <w:rPr>
          <w:rFonts w:hint="eastAsia" w:ascii="Times New Roman" w:hAnsi="Times New Roman" w:eastAsia="宋体" w:cs="Times New Roman"/>
          <w:b/>
          <w:sz w:val="24"/>
          <w:szCs w:val="24"/>
          <w:highlight w:val="none"/>
          <w:lang w:val="zh-CN" w:eastAsia="zh-CN"/>
        </w:rPr>
      </w:pPr>
      <w:r>
        <w:rPr>
          <w:rFonts w:hint="default" w:ascii="Times New Roman" w:hAnsi="Times New Roman" w:eastAsia="宋体" w:cs="Times New Roman"/>
          <w:b/>
          <w:sz w:val="24"/>
          <w:szCs w:val="24"/>
          <w:highlight w:val="none"/>
          <w:lang w:val="zh-CN"/>
        </w:rPr>
        <w:t>9.1.</w:t>
      </w:r>
      <w:r>
        <w:rPr>
          <w:rFonts w:hint="eastAsia" w:cs="Times New Roman"/>
          <w:b/>
          <w:sz w:val="24"/>
          <w:szCs w:val="24"/>
          <w:highlight w:val="none"/>
          <w:lang w:val="en-US" w:eastAsia="zh-CN"/>
        </w:rPr>
        <w:t>3</w:t>
      </w:r>
      <w:r>
        <w:rPr>
          <w:rFonts w:hint="default" w:ascii="Times New Roman" w:hAnsi="Times New Roman" w:eastAsia="宋体" w:cs="Times New Roman"/>
          <w:b/>
          <w:sz w:val="24"/>
          <w:szCs w:val="24"/>
          <w:highlight w:val="none"/>
          <w:lang w:val="zh-CN"/>
        </w:rPr>
        <w:t>.</w:t>
      </w:r>
      <w:r>
        <w:rPr>
          <w:rFonts w:hint="eastAsia" w:cs="Times New Roman"/>
          <w:b/>
          <w:sz w:val="24"/>
          <w:szCs w:val="24"/>
          <w:highlight w:val="none"/>
          <w:lang w:val="en-US" w:eastAsia="zh-CN"/>
        </w:rPr>
        <w:t>6</w:t>
      </w:r>
      <w:r>
        <w:rPr>
          <w:rFonts w:hint="default" w:ascii="Times New Roman" w:hAnsi="Times New Roman" w:eastAsia="宋体" w:cs="Times New Roman"/>
          <w:b/>
          <w:sz w:val="24"/>
          <w:szCs w:val="24"/>
          <w:highlight w:val="none"/>
          <w:lang w:val="zh-CN"/>
        </w:rPr>
        <w:t xml:space="preserve"> </w:t>
      </w:r>
      <w:r>
        <w:rPr>
          <w:rFonts w:hint="eastAsia" w:ascii="Times New Roman" w:hAnsi="Times New Roman" w:eastAsia="宋体" w:cs="Times New Roman"/>
          <w:b/>
          <w:sz w:val="24"/>
          <w:szCs w:val="24"/>
          <w:highlight w:val="none"/>
          <w:lang w:val="en-US" w:eastAsia="zh-CN"/>
        </w:rPr>
        <w:t>环境风险</w:t>
      </w:r>
    </w:p>
    <w:p w14:paraId="544E62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highlight w:val="none"/>
        </w:rPr>
      </w:pPr>
      <w:r>
        <w:rPr>
          <w:rFonts w:hint="eastAsia"/>
          <w:color w:val="auto"/>
          <w:sz w:val="24"/>
          <w:szCs w:val="24"/>
          <w:highlight w:val="none"/>
        </w:rPr>
        <w:t>项目环境风险类型主要</w:t>
      </w:r>
      <w:r>
        <w:rPr>
          <w:rFonts w:hint="eastAsia"/>
          <w:color w:val="auto"/>
          <w:sz w:val="24"/>
          <w:szCs w:val="24"/>
          <w:highlight w:val="none"/>
          <w:lang w:val="en-US" w:eastAsia="zh-CN"/>
        </w:rPr>
        <w:t>为</w:t>
      </w:r>
      <w:r>
        <w:rPr>
          <w:rFonts w:hint="eastAsia"/>
          <w:color w:val="auto"/>
          <w:sz w:val="24"/>
          <w:szCs w:val="24"/>
          <w:highlight w:val="none"/>
        </w:rPr>
        <w:t>运行、封场后</w:t>
      </w:r>
      <w:r>
        <w:rPr>
          <w:rFonts w:hint="eastAsia"/>
          <w:color w:val="auto"/>
          <w:sz w:val="24"/>
          <w:szCs w:val="24"/>
          <w:highlight w:val="none"/>
          <w:lang w:eastAsia="zh-CN"/>
        </w:rPr>
        <w:t>，</w:t>
      </w:r>
      <w:r>
        <w:rPr>
          <w:rFonts w:hint="eastAsia"/>
          <w:color w:val="auto"/>
          <w:sz w:val="24"/>
          <w:szCs w:val="24"/>
          <w:highlight w:val="none"/>
        </w:rPr>
        <w:t>滑坡和泥石流等地质灾害问题产生的环境污染、安全等风险。通过加强</w:t>
      </w:r>
      <w:r>
        <w:rPr>
          <w:color w:val="auto"/>
          <w:sz w:val="24"/>
          <w:szCs w:val="24"/>
          <w:highlight w:val="none"/>
        </w:rPr>
        <w:t>企业风险管理，在项目建设过程中认真落实各种风险防范措施，通过相应的技术手段降低风险发生概率，并在风险事故发生后，及时采取风险防范措施及应急预案，将事故风险控制在可以接受的范围内，事故风险水平是可</w:t>
      </w:r>
      <w:r>
        <w:rPr>
          <w:rFonts w:hint="eastAsia"/>
          <w:color w:val="auto"/>
          <w:sz w:val="24"/>
          <w:szCs w:val="24"/>
          <w:highlight w:val="none"/>
          <w:lang w:eastAsia="zh-CN"/>
        </w:rPr>
        <w:t>防控</w:t>
      </w:r>
      <w:r>
        <w:rPr>
          <w:color w:val="auto"/>
          <w:sz w:val="24"/>
          <w:szCs w:val="24"/>
          <w:highlight w:val="none"/>
        </w:rPr>
        <w:t>的</w:t>
      </w:r>
      <w:r>
        <w:rPr>
          <w:rFonts w:hint="eastAsia" w:ascii="Times New Roman" w:hAnsi="Times New Roman" w:eastAsia="宋体" w:cs="Times New Roman"/>
          <w:color w:val="000000"/>
          <w:sz w:val="24"/>
          <w:szCs w:val="24"/>
          <w:highlight w:val="none"/>
          <w:lang w:val="en-US" w:eastAsia="zh-CN"/>
        </w:rPr>
        <w:t>。</w:t>
      </w:r>
    </w:p>
    <w:p w14:paraId="40F7B6B3">
      <w:pPr>
        <w:pStyle w:val="6"/>
        <w:pageBreakBefore w:val="0"/>
        <w:kinsoku/>
        <w:wordWrap/>
        <w:overflowPunct/>
        <w:topLinePunct w:val="0"/>
        <w:bidi w:val="0"/>
        <w:adjustRightInd w:val="0"/>
        <w:snapToGrid w:val="0"/>
        <w:spacing w:line="360" w:lineRule="auto"/>
        <w:textAlignment w:val="auto"/>
        <w:rPr>
          <w:rFonts w:hint="default" w:ascii="Times New Roman" w:hAnsi="Times New Roman" w:eastAsia="宋体" w:cs="Times New Roman"/>
          <w:b/>
          <w:bCs/>
          <w:color w:val="000000"/>
          <w:highlight w:val="none"/>
          <w:lang w:val="zh-CN"/>
        </w:rPr>
      </w:pPr>
      <w:r>
        <w:rPr>
          <w:rFonts w:hint="default" w:ascii="Times New Roman" w:hAnsi="Times New Roman" w:eastAsia="宋体" w:cs="Times New Roman"/>
          <w:b/>
          <w:bCs/>
          <w:color w:val="000000"/>
          <w:highlight w:val="none"/>
          <w:lang w:val="zh-CN"/>
        </w:rPr>
        <w:t>生态环境影响分析</w:t>
      </w:r>
    </w:p>
    <w:p w14:paraId="196AEFF6">
      <w:pPr>
        <w:pageBreakBefore w:val="0"/>
        <w:kinsoku/>
        <w:wordWrap/>
        <w:overflowPunct/>
        <w:topLinePunct w:val="0"/>
        <w:bidi w:val="0"/>
        <w:adjustRightInd w:val="0"/>
        <w:snapToGrid w:val="0"/>
        <w:spacing w:line="360" w:lineRule="auto"/>
        <w:ind w:firstLine="472" w:firstLineChars="200"/>
        <w:textAlignment w:val="auto"/>
        <w:rPr>
          <w:rFonts w:hint="default" w:ascii="Times New Roman" w:hAnsi="Times New Roman" w:cs="Times New Roman"/>
          <w:color w:val="000000"/>
          <w:sz w:val="24"/>
          <w:highlight w:val="none"/>
        </w:rPr>
      </w:pPr>
      <w:r>
        <w:rPr>
          <w:rFonts w:hint="eastAsia"/>
          <w:color w:val="auto"/>
          <w:spacing w:val="-2"/>
          <w:sz w:val="24"/>
          <w:szCs w:val="24"/>
          <w:highlight w:val="none"/>
        </w:rPr>
        <w:t>项目运营期对于周边植被的影响主要是堆存区扬尘和运输扬尘影响</w:t>
      </w:r>
      <w:r>
        <w:rPr>
          <w:rFonts w:hint="eastAsia"/>
          <w:color w:val="auto"/>
          <w:spacing w:val="-2"/>
          <w:sz w:val="24"/>
          <w:szCs w:val="24"/>
          <w:highlight w:val="none"/>
          <w:lang w:eastAsia="zh-CN"/>
        </w:rPr>
        <w:t>。封场后，</w:t>
      </w:r>
      <w:r>
        <w:rPr>
          <w:color w:val="auto"/>
          <w:spacing w:val="-2"/>
          <w:sz w:val="24"/>
          <w:szCs w:val="24"/>
          <w:highlight w:val="none"/>
        </w:rPr>
        <w:t>最终</w:t>
      </w:r>
      <w:r>
        <w:rPr>
          <w:rFonts w:hint="eastAsia"/>
          <w:color w:val="auto"/>
          <w:spacing w:val="-2"/>
          <w:sz w:val="24"/>
          <w:szCs w:val="24"/>
          <w:highlight w:val="none"/>
        </w:rPr>
        <w:t>会使得场内</w:t>
      </w:r>
      <w:r>
        <w:rPr>
          <w:color w:val="auto"/>
          <w:spacing w:val="-2"/>
          <w:sz w:val="24"/>
          <w:szCs w:val="24"/>
          <w:highlight w:val="none"/>
        </w:rPr>
        <w:t>全部覆土绿化，植被将基本恢复到开发建设前的水平，届时主要因</w:t>
      </w:r>
      <w:r>
        <w:rPr>
          <w:rFonts w:hint="eastAsia"/>
          <w:color w:val="auto"/>
          <w:spacing w:val="-2"/>
          <w:sz w:val="24"/>
          <w:szCs w:val="24"/>
          <w:highlight w:val="none"/>
          <w:lang w:eastAsia="zh-CN"/>
        </w:rPr>
        <w:t>排土场</w:t>
      </w:r>
      <w:r>
        <w:rPr>
          <w:rFonts w:hint="eastAsia"/>
          <w:color w:val="auto"/>
          <w:spacing w:val="-2"/>
          <w:sz w:val="24"/>
          <w:szCs w:val="24"/>
          <w:highlight w:val="none"/>
        </w:rPr>
        <w:t>开发建设而</w:t>
      </w:r>
      <w:r>
        <w:rPr>
          <w:color w:val="auto"/>
          <w:spacing w:val="-2"/>
          <w:sz w:val="24"/>
          <w:szCs w:val="24"/>
          <w:highlight w:val="none"/>
        </w:rPr>
        <w:t>造成植被破坏将得到恢复，</w:t>
      </w:r>
      <w:r>
        <w:rPr>
          <w:rFonts w:hint="eastAsia"/>
          <w:color w:val="auto"/>
          <w:spacing w:val="-2"/>
          <w:sz w:val="24"/>
          <w:szCs w:val="24"/>
          <w:highlight w:val="none"/>
          <w:lang w:eastAsia="zh-CN"/>
        </w:rPr>
        <w:t>对生态环境影响较小</w:t>
      </w:r>
      <w:r>
        <w:rPr>
          <w:color w:val="auto"/>
          <w:spacing w:val="-2"/>
          <w:sz w:val="24"/>
          <w:szCs w:val="24"/>
          <w:highlight w:val="none"/>
        </w:rPr>
        <w:t>。</w:t>
      </w:r>
      <w:r>
        <w:rPr>
          <w:rFonts w:hint="eastAsia"/>
          <w:color w:val="auto"/>
          <w:sz w:val="24"/>
          <w:szCs w:val="24"/>
          <w:highlight w:val="none"/>
        </w:rPr>
        <w:t>以</w:t>
      </w:r>
      <w:r>
        <w:rPr>
          <w:color w:val="auto"/>
          <w:sz w:val="24"/>
          <w:szCs w:val="24"/>
          <w:highlight w:val="none"/>
        </w:rPr>
        <w:t>上措施技术合理可行，经济可行</w:t>
      </w:r>
      <w:r>
        <w:rPr>
          <w:rFonts w:hint="default" w:ascii="Times New Roman" w:hAnsi="Times New Roman" w:cs="Times New Roman"/>
          <w:color w:val="000000"/>
          <w:sz w:val="24"/>
          <w:highlight w:val="none"/>
        </w:rPr>
        <w:t>。</w:t>
      </w:r>
    </w:p>
    <w:p w14:paraId="17219330">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000000"/>
          <w:highlight w:val="none"/>
          <w:lang w:val="en-US" w:eastAsia="zh-CN"/>
        </w:rPr>
      </w:pPr>
      <w:bookmarkStart w:id="443" w:name="_Toc22244"/>
      <w:r>
        <w:rPr>
          <w:rFonts w:hint="default" w:ascii="Times New Roman" w:hAnsi="Times New Roman" w:eastAsia="宋体" w:cs="Times New Roman"/>
          <w:b/>
          <w:bCs/>
          <w:color w:val="000000"/>
          <w:highlight w:val="none"/>
          <w:lang w:val="en-US" w:eastAsia="zh-CN"/>
        </w:rPr>
        <w:t>公众参与结论</w:t>
      </w:r>
      <w:bookmarkEnd w:id="443"/>
    </w:p>
    <w:p w14:paraId="219FE9BC">
      <w:pPr>
        <w:pStyle w:val="147"/>
        <w:pageBreakBefore w:val="0"/>
        <w:kinsoku/>
        <w:wordWrap/>
        <w:overflowPunct/>
        <w:topLinePunct w:val="0"/>
        <w:bidi w:val="0"/>
        <w:adjustRightInd w:val="0"/>
        <w:snapToGrid w:val="0"/>
        <w:spacing w:line="360" w:lineRule="auto"/>
        <w:ind w:firstLine="480"/>
        <w:textAlignment w:val="auto"/>
        <w:rPr>
          <w:rFonts w:hint="default" w:ascii="Times New Roman" w:hAnsi="Times New Roman" w:cs="Times New Roman"/>
          <w:color w:val="000000"/>
          <w:kern w:val="2"/>
          <w:highlight w:val="none"/>
        </w:rPr>
      </w:pPr>
      <w:r>
        <w:rPr>
          <w:rFonts w:hint="default" w:ascii="Times New Roman" w:hAnsi="Times New Roman" w:cs="Times New Roman"/>
          <w:color w:val="000000"/>
          <w:kern w:val="2"/>
          <w:highlight w:val="none"/>
        </w:rPr>
        <w:t>在环境影响评价过程中建设单位实施了两次信息公开，并通过发放调查表的形式，广泛征求各方面的意见和建议。本项目于</w:t>
      </w:r>
      <w:r>
        <w:rPr>
          <w:rFonts w:hint="eastAsia" w:ascii="Times New Roman" w:hAnsi="Times New Roman" w:cs="Times New Roman"/>
          <w:color w:val="auto"/>
          <w:kern w:val="2"/>
          <w:sz w:val="24"/>
          <w:szCs w:val="24"/>
          <w:highlight w:val="none"/>
          <w:lang w:val="en-US" w:eastAsia="zh-CN" w:bidi="ar-SA"/>
        </w:rPr>
        <w:t>2025年3月5</w:t>
      </w:r>
      <w:r>
        <w:rPr>
          <w:rFonts w:hint="default" w:ascii="Times New Roman" w:hAnsi="Times New Roman" w:eastAsia="宋体" w:cs="Times New Roman"/>
          <w:color w:val="auto"/>
          <w:kern w:val="2"/>
          <w:sz w:val="24"/>
          <w:szCs w:val="24"/>
          <w:highlight w:val="none"/>
          <w:lang w:val="en-US" w:eastAsia="zh-CN" w:bidi="ar-SA"/>
        </w:rPr>
        <w:t>日</w:t>
      </w:r>
      <w:r>
        <w:rPr>
          <w:rFonts w:hint="default" w:ascii="Times New Roman" w:hAnsi="Times New Roman" w:cs="Times New Roman"/>
          <w:color w:val="000000"/>
          <w:kern w:val="2"/>
          <w:highlight w:val="none"/>
        </w:rPr>
        <w:t>进行第一次公示，公示形式为</w:t>
      </w:r>
      <w:r>
        <w:rPr>
          <w:rFonts w:hint="eastAsia" w:ascii="Times New Roman" w:hAnsi="Times New Roman" w:eastAsia="宋体" w:cs="Times New Roman"/>
          <w:color w:val="auto"/>
          <w:kern w:val="2"/>
          <w:sz w:val="24"/>
          <w:szCs w:val="24"/>
          <w:highlight w:val="none"/>
          <w:lang w:val="en-US" w:eastAsia="zh-CN" w:bidi="ar-SA"/>
        </w:rPr>
        <w:t>“和合承德网”</w:t>
      </w:r>
      <w:r>
        <w:rPr>
          <w:rFonts w:hint="default" w:ascii="Times New Roman" w:hAnsi="Times New Roman" w:cs="Times New Roman"/>
          <w:color w:val="000000"/>
          <w:kern w:val="2"/>
          <w:highlight w:val="none"/>
        </w:rPr>
        <w:t>。</w:t>
      </w:r>
      <w:r>
        <w:rPr>
          <w:rFonts w:hint="default" w:ascii="Times New Roman" w:hAnsi="Times New Roman" w:cs="Times New Roman"/>
          <w:color w:val="auto"/>
          <w:kern w:val="2"/>
          <w:sz w:val="24"/>
          <w:szCs w:val="24"/>
          <w:highlight w:val="none"/>
          <w:lang w:eastAsia="zh-CN"/>
        </w:rPr>
        <w:t>2025年3月</w:t>
      </w:r>
      <w:r>
        <w:rPr>
          <w:rFonts w:hint="default" w:ascii="Times New Roman" w:hAnsi="Times New Roman" w:cs="Times New Roman"/>
          <w:color w:val="auto"/>
          <w:kern w:val="2"/>
          <w:sz w:val="24"/>
          <w:szCs w:val="24"/>
          <w:highlight w:val="none"/>
          <w:lang w:val="en-US" w:eastAsia="zh-CN"/>
        </w:rPr>
        <w:t>18</w:t>
      </w:r>
      <w:r>
        <w:rPr>
          <w:rFonts w:hint="default" w:ascii="Times New Roman" w:hAnsi="Times New Roman" w:cs="Times New Roman"/>
          <w:color w:val="auto"/>
          <w:kern w:val="2"/>
          <w:sz w:val="24"/>
          <w:szCs w:val="24"/>
          <w:highlight w:val="none"/>
        </w:rPr>
        <w:t>日至</w:t>
      </w:r>
      <w:r>
        <w:rPr>
          <w:rFonts w:hint="default" w:ascii="Times New Roman" w:hAnsi="Times New Roman" w:cs="Times New Roman"/>
          <w:color w:val="auto"/>
          <w:kern w:val="2"/>
          <w:sz w:val="24"/>
          <w:szCs w:val="24"/>
          <w:highlight w:val="none"/>
          <w:lang w:val="en-US" w:eastAsia="zh-CN"/>
        </w:rPr>
        <w:t>3</w:t>
      </w:r>
      <w:r>
        <w:rPr>
          <w:rFonts w:hint="default" w:ascii="Times New Roman" w:hAnsi="Times New Roman" w:cs="Times New Roman"/>
          <w:color w:val="auto"/>
          <w:kern w:val="2"/>
          <w:sz w:val="24"/>
          <w:szCs w:val="24"/>
          <w:highlight w:val="none"/>
        </w:rPr>
        <w:t>月</w:t>
      </w:r>
      <w:r>
        <w:rPr>
          <w:rFonts w:hint="default" w:ascii="Times New Roman" w:hAnsi="Times New Roman" w:cs="Times New Roman"/>
          <w:color w:val="auto"/>
          <w:kern w:val="2"/>
          <w:sz w:val="24"/>
          <w:szCs w:val="24"/>
          <w:highlight w:val="none"/>
          <w:lang w:val="en-US" w:eastAsia="zh-CN"/>
        </w:rPr>
        <w:t>31</w:t>
      </w:r>
      <w:r>
        <w:rPr>
          <w:rFonts w:hint="default" w:ascii="Times New Roman" w:hAnsi="Times New Roman" w:cs="Times New Roman"/>
          <w:color w:val="auto"/>
          <w:kern w:val="2"/>
          <w:sz w:val="24"/>
          <w:szCs w:val="24"/>
          <w:highlight w:val="none"/>
        </w:rPr>
        <w:t>日</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000000"/>
          <w:kern w:val="2"/>
          <w:highlight w:val="none"/>
        </w:rPr>
        <w:t>进行第二次公示，公示形式为</w:t>
      </w:r>
      <w:r>
        <w:rPr>
          <w:rFonts w:hint="eastAsia" w:ascii="Times New Roman" w:hAnsi="Times New Roman" w:eastAsia="宋体" w:cs="Times New Roman"/>
          <w:color w:val="auto"/>
          <w:kern w:val="2"/>
          <w:sz w:val="24"/>
          <w:szCs w:val="24"/>
          <w:highlight w:val="none"/>
          <w:lang w:val="en-US" w:eastAsia="zh-CN" w:bidi="ar-SA"/>
        </w:rPr>
        <w:t>“和合承德网”</w:t>
      </w:r>
      <w:r>
        <w:rPr>
          <w:rFonts w:hint="default" w:ascii="Times New Roman" w:hAnsi="Times New Roman" w:cs="Times New Roman"/>
          <w:color w:val="000000"/>
          <w:kern w:val="2"/>
          <w:highlight w:val="none"/>
        </w:rPr>
        <w:t>、</w:t>
      </w:r>
      <w:r>
        <w:rPr>
          <w:rFonts w:hint="eastAsia" w:ascii="Times New Roman" w:hAnsi="Times New Roman" w:cs="Times New Roman"/>
          <w:color w:val="000000"/>
          <w:kern w:val="2"/>
          <w:highlight w:val="none"/>
          <w:lang w:eastAsia="zh-CN"/>
        </w:rPr>
        <w:t>承德日报刊</w:t>
      </w:r>
      <w:r>
        <w:rPr>
          <w:rFonts w:hint="default" w:ascii="Times New Roman" w:hAnsi="Times New Roman" w:cs="Times New Roman"/>
          <w:color w:val="000000"/>
          <w:kern w:val="2"/>
          <w:highlight w:val="none"/>
        </w:rPr>
        <w:t>，并在</w:t>
      </w:r>
      <w:r>
        <w:rPr>
          <w:rFonts w:hint="eastAsia" w:ascii="Times New Roman" w:hAnsi="Times New Roman" w:cs="Times New Roman"/>
          <w:color w:val="000000"/>
          <w:kern w:val="2"/>
          <w:highlight w:val="none"/>
          <w:lang w:val="en-US" w:eastAsia="zh-CN"/>
        </w:rPr>
        <w:t>评价范围内各村</w:t>
      </w:r>
      <w:r>
        <w:rPr>
          <w:rFonts w:hint="default" w:ascii="Times New Roman" w:hAnsi="Times New Roman" w:cs="Times New Roman"/>
          <w:color w:val="000000"/>
          <w:kern w:val="2"/>
          <w:highlight w:val="none"/>
        </w:rPr>
        <w:t>进行张贴公示。公示期间，均未收到任何群众或单位对本项目的质询和反对意见。</w:t>
      </w:r>
    </w:p>
    <w:p w14:paraId="5BB13E14">
      <w:pPr>
        <w:pStyle w:val="147"/>
        <w:pageBreakBefore w:val="0"/>
        <w:kinsoku/>
        <w:wordWrap/>
        <w:overflowPunct/>
        <w:topLinePunct w:val="0"/>
        <w:bidi w:val="0"/>
        <w:adjustRightInd w:val="0"/>
        <w:snapToGrid w:val="0"/>
        <w:spacing w:line="360" w:lineRule="auto"/>
        <w:ind w:firstLine="480"/>
        <w:textAlignment w:val="auto"/>
        <w:rPr>
          <w:rFonts w:hint="default" w:ascii="Times New Roman" w:hAnsi="Times New Roman" w:eastAsia="宋体" w:cs="Times New Roman"/>
          <w:color w:val="000000"/>
          <w:kern w:val="2"/>
          <w:highlight w:val="none"/>
          <w:lang w:val="en-US" w:eastAsia="zh-CN"/>
        </w:rPr>
      </w:pPr>
      <w:r>
        <w:rPr>
          <w:rFonts w:hint="default" w:ascii="Times New Roman" w:hAnsi="Times New Roman" w:cs="Times New Roman"/>
          <w:color w:val="000000"/>
          <w:kern w:val="2"/>
          <w:highlight w:val="none"/>
        </w:rPr>
        <w:t>通过公众参与调查，公众采纳本项目具有较高的公众赞成度。本次环境影响评价公众参与工作的开展，对提高当地居民环保意识、普及环境保护常识可以起到一定的促进作用。</w:t>
      </w:r>
    </w:p>
    <w:p w14:paraId="2EAAE8EA">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000000"/>
          <w:highlight w:val="none"/>
          <w:lang w:val="en-US" w:eastAsia="zh-CN"/>
        </w:rPr>
      </w:pPr>
      <w:bookmarkStart w:id="444" w:name="_Toc27590"/>
      <w:r>
        <w:rPr>
          <w:rFonts w:hint="default" w:ascii="Times New Roman" w:hAnsi="Times New Roman" w:eastAsia="宋体" w:cs="Times New Roman"/>
          <w:b/>
          <w:bCs/>
          <w:color w:val="000000"/>
          <w:highlight w:val="none"/>
          <w:lang w:val="en-US" w:eastAsia="zh-CN"/>
        </w:rPr>
        <w:t>环境影响经济损益结论</w:t>
      </w:r>
      <w:bookmarkEnd w:id="444"/>
    </w:p>
    <w:p w14:paraId="2D4464CE">
      <w:pPr>
        <w:pageBreakBefore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项目的建设可促进区域经济的发展，提高当地就业率；项目建设与运营会使区域环境质量发生不同程度的变化，对区域环境质量带来一定负面影响，在采取评价中提出的环保工程及生态环境治理措施后，虽增加了投资成本，但保证了各项污染物达标排放，满足环境功能的要求。</w:t>
      </w:r>
    </w:p>
    <w:p w14:paraId="353B8A41">
      <w:pPr>
        <w:pageBreakBefore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故项目的建设具有良好的社会经济效益，采取必要的生态防护和污染防治措施后，区域环境受到的影响较小，项目服务期满后，通过实施复垦工程，生态环境质量有所改善，项目的综合效益远大于对环境的影响。</w:t>
      </w:r>
    </w:p>
    <w:p w14:paraId="6DFD7799">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000000"/>
          <w:highlight w:val="none"/>
          <w:lang w:val="zh-CN"/>
        </w:rPr>
      </w:pPr>
      <w:bookmarkStart w:id="445" w:name="_Toc25651"/>
      <w:bookmarkStart w:id="446" w:name="_Toc470785928"/>
      <w:bookmarkStart w:id="447" w:name="_Toc472164425"/>
      <w:r>
        <w:rPr>
          <w:rFonts w:hint="default" w:ascii="Times New Roman" w:hAnsi="Times New Roman" w:eastAsia="宋体" w:cs="Times New Roman"/>
          <w:b/>
          <w:bCs/>
          <w:color w:val="000000"/>
          <w:highlight w:val="none"/>
          <w:lang w:val="zh-CN"/>
        </w:rPr>
        <w:t>环境管理与监测计划</w:t>
      </w:r>
      <w:bookmarkEnd w:id="445"/>
      <w:bookmarkEnd w:id="446"/>
      <w:bookmarkEnd w:id="447"/>
    </w:p>
    <w:p w14:paraId="0EC212BA">
      <w:pPr>
        <w:pageBreakBefore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通过建立环境管理体系，规范企业管理、落实环境管理职责，确保各项环保设施的正常运转；通过定期对环保设施及废气、噪声等污染源情况进行监测，做到达标排放，同时对废气、废水、噪声等防治设施进行监督检查，保证正常运行</w:t>
      </w:r>
      <w:r>
        <w:rPr>
          <w:rFonts w:hint="eastAsia" w:ascii="Times New Roman" w:hAnsi="Times New Roman" w:cs="Times New Roman"/>
          <w:color w:val="000000"/>
          <w:kern w:val="0"/>
          <w:sz w:val="24"/>
          <w:highlight w:val="none"/>
          <w:lang w:val="zh-CN"/>
        </w:rPr>
        <w:t>。</w:t>
      </w:r>
    </w:p>
    <w:p w14:paraId="5FA33246">
      <w:pPr>
        <w:pStyle w:val="6"/>
        <w:keepNext/>
        <w:keepLines/>
        <w:pageBreakBefore w:val="0"/>
        <w:widowControl w:val="0"/>
        <w:kinsoku/>
        <w:wordWrap/>
        <w:overflowPunct/>
        <w:topLinePunct w:val="0"/>
        <w:autoSpaceDE/>
        <w:autoSpaceDN/>
        <w:bidi w:val="0"/>
        <w:adjustRightInd w:val="0"/>
        <w:snapToGrid w:val="0"/>
        <w:spacing w:before="0" w:beforeLines="0" w:line="360" w:lineRule="auto"/>
        <w:textAlignment w:val="auto"/>
        <w:rPr>
          <w:rFonts w:hint="default" w:ascii="Times New Roman" w:hAnsi="Times New Roman" w:eastAsia="宋体" w:cs="Times New Roman"/>
          <w:b/>
          <w:bCs/>
          <w:color w:val="000000"/>
          <w:highlight w:val="none"/>
          <w:lang w:val="en-US" w:eastAsia="zh-CN"/>
        </w:rPr>
      </w:pPr>
      <w:bookmarkStart w:id="448" w:name="_Toc8316"/>
      <w:bookmarkStart w:id="449" w:name="_Toc26875"/>
      <w:bookmarkStart w:id="450" w:name="_Toc18351"/>
      <w:r>
        <w:rPr>
          <w:rFonts w:hint="default" w:ascii="Times New Roman" w:hAnsi="Times New Roman" w:eastAsia="宋体" w:cs="Times New Roman"/>
          <w:b/>
          <w:bCs/>
          <w:color w:val="000000"/>
          <w:highlight w:val="none"/>
          <w:lang w:val="en-US" w:eastAsia="zh-CN"/>
        </w:rPr>
        <w:t>环境影响评价主要结论</w:t>
      </w:r>
      <w:bookmarkEnd w:id="448"/>
      <w:bookmarkEnd w:id="449"/>
      <w:bookmarkEnd w:id="450"/>
    </w:p>
    <w:p w14:paraId="1D85EDC2">
      <w:pPr>
        <w:pageBreakBefore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2"/>
          <w:sz w:val="24"/>
          <w:szCs w:val="24"/>
          <w:highlight w:val="none"/>
        </w:rPr>
      </w:pPr>
      <w:r>
        <w:rPr>
          <w:rFonts w:hint="default" w:ascii="Times New Roman" w:hAnsi="Times New Roman" w:cs="Times New Roman"/>
          <w:color w:val="auto"/>
          <w:sz w:val="24"/>
          <w:szCs w:val="24"/>
          <w:highlight w:val="none"/>
          <w:lang w:val="en-US" w:eastAsia="zh-CN"/>
        </w:rPr>
        <w:t>本项目符合当前国家产业政策</w:t>
      </w:r>
      <w:r>
        <w:rPr>
          <w:rFonts w:hint="eastAsia" w:ascii="Times New Roman" w:hAnsi="Times New Roman" w:cs="Times New Roman"/>
          <w:color w:val="auto"/>
          <w:sz w:val="24"/>
          <w:szCs w:val="24"/>
          <w:highlight w:val="none"/>
          <w:lang w:val="en-US" w:eastAsia="zh-CN"/>
        </w:rPr>
        <w:t>及</w:t>
      </w:r>
      <w:r>
        <w:rPr>
          <w:rFonts w:hint="default" w:ascii="Times New Roman" w:hAnsi="Times New Roman" w:cs="Times New Roman"/>
          <w:color w:val="auto"/>
          <w:sz w:val="24"/>
          <w:szCs w:val="24"/>
          <w:highlight w:val="none"/>
          <w:lang w:val="en-US" w:eastAsia="zh-CN"/>
        </w:rPr>
        <w:t>规划</w:t>
      </w:r>
      <w:r>
        <w:rPr>
          <w:rFonts w:hint="eastAsia" w:ascii="Times New Roman" w:hAnsi="Times New Roman" w:cs="Times New Roman"/>
          <w:color w:val="auto"/>
          <w:sz w:val="24"/>
          <w:szCs w:val="24"/>
          <w:highlight w:val="none"/>
          <w:lang w:val="en-US" w:eastAsia="zh-CN"/>
        </w:rPr>
        <w:t>要求</w:t>
      </w:r>
      <w:r>
        <w:rPr>
          <w:rFonts w:hint="default" w:ascii="Times New Roman" w:hAnsi="Times New Roman" w:cs="Times New Roman"/>
          <w:color w:val="auto"/>
          <w:sz w:val="24"/>
          <w:szCs w:val="24"/>
          <w:highlight w:val="none"/>
          <w:lang w:val="en-US" w:eastAsia="zh-CN"/>
        </w:rPr>
        <w:t>，所在区域环境质量符合环境功能区划要求</w:t>
      </w:r>
      <w:r>
        <w:rPr>
          <w:rFonts w:hint="default" w:ascii="Times New Roman" w:hAnsi="Times New Roman" w:cs="Times New Roman"/>
          <w:color w:val="auto"/>
          <w:sz w:val="24"/>
          <w:szCs w:val="24"/>
          <w:highlight w:val="none"/>
        </w:rPr>
        <w:t>。项目的总图布置合理，选址合理，项目建成后废水、废气、噪声、固废采取的污染防治措施技术可靠、经济可行。建设单位要加强生产过程和设备的管理，确保污染物稳定达标排放，保证环境保护措施的有效运行，从环保角度而言，本项目可行</w:t>
      </w:r>
      <w:r>
        <w:rPr>
          <w:rFonts w:hint="default" w:ascii="Times New Roman" w:hAnsi="Times New Roman" w:cs="Times New Roman"/>
          <w:color w:val="000000"/>
          <w:kern w:val="2"/>
          <w:sz w:val="24"/>
          <w:szCs w:val="24"/>
          <w:highlight w:val="none"/>
        </w:rPr>
        <w:t>。</w:t>
      </w:r>
    </w:p>
    <w:p w14:paraId="0FAEABCE">
      <w:pPr>
        <w:pStyle w:val="5"/>
        <w:keepNext/>
        <w:keepLines/>
        <w:pageBreakBefore w:val="0"/>
        <w:widowControl w:val="0"/>
        <w:kinsoku/>
        <w:wordWrap/>
        <w:overflowPunct/>
        <w:topLinePunct w:val="0"/>
        <w:autoSpaceDE/>
        <w:autoSpaceDN/>
        <w:bidi w:val="0"/>
        <w:adjustRightInd/>
        <w:snapToGrid/>
        <w:spacing w:before="0" w:after="0" w:line="360" w:lineRule="auto"/>
        <w:ind w:left="578" w:hanging="578"/>
        <w:textAlignment w:val="auto"/>
        <w:rPr>
          <w:rFonts w:hint="default" w:ascii="Times New Roman" w:hAnsi="Times New Roman" w:eastAsia="宋体" w:cs="Times New Roman"/>
          <w:b/>
          <w:color w:val="000000"/>
          <w:sz w:val="28"/>
          <w:szCs w:val="28"/>
          <w:highlight w:val="none"/>
        </w:rPr>
      </w:pPr>
      <w:bookmarkStart w:id="451" w:name="_Toc17087"/>
      <w:bookmarkStart w:id="452" w:name="_Toc15968"/>
      <w:bookmarkStart w:id="453" w:name="_Toc23942"/>
      <w:bookmarkStart w:id="454" w:name="_Toc6508"/>
      <w:bookmarkStart w:id="455" w:name="_Toc9561"/>
      <w:r>
        <w:rPr>
          <w:rFonts w:hint="default" w:ascii="Times New Roman" w:hAnsi="Times New Roman" w:eastAsia="宋体" w:cs="Times New Roman"/>
          <w:b/>
          <w:color w:val="000000"/>
          <w:sz w:val="28"/>
          <w:szCs w:val="28"/>
          <w:highlight w:val="none"/>
        </w:rPr>
        <w:t>评价建议</w:t>
      </w:r>
      <w:bookmarkEnd w:id="451"/>
      <w:bookmarkEnd w:id="452"/>
      <w:bookmarkEnd w:id="453"/>
      <w:bookmarkEnd w:id="454"/>
      <w:bookmarkEnd w:id="455"/>
    </w:p>
    <w:p w14:paraId="353B94CB">
      <w:pPr>
        <w:pageBreakBefore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为最大限度减轻工程外排污染源对周围环境的影响，确保各类污染源达标排放及环保治理设施的稳定运行，提出如下建议：</w:t>
      </w:r>
    </w:p>
    <w:p w14:paraId="2F73A745">
      <w:pPr>
        <w:pageBreakBefore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建设单位应遵循安监部门的设计与要求进行管理，同时应做好土地复垦和水土保持工作，在场区及时实施植被恢复措施，封场后委托资质部门进行封场设计，并进行生态恢复。</w:t>
      </w:r>
    </w:p>
    <w:p w14:paraId="0BC325DB">
      <w:pPr>
        <w:pageBreakBefore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highlight w:val="none"/>
          <w:lang w:val="zh-CN"/>
        </w:rPr>
      </w:pPr>
      <w:r>
        <w:rPr>
          <w:rFonts w:hint="default" w:ascii="Times New Roman" w:hAnsi="Times New Roman" w:cs="Times New Roman"/>
          <w:color w:val="000000"/>
          <w:kern w:val="0"/>
          <w:sz w:val="24"/>
          <w:highlight w:val="none"/>
          <w:lang w:val="zh-CN"/>
        </w:rPr>
        <w:t>排土场运行和服务期满的安全问题根据安全生产主管部门的要求执行，防止因生产安全问题引发次生的环境问题。</w:t>
      </w:r>
    </w:p>
    <w:sectPr>
      <w:pgSz w:w="11906" w:h="16838"/>
      <w:pgMar w:top="1440" w:right="1797" w:bottom="1440" w:left="1797" w:header="851" w:footer="992" w:gutter="0"/>
      <w:pgBorders w:offsetFrom="page">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roman"/>
    <w:pitch w:val="default"/>
    <w:sig w:usb0="00000000" w:usb1="00000000" w:usb2="0000003F" w:usb3="00000000" w:csb0="603F01FF" w:csb1="FFFF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_x000B__x000C_">
    <w:altName w:val="Times New Roman"/>
    <w:panose1 w:val="00000000000000000000"/>
    <w:charset w:val="00"/>
    <w:family w:val="roman"/>
    <w:pitch w:val="default"/>
    <w:sig w:usb0="00000000" w:usb1="00000000" w:usb2="00000000" w:usb3="00000000" w:csb0="00000001" w:csb1="00000000"/>
  </w:font>
  <w:font w:name="Verdana">
    <w:panose1 w:val="020B0604030504040204"/>
    <w:charset w:val="00"/>
    <w:family w:val="swiss"/>
    <w:pitch w:val="default"/>
    <w:sig w:usb0="A00006FF" w:usb1="4000205B" w:usb2="00000010" w:usb3="00000000" w:csb0="2000019F" w:csb1="00000000"/>
  </w:font>
  <w:font w:name="华文细黑">
    <w:panose1 w:val="02010600040101010101"/>
    <w:charset w:val="86"/>
    <w:family w:val="auto"/>
    <w:pitch w:val="default"/>
    <w:sig w:usb0="00000287" w:usb1="080F0000" w:usb2="00000000" w:usb3="00000000" w:csb0="0004009F" w:csb1="DFD70000"/>
  </w:font>
  <w:font w:name="ˎ̥">
    <w:altName w:val="Times New Roman"/>
    <w:panose1 w:val="00000000000000000000"/>
    <w:charset w:val="00"/>
    <w:family w:val="roman"/>
    <w:pitch w:val="default"/>
    <w:sig w:usb0="00000000" w:usb1="00000000" w:usb2="00000000"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83" w:usb1="288F0000" w:usb2="00000006" w:usb3="00000000" w:csb0="00040001" w:csb1="00000000"/>
  </w:font>
  <w:font w:name="华文中宋">
    <w:panose1 w:val="02010600040101010101"/>
    <w:charset w:val="86"/>
    <w:family w:val="auto"/>
    <w:pitch w:val="default"/>
    <w:sig w:usb0="00000287" w:usb1="080F0000" w:usb2="00000000" w:usb3="00000000" w:csb0="0004009F" w:csb1="DFD70000"/>
  </w:font>
  <w:font w:name="Wingdings 2">
    <w:panose1 w:val="05020102010507070707"/>
    <w:charset w:val="02"/>
    <w:family w:val="auto"/>
    <w:pitch w:val="default"/>
    <w:sig w:usb0="00000000" w:usb1="00000000" w:usb2="00000000" w:usb3="00000000" w:csb0="80000000" w:csb1="00000000"/>
  </w:font>
  <w:font w:name="TimesNewRomanPSMT">
    <w:altName w:val="Times New Roman"/>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D8477A">
    <w:pPr>
      <w:pStyle w:val="35"/>
      <w:pBdr>
        <w:top w:val="none" w:color="auto" w:sz="0" w:space="0"/>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8CD7CC">
    <w:pPr>
      <w:pStyle w:val="35"/>
      <w:pBdr>
        <w:top w:val="none" w:color="auto" w:sz="0" w:space="0"/>
      </w:pBdr>
      <w:jc w:val="center"/>
    </w:pPr>
    <w:r>
      <w:fldChar w:fldCharType="begin"/>
    </w:r>
    <w:r>
      <w:rPr>
        <w:rStyle w:val="64"/>
      </w:rPr>
      <w:instrText xml:space="preserve"> PAGE </w:instrText>
    </w:r>
    <w:r>
      <w:fldChar w:fldCharType="separate"/>
    </w:r>
    <w:r>
      <w:rPr>
        <w:rStyle w:val="64"/>
      </w:rPr>
      <w:t>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616783">
    <w:pPr>
      <w:pStyle w:val="35"/>
      <w:pBdr>
        <w:top w:val="none" w:color="auto" w:sz="0" w:space="0"/>
      </w:pBdr>
      <w:jc w:val="center"/>
    </w:pPr>
    <w:r>
      <w:fldChar w:fldCharType="begin"/>
    </w:r>
    <w:r>
      <w:rPr>
        <w:rStyle w:val="64"/>
      </w:rPr>
      <w:instrText xml:space="preserve"> PAGE </w:instrText>
    </w:r>
    <w:r>
      <w:fldChar w:fldCharType="separate"/>
    </w:r>
    <w:r>
      <w:rPr>
        <w:rStyle w:val="64"/>
      </w:rPr>
      <w:t>33</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37B96A">
    <w:pPr>
      <w:pStyle w:val="35"/>
      <w:pBdr>
        <w:top w:val="none" w:color="auto" w:sz="0" w:space="0"/>
      </w:pBdr>
      <w:jc w:val="center"/>
    </w:pPr>
    <w:r>
      <w:fldChar w:fldCharType="begin"/>
    </w:r>
    <w:r>
      <w:rPr>
        <w:rStyle w:val="64"/>
      </w:rPr>
      <w:instrText xml:space="preserve"> PAGE </w:instrText>
    </w:r>
    <w:r>
      <w:fldChar w:fldCharType="separate"/>
    </w:r>
    <w:r>
      <w:rPr>
        <w:rStyle w:val="64"/>
      </w:rPr>
      <w:t>33</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DFCE5D">
    <w:pPr>
      <w:pStyle w:val="35"/>
      <w:pBdr>
        <w:top w:val="none" w:color="auto" w:sz="0" w:space="0"/>
      </w:pBdr>
      <w:jc w:val="center"/>
    </w:pPr>
    <w:r>
      <w:fldChar w:fldCharType="begin"/>
    </w:r>
    <w:r>
      <w:instrText xml:space="preserve"> PAGE   \* MERGEFORMAT </w:instrText>
    </w:r>
    <w:r>
      <w:fldChar w:fldCharType="separate"/>
    </w:r>
    <w:r>
      <w:rPr>
        <w:lang w:val="zh-CN"/>
      </w:rPr>
      <w:t>244</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BBDCD5">
    <w:pPr>
      <w:pStyle w:val="36"/>
      <w:pBdr>
        <w:bottom w:val="none" w:color="auto" w:sz="0" w:space="1"/>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F62569">
    <w:pPr>
      <w:pStyle w:val="36"/>
      <w:rPr>
        <w:rFonts w:hint="eastAsia"/>
      </w:rPr>
    </w:pPr>
    <w:r>
      <w:rPr>
        <w:rFonts w:hint="eastAsia"/>
        <w:color w:val="000000"/>
        <w:sz w:val="21"/>
        <w:szCs w:val="21"/>
        <w:lang w:eastAsia="zh-CN"/>
      </w:rPr>
      <w:t>承德天宝矿业集团大昌矿业有限公司东北沟排土场建设项目</w:t>
    </w:r>
    <w:r>
      <w:rPr>
        <w:rFonts w:hint="eastAsia"/>
        <w:color w:val="000000"/>
        <w:sz w:val="21"/>
        <w:szCs w:val="21"/>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0810D7">
    <w:pPr>
      <w:pStyle w:val="36"/>
      <w:rPr>
        <w:rFonts w:hint="eastAsia"/>
      </w:rPr>
    </w:pPr>
    <w:r>
      <w:rPr>
        <w:rFonts w:hint="eastAsia"/>
        <w:color w:val="000000"/>
        <w:sz w:val="21"/>
        <w:szCs w:val="21"/>
        <w:lang w:eastAsia="zh-CN"/>
      </w:rPr>
      <w:t>承德天宝矿业集团大昌矿业有限公司东北沟排土场建设项目</w:t>
    </w:r>
    <w:r>
      <w:rPr>
        <w:rFonts w:hint="eastAsia"/>
        <w:color w:val="000000"/>
        <w:sz w:val="21"/>
        <w:szCs w:val="21"/>
      </w:rPr>
      <w:t>环境影响报告书</w:t>
    </w:r>
  </w:p>
  <w:p w14:paraId="045D71D4">
    <w:pPr>
      <w:spacing w:line="57" w:lineRule="exact"/>
      <w:ind w:firstLine="84"/>
      <w:textAlignment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FF2F3F"/>
    <w:multiLevelType w:val="singleLevel"/>
    <w:tmpl w:val="91FF2F3F"/>
    <w:lvl w:ilvl="0" w:tentative="0">
      <w:start w:val="1"/>
      <w:numFmt w:val="decimal"/>
      <w:suff w:val="nothing"/>
      <w:lvlText w:val="表4-%1  "/>
      <w:lvlJc w:val="left"/>
      <w:pPr>
        <w:tabs>
          <w:tab w:val="left" w:pos="420"/>
        </w:tabs>
        <w:ind w:left="425" w:hanging="425"/>
      </w:pPr>
      <w:rPr>
        <w:rFonts w:hint="default" w:ascii="Times New Roman" w:hAnsi="Times New Roman" w:eastAsia="宋体" w:cs="Times New Roman"/>
        <w:sz w:val="21"/>
        <w:szCs w:val="21"/>
      </w:rPr>
    </w:lvl>
  </w:abstractNum>
  <w:abstractNum w:abstractNumId="1">
    <w:nsid w:val="A8A79182"/>
    <w:multiLevelType w:val="multilevel"/>
    <w:tmpl w:val="A8A79182"/>
    <w:lvl w:ilvl="0" w:tentative="0">
      <w:start w:val="1"/>
      <w:numFmt w:val="decimal"/>
      <w:suff w:val="nothing"/>
      <w:lvlText w:val="（%1）"/>
      <w:lvlJc w:val="left"/>
      <w:pPr>
        <w:ind w:left="900" w:hanging="420"/>
      </w:pPr>
      <w:rPr>
        <w:rFonts w:hint="default"/>
        <w:color w:val="auto"/>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B83CD0C8"/>
    <w:multiLevelType w:val="multilevel"/>
    <w:tmpl w:val="B83CD0C8"/>
    <w:lvl w:ilvl="0" w:tentative="0">
      <w:start w:val="1"/>
      <w:numFmt w:val="decimal"/>
      <w:suff w:val="nothing"/>
      <w:lvlText w:val="（%1）"/>
      <w:lvlJc w:val="left"/>
      <w:pPr>
        <w:tabs>
          <w:tab w:val="left" w:pos="0"/>
        </w:tabs>
        <w:ind w:left="0" w:leftChars="0" w:firstLine="0" w:firstLineChars="0"/>
      </w:pPr>
      <w:rPr>
        <w:rFonts w:hint="default"/>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DE6897D5"/>
    <w:multiLevelType w:val="multilevel"/>
    <w:tmpl w:val="DE6897D5"/>
    <w:lvl w:ilvl="0" w:tentative="0">
      <w:start w:val="1"/>
      <w:numFmt w:val="decimal"/>
      <w:lvlText w:val="图3-%1  "/>
      <w:lvlJc w:val="left"/>
      <w:pPr>
        <w:ind w:left="420" w:hanging="420"/>
      </w:pPr>
      <w:rPr>
        <w:rFonts w:hint="default" w:ascii="Times New Roman" w:hAnsi="Times New Roman" w:eastAsia="宋体" w:cs="Times New Roman"/>
        <w:b/>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FB1902D2"/>
    <w:multiLevelType w:val="singleLevel"/>
    <w:tmpl w:val="FB1902D2"/>
    <w:lvl w:ilvl="0" w:tentative="0">
      <w:start w:val="1"/>
      <w:numFmt w:val="bullet"/>
      <w:pStyle w:val="29"/>
      <w:lvlText w:val=""/>
      <w:lvlJc w:val="left"/>
      <w:pPr>
        <w:tabs>
          <w:tab w:val="left" w:pos="2040"/>
        </w:tabs>
        <w:ind w:left="2040" w:hanging="360"/>
      </w:pPr>
      <w:rPr>
        <w:rFonts w:hint="default" w:ascii="Wingdings" w:hAnsi="Wingdings"/>
      </w:rPr>
    </w:lvl>
  </w:abstractNum>
  <w:abstractNum w:abstractNumId="5">
    <w:nsid w:val="0835C27A"/>
    <w:multiLevelType w:val="multilevel"/>
    <w:tmpl w:val="0835C27A"/>
    <w:lvl w:ilvl="0" w:tentative="0">
      <w:start w:val="1"/>
      <w:numFmt w:val="decimal"/>
      <w:isLgl/>
      <w:suff w:val="space"/>
      <w:lvlText w:val="%1"/>
      <w:lvlJc w:val="left"/>
      <w:pPr>
        <w:tabs>
          <w:tab w:val="left" w:pos="420"/>
        </w:tabs>
        <w:ind w:left="0" w:firstLine="0"/>
      </w:pPr>
      <w:rPr>
        <w:rFonts w:hint="default" w:ascii="Times New Roman" w:hAnsi="Times New Roman" w:eastAsia="黑体" w:cs="宋体"/>
        <w:sz w:val="32"/>
      </w:rPr>
    </w:lvl>
    <w:lvl w:ilvl="1" w:tentative="0">
      <w:start w:val="1"/>
      <w:numFmt w:val="decimal"/>
      <w:isLgl/>
      <w:suff w:val="space"/>
      <w:lvlText w:val="%1.%2"/>
      <w:lvlJc w:val="left"/>
      <w:pPr>
        <w:tabs>
          <w:tab w:val="left" w:pos="0"/>
        </w:tabs>
        <w:ind w:left="0" w:firstLine="0"/>
      </w:pPr>
      <w:rPr>
        <w:rFonts w:hint="default" w:ascii="Times New Roman" w:hAnsi="Times New Roman" w:eastAsia="黑体" w:cs="宋体"/>
        <w:sz w:val="28"/>
      </w:rPr>
    </w:lvl>
    <w:lvl w:ilvl="2" w:tentative="0">
      <w:start w:val="1"/>
      <w:numFmt w:val="decimal"/>
      <w:isLgl/>
      <w:suff w:val="space"/>
      <w:lvlText w:val="%1.%2.%3"/>
      <w:lvlJc w:val="left"/>
      <w:pPr>
        <w:tabs>
          <w:tab w:val="left" w:pos="0"/>
        </w:tabs>
        <w:ind w:left="0" w:firstLine="0"/>
      </w:pPr>
      <w:rPr>
        <w:rFonts w:hint="default" w:ascii="Times New Roman" w:hAnsi="Times New Roman" w:eastAsia="黑体" w:cs="宋体"/>
        <w:sz w:val="24"/>
      </w:rPr>
    </w:lvl>
    <w:lvl w:ilvl="3" w:tentative="0">
      <w:start w:val="1"/>
      <w:numFmt w:val="decimal"/>
      <w:isLgl/>
      <w:suff w:val="nothing"/>
      <w:lvlText w:val="%1.%2.%3.%4 "/>
      <w:lvlJc w:val="left"/>
      <w:pPr>
        <w:tabs>
          <w:tab w:val="left" w:pos="420"/>
        </w:tabs>
        <w:ind w:left="0" w:firstLine="0"/>
      </w:pPr>
      <w:rPr>
        <w:rFonts w:hint="default" w:ascii="宋体" w:hAnsi="宋体" w:eastAsia="宋体" w:cs="宋体"/>
        <w:sz w:val="24"/>
      </w:rPr>
    </w:lvl>
    <w:lvl w:ilvl="4" w:tentative="0">
      <w:start w:val="1"/>
      <w:numFmt w:val="decimal"/>
      <w:suff w:val="nothing"/>
      <w:lvlText w:val="（%5）"/>
      <w:lvlJc w:val="left"/>
      <w:pPr>
        <w:tabs>
          <w:tab w:val="left" w:pos="420"/>
        </w:tabs>
        <w:ind w:left="0" w:firstLine="0"/>
      </w:pPr>
      <w:rPr>
        <w:rFonts w:hint="default" w:ascii="宋体" w:hAnsi="宋体" w:eastAsia="宋体" w:cs="宋体"/>
        <w:sz w:val="24"/>
      </w:rPr>
    </w:lvl>
    <w:lvl w:ilvl="5" w:tentative="0">
      <w:start w:val="1"/>
      <w:numFmt w:val="decimal"/>
      <w:suff w:val="nothing"/>
      <w:lvlText w:val="表2-%6  "/>
      <w:lvlJc w:val="center"/>
      <w:pPr>
        <w:tabs>
          <w:tab w:val="left" w:pos="0"/>
        </w:tabs>
        <w:ind w:left="1050" w:hanging="1050"/>
      </w:pPr>
      <w:rPr>
        <w:rFonts w:hint="default" w:ascii="Times New Roman" w:hAnsi="Times New Roman" w:eastAsia="宋体" w:cs="Times New Roman"/>
        <w:sz w:val="21"/>
        <w:lang w:val="en-US"/>
      </w:rPr>
    </w:lvl>
    <w:lvl w:ilvl="6" w:tentative="0">
      <w:start w:val="1"/>
      <w:numFmt w:val="decimal"/>
      <w:lvlRestart w:val="1"/>
      <w:isLgl/>
      <w:suff w:val="space"/>
      <w:lvlText w:val="表%1-%7 "/>
      <w:lvlJc w:val="center"/>
      <w:pPr>
        <w:tabs>
          <w:tab w:val="left" w:pos="0"/>
        </w:tabs>
        <w:ind w:left="0" w:firstLine="0"/>
      </w:pPr>
      <w:rPr>
        <w:rFonts w:hint="default" w:ascii="Times New Roman" w:hAnsi="Times New Roman" w:eastAsia="黑体" w:cs="宋体"/>
        <w:sz w:val="21"/>
      </w:rPr>
    </w:lvl>
    <w:lvl w:ilvl="7" w:tentative="0">
      <w:start w:val="1"/>
      <w:numFmt w:val="decimalEnclosedCircleChinese"/>
      <w:lvlRestart w:val="4"/>
      <w:suff w:val="nothing"/>
      <w:lvlText w:val="%8"/>
      <w:lvlJc w:val="left"/>
      <w:pPr>
        <w:tabs>
          <w:tab w:val="left" w:pos="420"/>
        </w:tabs>
        <w:ind w:left="0" w:firstLine="0"/>
      </w:pPr>
      <w:rPr>
        <w:rFonts w:hint="eastAsia" w:ascii="Times New Roman" w:hAnsi="Times New Roman" w:eastAsia="宋体" w:cs="宋体"/>
        <w:sz w:val="21"/>
        <w:szCs w:val="24"/>
      </w:rPr>
    </w:lvl>
    <w:lvl w:ilvl="8" w:tentative="0">
      <w:start w:val="1"/>
      <w:numFmt w:val="decimal"/>
      <w:lvlText w:val="%1.%2.%3.%4.%5.%6.%7.%8.%9."/>
      <w:lvlJc w:val="left"/>
      <w:pPr>
        <w:tabs>
          <w:tab w:val="left" w:pos="420"/>
        </w:tabs>
        <w:ind w:left="1558" w:hanging="1558"/>
      </w:pPr>
      <w:rPr>
        <w:rFonts w:hint="default" w:ascii="宋体" w:hAnsi="宋体" w:eastAsia="宋体" w:cs="宋体"/>
      </w:rPr>
    </w:lvl>
  </w:abstractNum>
  <w:abstractNum w:abstractNumId="6">
    <w:nsid w:val="0BA8581C"/>
    <w:multiLevelType w:val="multilevel"/>
    <w:tmpl w:val="0BA8581C"/>
    <w:lvl w:ilvl="0" w:tentative="0">
      <w:start w:val="1"/>
      <w:numFmt w:val="decimal"/>
      <w:pStyle w:val="116"/>
      <w:lvlText w:val="表 %1 "/>
      <w:lvlJc w:val="left"/>
      <w:pPr>
        <w:tabs>
          <w:tab w:val="left" w:pos="900"/>
        </w:tabs>
        <w:ind w:left="540" w:hanging="360"/>
      </w:pPr>
      <w:rPr>
        <w:rFonts w:hint="default" w:ascii="Times New Roman" w:hAnsi="Times New Roman" w:eastAsia="宋体" w:cs="Times New Roman"/>
        <w:sz w:val="21"/>
      </w:rPr>
    </w:lvl>
    <w:lvl w:ilvl="1" w:tentative="0">
      <w:start w:val="1"/>
      <w:numFmt w:val="decimal"/>
      <w:lvlText w:val="%2)"/>
      <w:lvlJc w:val="left"/>
      <w:pPr>
        <w:tabs>
          <w:tab w:val="left" w:pos="840"/>
        </w:tabs>
        <w:ind w:left="840" w:hanging="420"/>
      </w:pPr>
      <w:rPr>
        <w:rFonts w:hint="eastAsia"/>
        <w:sz w:val="21"/>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15C71D95"/>
    <w:multiLevelType w:val="multilevel"/>
    <w:tmpl w:val="15C71D95"/>
    <w:lvl w:ilvl="0" w:tentative="0">
      <w:start w:val="1"/>
      <w:numFmt w:val="decimal"/>
      <w:lvlText w:val="表3-%1"/>
      <w:lvlJc w:val="center"/>
      <w:pPr>
        <w:ind w:left="420" w:hanging="420"/>
      </w:pPr>
      <w:rPr>
        <w:rFonts w:hint="default" w:ascii="Times New Roman" w:hAnsi="Times New Roman" w:eastAsia="宋体" w:cs="宋体"/>
        <w:b/>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A313724"/>
    <w:multiLevelType w:val="multilevel"/>
    <w:tmpl w:val="1A313724"/>
    <w:lvl w:ilvl="0" w:tentative="0">
      <w:start w:val="1"/>
      <w:numFmt w:val="decimal"/>
      <w:suff w:val="nothing"/>
      <w:lvlText w:val="表5-%1  "/>
      <w:lvlJc w:val="left"/>
      <w:pPr>
        <w:tabs>
          <w:tab w:val="left" w:pos="420"/>
        </w:tabs>
        <w:ind w:left="0" w:firstLine="0"/>
      </w:pPr>
      <w:rPr>
        <w:rFonts w:hint="default" w:ascii="Times New Roman" w:hAnsi="Times New Roman" w:eastAsia="宋体" w:cs="Times New Roman"/>
        <w:b/>
        <w:bCs/>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C9003EC"/>
    <w:multiLevelType w:val="multilevel"/>
    <w:tmpl w:val="1C9003EC"/>
    <w:lvl w:ilvl="0" w:tentative="0">
      <w:start w:val="1"/>
      <w:numFmt w:val="decimal"/>
      <w:pStyle w:val="4"/>
      <w:lvlText w:val="第%1章 "/>
      <w:lvlJc w:val="left"/>
      <w:pPr>
        <w:tabs>
          <w:tab w:val="left" w:pos="432"/>
        </w:tabs>
        <w:ind w:left="432" w:hanging="432"/>
      </w:pPr>
      <w:rPr>
        <w:rFonts w:hint="default" w:ascii="Times New Roman" w:hAnsi="Times New Roman" w:cs="Times New Roman"/>
        <w:sz w:val="36"/>
        <w:szCs w:val="36"/>
      </w:rPr>
    </w:lvl>
    <w:lvl w:ilvl="1" w:tentative="0">
      <w:start w:val="1"/>
      <w:numFmt w:val="decimal"/>
      <w:pStyle w:val="5"/>
      <w:lvlText w:val="%1.%2"/>
      <w:lvlJc w:val="left"/>
      <w:pPr>
        <w:tabs>
          <w:tab w:val="left" w:pos="576"/>
        </w:tabs>
        <w:ind w:left="576" w:hanging="576"/>
      </w:pPr>
      <w:rPr>
        <w:rFonts w:hint="eastAsia"/>
      </w:rPr>
    </w:lvl>
    <w:lvl w:ilvl="2" w:tentative="0">
      <w:start w:val="1"/>
      <w:numFmt w:val="decimal"/>
      <w:pStyle w:val="6"/>
      <w:lvlText w:val="%1.%2.%3"/>
      <w:lvlJc w:val="left"/>
      <w:pPr>
        <w:tabs>
          <w:tab w:val="left" w:pos="720"/>
        </w:tabs>
        <w:ind w:left="720" w:hanging="720"/>
      </w:pPr>
      <w:rPr>
        <w:rFonts w:hint="eastAsia"/>
      </w:rPr>
    </w:lvl>
    <w:lvl w:ilvl="3" w:tentative="0">
      <w:start w:val="1"/>
      <w:numFmt w:val="decimal"/>
      <w:pStyle w:val="7"/>
      <w:lvlText w:val="%1.%2.%3.%4"/>
      <w:lvlJc w:val="left"/>
      <w:pPr>
        <w:tabs>
          <w:tab w:val="left" w:pos="864"/>
        </w:tabs>
        <w:ind w:left="864" w:hanging="864"/>
      </w:pPr>
      <w:rPr>
        <w:rFonts w:hint="eastAsia"/>
      </w:rPr>
    </w:lvl>
    <w:lvl w:ilvl="4" w:tentative="0">
      <w:start w:val="1"/>
      <w:numFmt w:val="decimal"/>
      <w:pStyle w:val="8"/>
      <w:lvlText w:val="%1.%2.%3.%4.%5"/>
      <w:lvlJc w:val="left"/>
      <w:pPr>
        <w:tabs>
          <w:tab w:val="left" w:pos="1008"/>
        </w:tabs>
        <w:ind w:left="1008" w:hanging="1008"/>
      </w:pPr>
      <w:rPr>
        <w:rFonts w:hint="eastAsia"/>
      </w:rPr>
    </w:lvl>
    <w:lvl w:ilvl="5" w:tentative="0">
      <w:start w:val="1"/>
      <w:numFmt w:val="decimal"/>
      <w:pStyle w:val="9"/>
      <w:lvlText w:val="%1.%2.%3.%4.%5.%6"/>
      <w:lvlJc w:val="left"/>
      <w:pPr>
        <w:tabs>
          <w:tab w:val="left" w:pos="1152"/>
        </w:tabs>
        <w:ind w:left="1152" w:hanging="1152"/>
      </w:pPr>
      <w:rPr>
        <w:rFonts w:hint="eastAsia"/>
      </w:rPr>
    </w:lvl>
    <w:lvl w:ilvl="6" w:tentative="0">
      <w:start w:val="1"/>
      <w:numFmt w:val="decimal"/>
      <w:pStyle w:val="10"/>
      <w:lvlText w:val="%1.%2.%3.%4.%5.%6.%7"/>
      <w:lvlJc w:val="left"/>
      <w:pPr>
        <w:tabs>
          <w:tab w:val="left" w:pos="1296"/>
        </w:tabs>
        <w:ind w:left="1296" w:hanging="1296"/>
      </w:pPr>
      <w:rPr>
        <w:rFonts w:hint="eastAsia"/>
      </w:rPr>
    </w:lvl>
    <w:lvl w:ilvl="7" w:tentative="0">
      <w:start w:val="1"/>
      <w:numFmt w:val="decimal"/>
      <w:pStyle w:val="11"/>
      <w:lvlText w:val="%1.%2.%3.%4.%5.%6.%7.%8"/>
      <w:lvlJc w:val="left"/>
      <w:pPr>
        <w:tabs>
          <w:tab w:val="left" w:pos="1440"/>
        </w:tabs>
        <w:ind w:left="1440" w:hanging="1440"/>
      </w:pPr>
      <w:rPr>
        <w:rFonts w:hint="eastAsia"/>
      </w:rPr>
    </w:lvl>
    <w:lvl w:ilvl="8" w:tentative="0">
      <w:start w:val="1"/>
      <w:numFmt w:val="decimal"/>
      <w:pStyle w:val="12"/>
      <w:lvlText w:val="%1.%2.%3.%4.%5.%6.%7.%8.%9"/>
      <w:lvlJc w:val="left"/>
      <w:pPr>
        <w:tabs>
          <w:tab w:val="left" w:pos="1584"/>
        </w:tabs>
        <w:ind w:left="1584" w:hanging="1584"/>
      </w:pPr>
      <w:rPr>
        <w:rFonts w:hint="eastAsia"/>
      </w:rPr>
    </w:lvl>
  </w:abstractNum>
  <w:abstractNum w:abstractNumId="10">
    <w:nsid w:val="20D829C3"/>
    <w:multiLevelType w:val="multilevel"/>
    <w:tmpl w:val="20D829C3"/>
    <w:lvl w:ilvl="0" w:tentative="0">
      <w:start w:val="1"/>
      <w:numFmt w:val="decimal"/>
      <w:pStyle w:val="94"/>
      <w:lvlText w:val="图 %1 "/>
      <w:lvlJc w:val="left"/>
      <w:pPr>
        <w:tabs>
          <w:tab w:val="left" w:pos="720"/>
        </w:tabs>
        <w:ind w:left="360" w:hanging="360"/>
      </w:pPr>
      <w:rPr>
        <w:rFonts w:hint="eastAsia"/>
        <w:sz w:val="21"/>
      </w:rPr>
    </w:lvl>
    <w:lvl w:ilvl="1" w:tentative="0">
      <w:start w:val="1"/>
      <w:numFmt w:val="bullet"/>
      <w:lvlText w:val=""/>
      <w:lvlJc w:val="left"/>
      <w:pPr>
        <w:tabs>
          <w:tab w:val="left" w:pos="840"/>
        </w:tabs>
        <w:ind w:left="840" w:hanging="420"/>
      </w:pPr>
      <w:rPr>
        <w:rFonts w:hint="default" w:ascii="Wingdings" w:hAnsi="Wingdings"/>
        <w:sz w:val="21"/>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35B5C497"/>
    <w:multiLevelType w:val="multilevel"/>
    <w:tmpl w:val="35B5C497"/>
    <w:lvl w:ilvl="0" w:tentative="0">
      <w:start w:val="1"/>
      <w:numFmt w:val="decimal"/>
      <w:suff w:val="nothing"/>
      <w:lvlText w:val="图2-%1  "/>
      <w:lvlJc w:val="left"/>
      <w:pPr>
        <w:tabs>
          <w:tab w:val="left" w:pos="0"/>
        </w:tabs>
        <w:ind w:left="0" w:firstLine="0"/>
      </w:pPr>
      <w:rPr>
        <w:rFonts w:hint="default" w:ascii="Times New Roman" w:hAnsi="Times New Roman" w:eastAsia="宋体" w:cs="宋体"/>
        <w:b/>
        <w:bCs/>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39856518"/>
    <w:multiLevelType w:val="multilevel"/>
    <w:tmpl w:val="39856518"/>
    <w:lvl w:ilvl="0" w:tentative="0">
      <w:start w:val="1"/>
      <w:numFmt w:val="decimal"/>
      <w:suff w:val="nothing"/>
      <w:lvlText w:val="（%1）"/>
      <w:lvlJc w:val="left"/>
      <w:pPr>
        <w:ind w:left="846"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4032CCB8"/>
    <w:multiLevelType w:val="multilevel"/>
    <w:tmpl w:val="4032CCB8"/>
    <w:lvl w:ilvl="0" w:tentative="0">
      <w:start w:val="1"/>
      <w:numFmt w:val="decimal"/>
      <w:suff w:val="space"/>
      <w:lvlText w:val="表1-%1 "/>
      <w:lvlJc w:val="center"/>
      <w:pPr>
        <w:tabs>
          <w:tab w:val="left" w:pos="0"/>
        </w:tabs>
        <w:ind w:left="0" w:firstLine="0"/>
      </w:pPr>
      <w:rPr>
        <w:rFonts w:hint="default" w:ascii="Times New Roman" w:hAnsi="Times New Roman" w:eastAsia="宋体" w:cs="宋体"/>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1B5E79A"/>
    <w:multiLevelType w:val="multilevel"/>
    <w:tmpl w:val="41B5E79A"/>
    <w:lvl w:ilvl="0" w:tentative="0">
      <w:start w:val="1"/>
      <w:numFmt w:val="decimal"/>
      <w:suff w:val="nothing"/>
      <w:lvlText w:val="图5-%1  "/>
      <w:lvlJc w:val="center"/>
      <w:pPr>
        <w:tabs>
          <w:tab w:val="left" w:pos="420"/>
        </w:tabs>
        <w:ind w:left="0" w:firstLine="0"/>
      </w:pPr>
      <w:rPr>
        <w:rFonts w:hint="default" w:ascii="Times New Roman" w:hAnsi="Times New Roman" w:eastAsia="宋体" w:cs="Times New Roman"/>
        <w:b/>
        <w:i w:val="0"/>
        <w:sz w:val="21"/>
      </w:rPr>
    </w:lvl>
    <w:lvl w:ilvl="1" w:tentative="0">
      <w:start w:val="1"/>
      <w:numFmt w:val="lowerLetter"/>
      <w:lvlText w:val="%2)"/>
      <w:lvlJc w:val="left"/>
      <w:pPr>
        <w:ind w:left="1320" w:hanging="420"/>
      </w:pPr>
      <w:rPr>
        <w:rFonts w:cs="Times New Roman"/>
      </w:rPr>
    </w:lvl>
    <w:lvl w:ilvl="2" w:tentative="0">
      <w:start w:val="1"/>
      <w:numFmt w:val="lowerRoman"/>
      <w:lvlText w:val="%3."/>
      <w:lvlJc w:val="right"/>
      <w:pPr>
        <w:ind w:left="1740" w:hanging="420"/>
      </w:pPr>
      <w:rPr>
        <w:rFonts w:cs="Times New Roman"/>
      </w:rPr>
    </w:lvl>
    <w:lvl w:ilvl="3" w:tentative="0">
      <w:start w:val="1"/>
      <w:numFmt w:val="decimal"/>
      <w:lvlText w:val="%4."/>
      <w:lvlJc w:val="left"/>
      <w:pPr>
        <w:ind w:left="2160" w:hanging="420"/>
      </w:pPr>
      <w:rPr>
        <w:rFonts w:cs="Times New Roman"/>
      </w:rPr>
    </w:lvl>
    <w:lvl w:ilvl="4" w:tentative="0">
      <w:start w:val="1"/>
      <w:numFmt w:val="lowerLetter"/>
      <w:lvlText w:val="%5)"/>
      <w:lvlJc w:val="left"/>
      <w:pPr>
        <w:ind w:left="2580" w:hanging="420"/>
      </w:pPr>
      <w:rPr>
        <w:rFonts w:cs="Times New Roman"/>
      </w:rPr>
    </w:lvl>
    <w:lvl w:ilvl="5" w:tentative="0">
      <w:start w:val="1"/>
      <w:numFmt w:val="lowerRoman"/>
      <w:lvlText w:val="%6."/>
      <w:lvlJc w:val="right"/>
      <w:pPr>
        <w:ind w:left="3000" w:hanging="420"/>
      </w:pPr>
      <w:rPr>
        <w:rFonts w:cs="Times New Roman"/>
      </w:rPr>
    </w:lvl>
    <w:lvl w:ilvl="6" w:tentative="0">
      <w:start w:val="1"/>
      <w:numFmt w:val="decimal"/>
      <w:lvlText w:val="%7."/>
      <w:lvlJc w:val="left"/>
      <w:pPr>
        <w:ind w:left="3420" w:hanging="420"/>
      </w:pPr>
      <w:rPr>
        <w:rFonts w:cs="Times New Roman"/>
      </w:rPr>
    </w:lvl>
    <w:lvl w:ilvl="7" w:tentative="0">
      <w:start w:val="1"/>
      <w:numFmt w:val="lowerLetter"/>
      <w:lvlText w:val="%8)"/>
      <w:lvlJc w:val="left"/>
      <w:pPr>
        <w:ind w:left="3840" w:hanging="420"/>
      </w:pPr>
      <w:rPr>
        <w:rFonts w:cs="Times New Roman"/>
      </w:rPr>
    </w:lvl>
    <w:lvl w:ilvl="8" w:tentative="0">
      <w:start w:val="1"/>
      <w:numFmt w:val="lowerRoman"/>
      <w:lvlText w:val="%9."/>
      <w:lvlJc w:val="right"/>
      <w:pPr>
        <w:ind w:left="4260" w:hanging="420"/>
      </w:pPr>
      <w:rPr>
        <w:rFonts w:cs="Times New Roman"/>
      </w:rPr>
    </w:lvl>
  </w:abstractNum>
  <w:abstractNum w:abstractNumId="15">
    <w:nsid w:val="43F830A6"/>
    <w:multiLevelType w:val="multilevel"/>
    <w:tmpl w:val="43F830A6"/>
    <w:lvl w:ilvl="0" w:tentative="0">
      <w:start w:val="1"/>
      <w:numFmt w:val="decimal"/>
      <w:pStyle w:val="219"/>
      <w:lvlText w:val="%1"/>
      <w:lvlJc w:val="left"/>
      <w:pPr>
        <w:tabs>
          <w:tab w:val="left" w:pos="425"/>
        </w:tabs>
        <w:ind w:left="425" w:hanging="425"/>
      </w:pPr>
      <w:rPr>
        <w:rFonts w:hint="eastAsia"/>
      </w:rPr>
    </w:lvl>
    <w:lvl w:ilvl="1" w:tentative="0">
      <w:start w:val="1"/>
      <w:numFmt w:val="decimal"/>
      <w:lvlText w:val="%1.%2"/>
      <w:lvlJc w:val="left"/>
      <w:pPr>
        <w:tabs>
          <w:tab w:val="left" w:pos="567"/>
        </w:tabs>
        <w:ind w:left="992" w:hanging="992"/>
      </w:pPr>
      <w:rPr>
        <w:rFonts w:hint="eastAsia"/>
      </w:rPr>
    </w:lvl>
    <w:lvl w:ilvl="2" w:tentative="0">
      <w:start w:val="1"/>
      <w:numFmt w:val="decimal"/>
      <w:lvlText w:val="%1.%2.%3"/>
      <w:lvlJc w:val="left"/>
      <w:pPr>
        <w:tabs>
          <w:tab w:val="left" w:pos="567"/>
        </w:tabs>
        <w:ind w:left="1418" w:hanging="1418"/>
      </w:pPr>
      <w:rPr>
        <w:rFonts w:hint="eastAsia"/>
      </w:rPr>
    </w:lvl>
    <w:lvl w:ilvl="3" w:tentative="0">
      <w:start w:val="1"/>
      <w:numFmt w:val="decimal"/>
      <w:lvlText w:val="%1.%2.%3.%4"/>
      <w:lvlJc w:val="left"/>
      <w:pPr>
        <w:tabs>
          <w:tab w:val="left" w:pos="3076"/>
        </w:tabs>
        <w:ind w:left="1984" w:hanging="708"/>
      </w:pPr>
      <w:rPr>
        <w:rFonts w:hint="eastAsia"/>
      </w:rPr>
    </w:lvl>
    <w:lvl w:ilvl="4" w:tentative="0">
      <w:start w:val="1"/>
      <w:numFmt w:val="decimal"/>
      <w:lvlText w:val="%1.%2.%3.%4.%5"/>
      <w:lvlJc w:val="left"/>
      <w:pPr>
        <w:tabs>
          <w:tab w:val="left" w:pos="4221"/>
        </w:tabs>
        <w:ind w:left="2551" w:hanging="850"/>
      </w:pPr>
      <w:rPr>
        <w:rFonts w:hint="eastAsia"/>
      </w:rPr>
    </w:lvl>
    <w:lvl w:ilvl="5" w:tentative="0">
      <w:start w:val="1"/>
      <w:numFmt w:val="decimal"/>
      <w:lvlText w:val="%1.%2.%3.%4.%5.%6"/>
      <w:lvlJc w:val="left"/>
      <w:pPr>
        <w:tabs>
          <w:tab w:val="left" w:pos="5006"/>
        </w:tabs>
        <w:ind w:left="3260" w:hanging="1134"/>
      </w:pPr>
      <w:rPr>
        <w:rFonts w:hint="eastAsia"/>
      </w:rPr>
    </w:lvl>
    <w:lvl w:ilvl="6" w:tentative="0">
      <w:start w:val="1"/>
      <w:numFmt w:val="decimal"/>
      <w:lvlText w:val="%1.%2.%3.%4.%5.%6.%7"/>
      <w:lvlJc w:val="left"/>
      <w:pPr>
        <w:tabs>
          <w:tab w:val="left" w:pos="5791"/>
        </w:tabs>
        <w:ind w:left="3827" w:hanging="1276"/>
      </w:pPr>
      <w:rPr>
        <w:rFonts w:hint="eastAsia"/>
      </w:rPr>
    </w:lvl>
    <w:lvl w:ilvl="7" w:tentative="0">
      <w:start w:val="1"/>
      <w:numFmt w:val="decimal"/>
      <w:lvlText w:val="%1.%2.%3.%4.%5.%6.%7.%8"/>
      <w:lvlJc w:val="left"/>
      <w:pPr>
        <w:tabs>
          <w:tab w:val="left" w:pos="6936"/>
        </w:tabs>
        <w:ind w:left="4394" w:hanging="1418"/>
      </w:pPr>
      <w:rPr>
        <w:rFonts w:hint="eastAsia"/>
      </w:rPr>
    </w:lvl>
    <w:lvl w:ilvl="8" w:tentative="0">
      <w:start w:val="1"/>
      <w:numFmt w:val="decimal"/>
      <w:lvlText w:val="%1.%2.%3.%4.%5.%6.%7.%8.%9"/>
      <w:lvlJc w:val="left"/>
      <w:pPr>
        <w:tabs>
          <w:tab w:val="left" w:pos="7722"/>
        </w:tabs>
        <w:ind w:left="5102" w:hanging="1700"/>
      </w:pPr>
      <w:rPr>
        <w:rFonts w:hint="eastAsia"/>
      </w:rPr>
    </w:lvl>
  </w:abstractNum>
  <w:abstractNum w:abstractNumId="16">
    <w:nsid w:val="53B6BBDD"/>
    <w:multiLevelType w:val="multilevel"/>
    <w:tmpl w:val="53B6BBDD"/>
    <w:lvl w:ilvl="0" w:tentative="0">
      <w:start w:val="1"/>
      <w:numFmt w:val="decimal"/>
      <w:isLgl/>
      <w:suff w:val="space"/>
      <w:lvlText w:val="表2-%1"/>
      <w:lvlJc w:val="left"/>
      <w:pPr>
        <w:tabs>
          <w:tab w:val="left" w:pos="0"/>
        </w:tabs>
        <w:ind w:left="0" w:firstLine="0"/>
      </w:pPr>
      <w:rPr>
        <w:rFonts w:hint="default" w:ascii="Times New Roman" w:hAnsi="Times New Roman" w:eastAsia="宋体" w:cs="宋体"/>
        <w:sz w:val="21"/>
        <w:szCs w:val="21"/>
      </w:rPr>
    </w:lvl>
    <w:lvl w:ilvl="1" w:tentative="0">
      <w:start w:val="1"/>
      <w:numFmt w:val="decimal"/>
      <w:isLgl/>
      <w:suff w:val="space"/>
      <w:lvlText w:val="%1.%2"/>
      <w:lvlJc w:val="left"/>
      <w:pPr>
        <w:tabs>
          <w:tab w:val="left" w:pos="0"/>
        </w:tabs>
        <w:ind w:left="0" w:firstLine="0"/>
      </w:pPr>
      <w:rPr>
        <w:rFonts w:hint="default" w:ascii="宋体" w:hAnsi="宋体" w:eastAsia="宋体" w:cs="宋体"/>
        <w:sz w:val="28"/>
      </w:rPr>
    </w:lvl>
    <w:lvl w:ilvl="2" w:tentative="0">
      <w:start w:val="1"/>
      <w:numFmt w:val="decimal"/>
      <w:isLgl/>
      <w:suff w:val="space"/>
      <w:lvlText w:val="%1.%2.%3"/>
      <w:lvlJc w:val="left"/>
      <w:pPr>
        <w:tabs>
          <w:tab w:val="left" w:pos="420"/>
        </w:tabs>
        <w:ind w:left="0" w:firstLine="0"/>
      </w:pPr>
      <w:rPr>
        <w:rFonts w:hint="default" w:ascii="宋体" w:hAnsi="宋体" w:eastAsia="宋体" w:cs="宋体"/>
        <w:sz w:val="24"/>
      </w:rPr>
    </w:lvl>
    <w:lvl w:ilvl="3" w:tentative="0">
      <w:start w:val="1"/>
      <w:numFmt w:val="decimal"/>
      <w:isLgl/>
      <w:suff w:val="nothing"/>
      <w:lvlText w:val="%1.%2.%3.%4 "/>
      <w:lvlJc w:val="left"/>
      <w:pPr>
        <w:tabs>
          <w:tab w:val="left" w:pos="420"/>
        </w:tabs>
        <w:ind w:left="0" w:firstLine="0"/>
      </w:pPr>
      <w:rPr>
        <w:rFonts w:hint="default" w:ascii="宋体" w:hAnsi="宋体" w:eastAsia="宋体" w:cs="宋体"/>
        <w:sz w:val="24"/>
      </w:rPr>
    </w:lvl>
    <w:lvl w:ilvl="4" w:tentative="0">
      <w:start w:val="1"/>
      <w:numFmt w:val="decimal"/>
      <w:suff w:val="nothing"/>
      <w:lvlText w:val="（%5）"/>
      <w:lvlJc w:val="left"/>
      <w:pPr>
        <w:tabs>
          <w:tab w:val="left" w:pos="420"/>
        </w:tabs>
        <w:ind w:left="0" w:firstLine="0"/>
      </w:pPr>
      <w:rPr>
        <w:rFonts w:hint="default" w:ascii="宋体" w:hAnsi="宋体" w:eastAsia="宋体" w:cs="宋体"/>
        <w:sz w:val="24"/>
      </w:rPr>
    </w:lvl>
    <w:lvl w:ilvl="5" w:tentative="0">
      <w:start w:val="1"/>
      <w:numFmt w:val="decimal"/>
      <w:suff w:val="space"/>
      <w:lvlText w:val="表2-%6  "/>
      <w:lvlJc w:val="center"/>
      <w:pPr>
        <w:tabs>
          <w:tab w:val="left" w:pos="420"/>
        </w:tabs>
        <w:ind w:left="1050" w:firstLine="0"/>
      </w:pPr>
      <w:rPr>
        <w:rFonts w:hint="default" w:ascii="Times New Roman" w:hAnsi="Times New Roman" w:eastAsia="宋体" w:cs="宋体"/>
        <w:sz w:val="21"/>
        <w:lang w:val="en-US"/>
      </w:rPr>
    </w:lvl>
    <w:lvl w:ilvl="6" w:tentative="0">
      <w:start w:val="1"/>
      <w:numFmt w:val="decimal"/>
      <w:lvlRestart w:val="1"/>
      <w:isLgl/>
      <w:suff w:val="space"/>
      <w:lvlText w:val="表%1-%7 "/>
      <w:lvlJc w:val="center"/>
      <w:pPr>
        <w:tabs>
          <w:tab w:val="left" w:pos="420"/>
        </w:tabs>
        <w:ind w:left="0" w:firstLine="0"/>
      </w:pPr>
      <w:rPr>
        <w:rFonts w:hint="default" w:ascii="宋体" w:hAnsi="宋体" w:eastAsia="宋体" w:cs="宋体"/>
        <w:sz w:val="21"/>
      </w:rPr>
    </w:lvl>
    <w:lvl w:ilvl="7" w:tentative="0">
      <w:start w:val="1"/>
      <w:numFmt w:val="decimalEnclosedCircleChinese"/>
      <w:lvlRestart w:val="4"/>
      <w:suff w:val="nothing"/>
      <w:lvlText w:val="%8"/>
      <w:lvlJc w:val="left"/>
      <w:pPr>
        <w:tabs>
          <w:tab w:val="left" w:pos="420"/>
        </w:tabs>
        <w:ind w:left="0" w:firstLine="0"/>
      </w:pPr>
      <w:rPr>
        <w:rFonts w:hint="eastAsia" w:ascii="宋体" w:hAnsi="宋体" w:eastAsia="宋体" w:cs="宋体"/>
        <w:sz w:val="21"/>
        <w:szCs w:val="24"/>
      </w:rPr>
    </w:lvl>
    <w:lvl w:ilvl="8" w:tentative="0">
      <w:start w:val="1"/>
      <w:numFmt w:val="decimal"/>
      <w:lvlText w:val="%1.%2.%3.%4.%5.%6.%7.%8.%9."/>
      <w:lvlJc w:val="left"/>
      <w:pPr>
        <w:tabs>
          <w:tab w:val="left" w:pos="420"/>
        </w:tabs>
        <w:ind w:left="1558" w:hanging="1558"/>
      </w:pPr>
      <w:rPr>
        <w:rFonts w:hint="default" w:ascii="宋体" w:hAnsi="宋体" w:eastAsia="宋体" w:cs="宋体"/>
      </w:rPr>
    </w:lvl>
  </w:abstractNum>
  <w:abstractNum w:abstractNumId="17">
    <w:nsid w:val="564F5AB3"/>
    <w:multiLevelType w:val="multilevel"/>
    <w:tmpl w:val="564F5AB3"/>
    <w:lvl w:ilvl="0" w:tentative="0">
      <w:start w:val="1"/>
      <w:numFmt w:val="decimal"/>
      <w:pStyle w:val="216"/>
      <w:lvlText w:val="附录 %1. "/>
      <w:lvlJc w:val="left"/>
      <w:pPr>
        <w:tabs>
          <w:tab w:val="left" w:pos="1080"/>
        </w:tabs>
        <w:ind w:left="420" w:hanging="420"/>
      </w:pPr>
      <w:rPr>
        <w:rFonts w:hint="eastAsia"/>
      </w:rPr>
    </w:lvl>
    <w:lvl w:ilvl="1" w:tentative="0">
      <w:start w:val="1"/>
      <w:numFmt w:val="lowerLetter"/>
      <w:pStyle w:val="248"/>
      <w:lvlText w:val="%2)"/>
      <w:lvlJc w:val="left"/>
      <w:pPr>
        <w:tabs>
          <w:tab w:val="left" w:pos="840"/>
        </w:tabs>
        <w:ind w:left="840" w:hanging="420"/>
      </w:pPr>
    </w:lvl>
    <w:lvl w:ilvl="2" w:tentative="0">
      <w:start w:val="1"/>
      <w:numFmt w:val="lowerRoman"/>
      <w:pStyle w:val="263"/>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589D802B"/>
    <w:multiLevelType w:val="multilevel"/>
    <w:tmpl w:val="589D802B"/>
    <w:lvl w:ilvl="0" w:tentative="0">
      <w:start w:val="1"/>
      <w:numFmt w:val="decimal"/>
      <w:isLgl/>
      <w:suff w:val="space"/>
      <w:lvlText w:val="%1"/>
      <w:lvlJc w:val="left"/>
      <w:pPr>
        <w:tabs>
          <w:tab w:val="left" w:pos="420"/>
        </w:tabs>
        <w:ind w:left="0" w:firstLine="0"/>
      </w:pPr>
      <w:rPr>
        <w:rFonts w:hint="default" w:ascii="宋体" w:hAnsi="宋体" w:eastAsia="宋体" w:cs="宋体"/>
        <w:sz w:val="30"/>
      </w:rPr>
    </w:lvl>
    <w:lvl w:ilvl="1" w:tentative="0">
      <w:start w:val="1"/>
      <w:numFmt w:val="decimal"/>
      <w:isLgl/>
      <w:suff w:val="space"/>
      <w:lvlText w:val="%1.%2"/>
      <w:lvlJc w:val="left"/>
      <w:pPr>
        <w:tabs>
          <w:tab w:val="left" w:pos="0"/>
        </w:tabs>
        <w:ind w:left="0" w:firstLine="0"/>
      </w:pPr>
      <w:rPr>
        <w:rFonts w:hint="default" w:ascii="宋体" w:hAnsi="宋体" w:eastAsia="宋体" w:cs="宋体"/>
        <w:sz w:val="28"/>
      </w:rPr>
    </w:lvl>
    <w:lvl w:ilvl="2" w:tentative="0">
      <w:start w:val="1"/>
      <w:numFmt w:val="decimal"/>
      <w:isLgl/>
      <w:suff w:val="space"/>
      <w:lvlText w:val="%1.%2.%3"/>
      <w:lvlJc w:val="left"/>
      <w:pPr>
        <w:tabs>
          <w:tab w:val="left" w:pos="420"/>
        </w:tabs>
        <w:ind w:left="0" w:firstLine="0"/>
      </w:pPr>
      <w:rPr>
        <w:rFonts w:hint="default" w:ascii="宋体" w:hAnsi="宋体" w:eastAsia="宋体" w:cs="宋体"/>
        <w:sz w:val="24"/>
      </w:rPr>
    </w:lvl>
    <w:lvl w:ilvl="3" w:tentative="0">
      <w:start w:val="1"/>
      <w:numFmt w:val="decimal"/>
      <w:suff w:val="nothing"/>
      <w:lvlText w:val="（%4）"/>
      <w:lvlJc w:val="left"/>
      <w:pPr>
        <w:tabs>
          <w:tab w:val="left" w:pos="420"/>
        </w:tabs>
        <w:ind w:left="850" w:hanging="850"/>
      </w:pPr>
      <w:rPr>
        <w:rFonts w:hint="default" w:ascii="宋体" w:hAnsi="宋体" w:eastAsia="宋体" w:cs="宋体"/>
      </w:rPr>
    </w:lvl>
    <w:lvl w:ilvl="4" w:tentative="0">
      <w:start w:val="1"/>
      <w:numFmt w:val="decimal"/>
      <w:lvlText w:val="%5"/>
      <w:lvlJc w:val="left"/>
      <w:pPr>
        <w:tabs>
          <w:tab w:val="left" w:pos="420"/>
        </w:tabs>
        <w:ind w:left="991" w:hanging="991"/>
      </w:pPr>
      <w:rPr>
        <w:rFonts w:hint="default" w:ascii="宋体" w:hAnsi="宋体" w:eastAsia="宋体" w:cs="宋体"/>
      </w:rPr>
    </w:lvl>
    <w:lvl w:ilvl="5" w:tentative="0">
      <w:start w:val="1"/>
      <w:numFmt w:val="decimal"/>
      <w:lvlRestart w:val="1"/>
      <w:isLgl/>
      <w:suff w:val="space"/>
      <w:lvlText w:val="图%1-%6 "/>
      <w:lvlJc w:val="center"/>
      <w:pPr>
        <w:tabs>
          <w:tab w:val="left" w:pos="420"/>
        </w:tabs>
        <w:ind w:left="1134" w:hanging="1134"/>
      </w:pPr>
      <w:rPr>
        <w:rFonts w:hint="default" w:ascii="宋体" w:hAnsi="宋体" w:eastAsia="宋体" w:cs="宋体"/>
        <w:sz w:val="21"/>
      </w:rPr>
    </w:lvl>
    <w:lvl w:ilvl="6" w:tentative="0">
      <w:start w:val="1"/>
      <w:numFmt w:val="decimal"/>
      <w:lvlRestart w:val="1"/>
      <w:isLgl/>
      <w:suff w:val="space"/>
      <w:lvlText w:val="表%1-%7 "/>
      <w:lvlJc w:val="center"/>
      <w:pPr>
        <w:tabs>
          <w:tab w:val="left" w:pos="0"/>
        </w:tabs>
        <w:ind w:left="0" w:firstLine="0"/>
      </w:pPr>
      <w:rPr>
        <w:rFonts w:hint="default" w:ascii="宋体" w:hAnsi="宋体" w:eastAsia="宋体" w:cs="宋体"/>
        <w:sz w:val="21"/>
      </w:rPr>
    </w:lvl>
    <w:lvl w:ilvl="7" w:tentative="0">
      <w:start w:val="1"/>
      <w:numFmt w:val="decimalEnclosedCircleChinese"/>
      <w:lvlRestart w:val="4"/>
      <w:pStyle w:val="328"/>
      <w:suff w:val="space"/>
      <w:lvlText w:val="%8"/>
      <w:lvlJc w:val="left"/>
      <w:pPr>
        <w:tabs>
          <w:tab w:val="left" w:pos="420"/>
        </w:tabs>
        <w:ind w:left="0" w:firstLine="0"/>
      </w:pPr>
      <w:rPr>
        <w:rFonts w:hint="eastAsia" w:ascii="宋体" w:hAnsi="宋体" w:eastAsia="宋体" w:cs="宋体"/>
      </w:rPr>
    </w:lvl>
    <w:lvl w:ilvl="8" w:tentative="0">
      <w:start w:val="1"/>
      <w:numFmt w:val="decimal"/>
      <w:lvlText w:val="%1.%2.%3.%4.%5.%6.%7.%8.%9."/>
      <w:lvlJc w:val="left"/>
      <w:pPr>
        <w:ind w:left="1558" w:hanging="1558"/>
      </w:pPr>
      <w:rPr>
        <w:rFonts w:hint="default"/>
      </w:rPr>
    </w:lvl>
  </w:abstractNum>
  <w:abstractNum w:abstractNumId="19">
    <w:nsid w:val="58DE0BE5"/>
    <w:multiLevelType w:val="multilevel"/>
    <w:tmpl w:val="58DE0BE5"/>
    <w:lvl w:ilvl="0" w:tentative="0">
      <w:start w:val="1"/>
      <w:numFmt w:val="decimal"/>
      <w:suff w:val="space"/>
      <w:lvlText w:val="%1"/>
      <w:lvlJc w:val="left"/>
      <w:pPr>
        <w:ind w:left="0" w:firstLine="0"/>
      </w:pPr>
      <w:rPr>
        <w:rFonts w:hint="default" w:ascii="宋体" w:hAnsi="宋体" w:eastAsia="宋体" w:cs="宋体"/>
      </w:rPr>
    </w:lvl>
    <w:lvl w:ilvl="1" w:tentative="0">
      <w:start w:val="1"/>
      <w:numFmt w:val="decimal"/>
      <w:suff w:val="space"/>
      <w:lvlText w:val="%1.%2"/>
      <w:lvlJc w:val="left"/>
      <w:pPr>
        <w:tabs>
          <w:tab w:val="left" w:pos="0"/>
        </w:tabs>
        <w:ind w:left="0" w:firstLine="0"/>
      </w:pPr>
      <w:rPr>
        <w:rFonts w:hint="default" w:ascii="宋体" w:hAnsi="宋体" w:eastAsia="宋体" w:cs="宋体"/>
      </w:rPr>
    </w:lvl>
    <w:lvl w:ilvl="2" w:tentative="0">
      <w:start w:val="1"/>
      <w:numFmt w:val="decimal"/>
      <w:isLgl/>
      <w:suff w:val="space"/>
      <w:lvlText w:val="%1.%2.%3"/>
      <w:lvlJc w:val="left"/>
      <w:pPr>
        <w:tabs>
          <w:tab w:val="left" w:pos="420"/>
        </w:tabs>
        <w:ind w:left="0" w:firstLine="0"/>
      </w:pPr>
      <w:rPr>
        <w:rFonts w:hint="default" w:ascii="宋体" w:hAnsi="宋体" w:eastAsia="宋体" w:cs="宋体"/>
      </w:rPr>
    </w:lvl>
    <w:lvl w:ilvl="3" w:tentative="0">
      <w:start w:val="1"/>
      <w:numFmt w:val="decimal"/>
      <w:pStyle w:val="89"/>
      <w:suff w:val="nothing"/>
      <w:lvlText w:val="（%4）"/>
      <w:lvlJc w:val="left"/>
      <w:pPr>
        <w:tabs>
          <w:tab w:val="left" w:pos="420"/>
        </w:tabs>
        <w:ind w:left="850" w:hanging="850"/>
      </w:pPr>
      <w:rPr>
        <w:rFonts w:hint="default" w:ascii="宋体" w:hAnsi="宋体" w:eastAsia="宋体" w:cs="宋体"/>
        <w:lang w:val="en-US"/>
      </w:rPr>
    </w:lvl>
    <w:lvl w:ilvl="4" w:tentative="0">
      <w:start w:val="1"/>
      <w:numFmt w:val="none"/>
      <w:lvlText w:val=""/>
      <w:lvlJc w:val="left"/>
      <w:pPr>
        <w:tabs>
          <w:tab w:val="left" w:pos="420"/>
        </w:tabs>
        <w:ind w:left="991" w:hanging="991"/>
      </w:pPr>
      <w:rPr>
        <w:rFonts w:hint="default" w:ascii="宋体" w:hAnsi="宋体" w:eastAsia="宋体" w:cs="宋体"/>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0">
    <w:nsid w:val="6108E603"/>
    <w:multiLevelType w:val="singleLevel"/>
    <w:tmpl w:val="6108E603"/>
    <w:lvl w:ilvl="0" w:tentative="0">
      <w:start w:val="1"/>
      <w:numFmt w:val="decimal"/>
      <w:suff w:val="nothing"/>
      <w:lvlText w:val="（%1）"/>
      <w:lvlJc w:val="left"/>
    </w:lvl>
  </w:abstractNum>
  <w:abstractNum w:abstractNumId="21">
    <w:nsid w:val="76991436"/>
    <w:multiLevelType w:val="multilevel"/>
    <w:tmpl w:val="76991436"/>
    <w:lvl w:ilvl="0" w:tentative="0">
      <w:start w:val="1"/>
      <w:numFmt w:val="decimal"/>
      <w:suff w:val="nothing"/>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2">
    <w:nsid w:val="7B4725D4"/>
    <w:multiLevelType w:val="multilevel"/>
    <w:tmpl w:val="7B4725D4"/>
    <w:lvl w:ilvl="0" w:tentative="0">
      <w:start w:val="1"/>
      <w:numFmt w:val="decimal"/>
      <w:suff w:val="nothing"/>
      <w:lvlText w:val="（%1）"/>
      <w:lvlJc w:val="left"/>
      <w:pPr>
        <w:ind w:left="900" w:hanging="420"/>
      </w:pPr>
      <w:rPr>
        <w:rFonts w:hint="default"/>
        <w:color w:val="auto"/>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3">
    <w:nsid w:val="7C197E5C"/>
    <w:multiLevelType w:val="multilevel"/>
    <w:tmpl w:val="7C197E5C"/>
    <w:lvl w:ilvl="0" w:tentative="0">
      <w:start w:val="1"/>
      <w:numFmt w:val="decimal"/>
      <w:suff w:val="nothing"/>
      <w:lvlText w:val="图4-%1  "/>
      <w:lvlJc w:val="left"/>
      <w:pPr>
        <w:tabs>
          <w:tab w:val="left" w:pos="0"/>
        </w:tabs>
        <w:ind w:left="0" w:firstLine="0"/>
      </w:pPr>
      <w:rPr>
        <w:rFonts w:hint="default" w:ascii="Times New Roman" w:hAnsi="Times New Roman" w:eastAsia="宋体" w:cs="Times New Roman"/>
        <w:b/>
        <w:bCs/>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7D707D34"/>
    <w:multiLevelType w:val="multilevel"/>
    <w:tmpl w:val="7D707D34"/>
    <w:lvl w:ilvl="0" w:tentative="0">
      <w:start w:val="1"/>
      <w:numFmt w:val="decimal"/>
      <w:pStyle w:val="144"/>
      <w:lvlText w:val="表 %1. "/>
      <w:lvlJc w:val="center"/>
      <w:pPr>
        <w:tabs>
          <w:tab w:val="left" w:pos="1692"/>
        </w:tabs>
        <w:ind w:left="1692" w:firstLine="288"/>
      </w:pPr>
      <w:rPr>
        <w:rFonts w:hint="default" w:ascii="Times New Roman" w:hAnsi="Times New Roman" w:cs="Times New Roman"/>
        <w:sz w:val="24"/>
        <w:szCs w:val="24"/>
        <w:lang w:val="en-U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9"/>
  </w:num>
  <w:num w:numId="2">
    <w:abstractNumId w:val="4"/>
  </w:num>
  <w:num w:numId="3">
    <w:abstractNumId w:val="19"/>
  </w:num>
  <w:num w:numId="4">
    <w:abstractNumId w:val="10"/>
  </w:num>
  <w:num w:numId="5">
    <w:abstractNumId w:val="6"/>
  </w:num>
  <w:num w:numId="6">
    <w:abstractNumId w:val="24"/>
  </w:num>
  <w:num w:numId="7">
    <w:abstractNumId w:val="17"/>
  </w:num>
  <w:num w:numId="8">
    <w:abstractNumId w:val="15"/>
  </w:num>
  <w:num w:numId="9">
    <w:abstractNumId w:val="18"/>
  </w:num>
  <w:num w:numId="10">
    <w:abstractNumId w:val="13"/>
  </w:num>
  <w:num w:numId="11">
    <w:abstractNumId w:val="22"/>
  </w:num>
  <w:num w:numId="12">
    <w:abstractNumId w:val="1"/>
  </w:num>
  <w:num w:numId="13">
    <w:abstractNumId w:val="21"/>
  </w:num>
  <w:num w:numId="14">
    <w:abstractNumId w:val="2"/>
  </w:num>
  <w:num w:numId="15">
    <w:abstractNumId w:val="12"/>
  </w:num>
  <w:num w:numId="16">
    <w:abstractNumId w:val="20"/>
  </w:num>
  <w:num w:numId="17">
    <w:abstractNumId w:val="5"/>
  </w:num>
  <w:num w:numId="18">
    <w:abstractNumId w:val="11"/>
  </w:num>
  <w:num w:numId="19">
    <w:abstractNumId w:val="16"/>
  </w:num>
  <w:num w:numId="20">
    <w:abstractNumId w:val="7"/>
  </w:num>
  <w:num w:numId="21">
    <w:abstractNumId w:val="3"/>
  </w:num>
  <w:num w:numId="22">
    <w:abstractNumId w:val="0"/>
  </w:num>
  <w:num w:numId="23">
    <w:abstractNumId w:val="23"/>
  </w:num>
  <w:num w:numId="24">
    <w:abstractNumId w:val="8"/>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oNotDisplayPageBoundaries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ZmMDk2ODY5YzQwZmE2MmZiZmI5Y2Y5YjI2MGJmODUifQ=="/>
    <w:docVar w:name="KSO_WPS_MARK_KEY" w:val="9915021d-5abd-47fb-8988-c6fbd81771d2"/>
  </w:docVars>
  <w:rsids>
    <w:rsidRoot w:val="00172A27"/>
    <w:rsid w:val="00000173"/>
    <w:rsid w:val="00000E4C"/>
    <w:rsid w:val="00000FC3"/>
    <w:rsid w:val="0000168F"/>
    <w:rsid w:val="00001833"/>
    <w:rsid w:val="00001AB6"/>
    <w:rsid w:val="0000207B"/>
    <w:rsid w:val="000020E6"/>
    <w:rsid w:val="00002B64"/>
    <w:rsid w:val="00002C4F"/>
    <w:rsid w:val="00002E7E"/>
    <w:rsid w:val="00003028"/>
    <w:rsid w:val="00003589"/>
    <w:rsid w:val="00003594"/>
    <w:rsid w:val="00003624"/>
    <w:rsid w:val="000036EE"/>
    <w:rsid w:val="00003B4F"/>
    <w:rsid w:val="00003FE5"/>
    <w:rsid w:val="00003FFB"/>
    <w:rsid w:val="00004125"/>
    <w:rsid w:val="0000499D"/>
    <w:rsid w:val="00004B35"/>
    <w:rsid w:val="00004ECE"/>
    <w:rsid w:val="000052F9"/>
    <w:rsid w:val="0000534C"/>
    <w:rsid w:val="000058B1"/>
    <w:rsid w:val="00005A6A"/>
    <w:rsid w:val="0000616F"/>
    <w:rsid w:val="0000640C"/>
    <w:rsid w:val="000066CD"/>
    <w:rsid w:val="00006C1E"/>
    <w:rsid w:val="00006D83"/>
    <w:rsid w:val="00006FE7"/>
    <w:rsid w:val="0000789B"/>
    <w:rsid w:val="00007B33"/>
    <w:rsid w:val="00007C95"/>
    <w:rsid w:val="00007E30"/>
    <w:rsid w:val="000105DC"/>
    <w:rsid w:val="0001082B"/>
    <w:rsid w:val="00010EF7"/>
    <w:rsid w:val="00011294"/>
    <w:rsid w:val="00011550"/>
    <w:rsid w:val="00011929"/>
    <w:rsid w:val="00011FDD"/>
    <w:rsid w:val="00012533"/>
    <w:rsid w:val="00012F76"/>
    <w:rsid w:val="00013247"/>
    <w:rsid w:val="00013459"/>
    <w:rsid w:val="00013708"/>
    <w:rsid w:val="000138AA"/>
    <w:rsid w:val="000139EB"/>
    <w:rsid w:val="00013C0E"/>
    <w:rsid w:val="00013CEB"/>
    <w:rsid w:val="000141B6"/>
    <w:rsid w:val="00014465"/>
    <w:rsid w:val="0001465B"/>
    <w:rsid w:val="000146B0"/>
    <w:rsid w:val="00014739"/>
    <w:rsid w:val="00014C15"/>
    <w:rsid w:val="000152E4"/>
    <w:rsid w:val="00015583"/>
    <w:rsid w:val="00015586"/>
    <w:rsid w:val="000157FB"/>
    <w:rsid w:val="00015B30"/>
    <w:rsid w:val="00015FF5"/>
    <w:rsid w:val="000163BB"/>
    <w:rsid w:val="000166D7"/>
    <w:rsid w:val="00016950"/>
    <w:rsid w:val="00016C1A"/>
    <w:rsid w:val="00016F11"/>
    <w:rsid w:val="00016F14"/>
    <w:rsid w:val="00017097"/>
    <w:rsid w:val="00017538"/>
    <w:rsid w:val="00017547"/>
    <w:rsid w:val="00017560"/>
    <w:rsid w:val="000176B7"/>
    <w:rsid w:val="000178ED"/>
    <w:rsid w:val="000179E5"/>
    <w:rsid w:val="00020224"/>
    <w:rsid w:val="0002089F"/>
    <w:rsid w:val="00020F2C"/>
    <w:rsid w:val="000210CF"/>
    <w:rsid w:val="00021417"/>
    <w:rsid w:val="00021425"/>
    <w:rsid w:val="00021B0A"/>
    <w:rsid w:val="00021B0C"/>
    <w:rsid w:val="00022467"/>
    <w:rsid w:val="000229CF"/>
    <w:rsid w:val="00022CD3"/>
    <w:rsid w:val="00022E99"/>
    <w:rsid w:val="0002388C"/>
    <w:rsid w:val="00023890"/>
    <w:rsid w:val="00023D20"/>
    <w:rsid w:val="00023F17"/>
    <w:rsid w:val="00024810"/>
    <w:rsid w:val="00024A70"/>
    <w:rsid w:val="00024C60"/>
    <w:rsid w:val="00025451"/>
    <w:rsid w:val="0002554F"/>
    <w:rsid w:val="000258A2"/>
    <w:rsid w:val="00025DD2"/>
    <w:rsid w:val="00026137"/>
    <w:rsid w:val="0002631F"/>
    <w:rsid w:val="000264A2"/>
    <w:rsid w:val="00026AB1"/>
    <w:rsid w:val="00026DEE"/>
    <w:rsid w:val="00026E65"/>
    <w:rsid w:val="000275D6"/>
    <w:rsid w:val="0002781A"/>
    <w:rsid w:val="000279C8"/>
    <w:rsid w:val="000279FB"/>
    <w:rsid w:val="00027C58"/>
    <w:rsid w:val="00027D8E"/>
    <w:rsid w:val="0003051D"/>
    <w:rsid w:val="00030563"/>
    <w:rsid w:val="00030583"/>
    <w:rsid w:val="00030904"/>
    <w:rsid w:val="00030B20"/>
    <w:rsid w:val="00030F79"/>
    <w:rsid w:val="00031263"/>
    <w:rsid w:val="000317AC"/>
    <w:rsid w:val="000323BA"/>
    <w:rsid w:val="000328F2"/>
    <w:rsid w:val="00032B87"/>
    <w:rsid w:val="00032B92"/>
    <w:rsid w:val="00032BAE"/>
    <w:rsid w:val="00032EFE"/>
    <w:rsid w:val="000331C4"/>
    <w:rsid w:val="0003328F"/>
    <w:rsid w:val="000333A0"/>
    <w:rsid w:val="00033450"/>
    <w:rsid w:val="00033A08"/>
    <w:rsid w:val="00033C46"/>
    <w:rsid w:val="000342EC"/>
    <w:rsid w:val="000344D5"/>
    <w:rsid w:val="00034787"/>
    <w:rsid w:val="00034B3B"/>
    <w:rsid w:val="00035330"/>
    <w:rsid w:val="00035478"/>
    <w:rsid w:val="00035906"/>
    <w:rsid w:val="000359B0"/>
    <w:rsid w:val="0003628D"/>
    <w:rsid w:val="00036CA4"/>
    <w:rsid w:val="00036EF1"/>
    <w:rsid w:val="0003761A"/>
    <w:rsid w:val="00037A4B"/>
    <w:rsid w:val="00037CE6"/>
    <w:rsid w:val="00037EE7"/>
    <w:rsid w:val="00037F4D"/>
    <w:rsid w:val="00037FCD"/>
    <w:rsid w:val="0004012F"/>
    <w:rsid w:val="00040294"/>
    <w:rsid w:val="00040B76"/>
    <w:rsid w:val="00040FB4"/>
    <w:rsid w:val="000413EC"/>
    <w:rsid w:val="000413F2"/>
    <w:rsid w:val="00041911"/>
    <w:rsid w:val="0004197F"/>
    <w:rsid w:val="00041ACE"/>
    <w:rsid w:val="00041E21"/>
    <w:rsid w:val="00041EC3"/>
    <w:rsid w:val="00042108"/>
    <w:rsid w:val="00042461"/>
    <w:rsid w:val="00042564"/>
    <w:rsid w:val="00042949"/>
    <w:rsid w:val="00042FB4"/>
    <w:rsid w:val="0004332B"/>
    <w:rsid w:val="00043573"/>
    <w:rsid w:val="00043C6B"/>
    <w:rsid w:val="00043FA9"/>
    <w:rsid w:val="00044566"/>
    <w:rsid w:val="00045097"/>
    <w:rsid w:val="00045FCB"/>
    <w:rsid w:val="00046547"/>
    <w:rsid w:val="00046A19"/>
    <w:rsid w:val="000470C0"/>
    <w:rsid w:val="00047212"/>
    <w:rsid w:val="00047218"/>
    <w:rsid w:val="000472EE"/>
    <w:rsid w:val="000473FF"/>
    <w:rsid w:val="00047A6C"/>
    <w:rsid w:val="00047D14"/>
    <w:rsid w:val="00047D7E"/>
    <w:rsid w:val="00047E93"/>
    <w:rsid w:val="0005006F"/>
    <w:rsid w:val="000503BF"/>
    <w:rsid w:val="00050674"/>
    <w:rsid w:val="00050DA3"/>
    <w:rsid w:val="00051270"/>
    <w:rsid w:val="00051418"/>
    <w:rsid w:val="000517FF"/>
    <w:rsid w:val="00051CEC"/>
    <w:rsid w:val="00051D1E"/>
    <w:rsid w:val="00052457"/>
    <w:rsid w:val="000528ED"/>
    <w:rsid w:val="00052935"/>
    <w:rsid w:val="00053666"/>
    <w:rsid w:val="00053931"/>
    <w:rsid w:val="00053A80"/>
    <w:rsid w:val="000541BF"/>
    <w:rsid w:val="00054667"/>
    <w:rsid w:val="00054AAD"/>
    <w:rsid w:val="00054DE7"/>
    <w:rsid w:val="00055D9C"/>
    <w:rsid w:val="00055F47"/>
    <w:rsid w:val="00056267"/>
    <w:rsid w:val="000566D4"/>
    <w:rsid w:val="00056718"/>
    <w:rsid w:val="0005688A"/>
    <w:rsid w:val="00056941"/>
    <w:rsid w:val="00056A0D"/>
    <w:rsid w:val="00056D4B"/>
    <w:rsid w:val="000573D2"/>
    <w:rsid w:val="00057596"/>
    <w:rsid w:val="0005796D"/>
    <w:rsid w:val="00057CD8"/>
    <w:rsid w:val="00057DCF"/>
    <w:rsid w:val="0006090E"/>
    <w:rsid w:val="00060AAE"/>
    <w:rsid w:val="00061203"/>
    <w:rsid w:val="00061822"/>
    <w:rsid w:val="000618F0"/>
    <w:rsid w:val="00061A45"/>
    <w:rsid w:val="00061B0F"/>
    <w:rsid w:val="00061BD9"/>
    <w:rsid w:val="00061E51"/>
    <w:rsid w:val="0006201B"/>
    <w:rsid w:val="00062111"/>
    <w:rsid w:val="00062448"/>
    <w:rsid w:val="00062906"/>
    <w:rsid w:val="00062EB4"/>
    <w:rsid w:val="00063496"/>
    <w:rsid w:val="000645FC"/>
    <w:rsid w:val="00064831"/>
    <w:rsid w:val="00064B7F"/>
    <w:rsid w:val="00064BD3"/>
    <w:rsid w:val="00064E72"/>
    <w:rsid w:val="00064F14"/>
    <w:rsid w:val="00065272"/>
    <w:rsid w:val="0006540E"/>
    <w:rsid w:val="000660D0"/>
    <w:rsid w:val="000661DF"/>
    <w:rsid w:val="000662D0"/>
    <w:rsid w:val="000665CF"/>
    <w:rsid w:val="00066722"/>
    <w:rsid w:val="00066B3C"/>
    <w:rsid w:val="0006712A"/>
    <w:rsid w:val="00067A10"/>
    <w:rsid w:val="00070209"/>
    <w:rsid w:val="000702DA"/>
    <w:rsid w:val="000704A3"/>
    <w:rsid w:val="0007110F"/>
    <w:rsid w:val="0007161A"/>
    <w:rsid w:val="00071806"/>
    <w:rsid w:val="0007186C"/>
    <w:rsid w:val="00071929"/>
    <w:rsid w:val="00071B18"/>
    <w:rsid w:val="00071CB3"/>
    <w:rsid w:val="00071E14"/>
    <w:rsid w:val="00072021"/>
    <w:rsid w:val="00072403"/>
    <w:rsid w:val="000725B9"/>
    <w:rsid w:val="00072C84"/>
    <w:rsid w:val="00072D6E"/>
    <w:rsid w:val="000730ED"/>
    <w:rsid w:val="0007349D"/>
    <w:rsid w:val="000736B3"/>
    <w:rsid w:val="00073853"/>
    <w:rsid w:val="00073C7B"/>
    <w:rsid w:val="00073E09"/>
    <w:rsid w:val="00073E0F"/>
    <w:rsid w:val="0007415F"/>
    <w:rsid w:val="00074250"/>
    <w:rsid w:val="00074668"/>
    <w:rsid w:val="000746BE"/>
    <w:rsid w:val="00074988"/>
    <w:rsid w:val="00074B7E"/>
    <w:rsid w:val="00074C2B"/>
    <w:rsid w:val="00074D12"/>
    <w:rsid w:val="00074E17"/>
    <w:rsid w:val="000753B8"/>
    <w:rsid w:val="000753CC"/>
    <w:rsid w:val="0007591D"/>
    <w:rsid w:val="00075AF4"/>
    <w:rsid w:val="00075C2D"/>
    <w:rsid w:val="00075DDC"/>
    <w:rsid w:val="00075E1F"/>
    <w:rsid w:val="000761F6"/>
    <w:rsid w:val="000764B0"/>
    <w:rsid w:val="000765E1"/>
    <w:rsid w:val="00076813"/>
    <w:rsid w:val="00076AAF"/>
    <w:rsid w:val="00076C6B"/>
    <w:rsid w:val="0007754F"/>
    <w:rsid w:val="00077558"/>
    <w:rsid w:val="000775D8"/>
    <w:rsid w:val="0007790B"/>
    <w:rsid w:val="00077C43"/>
    <w:rsid w:val="0008000F"/>
    <w:rsid w:val="000807FD"/>
    <w:rsid w:val="00080E8C"/>
    <w:rsid w:val="00081116"/>
    <w:rsid w:val="0008115B"/>
    <w:rsid w:val="00081188"/>
    <w:rsid w:val="0008192E"/>
    <w:rsid w:val="00081A72"/>
    <w:rsid w:val="00081AFA"/>
    <w:rsid w:val="00081B28"/>
    <w:rsid w:val="00081C78"/>
    <w:rsid w:val="00081CF8"/>
    <w:rsid w:val="00081D87"/>
    <w:rsid w:val="00081F2F"/>
    <w:rsid w:val="0008216A"/>
    <w:rsid w:val="00082759"/>
    <w:rsid w:val="0008297A"/>
    <w:rsid w:val="00082EEA"/>
    <w:rsid w:val="000832DC"/>
    <w:rsid w:val="00083461"/>
    <w:rsid w:val="000835BF"/>
    <w:rsid w:val="000837C7"/>
    <w:rsid w:val="00084304"/>
    <w:rsid w:val="0008470B"/>
    <w:rsid w:val="00084B34"/>
    <w:rsid w:val="0008546B"/>
    <w:rsid w:val="000858DB"/>
    <w:rsid w:val="00085A15"/>
    <w:rsid w:val="00085FDE"/>
    <w:rsid w:val="0008605A"/>
    <w:rsid w:val="00086218"/>
    <w:rsid w:val="000865FA"/>
    <w:rsid w:val="00086629"/>
    <w:rsid w:val="000866FF"/>
    <w:rsid w:val="00086B27"/>
    <w:rsid w:val="00086D58"/>
    <w:rsid w:val="00087D37"/>
    <w:rsid w:val="00087DC6"/>
    <w:rsid w:val="0009005F"/>
    <w:rsid w:val="0009018A"/>
    <w:rsid w:val="000907CF"/>
    <w:rsid w:val="000909AC"/>
    <w:rsid w:val="00090DAC"/>
    <w:rsid w:val="00091059"/>
    <w:rsid w:val="00091099"/>
    <w:rsid w:val="000910FD"/>
    <w:rsid w:val="00091B32"/>
    <w:rsid w:val="00091D82"/>
    <w:rsid w:val="00091E65"/>
    <w:rsid w:val="000923A0"/>
    <w:rsid w:val="00092A31"/>
    <w:rsid w:val="00092FAB"/>
    <w:rsid w:val="0009346B"/>
    <w:rsid w:val="00093647"/>
    <w:rsid w:val="00093890"/>
    <w:rsid w:val="00093A71"/>
    <w:rsid w:val="00093C7D"/>
    <w:rsid w:val="00094341"/>
    <w:rsid w:val="00094570"/>
    <w:rsid w:val="000947DA"/>
    <w:rsid w:val="0009484B"/>
    <w:rsid w:val="00094D2B"/>
    <w:rsid w:val="00094F40"/>
    <w:rsid w:val="00095227"/>
    <w:rsid w:val="00095462"/>
    <w:rsid w:val="0009562F"/>
    <w:rsid w:val="00095B56"/>
    <w:rsid w:val="00095D47"/>
    <w:rsid w:val="00095EDD"/>
    <w:rsid w:val="000969C8"/>
    <w:rsid w:val="00096D0A"/>
    <w:rsid w:val="00096E82"/>
    <w:rsid w:val="000970C9"/>
    <w:rsid w:val="00097156"/>
    <w:rsid w:val="00097555"/>
    <w:rsid w:val="00097E41"/>
    <w:rsid w:val="000A0046"/>
    <w:rsid w:val="000A0247"/>
    <w:rsid w:val="000A06CE"/>
    <w:rsid w:val="000A06FA"/>
    <w:rsid w:val="000A080F"/>
    <w:rsid w:val="000A0A1A"/>
    <w:rsid w:val="000A0D97"/>
    <w:rsid w:val="000A0D9F"/>
    <w:rsid w:val="000A0DA8"/>
    <w:rsid w:val="000A1026"/>
    <w:rsid w:val="000A1780"/>
    <w:rsid w:val="000A19C2"/>
    <w:rsid w:val="000A1A6F"/>
    <w:rsid w:val="000A1C99"/>
    <w:rsid w:val="000A27D3"/>
    <w:rsid w:val="000A2A15"/>
    <w:rsid w:val="000A2AA8"/>
    <w:rsid w:val="000A2AB6"/>
    <w:rsid w:val="000A38B2"/>
    <w:rsid w:val="000A3A11"/>
    <w:rsid w:val="000A3ACD"/>
    <w:rsid w:val="000A3D2E"/>
    <w:rsid w:val="000A3D78"/>
    <w:rsid w:val="000A40BD"/>
    <w:rsid w:val="000A450C"/>
    <w:rsid w:val="000A46F2"/>
    <w:rsid w:val="000A47F9"/>
    <w:rsid w:val="000A491C"/>
    <w:rsid w:val="000A4B5F"/>
    <w:rsid w:val="000A4E35"/>
    <w:rsid w:val="000A5161"/>
    <w:rsid w:val="000A5731"/>
    <w:rsid w:val="000A578E"/>
    <w:rsid w:val="000A58A6"/>
    <w:rsid w:val="000A5914"/>
    <w:rsid w:val="000A5D9D"/>
    <w:rsid w:val="000A5DA8"/>
    <w:rsid w:val="000A5E8E"/>
    <w:rsid w:val="000A5FD1"/>
    <w:rsid w:val="000A5FF8"/>
    <w:rsid w:val="000A65E3"/>
    <w:rsid w:val="000A675C"/>
    <w:rsid w:val="000A675E"/>
    <w:rsid w:val="000A691A"/>
    <w:rsid w:val="000A697D"/>
    <w:rsid w:val="000A6F99"/>
    <w:rsid w:val="000A729D"/>
    <w:rsid w:val="000A74D3"/>
    <w:rsid w:val="000A76CA"/>
    <w:rsid w:val="000B07DC"/>
    <w:rsid w:val="000B0889"/>
    <w:rsid w:val="000B0D40"/>
    <w:rsid w:val="000B0E87"/>
    <w:rsid w:val="000B0EA4"/>
    <w:rsid w:val="000B0F98"/>
    <w:rsid w:val="000B113E"/>
    <w:rsid w:val="000B1358"/>
    <w:rsid w:val="000B1574"/>
    <w:rsid w:val="000B17BF"/>
    <w:rsid w:val="000B1854"/>
    <w:rsid w:val="000B194A"/>
    <w:rsid w:val="000B195A"/>
    <w:rsid w:val="000B1A1B"/>
    <w:rsid w:val="000B1B28"/>
    <w:rsid w:val="000B2993"/>
    <w:rsid w:val="000B3126"/>
    <w:rsid w:val="000B33C1"/>
    <w:rsid w:val="000B34F1"/>
    <w:rsid w:val="000B3586"/>
    <w:rsid w:val="000B39D4"/>
    <w:rsid w:val="000B3B33"/>
    <w:rsid w:val="000B40D7"/>
    <w:rsid w:val="000B456B"/>
    <w:rsid w:val="000B494D"/>
    <w:rsid w:val="000B4A27"/>
    <w:rsid w:val="000B4EBE"/>
    <w:rsid w:val="000B50E1"/>
    <w:rsid w:val="000B52DC"/>
    <w:rsid w:val="000B53D8"/>
    <w:rsid w:val="000B57D8"/>
    <w:rsid w:val="000B582E"/>
    <w:rsid w:val="000B58B4"/>
    <w:rsid w:val="000B58CF"/>
    <w:rsid w:val="000B598B"/>
    <w:rsid w:val="000B5C00"/>
    <w:rsid w:val="000B5ED6"/>
    <w:rsid w:val="000B5EF7"/>
    <w:rsid w:val="000B615C"/>
    <w:rsid w:val="000B618A"/>
    <w:rsid w:val="000B6785"/>
    <w:rsid w:val="000B6870"/>
    <w:rsid w:val="000B6AC3"/>
    <w:rsid w:val="000B731A"/>
    <w:rsid w:val="000B73CD"/>
    <w:rsid w:val="000B73F9"/>
    <w:rsid w:val="000B75B7"/>
    <w:rsid w:val="000B7749"/>
    <w:rsid w:val="000B7B0A"/>
    <w:rsid w:val="000C0362"/>
    <w:rsid w:val="000C03F1"/>
    <w:rsid w:val="000C0DCE"/>
    <w:rsid w:val="000C12BE"/>
    <w:rsid w:val="000C13B9"/>
    <w:rsid w:val="000C1789"/>
    <w:rsid w:val="000C1B69"/>
    <w:rsid w:val="000C20F1"/>
    <w:rsid w:val="000C221D"/>
    <w:rsid w:val="000C30FE"/>
    <w:rsid w:val="000C3172"/>
    <w:rsid w:val="000C355D"/>
    <w:rsid w:val="000C3838"/>
    <w:rsid w:val="000C3A96"/>
    <w:rsid w:val="000C3C70"/>
    <w:rsid w:val="000C423C"/>
    <w:rsid w:val="000C45F8"/>
    <w:rsid w:val="000C4B02"/>
    <w:rsid w:val="000C4EEB"/>
    <w:rsid w:val="000C5263"/>
    <w:rsid w:val="000C526E"/>
    <w:rsid w:val="000C5506"/>
    <w:rsid w:val="000C58DF"/>
    <w:rsid w:val="000C5946"/>
    <w:rsid w:val="000C59F1"/>
    <w:rsid w:val="000C5A16"/>
    <w:rsid w:val="000C5A27"/>
    <w:rsid w:val="000C5E6D"/>
    <w:rsid w:val="000C6397"/>
    <w:rsid w:val="000C66B0"/>
    <w:rsid w:val="000C69E1"/>
    <w:rsid w:val="000C69ED"/>
    <w:rsid w:val="000C6ABF"/>
    <w:rsid w:val="000C6DF0"/>
    <w:rsid w:val="000C72B4"/>
    <w:rsid w:val="000C7432"/>
    <w:rsid w:val="000C74D5"/>
    <w:rsid w:val="000C7995"/>
    <w:rsid w:val="000C7BEB"/>
    <w:rsid w:val="000D01A9"/>
    <w:rsid w:val="000D0C04"/>
    <w:rsid w:val="000D18CB"/>
    <w:rsid w:val="000D19D8"/>
    <w:rsid w:val="000D1BAF"/>
    <w:rsid w:val="000D1F33"/>
    <w:rsid w:val="000D2173"/>
    <w:rsid w:val="000D23F0"/>
    <w:rsid w:val="000D25EC"/>
    <w:rsid w:val="000D266E"/>
    <w:rsid w:val="000D28BF"/>
    <w:rsid w:val="000D2A39"/>
    <w:rsid w:val="000D2DBE"/>
    <w:rsid w:val="000D300E"/>
    <w:rsid w:val="000D3293"/>
    <w:rsid w:val="000D3546"/>
    <w:rsid w:val="000D35EF"/>
    <w:rsid w:val="000D3FEA"/>
    <w:rsid w:val="000D47AD"/>
    <w:rsid w:val="000D48CD"/>
    <w:rsid w:val="000D4A21"/>
    <w:rsid w:val="000D4D0C"/>
    <w:rsid w:val="000D4DFB"/>
    <w:rsid w:val="000D50A5"/>
    <w:rsid w:val="000D539D"/>
    <w:rsid w:val="000D5477"/>
    <w:rsid w:val="000D5517"/>
    <w:rsid w:val="000D57D6"/>
    <w:rsid w:val="000D603A"/>
    <w:rsid w:val="000D65CE"/>
    <w:rsid w:val="000D6A59"/>
    <w:rsid w:val="000D6E4D"/>
    <w:rsid w:val="000D6F40"/>
    <w:rsid w:val="000D72E5"/>
    <w:rsid w:val="000D74DC"/>
    <w:rsid w:val="000D74E3"/>
    <w:rsid w:val="000D7A74"/>
    <w:rsid w:val="000E0012"/>
    <w:rsid w:val="000E06AE"/>
    <w:rsid w:val="000E099A"/>
    <w:rsid w:val="000E1434"/>
    <w:rsid w:val="000E16C7"/>
    <w:rsid w:val="000E18B9"/>
    <w:rsid w:val="000E1AD3"/>
    <w:rsid w:val="000E1B7B"/>
    <w:rsid w:val="000E1ECF"/>
    <w:rsid w:val="000E2726"/>
    <w:rsid w:val="000E2A16"/>
    <w:rsid w:val="000E2A44"/>
    <w:rsid w:val="000E2C23"/>
    <w:rsid w:val="000E2EB6"/>
    <w:rsid w:val="000E2F5D"/>
    <w:rsid w:val="000E342C"/>
    <w:rsid w:val="000E3484"/>
    <w:rsid w:val="000E3804"/>
    <w:rsid w:val="000E384F"/>
    <w:rsid w:val="000E4332"/>
    <w:rsid w:val="000E4DBE"/>
    <w:rsid w:val="000E4E91"/>
    <w:rsid w:val="000E5047"/>
    <w:rsid w:val="000E5BC0"/>
    <w:rsid w:val="000E6DDB"/>
    <w:rsid w:val="000E7482"/>
    <w:rsid w:val="000E7592"/>
    <w:rsid w:val="000E7D99"/>
    <w:rsid w:val="000E7ECA"/>
    <w:rsid w:val="000F0035"/>
    <w:rsid w:val="000F02AF"/>
    <w:rsid w:val="000F0675"/>
    <w:rsid w:val="000F0760"/>
    <w:rsid w:val="000F0A19"/>
    <w:rsid w:val="000F0CAB"/>
    <w:rsid w:val="000F10C3"/>
    <w:rsid w:val="000F10D4"/>
    <w:rsid w:val="000F13A1"/>
    <w:rsid w:val="000F1476"/>
    <w:rsid w:val="000F17B9"/>
    <w:rsid w:val="000F18CE"/>
    <w:rsid w:val="000F1D3F"/>
    <w:rsid w:val="000F1D73"/>
    <w:rsid w:val="000F226D"/>
    <w:rsid w:val="000F2422"/>
    <w:rsid w:val="000F263C"/>
    <w:rsid w:val="000F2760"/>
    <w:rsid w:val="000F3062"/>
    <w:rsid w:val="000F3352"/>
    <w:rsid w:val="000F376C"/>
    <w:rsid w:val="000F3AD9"/>
    <w:rsid w:val="000F3FBC"/>
    <w:rsid w:val="000F467B"/>
    <w:rsid w:val="000F476E"/>
    <w:rsid w:val="000F47C1"/>
    <w:rsid w:val="000F4827"/>
    <w:rsid w:val="000F4B01"/>
    <w:rsid w:val="000F4CBB"/>
    <w:rsid w:val="000F4CEA"/>
    <w:rsid w:val="000F4DD0"/>
    <w:rsid w:val="000F4E07"/>
    <w:rsid w:val="000F4E0A"/>
    <w:rsid w:val="000F516B"/>
    <w:rsid w:val="000F579C"/>
    <w:rsid w:val="000F57FD"/>
    <w:rsid w:val="000F5C7A"/>
    <w:rsid w:val="000F5F0B"/>
    <w:rsid w:val="000F661B"/>
    <w:rsid w:val="000F6A0E"/>
    <w:rsid w:val="000F6C69"/>
    <w:rsid w:val="000F6F13"/>
    <w:rsid w:val="000F6F40"/>
    <w:rsid w:val="000F7080"/>
    <w:rsid w:val="000F73B3"/>
    <w:rsid w:val="000F79F8"/>
    <w:rsid w:val="000F7B30"/>
    <w:rsid w:val="001000C8"/>
    <w:rsid w:val="00100579"/>
    <w:rsid w:val="001006CF"/>
    <w:rsid w:val="001007A4"/>
    <w:rsid w:val="001008DF"/>
    <w:rsid w:val="001009F0"/>
    <w:rsid w:val="00100B7D"/>
    <w:rsid w:val="00100B85"/>
    <w:rsid w:val="00100EBF"/>
    <w:rsid w:val="0010124D"/>
    <w:rsid w:val="00101551"/>
    <w:rsid w:val="001015A0"/>
    <w:rsid w:val="00101957"/>
    <w:rsid w:val="00102264"/>
    <w:rsid w:val="001023F3"/>
    <w:rsid w:val="00102A77"/>
    <w:rsid w:val="00102C98"/>
    <w:rsid w:val="00102F92"/>
    <w:rsid w:val="001034AD"/>
    <w:rsid w:val="001035E8"/>
    <w:rsid w:val="00103A92"/>
    <w:rsid w:val="00103ADD"/>
    <w:rsid w:val="00103BA4"/>
    <w:rsid w:val="00103C93"/>
    <w:rsid w:val="00104144"/>
    <w:rsid w:val="001048A4"/>
    <w:rsid w:val="00104959"/>
    <w:rsid w:val="00104FA7"/>
    <w:rsid w:val="0010515D"/>
    <w:rsid w:val="001052A3"/>
    <w:rsid w:val="00105543"/>
    <w:rsid w:val="00105820"/>
    <w:rsid w:val="00105829"/>
    <w:rsid w:val="00105D3D"/>
    <w:rsid w:val="00105DF6"/>
    <w:rsid w:val="001065A0"/>
    <w:rsid w:val="001066E0"/>
    <w:rsid w:val="00106712"/>
    <w:rsid w:val="0010688D"/>
    <w:rsid w:val="0010695E"/>
    <w:rsid w:val="001069E5"/>
    <w:rsid w:val="00106A0F"/>
    <w:rsid w:val="00106FB7"/>
    <w:rsid w:val="0010736F"/>
    <w:rsid w:val="001074FC"/>
    <w:rsid w:val="001075E6"/>
    <w:rsid w:val="001076CF"/>
    <w:rsid w:val="00107AE3"/>
    <w:rsid w:val="00107F32"/>
    <w:rsid w:val="0011003D"/>
    <w:rsid w:val="00110089"/>
    <w:rsid w:val="00110C93"/>
    <w:rsid w:val="00110F9B"/>
    <w:rsid w:val="00111308"/>
    <w:rsid w:val="0011155D"/>
    <w:rsid w:val="00111847"/>
    <w:rsid w:val="00111EB9"/>
    <w:rsid w:val="001122A9"/>
    <w:rsid w:val="00112531"/>
    <w:rsid w:val="00112738"/>
    <w:rsid w:val="00112F9E"/>
    <w:rsid w:val="00113008"/>
    <w:rsid w:val="00113259"/>
    <w:rsid w:val="00113888"/>
    <w:rsid w:val="00113EB1"/>
    <w:rsid w:val="00113FF0"/>
    <w:rsid w:val="00114257"/>
    <w:rsid w:val="001146A0"/>
    <w:rsid w:val="001147F6"/>
    <w:rsid w:val="0011530A"/>
    <w:rsid w:val="00115388"/>
    <w:rsid w:val="0011542E"/>
    <w:rsid w:val="0011547B"/>
    <w:rsid w:val="001154D5"/>
    <w:rsid w:val="001158B9"/>
    <w:rsid w:val="00115974"/>
    <w:rsid w:val="00115C72"/>
    <w:rsid w:val="00115F72"/>
    <w:rsid w:val="00116532"/>
    <w:rsid w:val="00116963"/>
    <w:rsid w:val="00116B68"/>
    <w:rsid w:val="00116E71"/>
    <w:rsid w:val="00116FBC"/>
    <w:rsid w:val="00117061"/>
    <w:rsid w:val="00117136"/>
    <w:rsid w:val="00117455"/>
    <w:rsid w:val="0011758E"/>
    <w:rsid w:val="00117BE6"/>
    <w:rsid w:val="00117F15"/>
    <w:rsid w:val="0012036B"/>
    <w:rsid w:val="00120428"/>
    <w:rsid w:val="001206BD"/>
    <w:rsid w:val="00120859"/>
    <w:rsid w:val="00120C52"/>
    <w:rsid w:val="00120DF9"/>
    <w:rsid w:val="00120EFF"/>
    <w:rsid w:val="00121257"/>
    <w:rsid w:val="001212A4"/>
    <w:rsid w:val="001212EF"/>
    <w:rsid w:val="00121492"/>
    <w:rsid w:val="001216D2"/>
    <w:rsid w:val="001218F2"/>
    <w:rsid w:val="00121DB1"/>
    <w:rsid w:val="00122267"/>
    <w:rsid w:val="00122457"/>
    <w:rsid w:val="00122A09"/>
    <w:rsid w:val="00122D58"/>
    <w:rsid w:val="00122FD1"/>
    <w:rsid w:val="00123002"/>
    <w:rsid w:val="001231C9"/>
    <w:rsid w:val="0012375E"/>
    <w:rsid w:val="00123B6D"/>
    <w:rsid w:val="00123DA4"/>
    <w:rsid w:val="00123EEC"/>
    <w:rsid w:val="001241D8"/>
    <w:rsid w:val="001242BC"/>
    <w:rsid w:val="00124440"/>
    <w:rsid w:val="001245BE"/>
    <w:rsid w:val="001246BB"/>
    <w:rsid w:val="00124CEF"/>
    <w:rsid w:val="00125109"/>
    <w:rsid w:val="00125515"/>
    <w:rsid w:val="001255F9"/>
    <w:rsid w:val="001257BC"/>
    <w:rsid w:val="001261E1"/>
    <w:rsid w:val="001261EA"/>
    <w:rsid w:val="0012670F"/>
    <w:rsid w:val="00126B6E"/>
    <w:rsid w:val="0012734C"/>
    <w:rsid w:val="001276C2"/>
    <w:rsid w:val="00127830"/>
    <w:rsid w:val="00127AC6"/>
    <w:rsid w:val="00130151"/>
    <w:rsid w:val="00130174"/>
    <w:rsid w:val="001301A5"/>
    <w:rsid w:val="00130A45"/>
    <w:rsid w:val="00130CBB"/>
    <w:rsid w:val="00130EE4"/>
    <w:rsid w:val="0013140A"/>
    <w:rsid w:val="00131925"/>
    <w:rsid w:val="00131D32"/>
    <w:rsid w:val="00131DAF"/>
    <w:rsid w:val="0013221F"/>
    <w:rsid w:val="001326E7"/>
    <w:rsid w:val="00132983"/>
    <w:rsid w:val="00132B92"/>
    <w:rsid w:val="001333DF"/>
    <w:rsid w:val="0013384F"/>
    <w:rsid w:val="00133BEB"/>
    <w:rsid w:val="00134AF6"/>
    <w:rsid w:val="00134C3D"/>
    <w:rsid w:val="00134D46"/>
    <w:rsid w:val="00135202"/>
    <w:rsid w:val="0013544E"/>
    <w:rsid w:val="0013550A"/>
    <w:rsid w:val="00135552"/>
    <w:rsid w:val="001356DC"/>
    <w:rsid w:val="0013602D"/>
    <w:rsid w:val="001361A5"/>
    <w:rsid w:val="00136421"/>
    <w:rsid w:val="0013675B"/>
    <w:rsid w:val="00136A0E"/>
    <w:rsid w:val="00136A52"/>
    <w:rsid w:val="00136D3C"/>
    <w:rsid w:val="00137365"/>
    <w:rsid w:val="00137A77"/>
    <w:rsid w:val="0014066B"/>
    <w:rsid w:val="00140A02"/>
    <w:rsid w:val="001411DA"/>
    <w:rsid w:val="001413F5"/>
    <w:rsid w:val="00141525"/>
    <w:rsid w:val="00141807"/>
    <w:rsid w:val="0014180A"/>
    <w:rsid w:val="00141C32"/>
    <w:rsid w:val="001420B5"/>
    <w:rsid w:val="001421C2"/>
    <w:rsid w:val="001423C0"/>
    <w:rsid w:val="00142B0B"/>
    <w:rsid w:val="00143382"/>
    <w:rsid w:val="00143A26"/>
    <w:rsid w:val="00143AD4"/>
    <w:rsid w:val="00143DF7"/>
    <w:rsid w:val="0014404C"/>
    <w:rsid w:val="0014422C"/>
    <w:rsid w:val="001447E2"/>
    <w:rsid w:val="00144B85"/>
    <w:rsid w:val="00144BDC"/>
    <w:rsid w:val="00144BEB"/>
    <w:rsid w:val="00144CC3"/>
    <w:rsid w:val="00144D60"/>
    <w:rsid w:val="00144DAD"/>
    <w:rsid w:val="0014519D"/>
    <w:rsid w:val="00145604"/>
    <w:rsid w:val="001457F7"/>
    <w:rsid w:val="00146603"/>
    <w:rsid w:val="001468A4"/>
    <w:rsid w:val="00146A6E"/>
    <w:rsid w:val="00146CD3"/>
    <w:rsid w:val="00146D4D"/>
    <w:rsid w:val="00146ED0"/>
    <w:rsid w:val="00146FA1"/>
    <w:rsid w:val="001473C4"/>
    <w:rsid w:val="001478FD"/>
    <w:rsid w:val="00147B07"/>
    <w:rsid w:val="00147B10"/>
    <w:rsid w:val="00150144"/>
    <w:rsid w:val="001501A7"/>
    <w:rsid w:val="00150458"/>
    <w:rsid w:val="0015062A"/>
    <w:rsid w:val="0015076C"/>
    <w:rsid w:val="0015078B"/>
    <w:rsid w:val="00150B76"/>
    <w:rsid w:val="0015113B"/>
    <w:rsid w:val="00151397"/>
    <w:rsid w:val="001515BA"/>
    <w:rsid w:val="001516AB"/>
    <w:rsid w:val="00151941"/>
    <w:rsid w:val="001519CC"/>
    <w:rsid w:val="001520F1"/>
    <w:rsid w:val="00152505"/>
    <w:rsid w:val="00152895"/>
    <w:rsid w:val="00152ABB"/>
    <w:rsid w:val="00152DB2"/>
    <w:rsid w:val="00152EAB"/>
    <w:rsid w:val="00152F2B"/>
    <w:rsid w:val="0015347C"/>
    <w:rsid w:val="0015388C"/>
    <w:rsid w:val="00154AD6"/>
    <w:rsid w:val="00154DA0"/>
    <w:rsid w:val="00154E5B"/>
    <w:rsid w:val="001551D4"/>
    <w:rsid w:val="0015533E"/>
    <w:rsid w:val="0015568F"/>
    <w:rsid w:val="0015570C"/>
    <w:rsid w:val="00155710"/>
    <w:rsid w:val="00155A19"/>
    <w:rsid w:val="00155C67"/>
    <w:rsid w:val="001561FA"/>
    <w:rsid w:val="00156437"/>
    <w:rsid w:val="001565EA"/>
    <w:rsid w:val="001566AA"/>
    <w:rsid w:val="001567D9"/>
    <w:rsid w:val="00156804"/>
    <w:rsid w:val="00156A71"/>
    <w:rsid w:val="0015737E"/>
    <w:rsid w:val="001574E6"/>
    <w:rsid w:val="0015762A"/>
    <w:rsid w:val="00157A50"/>
    <w:rsid w:val="00157ED5"/>
    <w:rsid w:val="001602F1"/>
    <w:rsid w:val="0016034D"/>
    <w:rsid w:val="001603C4"/>
    <w:rsid w:val="00160FEF"/>
    <w:rsid w:val="00161090"/>
    <w:rsid w:val="00161799"/>
    <w:rsid w:val="001618B9"/>
    <w:rsid w:val="00161C2E"/>
    <w:rsid w:val="001626AA"/>
    <w:rsid w:val="0016277B"/>
    <w:rsid w:val="00162834"/>
    <w:rsid w:val="001628CA"/>
    <w:rsid w:val="00162AE9"/>
    <w:rsid w:val="00163668"/>
    <w:rsid w:val="00164800"/>
    <w:rsid w:val="0016481A"/>
    <w:rsid w:val="001649C5"/>
    <w:rsid w:val="00164FC7"/>
    <w:rsid w:val="0016522A"/>
    <w:rsid w:val="00165418"/>
    <w:rsid w:val="0016585D"/>
    <w:rsid w:val="00165877"/>
    <w:rsid w:val="00165A61"/>
    <w:rsid w:val="00165A77"/>
    <w:rsid w:val="00165AC0"/>
    <w:rsid w:val="001665D0"/>
    <w:rsid w:val="00166700"/>
    <w:rsid w:val="00166A83"/>
    <w:rsid w:val="00166D75"/>
    <w:rsid w:val="00166EAE"/>
    <w:rsid w:val="0016719C"/>
    <w:rsid w:val="00167596"/>
    <w:rsid w:val="001676A6"/>
    <w:rsid w:val="001678DB"/>
    <w:rsid w:val="00167A90"/>
    <w:rsid w:val="00167D6E"/>
    <w:rsid w:val="00167DD3"/>
    <w:rsid w:val="00167DED"/>
    <w:rsid w:val="00167F6B"/>
    <w:rsid w:val="00170A0B"/>
    <w:rsid w:val="0017119C"/>
    <w:rsid w:val="001714C2"/>
    <w:rsid w:val="0017184C"/>
    <w:rsid w:val="00172279"/>
    <w:rsid w:val="00172385"/>
    <w:rsid w:val="00172639"/>
    <w:rsid w:val="0017295D"/>
    <w:rsid w:val="00172998"/>
    <w:rsid w:val="00172C3F"/>
    <w:rsid w:val="001734EE"/>
    <w:rsid w:val="001737E4"/>
    <w:rsid w:val="0017381E"/>
    <w:rsid w:val="00173B30"/>
    <w:rsid w:val="00173DFA"/>
    <w:rsid w:val="001743CC"/>
    <w:rsid w:val="00174589"/>
    <w:rsid w:val="001747FB"/>
    <w:rsid w:val="00175325"/>
    <w:rsid w:val="001754D5"/>
    <w:rsid w:val="00175FEB"/>
    <w:rsid w:val="00176189"/>
    <w:rsid w:val="0017667E"/>
    <w:rsid w:val="00176A93"/>
    <w:rsid w:val="00177443"/>
    <w:rsid w:val="00177689"/>
    <w:rsid w:val="001778E5"/>
    <w:rsid w:val="00177AB1"/>
    <w:rsid w:val="00177E51"/>
    <w:rsid w:val="00177EA9"/>
    <w:rsid w:val="001800D1"/>
    <w:rsid w:val="0018060F"/>
    <w:rsid w:val="0018071F"/>
    <w:rsid w:val="00180B60"/>
    <w:rsid w:val="00180EA1"/>
    <w:rsid w:val="00180F0D"/>
    <w:rsid w:val="0018140D"/>
    <w:rsid w:val="00181656"/>
    <w:rsid w:val="00181742"/>
    <w:rsid w:val="001817A3"/>
    <w:rsid w:val="00181862"/>
    <w:rsid w:val="00181D5A"/>
    <w:rsid w:val="00182100"/>
    <w:rsid w:val="00182320"/>
    <w:rsid w:val="0018278A"/>
    <w:rsid w:val="00182A3F"/>
    <w:rsid w:val="00182DEA"/>
    <w:rsid w:val="001833E9"/>
    <w:rsid w:val="001834F8"/>
    <w:rsid w:val="001835E3"/>
    <w:rsid w:val="00183BEC"/>
    <w:rsid w:val="00183E55"/>
    <w:rsid w:val="00183F42"/>
    <w:rsid w:val="0018405E"/>
    <w:rsid w:val="00184551"/>
    <w:rsid w:val="001849B7"/>
    <w:rsid w:val="00184F9F"/>
    <w:rsid w:val="001854BA"/>
    <w:rsid w:val="0018580F"/>
    <w:rsid w:val="00185A68"/>
    <w:rsid w:val="00185C64"/>
    <w:rsid w:val="00185D21"/>
    <w:rsid w:val="00185D49"/>
    <w:rsid w:val="00185DB7"/>
    <w:rsid w:val="00185E4B"/>
    <w:rsid w:val="001862E9"/>
    <w:rsid w:val="001864B2"/>
    <w:rsid w:val="00186681"/>
    <w:rsid w:val="00186BE2"/>
    <w:rsid w:val="00187AC9"/>
    <w:rsid w:val="00190179"/>
    <w:rsid w:val="0019023A"/>
    <w:rsid w:val="0019043C"/>
    <w:rsid w:val="00190B3E"/>
    <w:rsid w:val="00190BF6"/>
    <w:rsid w:val="00190E2F"/>
    <w:rsid w:val="00190FC1"/>
    <w:rsid w:val="001911E9"/>
    <w:rsid w:val="00191339"/>
    <w:rsid w:val="00191344"/>
    <w:rsid w:val="00191405"/>
    <w:rsid w:val="001914BF"/>
    <w:rsid w:val="00191818"/>
    <w:rsid w:val="00191990"/>
    <w:rsid w:val="00191AD4"/>
    <w:rsid w:val="00192146"/>
    <w:rsid w:val="00192251"/>
    <w:rsid w:val="001923D2"/>
    <w:rsid w:val="001928D9"/>
    <w:rsid w:val="00193668"/>
    <w:rsid w:val="001939E5"/>
    <w:rsid w:val="00193E14"/>
    <w:rsid w:val="00193ED6"/>
    <w:rsid w:val="00193F54"/>
    <w:rsid w:val="00193F71"/>
    <w:rsid w:val="0019437C"/>
    <w:rsid w:val="0019444F"/>
    <w:rsid w:val="001947F3"/>
    <w:rsid w:val="00194B43"/>
    <w:rsid w:val="00194C08"/>
    <w:rsid w:val="001955ED"/>
    <w:rsid w:val="001958A5"/>
    <w:rsid w:val="00195DB5"/>
    <w:rsid w:val="00195ED3"/>
    <w:rsid w:val="001967C8"/>
    <w:rsid w:val="001971F6"/>
    <w:rsid w:val="0019726E"/>
    <w:rsid w:val="00197588"/>
    <w:rsid w:val="001A0253"/>
    <w:rsid w:val="001A09AD"/>
    <w:rsid w:val="001A0A23"/>
    <w:rsid w:val="001A0B11"/>
    <w:rsid w:val="001A0BA6"/>
    <w:rsid w:val="001A0CA1"/>
    <w:rsid w:val="001A1068"/>
    <w:rsid w:val="001A1100"/>
    <w:rsid w:val="001A12C0"/>
    <w:rsid w:val="001A1794"/>
    <w:rsid w:val="001A20AF"/>
    <w:rsid w:val="001A212B"/>
    <w:rsid w:val="001A2AE4"/>
    <w:rsid w:val="001A2D2D"/>
    <w:rsid w:val="001A31C6"/>
    <w:rsid w:val="001A3359"/>
    <w:rsid w:val="001A33C2"/>
    <w:rsid w:val="001A33CC"/>
    <w:rsid w:val="001A34F6"/>
    <w:rsid w:val="001A3E49"/>
    <w:rsid w:val="001A4136"/>
    <w:rsid w:val="001A45D9"/>
    <w:rsid w:val="001A49FD"/>
    <w:rsid w:val="001A4D3B"/>
    <w:rsid w:val="001A53AA"/>
    <w:rsid w:val="001A5523"/>
    <w:rsid w:val="001A590F"/>
    <w:rsid w:val="001A61D9"/>
    <w:rsid w:val="001A6902"/>
    <w:rsid w:val="001A694A"/>
    <w:rsid w:val="001A6A9F"/>
    <w:rsid w:val="001A7807"/>
    <w:rsid w:val="001A7E36"/>
    <w:rsid w:val="001B00B5"/>
    <w:rsid w:val="001B04FE"/>
    <w:rsid w:val="001B0606"/>
    <w:rsid w:val="001B07B9"/>
    <w:rsid w:val="001B0BF4"/>
    <w:rsid w:val="001B0CD1"/>
    <w:rsid w:val="001B10BB"/>
    <w:rsid w:val="001B1382"/>
    <w:rsid w:val="001B15C9"/>
    <w:rsid w:val="001B167D"/>
    <w:rsid w:val="001B197F"/>
    <w:rsid w:val="001B1B57"/>
    <w:rsid w:val="001B2053"/>
    <w:rsid w:val="001B2618"/>
    <w:rsid w:val="001B262C"/>
    <w:rsid w:val="001B2969"/>
    <w:rsid w:val="001B32BA"/>
    <w:rsid w:val="001B3711"/>
    <w:rsid w:val="001B3784"/>
    <w:rsid w:val="001B3BD8"/>
    <w:rsid w:val="001B3EDA"/>
    <w:rsid w:val="001B4276"/>
    <w:rsid w:val="001B46C3"/>
    <w:rsid w:val="001B47EA"/>
    <w:rsid w:val="001B4B89"/>
    <w:rsid w:val="001B4B93"/>
    <w:rsid w:val="001B4D44"/>
    <w:rsid w:val="001B4E10"/>
    <w:rsid w:val="001B4F3F"/>
    <w:rsid w:val="001B51D2"/>
    <w:rsid w:val="001B5834"/>
    <w:rsid w:val="001B5CA6"/>
    <w:rsid w:val="001B5DF5"/>
    <w:rsid w:val="001B5F22"/>
    <w:rsid w:val="001B61F1"/>
    <w:rsid w:val="001B63EC"/>
    <w:rsid w:val="001B64FA"/>
    <w:rsid w:val="001B68BF"/>
    <w:rsid w:val="001B6A0A"/>
    <w:rsid w:val="001B6AA9"/>
    <w:rsid w:val="001B6B6F"/>
    <w:rsid w:val="001B719A"/>
    <w:rsid w:val="001B7A75"/>
    <w:rsid w:val="001B7B00"/>
    <w:rsid w:val="001B7D3E"/>
    <w:rsid w:val="001C03EA"/>
    <w:rsid w:val="001C05FE"/>
    <w:rsid w:val="001C0F13"/>
    <w:rsid w:val="001C1397"/>
    <w:rsid w:val="001C13DE"/>
    <w:rsid w:val="001C157F"/>
    <w:rsid w:val="001C18AD"/>
    <w:rsid w:val="001C1BFD"/>
    <w:rsid w:val="001C24EE"/>
    <w:rsid w:val="001C324B"/>
    <w:rsid w:val="001C3351"/>
    <w:rsid w:val="001C3A87"/>
    <w:rsid w:val="001C3C4F"/>
    <w:rsid w:val="001C3EAD"/>
    <w:rsid w:val="001C439E"/>
    <w:rsid w:val="001C4922"/>
    <w:rsid w:val="001C4F39"/>
    <w:rsid w:val="001C5086"/>
    <w:rsid w:val="001C5205"/>
    <w:rsid w:val="001C5304"/>
    <w:rsid w:val="001C57B3"/>
    <w:rsid w:val="001C5A89"/>
    <w:rsid w:val="001C5AB8"/>
    <w:rsid w:val="001C6044"/>
    <w:rsid w:val="001C61CF"/>
    <w:rsid w:val="001C636F"/>
    <w:rsid w:val="001C64F7"/>
    <w:rsid w:val="001C65E0"/>
    <w:rsid w:val="001C66D3"/>
    <w:rsid w:val="001C6A10"/>
    <w:rsid w:val="001C6CA7"/>
    <w:rsid w:val="001C6D3F"/>
    <w:rsid w:val="001C6EAF"/>
    <w:rsid w:val="001C6F0D"/>
    <w:rsid w:val="001C7197"/>
    <w:rsid w:val="001C743D"/>
    <w:rsid w:val="001C7617"/>
    <w:rsid w:val="001C7F1C"/>
    <w:rsid w:val="001D0708"/>
    <w:rsid w:val="001D0DF6"/>
    <w:rsid w:val="001D0F27"/>
    <w:rsid w:val="001D0F2E"/>
    <w:rsid w:val="001D1276"/>
    <w:rsid w:val="001D1361"/>
    <w:rsid w:val="001D1ECB"/>
    <w:rsid w:val="001D1FFD"/>
    <w:rsid w:val="001D2041"/>
    <w:rsid w:val="001D2242"/>
    <w:rsid w:val="001D23EA"/>
    <w:rsid w:val="001D246A"/>
    <w:rsid w:val="001D27CB"/>
    <w:rsid w:val="001D2882"/>
    <w:rsid w:val="001D28B5"/>
    <w:rsid w:val="001D2E90"/>
    <w:rsid w:val="001D3158"/>
    <w:rsid w:val="001D34A6"/>
    <w:rsid w:val="001D3659"/>
    <w:rsid w:val="001D3848"/>
    <w:rsid w:val="001D39DF"/>
    <w:rsid w:val="001D3C50"/>
    <w:rsid w:val="001D4432"/>
    <w:rsid w:val="001D45C6"/>
    <w:rsid w:val="001D45EB"/>
    <w:rsid w:val="001D47C5"/>
    <w:rsid w:val="001D4C2A"/>
    <w:rsid w:val="001D51FB"/>
    <w:rsid w:val="001D53D0"/>
    <w:rsid w:val="001D5916"/>
    <w:rsid w:val="001D61B8"/>
    <w:rsid w:val="001D637F"/>
    <w:rsid w:val="001D642F"/>
    <w:rsid w:val="001D651D"/>
    <w:rsid w:val="001D70EA"/>
    <w:rsid w:val="001D71F8"/>
    <w:rsid w:val="001D73D8"/>
    <w:rsid w:val="001D745E"/>
    <w:rsid w:val="001D7D8E"/>
    <w:rsid w:val="001D7E12"/>
    <w:rsid w:val="001D7E75"/>
    <w:rsid w:val="001D7EAC"/>
    <w:rsid w:val="001E05F1"/>
    <w:rsid w:val="001E0751"/>
    <w:rsid w:val="001E07CD"/>
    <w:rsid w:val="001E0949"/>
    <w:rsid w:val="001E0A5E"/>
    <w:rsid w:val="001E0B6B"/>
    <w:rsid w:val="001E130A"/>
    <w:rsid w:val="001E1425"/>
    <w:rsid w:val="001E1A19"/>
    <w:rsid w:val="001E1B93"/>
    <w:rsid w:val="001E1F4C"/>
    <w:rsid w:val="001E2561"/>
    <w:rsid w:val="001E2694"/>
    <w:rsid w:val="001E2771"/>
    <w:rsid w:val="001E28A6"/>
    <w:rsid w:val="001E2940"/>
    <w:rsid w:val="001E2A78"/>
    <w:rsid w:val="001E2F29"/>
    <w:rsid w:val="001E3191"/>
    <w:rsid w:val="001E3246"/>
    <w:rsid w:val="001E4748"/>
    <w:rsid w:val="001E4E6D"/>
    <w:rsid w:val="001E513C"/>
    <w:rsid w:val="001E5384"/>
    <w:rsid w:val="001E5923"/>
    <w:rsid w:val="001E5B8A"/>
    <w:rsid w:val="001E5BC2"/>
    <w:rsid w:val="001E6098"/>
    <w:rsid w:val="001E667D"/>
    <w:rsid w:val="001E6877"/>
    <w:rsid w:val="001E6CA2"/>
    <w:rsid w:val="001E7294"/>
    <w:rsid w:val="001E7503"/>
    <w:rsid w:val="001E777D"/>
    <w:rsid w:val="001E7785"/>
    <w:rsid w:val="001E797C"/>
    <w:rsid w:val="001E7E0F"/>
    <w:rsid w:val="001E7E1B"/>
    <w:rsid w:val="001F057D"/>
    <w:rsid w:val="001F0651"/>
    <w:rsid w:val="001F0A67"/>
    <w:rsid w:val="001F0BEB"/>
    <w:rsid w:val="001F0EC5"/>
    <w:rsid w:val="001F1565"/>
    <w:rsid w:val="001F1A39"/>
    <w:rsid w:val="001F1BCB"/>
    <w:rsid w:val="001F1C17"/>
    <w:rsid w:val="001F27AB"/>
    <w:rsid w:val="001F2851"/>
    <w:rsid w:val="001F2BD0"/>
    <w:rsid w:val="001F2D5B"/>
    <w:rsid w:val="001F2F19"/>
    <w:rsid w:val="001F30A1"/>
    <w:rsid w:val="001F3505"/>
    <w:rsid w:val="001F3586"/>
    <w:rsid w:val="001F35FC"/>
    <w:rsid w:val="001F3B16"/>
    <w:rsid w:val="001F3BBD"/>
    <w:rsid w:val="001F3C02"/>
    <w:rsid w:val="001F4071"/>
    <w:rsid w:val="001F4758"/>
    <w:rsid w:val="001F4F74"/>
    <w:rsid w:val="001F4F88"/>
    <w:rsid w:val="001F50A7"/>
    <w:rsid w:val="001F5833"/>
    <w:rsid w:val="001F66FE"/>
    <w:rsid w:val="001F6835"/>
    <w:rsid w:val="001F69A2"/>
    <w:rsid w:val="001F6E22"/>
    <w:rsid w:val="001F6FF7"/>
    <w:rsid w:val="001F7094"/>
    <w:rsid w:val="001F70BE"/>
    <w:rsid w:val="001F742A"/>
    <w:rsid w:val="001F797C"/>
    <w:rsid w:val="001F79B7"/>
    <w:rsid w:val="001F7A57"/>
    <w:rsid w:val="0020035B"/>
    <w:rsid w:val="00200478"/>
    <w:rsid w:val="00200B1E"/>
    <w:rsid w:val="00200B34"/>
    <w:rsid w:val="00200BFB"/>
    <w:rsid w:val="00200FDE"/>
    <w:rsid w:val="002013D0"/>
    <w:rsid w:val="00201984"/>
    <w:rsid w:val="002020A5"/>
    <w:rsid w:val="002021B2"/>
    <w:rsid w:val="002023A8"/>
    <w:rsid w:val="0020265A"/>
    <w:rsid w:val="00202DE5"/>
    <w:rsid w:val="00202ED7"/>
    <w:rsid w:val="002032E0"/>
    <w:rsid w:val="0020392C"/>
    <w:rsid w:val="00203973"/>
    <w:rsid w:val="00203B84"/>
    <w:rsid w:val="00203D50"/>
    <w:rsid w:val="00203DF0"/>
    <w:rsid w:val="002042E9"/>
    <w:rsid w:val="002047CB"/>
    <w:rsid w:val="00205175"/>
    <w:rsid w:val="00205185"/>
    <w:rsid w:val="002054B7"/>
    <w:rsid w:val="00205E52"/>
    <w:rsid w:val="002060BC"/>
    <w:rsid w:val="00206490"/>
    <w:rsid w:val="002064F0"/>
    <w:rsid w:val="00206BE0"/>
    <w:rsid w:val="00206D44"/>
    <w:rsid w:val="00206E0C"/>
    <w:rsid w:val="00206E7C"/>
    <w:rsid w:val="00206F04"/>
    <w:rsid w:val="002070F9"/>
    <w:rsid w:val="00207466"/>
    <w:rsid w:val="00207563"/>
    <w:rsid w:val="00207732"/>
    <w:rsid w:val="00207776"/>
    <w:rsid w:val="0020788A"/>
    <w:rsid w:val="0020793A"/>
    <w:rsid w:val="00210215"/>
    <w:rsid w:val="00210324"/>
    <w:rsid w:val="00210505"/>
    <w:rsid w:val="002107E6"/>
    <w:rsid w:val="00210A8B"/>
    <w:rsid w:val="00210B0D"/>
    <w:rsid w:val="00210EDF"/>
    <w:rsid w:val="00210FAE"/>
    <w:rsid w:val="00211015"/>
    <w:rsid w:val="002110D8"/>
    <w:rsid w:val="0021110B"/>
    <w:rsid w:val="002113A0"/>
    <w:rsid w:val="00211E0D"/>
    <w:rsid w:val="002123D5"/>
    <w:rsid w:val="002124E9"/>
    <w:rsid w:val="002125EF"/>
    <w:rsid w:val="00212C1B"/>
    <w:rsid w:val="00212D8C"/>
    <w:rsid w:val="00212FB8"/>
    <w:rsid w:val="0021321F"/>
    <w:rsid w:val="00213949"/>
    <w:rsid w:val="00213EEE"/>
    <w:rsid w:val="00213EF7"/>
    <w:rsid w:val="00214086"/>
    <w:rsid w:val="002140A7"/>
    <w:rsid w:val="0021420F"/>
    <w:rsid w:val="00214896"/>
    <w:rsid w:val="0021521E"/>
    <w:rsid w:val="00215401"/>
    <w:rsid w:val="002156F0"/>
    <w:rsid w:val="00215B42"/>
    <w:rsid w:val="00215EA0"/>
    <w:rsid w:val="00215F31"/>
    <w:rsid w:val="002160F4"/>
    <w:rsid w:val="00216AC8"/>
    <w:rsid w:val="00216D2E"/>
    <w:rsid w:val="00217165"/>
    <w:rsid w:val="002171A0"/>
    <w:rsid w:val="002175E8"/>
    <w:rsid w:val="002177E2"/>
    <w:rsid w:val="00217A6D"/>
    <w:rsid w:val="002201A4"/>
    <w:rsid w:val="002206DA"/>
    <w:rsid w:val="00220C29"/>
    <w:rsid w:val="00221214"/>
    <w:rsid w:val="002219F5"/>
    <w:rsid w:val="00221ABA"/>
    <w:rsid w:val="00221B94"/>
    <w:rsid w:val="00222022"/>
    <w:rsid w:val="00222094"/>
    <w:rsid w:val="00222168"/>
    <w:rsid w:val="002221C1"/>
    <w:rsid w:val="00222366"/>
    <w:rsid w:val="002223D8"/>
    <w:rsid w:val="00222699"/>
    <w:rsid w:val="0022274C"/>
    <w:rsid w:val="00222C7C"/>
    <w:rsid w:val="00222CA2"/>
    <w:rsid w:val="0022303D"/>
    <w:rsid w:val="0022368F"/>
    <w:rsid w:val="002239A6"/>
    <w:rsid w:val="00224046"/>
    <w:rsid w:val="00224180"/>
    <w:rsid w:val="00224204"/>
    <w:rsid w:val="002242B9"/>
    <w:rsid w:val="002243FB"/>
    <w:rsid w:val="002244FD"/>
    <w:rsid w:val="00224B14"/>
    <w:rsid w:val="00224C94"/>
    <w:rsid w:val="00224F7F"/>
    <w:rsid w:val="00225445"/>
    <w:rsid w:val="002268CA"/>
    <w:rsid w:val="00226B3D"/>
    <w:rsid w:val="00226FA7"/>
    <w:rsid w:val="002272E9"/>
    <w:rsid w:val="0022748A"/>
    <w:rsid w:val="0022754F"/>
    <w:rsid w:val="0022759F"/>
    <w:rsid w:val="00227904"/>
    <w:rsid w:val="00227A4E"/>
    <w:rsid w:val="00227F92"/>
    <w:rsid w:val="002300DC"/>
    <w:rsid w:val="00230824"/>
    <w:rsid w:val="00231062"/>
    <w:rsid w:val="0023135E"/>
    <w:rsid w:val="00231872"/>
    <w:rsid w:val="00231BDB"/>
    <w:rsid w:val="002327F0"/>
    <w:rsid w:val="002329B3"/>
    <w:rsid w:val="00232D94"/>
    <w:rsid w:val="0023307D"/>
    <w:rsid w:val="002330E1"/>
    <w:rsid w:val="002330FB"/>
    <w:rsid w:val="00234D93"/>
    <w:rsid w:val="00234FAD"/>
    <w:rsid w:val="00235591"/>
    <w:rsid w:val="0023574A"/>
    <w:rsid w:val="00235C04"/>
    <w:rsid w:val="00235D3D"/>
    <w:rsid w:val="00235E33"/>
    <w:rsid w:val="002362E3"/>
    <w:rsid w:val="002364CB"/>
    <w:rsid w:val="002371EE"/>
    <w:rsid w:val="00237381"/>
    <w:rsid w:val="00237740"/>
    <w:rsid w:val="00237B39"/>
    <w:rsid w:val="00237CFD"/>
    <w:rsid w:val="00237FCF"/>
    <w:rsid w:val="002400E2"/>
    <w:rsid w:val="002402F7"/>
    <w:rsid w:val="00240DCB"/>
    <w:rsid w:val="002410AD"/>
    <w:rsid w:val="00241412"/>
    <w:rsid w:val="002419CF"/>
    <w:rsid w:val="00241C70"/>
    <w:rsid w:val="002420F1"/>
    <w:rsid w:val="002426DA"/>
    <w:rsid w:val="0024274A"/>
    <w:rsid w:val="002427AB"/>
    <w:rsid w:val="002430F5"/>
    <w:rsid w:val="002436B8"/>
    <w:rsid w:val="00244750"/>
    <w:rsid w:val="0024499C"/>
    <w:rsid w:val="00245455"/>
    <w:rsid w:val="0024588F"/>
    <w:rsid w:val="00245C95"/>
    <w:rsid w:val="00245D53"/>
    <w:rsid w:val="00245FEA"/>
    <w:rsid w:val="0024600B"/>
    <w:rsid w:val="00246B0B"/>
    <w:rsid w:val="002472E8"/>
    <w:rsid w:val="002474D9"/>
    <w:rsid w:val="002476BC"/>
    <w:rsid w:val="0025038E"/>
    <w:rsid w:val="0025053E"/>
    <w:rsid w:val="00250615"/>
    <w:rsid w:val="002508D7"/>
    <w:rsid w:val="0025092E"/>
    <w:rsid w:val="00250B45"/>
    <w:rsid w:val="00250C3D"/>
    <w:rsid w:val="00250D50"/>
    <w:rsid w:val="00250E55"/>
    <w:rsid w:val="0025102F"/>
    <w:rsid w:val="00251537"/>
    <w:rsid w:val="002515EF"/>
    <w:rsid w:val="00251F1A"/>
    <w:rsid w:val="0025207C"/>
    <w:rsid w:val="0025255B"/>
    <w:rsid w:val="00252D30"/>
    <w:rsid w:val="00252F5B"/>
    <w:rsid w:val="002531DE"/>
    <w:rsid w:val="0025340A"/>
    <w:rsid w:val="00253535"/>
    <w:rsid w:val="00253558"/>
    <w:rsid w:val="00253AB3"/>
    <w:rsid w:val="00253DB7"/>
    <w:rsid w:val="00254035"/>
    <w:rsid w:val="0025440C"/>
    <w:rsid w:val="002544DF"/>
    <w:rsid w:val="00254725"/>
    <w:rsid w:val="0025493A"/>
    <w:rsid w:val="00254EEE"/>
    <w:rsid w:val="002550A4"/>
    <w:rsid w:val="00255207"/>
    <w:rsid w:val="002559D7"/>
    <w:rsid w:val="002560DF"/>
    <w:rsid w:val="00256340"/>
    <w:rsid w:val="00256352"/>
    <w:rsid w:val="002565DD"/>
    <w:rsid w:val="0025720D"/>
    <w:rsid w:val="0025734E"/>
    <w:rsid w:val="00257485"/>
    <w:rsid w:val="002576AE"/>
    <w:rsid w:val="00257B61"/>
    <w:rsid w:val="00257CE1"/>
    <w:rsid w:val="00257DFA"/>
    <w:rsid w:val="00260A03"/>
    <w:rsid w:val="00261328"/>
    <w:rsid w:val="0026157B"/>
    <w:rsid w:val="00261FA8"/>
    <w:rsid w:val="0026211E"/>
    <w:rsid w:val="00262278"/>
    <w:rsid w:val="0026250D"/>
    <w:rsid w:val="00262848"/>
    <w:rsid w:val="002628CD"/>
    <w:rsid w:val="0026294D"/>
    <w:rsid w:val="00262A1A"/>
    <w:rsid w:val="00262F31"/>
    <w:rsid w:val="002634D8"/>
    <w:rsid w:val="002637EA"/>
    <w:rsid w:val="00263BC9"/>
    <w:rsid w:val="00263C4C"/>
    <w:rsid w:val="00263EB6"/>
    <w:rsid w:val="00263F97"/>
    <w:rsid w:val="0026408A"/>
    <w:rsid w:val="00264338"/>
    <w:rsid w:val="002643EF"/>
    <w:rsid w:val="00264CE9"/>
    <w:rsid w:val="00264D34"/>
    <w:rsid w:val="00264E4E"/>
    <w:rsid w:val="00264FC4"/>
    <w:rsid w:val="00265669"/>
    <w:rsid w:val="002657D2"/>
    <w:rsid w:val="00265C9F"/>
    <w:rsid w:val="00266800"/>
    <w:rsid w:val="00266A54"/>
    <w:rsid w:val="00267116"/>
    <w:rsid w:val="00267AA8"/>
    <w:rsid w:val="00267EFD"/>
    <w:rsid w:val="0027018E"/>
    <w:rsid w:val="0027097F"/>
    <w:rsid w:val="00270E2D"/>
    <w:rsid w:val="00271535"/>
    <w:rsid w:val="00271B81"/>
    <w:rsid w:val="002725AF"/>
    <w:rsid w:val="00272708"/>
    <w:rsid w:val="00272D62"/>
    <w:rsid w:val="002734BA"/>
    <w:rsid w:val="00273780"/>
    <w:rsid w:val="002738EB"/>
    <w:rsid w:val="00273954"/>
    <w:rsid w:val="00273A85"/>
    <w:rsid w:val="00273DF9"/>
    <w:rsid w:val="00273F28"/>
    <w:rsid w:val="00274252"/>
    <w:rsid w:val="002743C5"/>
    <w:rsid w:val="002743E5"/>
    <w:rsid w:val="002748F0"/>
    <w:rsid w:val="00274987"/>
    <w:rsid w:val="00274BF0"/>
    <w:rsid w:val="002759BF"/>
    <w:rsid w:val="00275AB8"/>
    <w:rsid w:val="00275B76"/>
    <w:rsid w:val="0027663D"/>
    <w:rsid w:val="002771DE"/>
    <w:rsid w:val="002773AC"/>
    <w:rsid w:val="0027760E"/>
    <w:rsid w:val="00277CB9"/>
    <w:rsid w:val="00277F32"/>
    <w:rsid w:val="002800A5"/>
    <w:rsid w:val="00280586"/>
    <w:rsid w:val="002805F0"/>
    <w:rsid w:val="00280857"/>
    <w:rsid w:val="00280B6E"/>
    <w:rsid w:val="00280EB6"/>
    <w:rsid w:val="00280ED8"/>
    <w:rsid w:val="00281012"/>
    <w:rsid w:val="002811FA"/>
    <w:rsid w:val="0028162C"/>
    <w:rsid w:val="00281648"/>
    <w:rsid w:val="00281AAD"/>
    <w:rsid w:val="00282672"/>
    <w:rsid w:val="00283060"/>
    <w:rsid w:val="00283877"/>
    <w:rsid w:val="002839FD"/>
    <w:rsid w:val="00283D52"/>
    <w:rsid w:val="0028420E"/>
    <w:rsid w:val="00284346"/>
    <w:rsid w:val="00284425"/>
    <w:rsid w:val="00284445"/>
    <w:rsid w:val="002844E8"/>
    <w:rsid w:val="00284E6F"/>
    <w:rsid w:val="00284E8F"/>
    <w:rsid w:val="00285210"/>
    <w:rsid w:val="00285930"/>
    <w:rsid w:val="00285DC4"/>
    <w:rsid w:val="00286584"/>
    <w:rsid w:val="002866CD"/>
    <w:rsid w:val="002869DC"/>
    <w:rsid w:val="00286A2D"/>
    <w:rsid w:val="00286C7C"/>
    <w:rsid w:val="00286DB7"/>
    <w:rsid w:val="00287234"/>
    <w:rsid w:val="002873DF"/>
    <w:rsid w:val="0028741E"/>
    <w:rsid w:val="00287425"/>
    <w:rsid w:val="00287479"/>
    <w:rsid w:val="002902AC"/>
    <w:rsid w:val="002903AB"/>
    <w:rsid w:val="00290496"/>
    <w:rsid w:val="00290863"/>
    <w:rsid w:val="00290910"/>
    <w:rsid w:val="00290CA5"/>
    <w:rsid w:val="002911BB"/>
    <w:rsid w:val="00291C27"/>
    <w:rsid w:val="0029247B"/>
    <w:rsid w:val="002929A2"/>
    <w:rsid w:val="00292A85"/>
    <w:rsid w:val="00292AB5"/>
    <w:rsid w:val="002931E4"/>
    <w:rsid w:val="002933C0"/>
    <w:rsid w:val="002937B7"/>
    <w:rsid w:val="002941FF"/>
    <w:rsid w:val="00294F10"/>
    <w:rsid w:val="00295481"/>
    <w:rsid w:val="00295827"/>
    <w:rsid w:val="00295888"/>
    <w:rsid w:val="00295BE9"/>
    <w:rsid w:val="0029619D"/>
    <w:rsid w:val="00296411"/>
    <w:rsid w:val="002964A7"/>
    <w:rsid w:val="0029657E"/>
    <w:rsid w:val="00296ACA"/>
    <w:rsid w:val="002971AE"/>
    <w:rsid w:val="00297950"/>
    <w:rsid w:val="002A02B1"/>
    <w:rsid w:val="002A038A"/>
    <w:rsid w:val="002A044F"/>
    <w:rsid w:val="002A0493"/>
    <w:rsid w:val="002A04B1"/>
    <w:rsid w:val="002A0895"/>
    <w:rsid w:val="002A0A46"/>
    <w:rsid w:val="002A1040"/>
    <w:rsid w:val="002A1097"/>
    <w:rsid w:val="002A10A6"/>
    <w:rsid w:val="002A1B8C"/>
    <w:rsid w:val="002A1DD1"/>
    <w:rsid w:val="002A27DB"/>
    <w:rsid w:val="002A2AB3"/>
    <w:rsid w:val="002A2DC8"/>
    <w:rsid w:val="002A2E41"/>
    <w:rsid w:val="002A2ED2"/>
    <w:rsid w:val="002A327B"/>
    <w:rsid w:val="002A3B55"/>
    <w:rsid w:val="002A3CF7"/>
    <w:rsid w:val="002A4033"/>
    <w:rsid w:val="002A4399"/>
    <w:rsid w:val="002A4573"/>
    <w:rsid w:val="002A486B"/>
    <w:rsid w:val="002A48D4"/>
    <w:rsid w:val="002A4CAA"/>
    <w:rsid w:val="002A4DBE"/>
    <w:rsid w:val="002A50EA"/>
    <w:rsid w:val="002A5901"/>
    <w:rsid w:val="002A65F0"/>
    <w:rsid w:val="002A6A13"/>
    <w:rsid w:val="002A6A24"/>
    <w:rsid w:val="002A6A61"/>
    <w:rsid w:val="002A6B1A"/>
    <w:rsid w:val="002A6E91"/>
    <w:rsid w:val="002A7104"/>
    <w:rsid w:val="002A7126"/>
    <w:rsid w:val="002A758D"/>
    <w:rsid w:val="002A76C6"/>
    <w:rsid w:val="002A77F6"/>
    <w:rsid w:val="002A7943"/>
    <w:rsid w:val="002A79A1"/>
    <w:rsid w:val="002A7AD5"/>
    <w:rsid w:val="002A7B92"/>
    <w:rsid w:val="002B01DB"/>
    <w:rsid w:val="002B05A4"/>
    <w:rsid w:val="002B0CE9"/>
    <w:rsid w:val="002B0D44"/>
    <w:rsid w:val="002B1280"/>
    <w:rsid w:val="002B12BA"/>
    <w:rsid w:val="002B14AA"/>
    <w:rsid w:val="002B15A0"/>
    <w:rsid w:val="002B1D23"/>
    <w:rsid w:val="002B226A"/>
    <w:rsid w:val="002B25EB"/>
    <w:rsid w:val="002B263C"/>
    <w:rsid w:val="002B2954"/>
    <w:rsid w:val="002B2AA2"/>
    <w:rsid w:val="002B2AD7"/>
    <w:rsid w:val="002B3163"/>
    <w:rsid w:val="002B31D9"/>
    <w:rsid w:val="002B34D0"/>
    <w:rsid w:val="002B34F8"/>
    <w:rsid w:val="002B37FF"/>
    <w:rsid w:val="002B44D3"/>
    <w:rsid w:val="002B489D"/>
    <w:rsid w:val="002B4956"/>
    <w:rsid w:val="002B4F64"/>
    <w:rsid w:val="002B506A"/>
    <w:rsid w:val="002B5809"/>
    <w:rsid w:val="002B5C06"/>
    <w:rsid w:val="002B5F13"/>
    <w:rsid w:val="002B6066"/>
    <w:rsid w:val="002B696D"/>
    <w:rsid w:val="002B697C"/>
    <w:rsid w:val="002B71CC"/>
    <w:rsid w:val="002B77A3"/>
    <w:rsid w:val="002B7C15"/>
    <w:rsid w:val="002C00B6"/>
    <w:rsid w:val="002C05A9"/>
    <w:rsid w:val="002C05EC"/>
    <w:rsid w:val="002C07A3"/>
    <w:rsid w:val="002C09D9"/>
    <w:rsid w:val="002C0FCE"/>
    <w:rsid w:val="002C103E"/>
    <w:rsid w:val="002C118F"/>
    <w:rsid w:val="002C1332"/>
    <w:rsid w:val="002C1743"/>
    <w:rsid w:val="002C1A21"/>
    <w:rsid w:val="002C1CE2"/>
    <w:rsid w:val="002C2480"/>
    <w:rsid w:val="002C25B4"/>
    <w:rsid w:val="002C26CD"/>
    <w:rsid w:val="002C2A58"/>
    <w:rsid w:val="002C2B0F"/>
    <w:rsid w:val="002C321C"/>
    <w:rsid w:val="002C368A"/>
    <w:rsid w:val="002C39E7"/>
    <w:rsid w:val="002C3A20"/>
    <w:rsid w:val="002C3C20"/>
    <w:rsid w:val="002C415A"/>
    <w:rsid w:val="002C4A7D"/>
    <w:rsid w:val="002C5128"/>
    <w:rsid w:val="002C562B"/>
    <w:rsid w:val="002C5D78"/>
    <w:rsid w:val="002C67CC"/>
    <w:rsid w:val="002C68F2"/>
    <w:rsid w:val="002C6BE0"/>
    <w:rsid w:val="002C6D68"/>
    <w:rsid w:val="002C779C"/>
    <w:rsid w:val="002C7855"/>
    <w:rsid w:val="002C794D"/>
    <w:rsid w:val="002C7A6E"/>
    <w:rsid w:val="002C7DF5"/>
    <w:rsid w:val="002D0126"/>
    <w:rsid w:val="002D0391"/>
    <w:rsid w:val="002D0590"/>
    <w:rsid w:val="002D0815"/>
    <w:rsid w:val="002D0A73"/>
    <w:rsid w:val="002D0D67"/>
    <w:rsid w:val="002D0E49"/>
    <w:rsid w:val="002D111F"/>
    <w:rsid w:val="002D17F0"/>
    <w:rsid w:val="002D1FCF"/>
    <w:rsid w:val="002D279B"/>
    <w:rsid w:val="002D27C1"/>
    <w:rsid w:val="002D2961"/>
    <w:rsid w:val="002D306A"/>
    <w:rsid w:val="002D30B3"/>
    <w:rsid w:val="002D3401"/>
    <w:rsid w:val="002D3627"/>
    <w:rsid w:val="002D3BE6"/>
    <w:rsid w:val="002D3CA4"/>
    <w:rsid w:val="002D3E32"/>
    <w:rsid w:val="002D4037"/>
    <w:rsid w:val="002D4674"/>
    <w:rsid w:val="002D495F"/>
    <w:rsid w:val="002D4F22"/>
    <w:rsid w:val="002D5735"/>
    <w:rsid w:val="002D57CC"/>
    <w:rsid w:val="002D62C3"/>
    <w:rsid w:val="002D6ABE"/>
    <w:rsid w:val="002D6AEE"/>
    <w:rsid w:val="002D6C1A"/>
    <w:rsid w:val="002D6E37"/>
    <w:rsid w:val="002D6EF8"/>
    <w:rsid w:val="002D719A"/>
    <w:rsid w:val="002D74C2"/>
    <w:rsid w:val="002D7606"/>
    <w:rsid w:val="002D79CA"/>
    <w:rsid w:val="002D7BF2"/>
    <w:rsid w:val="002D7F98"/>
    <w:rsid w:val="002E00F3"/>
    <w:rsid w:val="002E05D9"/>
    <w:rsid w:val="002E09AD"/>
    <w:rsid w:val="002E0BC0"/>
    <w:rsid w:val="002E0E30"/>
    <w:rsid w:val="002E10C3"/>
    <w:rsid w:val="002E13D5"/>
    <w:rsid w:val="002E1A5D"/>
    <w:rsid w:val="002E224E"/>
    <w:rsid w:val="002E2356"/>
    <w:rsid w:val="002E25A7"/>
    <w:rsid w:val="002E2AE1"/>
    <w:rsid w:val="002E3071"/>
    <w:rsid w:val="002E3197"/>
    <w:rsid w:val="002E327A"/>
    <w:rsid w:val="002E33C6"/>
    <w:rsid w:val="002E373B"/>
    <w:rsid w:val="002E389B"/>
    <w:rsid w:val="002E3949"/>
    <w:rsid w:val="002E3BD8"/>
    <w:rsid w:val="002E3BE7"/>
    <w:rsid w:val="002E3CCB"/>
    <w:rsid w:val="002E3DC4"/>
    <w:rsid w:val="002E44EF"/>
    <w:rsid w:val="002E4902"/>
    <w:rsid w:val="002E49D8"/>
    <w:rsid w:val="002E5180"/>
    <w:rsid w:val="002E6196"/>
    <w:rsid w:val="002E61F6"/>
    <w:rsid w:val="002E67E2"/>
    <w:rsid w:val="002E6A4A"/>
    <w:rsid w:val="002E6C32"/>
    <w:rsid w:val="002E6FBB"/>
    <w:rsid w:val="002E701A"/>
    <w:rsid w:val="002E7045"/>
    <w:rsid w:val="002E71FE"/>
    <w:rsid w:val="002E72F1"/>
    <w:rsid w:val="002E72F4"/>
    <w:rsid w:val="002E74BF"/>
    <w:rsid w:val="002E790A"/>
    <w:rsid w:val="002E7D48"/>
    <w:rsid w:val="002F0527"/>
    <w:rsid w:val="002F0729"/>
    <w:rsid w:val="002F0B70"/>
    <w:rsid w:val="002F161F"/>
    <w:rsid w:val="002F1C38"/>
    <w:rsid w:val="002F20BE"/>
    <w:rsid w:val="002F2714"/>
    <w:rsid w:val="002F28D7"/>
    <w:rsid w:val="002F2956"/>
    <w:rsid w:val="002F2A4F"/>
    <w:rsid w:val="002F2E2B"/>
    <w:rsid w:val="002F32D9"/>
    <w:rsid w:val="002F332E"/>
    <w:rsid w:val="002F3345"/>
    <w:rsid w:val="002F351C"/>
    <w:rsid w:val="002F3A1E"/>
    <w:rsid w:val="002F3D52"/>
    <w:rsid w:val="002F42AB"/>
    <w:rsid w:val="002F475D"/>
    <w:rsid w:val="002F4793"/>
    <w:rsid w:val="002F4EFD"/>
    <w:rsid w:val="002F58D2"/>
    <w:rsid w:val="002F5C5C"/>
    <w:rsid w:val="002F6594"/>
    <w:rsid w:val="002F695A"/>
    <w:rsid w:val="002F6E29"/>
    <w:rsid w:val="002F7529"/>
    <w:rsid w:val="002F76AF"/>
    <w:rsid w:val="002F79A5"/>
    <w:rsid w:val="002F7D16"/>
    <w:rsid w:val="002F7D4E"/>
    <w:rsid w:val="00300634"/>
    <w:rsid w:val="003006CA"/>
    <w:rsid w:val="00300A00"/>
    <w:rsid w:val="00300D71"/>
    <w:rsid w:val="00300F22"/>
    <w:rsid w:val="00301137"/>
    <w:rsid w:val="0030151D"/>
    <w:rsid w:val="00301608"/>
    <w:rsid w:val="00301E42"/>
    <w:rsid w:val="00302320"/>
    <w:rsid w:val="00302664"/>
    <w:rsid w:val="003026FF"/>
    <w:rsid w:val="00302C14"/>
    <w:rsid w:val="00303149"/>
    <w:rsid w:val="003035B5"/>
    <w:rsid w:val="003036AD"/>
    <w:rsid w:val="003036C4"/>
    <w:rsid w:val="00303BB4"/>
    <w:rsid w:val="00303D97"/>
    <w:rsid w:val="00303ECE"/>
    <w:rsid w:val="003040A0"/>
    <w:rsid w:val="0030444F"/>
    <w:rsid w:val="00304D11"/>
    <w:rsid w:val="00304D5A"/>
    <w:rsid w:val="00304D61"/>
    <w:rsid w:val="00304EDF"/>
    <w:rsid w:val="0030584A"/>
    <w:rsid w:val="00305907"/>
    <w:rsid w:val="00305D46"/>
    <w:rsid w:val="003061FA"/>
    <w:rsid w:val="003065EC"/>
    <w:rsid w:val="003067B3"/>
    <w:rsid w:val="00306F37"/>
    <w:rsid w:val="0030747B"/>
    <w:rsid w:val="00307931"/>
    <w:rsid w:val="00307C24"/>
    <w:rsid w:val="00307CCB"/>
    <w:rsid w:val="00307D7D"/>
    <w:rsid w:val="00307DCE"/>
    <w:rsid w:val="003103DB"/>
    <w:rsid w:val="00310803"/>
    <w:rsid w:val="00310D69"/>
    <w:rsid w:val="00311099"/>
    <w:rsid w:val="00311813"/>
    <w:rsid w:val="00311981"/>
    <w:rsid w:val="003119C8"/>
    <w:rsid w:val="00311A22"/>
    <w:rsid w:val="00311B35"/>
    <w:rsid w:val="00311B42"/>
    <w:rsid w:val="00312894"/>
    <w:rsid w:val="00312A1B"/>
    <w:rsid w:val="00312FA6"/>
    <w:rsid w:val="00312FA9"/>
    <w:rsid w:val="00313030"/>
    <w:rsid w:val="003136FC"/>
    <w:rsid w:val="00313BC4"/>
    <w:rsid w:val="00313CE0"/>
    <w:rsid w:val="00313EE8"/>
    <w:rsid w:val="00313F79"/>
    <w:rsid w:val="00314000"/>
    <w:rsid w:val="0031462E"/>
    <w:rsid w:val="0031465E"/>
    <w:rsid w:val="00314780"/>
    <w:rsid w:val="00314799"/>
    <w:rsid w:val="003156A5"/>
    <w:rsid w:val="0031579D"/>
    <w:rsid w:val="003159EC"/>
    <w:rsid w:val="00315C73"/>
    <w:rsid w:val="00316113"/>
    <w:rsid w:val="00316350"/>
    <w:rsid w:val="00316363"/>
    <w:rsid w:val="003163A6"/>
    <w:rsid w:val="0031647F"/>
    <w:rsid w:val="00316830"/>
    <w:rsid w:val="003168E9"/>
    <w:rsid w:val="00316E25"/>
    <w:rsid w:val="00317173"/>
    <w:rsid w:val="00317C4D"/>
    <w:rsid w:val="00317FD8"/>
    <w:rsid w:val="00320273"/>
    <w:rsid w:val="003203CB"/>
    <w:rsid w:val="003204C7"/>
    <w:rsid w:val="00320588"/>
    <w:rsid w:val="0032062C"/>
    <w:rsid w:val="003208D6"/>
    <w:rsid w:val="0032094A"/>
    <w:rsid w:val="003209B2"/>
    <w:rsid w:val="00320D7D"/>
    <w:rsid w:val="0032116A"/>
    <w:rsid w:val="0032127D"/>
    <w:rsid w:val="003216B4"/>
    <w:rsid w:val="00321CD7"/>
    <w:rsid w:val="00321E3D"/>
    <w:rsid w:val="00322117"/>
    <w:rsid w:val="0032243A"/>
    <w:rsid w:val="003226E3"/>
    <w:rsid w:val="00322B86"/>
    <w:rsid w:val="00322C0D"/>
    <w:rsid w:val="00322D9D"/>
    <w:rsid w:val="00322E97"/>
    <w:rsid w:val="003233CA"/>
    <w:rsid w:val="003233D8"/>
    <w:rsid w:val="0032345F"/>
    <w:rsid w:val="00323650"/>
    <w:rsid w:val="00323BB8"/>
    <w:rsid w:val="00323E76"/>
    <w:rsid w:val="00323F41"/>
    <w:rsid w:val="0032477B"/>
    <w:rsid w:val="003247A9"/>
    <w:rsid w:val="00324967"/>
    <w:rsid w:val="00324BAB"/>
    <w:rsid w:val="00324DA8"/>
    <w:rsid w:val="00324DC0"/>
    <w:rsid w:val="00324F42"/>
    <w:rsid w:val="003252E1"/>
    <w:rsid w:val="0032573E"/>
    <w:rsid w:val="0032591C"/>
    <w:rsid w:val="00325D37"/>
    <w:rsid w:val="003268AC"/>
    <w:rsid w:val="00326D90"/>
    <w:rsid w:val="003274EB"/>
    <w:rsid w:val="003276CD"/>
    <w:rsid w:val="003278C0"/>
    <w:rsid w:val="003278FE"/>
    <w:rsid w:val="00327B30"/>
    <w:rsid w:val="00327E84"/>
    <w:rsid w:val="003304BB"/>
    <w:rsid w:val="00330A32"/>
    <w:rsid w:val="00330EEC"/>
    <w:rsid w:val="0033104E"/>
    <w:rsid w:val="003312DF"/>
    <w:rsid w:val="00331335"/>
    <w:rsid w:val="00331556"/>
    <w:rsid w:val="0033169F"/>
    <w:rsid w:val="003317EB"/>
    <w:rsid w:val="00331F51"/>
    <w:rsid w:val="00332026"/>
    <w:rsid w:val="003320E9"/>
    <w:rsid w:val="00332152"/>
    <w:rsid w:val="003321FF"/>
    <w:rsid w:val="003326CF"/>
    <w:rsid w:val="003339BF"/>
    <w:rsid w:val="00333ACD"/>
    <w:rsid w:val="00333AE7"/>
    <w:rsid w:val="00333B72"/>
    <w:rsid w:val="0033409E"/>
    <w:rsid w:val="00334428"/>
    <w:rsid w:val="003348D7"/>
    <w:rsid w:val="00334C39"/>
    <w:rsid w:val="00334F04"/>
    <w:rsid w:val="003354F2"/>
    <w:rsid w:val="0033656C"/>
    <w:rsid w:val="00336977"/>
    <w:rsid w:val="00336C86"/>
    <w:rsid w:val="00336F3C"/>
    <w:rsid w:val="00337091"/>
    <w:rsid w:val="003374FA"/>
    <w:rsid w:val="00340105"/>
    <w:rsid w:val="0034037C"/>
    <w:rsid w:val="00340445"/>
    <w:rsid w:val="003405CF"/>
    <w:rsid w:val="00340A00"/>
    <w:rsid w:val="00340A2D"/>
    <w:rsid w:val="00341584"/>
    <w:rsid w:val="003417F6"/>
    <w:rsid w:val="00341B42"/>
    <w:rsid w:val="00341B4A"/>
    <w:rsid w:val="00342025"/>
    <w:rsid w:val="00342567"/>
    <w:rsid w:val="003430BF"/>
    <w:rsid w:val="003430F4"/>
    <w:rsid w:val="0034317C"/>
    <w:rsid w:val="00343377"/>
    <w:rsid w:val="00343FA9"/>
    <w:rsid w:val="0034463D"/>
    <w:rsid w:val="003446C5"/>
    <w:rsid w:val="003447FE"/>
    <w:rsid w:val="00344991"/>
    <w:rsid w:val="00344ADC"/>
    <w:rsid w:val="00344B03"/>
    <w:rsid w:val="003451DC"/>
    <w:rsid w:val="003455E3"/>
    <w:rsid w:val="00345A7D"/>
    <w:rsid w:val="00345EC1"/>
    <w:rsid w:val="003461BB"/>
    <w:rsid w:val="00346303"/>
    <w:rsid w:val="0034679A"/>
    <w:rsid w:val="00346FA3"/>
    <w:rsid w:val="003470EB"/>
    <w:rsid w:val="00347332"/>
    <w:rsid w:val="00347345"/>
    <w:rsid w:val="0034740C"/>
    <w:rsid w:val="0034757A"/>
    <w:rsid w:val="00347698"/>
    <w:rsid w:val="003476CF"/>
    <w:rsid w:val="003477C2"/>
    <w:rsid w:val="003507D4"/>
    <w:rsid w:val="00350EEC"/>
    <w:rsid w:val="0035148E"/>
    <w:rsid w:val="00351B05"/>
    <w:rsid w:val="00351CC0"/>
    <w:rsid w:val="00351F38"/>
    <w:rsid w:val="0035209E"/>
    <w:rsid w:val="003521B4"/>
    <w:rsid w:val="00352398"/>
    <w:rsid w:val="00352721"/>
    <w:rsid w:val="00352BC8"/>
    <w:rsid w:val="00352C16"/>
    <w:rsid w:val="00353064"/>
    <w:rsid w:val="0035327A"/>
    <w:rsid w:val="00353469"/>
    <w:rsid w:val="0035379C"/>
    <w:rsid w:val="003538E3"/>
    <w:rsid w:val="00353E64"/>
    <w:rsid w:val="00353EAB"/>
    <w:rsid w:val="00353EB7"/>
    <w:rsid w:val="003540D7"/>
    <w:rsid w:val="00354114"/>
    <w:rsid w:val="0035438E"/>
    <w:rsid w:val="003545F7"/>
    <w:rsid w:val="00354C5E"/>
    <w:rsid w:val="00354CBA"/>
    <w:rsid w:val="00354D40"/>
    <w:rsid w:val="00354E1B"/>
    <w:rsid w:val="00354F51"/>
    <w:rsid w:val="003553D1"/>
    <w:rsid w:val="003555AA"/>
    <w:rsid w:val="00355746"/>
    <w:rsid w:val="00355769"/>
    <w:rsid w:val="003557B6"/>
    <w:rsid w:val="00355918"/>
    <w:rsid w:val="00355C14"/>
    <w:rsid w:val="00355FB2"/>
    <w:rsid w:val="00356649"/>
    <w:rsid w:val="003566CD"/>
    <w:rsid w:val="00356B69"/>
    <w:rsid w:val="00356EAC"/>
    <w:rsid w:val="0035710D"/>
    <w:rsid w:val="003572B4"/>
    <w:rsid w:val="003572C9"/>
    <w:rsid w:val="0035735C"/>
    <w:rsid w:val="00357474"/>
    <w:rsid w:val="0035769F"/>
    <w:rsid w:val="00357A8D"/>
    <w:rsid w:val="00357CF4"/>
    <w:rsid w:val="00357DBF"/>
    <w:rsid w:val="003603D2"/>
    <w:rsid w:val="0036065F"/>
    <w:rsid w:val="0036108D"/>
    <w:rsid w:val="00361275"/>
    <w:rsid w:val="003615C8"/>
    <w:rsid w:val="0036181B"/>
    <w:rsid w:val="003619EF"/>
    <w:rsid w:val="00361B81"/>
    <w:rsid w:val="00361C4F"/>
    <w:rsid w:val="00361D97"/>
    <w:rsid w:val="003622B3"/>
    <w:rsid w:val="00362778"/>
    <w:rsid w:val="00362B07"/>
    <w:rsid w:val="00362C22"/>
    <w:rsid w:val="00362E70"/>
    <w:rsid w:val="00362E92"/>
    <w:rsid w:val="00362E96"/>
    <w:rsid w:val="003635B5"/>
    <w:rsid w:val="0036388C"/>
    <w:rsid w:val="0036394A"/>
    <w:rsid w:val="00363A51"/>
    <w:rsid w:val="00363BC5"/>
    <w:rsid w:val="00363C98"/>
    <w:rsid w:val="00363D28"/>
    <w:rsid w:val="00364005"/>
    <w:rsid w:val="0036483B"/>
    <w:rsid w:val="003650CF"/>
    <w:rsid w:val="003654ED"/>
    <w:rsid w:val="00365858"/>
    <w:rsid w:val="00365B4A"/>
    <w:rsid w:val="00365B95"/>
    <w:rsid w:val="00365D7C"/>
    <w:rsid w:val="00366159"/>
    <w:rsid w:val="003662B0"/>
    <w:rsid w:val="00366416"/>
    <w:rsid w:val="00366778"/>
    <w:rsid w:val="00366EA4"/>
    <w:rsid w:val="00367601"/>
    <w:rsid w:val="00367959"/>
    <w:rsid w:val="00367A10"/>
    <w:rsid w:val="00367C71"/>
    <w:rsid w:val="0037034A"/>
    <w:rsid w:val="00370460"/>
    <w:rsid w:val="003705B8"/>
    <w:rsid w:val="00370B4A"/>
    <w:rsid w:val="003710C4"/>
    <w:rsid w:val="003711A3"/>
    <w:rsid w:val="00371207"/>
    <w:rsid w:val="00371344"/>
    <w:rsid w:val="00371541"/>
    <w:rsid w:val="00371E3A"/>
    <w:rsid w:val="00372887"/>
    <w:rsid w:val="00372A22"/>
    <w:rsid w:val="00372C38"/>
    <w:rsid w:val="00372FC3"/>
    <w:rsid w:val="00373A0F"/>
    <w:rsid w:val="00373E73"/>
    <w:rsid w:val="00373F62"/>
    <w:rsid w:val="00374379"/>
    <w:rsid w:val="003743BB"/>
    <w:rsid w:val="00374889"/>
    <w:rsid w:val="00374A3D"/>
    <w:rsid w:val="00374C5E"/>
    <w:rsid w:val="00374F4E"/>
    <w:rsid w:val="0037546A"/>
    <w:rsid w:val="00375712"/>
    <w:rsid w:val="003758C3"/>
    <w:rsid w:val="003762AC"/>
    <w:rsid w:val="0037641E"/>
    <w:rsid w:val="003764E0"/>
    <w:rsid w:val="0037697C"/>
    <w:rsid w:val="0037709F"/>
    <w:rsid w:val="0037712D"/>
    <w:rsid w:val="00377283"/>
    <w:rsid w:val="00377F4C"/>
    <w:rsid w:val="00380095"/>
    <w:rsid w:val="003803A5"/>
    <w:rsid w:val="00380654"/>
    <w:rsid w:val="0038065E"/>
    <w:rsid w:val="00380B70"/>
    <w:rsid w:val="00380D86"/>
    <w:rsid w:val="0038117F"/>
    <w:rsid w:val="003811E0"/>
    <w:rsid w:val="00381364"/>
    <w:rsid w:val="00381524"/>
    <w:rsid w:val="003817FD"/>
    <w:rsid w:val="003818AA"/>
    <w:rsid w:val="00382A32"/>
    <w:rsid w:val="003830FD"/>
    <w:rsid w:val="0038382C"/>
    <w:rsid w:val="00383894"/>
    <w:rsid w:val="00383A93"/>
    <w:rsid w:val="00383BEB"/>
    <w:rsid w:val="00383E77"/>
    <w:rsid w:val="0038416E"/>
    <w:rsid w:val="003844C6"/>
    <w:rsid w:val="00384CB1"/>
    <w:rsid w:val="003850F6"/>
    <w:rsid w:val="003853D1"/>
    <w:rsid w:val="00385505"/>
    <w:rsid w:val="00385711"/>
    <w:rsid w:val="0038572B"/>
    <w:rsid w:val="00385D41"/>
    <w:rsid w:val="00385D81"/>
    <w:rsid w:val="00385E4D"/>
    <w:rsid w:val="00385FD4"/>
    <w:rsid w:val="00386044"/>
    <w:rsid w:val="003862E9"/>
    <w:rsid w:val="0038646F"/>
    <w:rsid w:val="00387063"/>
    <w:rsid w:val="00387646"/>
    <w:rsid w:val="003876B6"/>
    <w:rsid w:val="003876BE"/>
    <w:rsid w:val="00387803"/>
    <w:rsid w:val="00387CDA"/>
    <w:rsid w:val="00387EE7"/>
    <w:rsid w:val="00390099"/>
    <w:rsid w:val="003901D3"/>
    <w:rsid w:val="00390728"/>
    <w:rsid w:val="0039091F"/>
    <w:rsid w:val="00390C52"/>
    <w:rsid w:val="0039106E"/>
    <w:rsid w:val="003914C1"/>
    <w:rsid w:val="00391754"/>
    <w:rsid w:val="00391E60"/>
    <w:rsid w:val="003925A5"/>
    <w:rsid w:val="003926FD"/>
    <w:rsid w:val="00392904"/>
    <w:rsid w:val="0039293F"/>
    <w:rsid w:val="003932B7"/>
    <w:rsid w:val="00393564"/>
    <w:rsid w:val="0039362D"/>
    <w:rsid w:val="0039375B"/>
    <w:rsid w:val="00393A6D"/>
    <w:rsid w:val="003943DF"/>
    <w:rsid w:val="00395114"/>
    <w:rsid w:val="00395699"/>
    <w:rsid w:val="00395E4F"/>
    <w:rsid w:val="00395F18"/>
    <w:rsid w:val="0039639C"/>
    <w:rsid w:val="00396581"/>
    <w:rsid w:val="00396944"/>
    <w:rsid w:val="00396E34"/>
    <w:rsid w:val="0039700F"/>
    <w:rsid w:val="00397276"/>
    <w:rsid w:val="003976C6"/>
    <w:rsid w:val="00397BF5"/>
    <w:rsid w:val="00397C45"/>
    <w:rsid w:val="00397FDD"/>
    <w:rsid w:val="003A0113"/>
    <w:rsid w:val="003A06EB"/>
    <w:rsid w:val="003A0C3D"/>
    <w:rsid w:val="003A0FB2"/>
    <w:rsid w:val="003A1696"/>
    <w:rsid w:val="003A1906"/>
    <w:rsid w:val="003A1E12"/>
    <w:rsid w:val="003A2323"/>
    <w:rsid w:val="003A2331"/>
    <w:rsid w:val="003A36AB"/>
    <w:rsid w:val="003A3F40"/>
    <w:rsid w:val="003A4379"/>
    <w:rsid w:val="003A43C5"/>
    <w:rsid w:val="003A4835"/>
    <w:rsid w:val="003A4BD6"/>
    <w:rsid w:val="003A4DED"/>
    <w:rsid w:val="003A4E90"/>
    <w:rsid w:val="003A5672"/>
    <w:rsid w:val="003A57E5"/>
    <w:rsid w:val="003A5A2C"/>
    <w:rsid w:val="003A5E05"/>
    <w:rsid w:val="003A624A"/>
    <w:rsid w:val="003A673F"/>
    <w:rsid w:val="003A68EF"/>
    <w:rsid w:val="003A6902"/>
    <w:rsid w:val="003A6A13"/>
    <w:rsid w:val="003A6B61"/>
    <w:rsid w:val="003A70A1"/>
    <w:rsid w:val="003A7400"/>
    <w:rsid w:val="003A7ACD"/>
    <w:rsid w:val="003A7CEB"/>
    <w:rsid w:val="003A7EC4"/>
    <w:rsid w:val="003B0085"/>
    <w:rsid w:val="003B02FF"/>
    <w:rsid w:val="003B0642"/>
    <w:rsid w:val="003B0AFE"/>
    <w:rsid w:val="003B10F7"/>
    <w:rsid w:val="003B11A6"/>
    <w:rsid w:val="003B14DB"/>
    <w:rsid w:val="003B1CB3"/>
    <w:rsid w:val="003B1E0C"/>
    <w:rsid w:val="003B214C"/>
    <w:rsid w:val="003B2739"/>
    <w:rsid w:val="003B2A63"/>
    <w:rsid w:val="003B2B75"/>
    <w:rsid w:val="003B2D81"/>
    <w:rsid w:val="003B30B9"/>
    <w:rsid w:val="003B3348"/>
    <w:rsid w:val="003B3B76"/>
    <w:rsid w:val="003B3F4B"/>
    <w:rsid w:val="003B3FF7"/>
    <w:rsid w:val="003B43A0"/>
    <w:rsid w:val="003B5390"/>
    <w:rsid w:val="003B54AD"/>
    <w:rsid w:val="003B56B2"/>
    <w:rsid w:val="003B584C"/>
    <w:rsid w:val="003B5B7E"/>
    <w:rsid w:val="003B5BE8"/>
    <w:rsid w:val="003B5CB0"/>
    <w:rsid w:val="003B61A2"/>
    <w:rsid w:val="003B645D"/>
    <w:rsid w:val="003B663D"/>
    <w:rsid w:val="003B6FC2"/>
    <w:rsid w:val="003B715E"/>
    <w:rsid w:val="003B73DE"/>
    <w:rsid w:val="003B74F7"/>
    <w:rsid w:val="003B75BC"/>
    <w:rsid w:val="003B7CD9"/>
    <w:rsid w:val="003C018E"/>
    <w:rsid w:val="003C025B"/>
    <w:rsid w:val="003C0894"/>
    <w:rsid w:val="003C0990"/>
    <w:rsid w:val="003C0E41"/>
    <w:rsid w:val="003C1B2D"/>
    <w:rsid w:val="003C1EB0"/>
    <w:rsid w:val="003C24B8"/>
    <w:rsid w:val="003C2689"/>
    <w:rsid w:val="003C2849"/>
    <w:rsid w:val="003C2A3E"/>
    <w:rsid w:val="003C3048"/>
    <w:rsid w:val="003C332A"/>
    <w:rsid w:val="003C3B3D"/>
    <w:rsid w:val="003C3EC4"/>
    <w:rsid w:val="003C4174"/>
    <w:rsid w:val="003C4634"/>
    <w:rsid w:val="003C4844"/>
    <w:rsid w:val="003C4F3D"/>
    <w:rsid w:val="003C55A2"/>
    <w:rsid w:val="003C5912"/>
    <w:rsid w:val="003C5A18"/>
    <w:rsid w:val="003C5AB5"/>
    <w:rsid w:val="003C61D6"/>
    <w:rsid w:val="003C63B4"/>
    <w:rsid w:val="003C67EF"/>
    <w:rsid w:val="003C685C"/>
    <w:rsid w:val="003C69CF"/>
    <w:rsid w:val="003C6C40"/>
    <w:rsid w:val="003C6D03"/>
    <w:rsid w:val="003C6F6A"/>
    <w:rsid w:val="003C6F72"/>
    <w:rsid w:val="003C6FDC"/>
    <w:rsid w:val="003C6FDE"/>
    <w:rsid w:val="003C71A6"/>
    <w:rsid w:val="003C7453"/>
    <w:rsid w:val="003C761D"/>
    <w:rsid w:val="003C779C"/>
    <w:rsid w:val="003C79CB"/>
    <w:rsid w:val="003C7D6A"/>
    <w:rsid w:val="003C7E3A"/>
    <w:rsid w:val="003C7F5B"/>
    <w:rsid w:val="003D030D"/>
    <w:rsid w:val="003D04EB"/>
    <w:rsid w:val="003D0592"/>
    <w:rsid w:val="003D06CF"/>
    <w:rsid w:val="003D06F4"/>
    <w:rsid w:val="003D0859"/>
    <w:rsid w:val="003D0C0A"/>
    <w:rsid w:val="003D0F60"/>
    <w:rsid w:val="003D11B3"/>
    <w:rsid w:val="003D1310"/>
    <w:rsid w:val="003D1E73"/>
    <w:rsid w:val="003D2067"/>
    <w:rsid w:val="003D22E1"/>
    <w:rsid w:val="003D232C"/>
    <w:rsid w:val="003D2592"/>
    <w:rsid w:val="003D272C"/>
    <w:rsid w:val="003D2B85"/>
    <w:rsid w:val="003D2CA1"/>
    <w:rsid w:val="003D3035"/>
    <w:rsid w:val="003D3093"/>
    <w:rsid w:val="003D3606"/>
    <w:rsid w:val="003D3861"/>
    <w:rsid w:val="003D3985"/>
    <w:rsid w:val="003D39CC"/>
    <w:rsid w:val="003D3BD2"/>
    <w:rsid w:val="003D3C69"/>
    <w:rsid w:val="003D3E0E"/>
    <w:rsid w:val="003D42CD"/>
    <w:rsid w:val="003D467C"/>
    <w:rsid w:val="003D46E5"/>
    <w:rsid w:val="003D47A9"/>
    <w:rsid w:val="003D493F"/>
    <w:rsid w:val="003D4C31"/>
    <w:rsid w:val="003D4D9F"/>
    <w:rsid w:val="003D4F09"/>
    <w:rsid w:val="003D521C"/>
    <w:rsid w:val="003D5479"/>
    <w:rsid w:val="003D5598"/>
    <w:rsid w:val="003D59BF"/>
    <w:rsid w:val="003D5BCA"/>
    <w:rsid w:val="003D5DCA"/>
    <w:rsid w:val="003D5E42"/>
    <w:rsid w:val="003D5E9B"/>
    <w:rsid w:val="003D66CB"/>
    <w:rsid w:val="003D674B"/>
    <w:rsid w:val="003D6AAA"/>
    <w:rsid w:val="003D6D52"/>
    <w:rsid w:val="003D6F52"/>
    <w:rsid w:val="003D73D7"/>
    <w:rsid w:val="003D7446"/>
    <w:rsid w:val="003D7C9D"/>
    <w:rsid w:val="003D7F30"/>
    <w:rsid w:val="003E006A"/>
    <w:rsid w:val="003E0256"/>
    <w:rsid w:val="003E02FB"/>
    <w:rsid w:val="003E0365"/>
    <w:rsid w:val="003E0596"/>
    <w:rsid w:val="003E11B0"/>
    <w:rsid w:val="003E1318"/>
    <w:rsid w:val="003E1341"/>
    <w:rsid w:val="003E1496"/>
    <w:rsid w:val="003E1DF7"/>
    <w:rsid w:val="003E217B"/>
    <w:rsid w:val="003E2492"/>
    <w:rsid w:val="003E2BA4"/>
    <w:rsid w:val="003E2D73"/>
    <w:rsid w:val="003E32E5"/>
    <w:rsid w:val="003E357C"/>
    <w:rsid w:val="003E3EBE"/>
    <w:rsid w:val="003E4282"/>
    <w:rsid w:val="003E45D5"/>
    <w:rsid w:val="003E4921"/>
    <w:rsid w:val="003E4ABB"/>
    <w:rsid w:val="003E4EC4"/>
    <w:rsid w:val="003E534A"/>
    <w:rsid w:val="003E5968"/>
    <w:rsid w:val="003E5D37"/>
    <w:rsid w:val="003E5E6D"/>
    <w:rsid w:val="003E613B"/>
    <w:rsid w:val="003E6B75"/>
    <w:rsid w:val="003E755D"/>
    <w:rsid w:val="003E7B20"/>
    <w:rsid w:val="003E7C7E"/>
    <w:rsid w:val="003F06FD"/>
    <w:rsid w:val="003F075B"/>
    <w:rsid w:val="003F0800"/>
    <w:rsid w:val="003F0A83"/>
    <w:rsid w:val="003F0C43"/>
    <w:rsid w:val="003F0D2E"/>
    <w:rsid w:val="003F123E"/>
    <w:rsid w:val="003F18C5"/>
    <w:rsid w:val="003F1C89"/>
    <w:rsid w:val="003F1F83"/>
    <w:rsid w:val="003F1FE4"/>
    <w:rsid w:val="003F241F"/>
    <w:rsid w:val="003F291F"/>
    <w:rsid w:val="003F29EE"/>
    <w:rsid w:val="003F2AD9"/>
    <w:rsid w:val="003F2AEE"/>
    <w:rsid w:val="003F2CDE"/>
    <w:rsid w:val="003F2FFA"/>
    <w:rsid w:val="003F315F"/>
    <w:rsid w:val="003F3397"/>
    <w:rsid w:val="003F340E"/>
    <w:rsid w:val="003F341D"/>
    <w:rsid w:val="003F39D9"/>
    <w:rsid w:val="003F3DDA"/>
    <w:rsid w:val="003F423B"/>
    <w:rsid w:val="003F42B8"/>
    <w:rsid w:val="003F4E84"/>
    <w:rsid w:val="003F5300"/>
    <w:rsid w:val="003F5474"/>
    <w:rsid w:val="003F5D45"/>
    <w:rsid w:val="003F6163"/>
    <w:rsid w:val="003F65DF"/>
    <w:rsid w:val="003F6A4C"/>
    <w:rsid w:val="003F6B48"/>
    <w:rsid w:val="003F6CD3"/>
    <w:rsid w:val="003F6D30"/>
    <w:rsid w:val="003F7BBD"/>
    <w:rsid w:val="003F7F6E"/>
    <w:rsid w:val="00400164"/>
    <w:rsid w:val="0040021D"/>
    <w:rsid w:val="004004BA"/>
    <w:rsid w:val="00400791"/>
    <w:rsid w:val="00400CE5"/>
    <w:rsid w:val="00400DED"/>
    <w:rsid w:val="00401057"/>
    <w:rsid w:val="004012B9"/>
    <w:rsid w:val="0040144F"/>
    <w:rsid w:val="00401561"/>
    <w:rsid w:val="00401821"/>
    <w:rsid w:val="00401B29"/>
    <w:rsid w:val="00401B8D"/>
    <w:rsid w:val="00401CA9"/>
    <w:rsid w:val="004025D9"/>
    <w:rsid w:val="0040271D"/>
    <w:rsid w:val="004028C6"/>
    <w:rsid w:val="00402AB1"/>
    <w:rsid w:val="00402BDE"/>
    <w:rsid w:val="00402D6E"/>
    <w:rsid w:val="004031FB"/>
    <w:rsid w:val="00403384"/>
    <w:rsid w:val="00403A2D"/>
    <w:rsid w:val="00403AEF"/>
    <w:rsid w:val="00403E25"/>
    <w:rsid w:val="00403F11"/>
    <w:rsid w:val="0040412B"/>
    <w:rsid w:val="0040414F"/>
    <w:rsid w:val="004049FD"/>
    <w:rsid w:val="00404A8C"/>
    <w:rsid w:val="004051EC"/>
    <w:rsid w:val="00405D56"/>
    <w:rsid w:val="00405E3C"/>
    <w:rsid w:val="00405FF3"/>
    <w:rsid w:val="004061CE"/>
    <w:rsid w:val="004068F6"/>
    <w:rsid w:val="00406A13"/>
    <w:rsid w:val="004073B8"/>
    <w:rsid w:val="00407563"/>
    <w:rsid w:val="004079D1"/>
    <w:rsid w:val="00410325"/>
    <w:rsid w:val="00410385"/>
    <w:rsid w:val="004108D5"/>
    <w:rsid w:val="00410FE4"/>
    <w:rsid w:val="0041165D"/>
    <w:rsid w:val="004118CA"/>
    <w:rsid w:val="00411E1F"/>
    <w:rsid w:val="004121D9"/>
    <w:rsid w:val="0041225B"/>
    <w:rsid w:val="00412269"/>
    <w:rsid w:val="004128C2"/>
    <w:rsid w:val="00412A78"/>
    <w:rsid w:val="00412B05"/>
    <w:rsid w:val="00412B56"/>
    <w:rsid w:val="00412D30"/>
    <w:rsid w:val="00412E4B"/>
    <w:rsid w:val="00412F26"/>
    <w:rsid w:val="00412F2E"/>
    <w:rsid w:val="00412F5F"/>
    <w:rsid w:val="0041316E"/>
    <w:rsid w:val="00413731"/>
    <w:rsid w:val="0041426B"/>
    <w:rsid w:val="004146E5"/>
    <w:rsid w:val="004152C4"/>
    <w:rsid w:val="00415482"/>
    <w:rsid w:val="004155C6"/>
    <w:rsid w:val="00416258"/>
    <w:rsid w:val="004163A3"/>
    <w:rsid w:val="004167AB"/>
    <w:rsid w:val="0041704F"/>
    <w:rsid w:val="00417425"/>
    <w:rsid w:val="004176EB"/>
    <w:rsid w:val="00417787"/>
    <w:rsid w:val="004177AC"/>
    <w:rsid w:val="0041792F"/>
    <w:rsid w:val="00417D61"/>
    <w:rsid w:val="00417F65"/>
    <w:rsid w:val="00420141"/>
    <w:rsid w:val="004204AF"/>
    <w:rsid w:val="0042069B"/>
    <w:rsid w:val="0042097F"/>
    <w:rsid w:val="00420CB5"/>
    <w:rsid w:val="00420EA1"/>
    <w:rsid w:val="004210FA"/>
    <w:rsid w:val="004212DC"/>
    <w:rsid w:val="004214E5"/>
    <w:rsid w:val="0042154C"/>
    <w:rsid w:val="004222AC"/>
    <w:rsid w:val="00422591"/>
    <w:rsid w:val="00422E53"/>
    <w:rsid w:val="00422EA6"/>
    <w:rsid w:val="004238B5"/>
    <w:rsid w:val="004239EC"/>
    <w:rsid w:val="00423C6F"/>
    <w:rsid w:val="004243A5"/>
    <w:rsid w:val="00424654"/>
    <w:rsid w:val="00424881"/>
    <w:rsid w:val="004248D5"/>
    <w:rsid w:val="00424B9A"/>
    <w:rsid w:val="00425132"/>
    <w:rsid w:val="00425138"/>
    <w:rsid w:val="004252CB"/>
    <w:rsid w:val="00425514"/>
    <w:rsid w:val="0042562F"/>
    <w:rsid w:val="00425E27"/>
    <w:rsid w:val="0042635A"/>
    <w:rsid w:val="004266F2"/>
    <w:rsid w:val="004266F8"/>
    <w:rsid w:val="00426DD9"/>
    <w:rsid w:val="0042746E"/>
    <w:rsid w:val="004274D6"/>
    <w:rsid w:val="0042754F"/>
    <w:rsid w:val="0042761D"/>
    <w:rsid w:val="0042766C"/>
    <w:rsid w:val="00427672"/>
    <w:rsid w:val="004276F2"/>
    <w:rsid w:val="00427BE1"/>
    <w:rsid w:val="00427CB0"/>
    <w:rsid w:val="00427EFA"/>
    <w:rsid w:val="004300CC"/>
    <w:rsid w:val="004300DD"/>
    <w:rsid w:val="004303E7"/>
    <w:rsid w:val="0043069E"/>
    <w:rsid w:val="00430862"/>
    <w:rsid w:val="004308A0"/>
    <w:rsid w:val="00430AA6"/>
    <w:rsid w:val="00430B82"/>
    <w:rsid w:val="004311A0"/>
    <w:rsid w:val="004311FE"/>
    <w:rsid w:val="004314B2"/>
    <w:rsid w:val="004314BD"/>
    <w:rsid w:val="00431CFC"/>
    <w:rsid w:val="00431DF9"/>
    <w:rsid w:val="004320C3"/>
    <w:rsid w:val="00432432"/>
    <w:rsid w:val="00432940"/>
    <w:rsid w:val="00432BBB"/>
    <w:rsid w:val="00432CDD"/>
    <w:rsid w:val="00432D13"/>
    <w:rsid w:val="00432D52"/>
    <w:rsid w:val="00432FC9"/>
    <w:rsid w:val="0043317B"/>
    <w:rsid w:val="0043328A"/>
    <w:rsid w:val="0043358B"/>
    <w:rsid w:val="0043381A"/>
    <w:rsid w:val="00433B3E"/>
    <w:rsid w:val="00433DFF"/>
    <w:rsid w:val="0043425B"/>
    <w:rsid w:val="0043442A"/>
    <w:rsid w:val="004344F4"/>
    <w:rsid w:val="004346C1"/>
    <w:rsid w:val="00435845"/>
    <w:rsid w:val="004363AB"/>
    <w:rsid w:val="004367A4"/>
    <w:rsid w:val="00436816"/>
    <w:rsid w:val="00436BBD"/>
    <w:rsid w:val="004373FD"/>
    <w:rsid w:val="00437830"/>
    <w:rsid w:val="00437D50"/>
    <w:rsid w:val="00437D83"/>
    <w:rsid w:val="00440419"/>
    <w:rsid w:val="004405B7"/>
    <w:rsid w:val="00440E6D"/>
    <w:rsid w:val="00441320"/>
    <w:rsid w:val="00441373"/>
    <w:rsid w:val="00441932"/>
    <w:rsid w:val="00441E38"/>
    <w:rsid w:val="00442035"/>
    <w:rsid w:val="004420B1"/>
    <w:rsid w:val="00442539"/>
    <w:rsid w:val="00442C64"/>
    <w:rsid w:val="00442C90"/>
    <w:rsid w:val="00443B39"/>
    <w:rsid w:val="00443CE0"/>
    <w:rsid w:val="00443F78"/>
    <w:rsid w:val="004441DC"/>
    <w:rsid w:val="0044420C"/>
    <w:rsid w:val="00444CD3"/>
    <w:rsid w:val="00445527"/>
    <w:rsid w:val="00445982"/>
    <w:rsid w:val="00445C33"/>
    <w:rsid w:val="00445C75"/>
    <w:rsid w:val="00446101"/>
    <w:rsid w:val="00447997"/>
    <w:rsid w:val="00447A3F"/>
    <w:rsid w:val="00447BEB"/>
    <w:rsid w:val="004500F6"/>
    <w:rsid w:val="004501B2"/>
    <w:rsid w:val="004509DA"/>
    <w:rsid w:val="00450D96"/>
    <w:rsid w:val="0045174D"/>
    <w:rsid w:val="0045178D"/>
    <w:rsid w:val="004517F9"/>
    <w:rsid w:val="0045183C"/>
    <w:rsid w:val="004519E1"/>
    <w:rsid w:val="00451AB9"/>
    <w:rsid w:val="00451C0E"/>
    <w:rsid w:val="00451CF4"/>
    <w:rsid w:val="00451D6F"/>
    <w:rsid w:val="00451FD6"/>
    <w:rsid w:val="00452364"/>
    <w:rsid w:val="0045241C"/>
    <w:rsid w:val="00452D29"/>
    <w:rsid w:val="00452E82"/>
    <w:rsid w:val="00453271"/>
    <w:rsid w:val="0045341C"/>
    <w:rsid w:val="00453738"/>
    <w:rsid w:val="004539DB"/>
    <w:rsid w:val="00453BCD"/>
    <w:rsid w:val="004541E8"/>
    <w:rsid w:val="0045432D"/>
    <w:rsid w:val="00454404"/>
    <w:rsid w:val="00454474"/>
    <w:rsid w:val="00454657"/>
    <w:rsid w:val="0045477F"/>
    <w:rsid w:val="00454ED6"/>
    <w:rsid w:val="0045514A"/>
    <w:rsid w:val="00455BC6"/>
    <w:rsid w:val="00455F12"/>
    <w:rsid w:val="0045607B"/>
    <w:rsid w:val="004560CB"/>
    <w:rsid w:val="00456153"/>
    <w:rsid w:val="00456518"/>
    <w:rsid w:val="00456742"/>
    <w:rsid w:val="004567D0"/>
    <w:rsid w:val="00456B56"/>
    <w:rsid w:val="00456E61"/>
    <w:rsid w:val="00457448"/>
    <w:rsid w:val="004574B8"/>
    <w:rsid w:val="00457686"/>
    <w:rsid w:val="004602F4"/>
    <w:rsid w:val="00460653"/>
    <w:rsid w:val="00460780"/>
    <w:rsid w:val="00460B28"/>
    <w:rsid w:val="00460FF3"/>
    <w:rsid w:val="0046166C"/>
    <w:rsid w:val="00461B01"/>
    <w:rsid w:val="00461C8A"/>
    <w:rsid w:val="00461DBA"/>
    <w:rsid w:val="004623C9"/>
    <w:rsid w:val="00462510"/>
    <w:rsid w:val="00462538"/>
    <w:rsid w:val="004625EC"/>
    <w:rsid w:val="004628DF"/>
    <w:rsid w:val="004628E2"/>
    <w:rsid w:val="00462B45"/>
    <w:rsid w:val="00462D1B"/>
    <w:rsid w:val="00462E7F"/>
    <w:rsid w:val="0046311D"/>
    <w:rsid w:val="0046382D"/>
    <w:rsid w:val="004638B4"/>
    <w:rsid w:val="00463B97"/>
    <w:rsid w:val="00463D00"/>
    <w:rsid w:val="00463D72"/>
    <w:rsid w:val="004642DD"/>
    <w:rsid w:val="00464324"/>
    <w:rsid w:val="00464412"/>
    <w:rsid w:val="0046482C"/>
    <w:rsid w:val="00464D1D"/>
    <w:rsid w:val="004651A9"/>
    <w:rsid w:val="00465575"/>
    <w:rsid w:val="00465576"/>
    <w:rsid w:val="004655CD"/>
    <w:rsid w:val="00465C7B"/>
    <w:rsid w:val="0046618E"/>
    <w:rsid w:val="0046675E"/>
    <w:rsid w:val="00466BD8"/>
    <w:rsid w:val="00466F09"/>
    <w:rsid w:val="00466F75"/>
    <w:rsid w:val="00467796"/>
    <w:rsid w:val="00467923"/>
    <w:rsid w:val="004704ED"/>
    <w:rsid w:val="00470578"/>
    <w:rsid w:val="00470803"/>
    <w:rsid w:val="00470ACA"/>
    <w:rsid w:val="00471721"/>
    <w:rsid w:val="00471DA0"/>
    <w:rsid w:val="00472618"/>
    <w:rsid w:val="00472793"/>
    <w:rsid w:val="0047283B"/>
    <w:rsid w:val="0047286F"/>
    <w:rsid w:val="00472DAC"/>
    <w:rsid w:val="004734B4"/>
    <w:rsid w:val="004735E5"/>
    <w:rsid w:val="004736F3"/>
    <w:rsid w:val="00473A31"/>
    <w:rsid w:val="00473A64"/>
    <w:rsid w:val="00473D7E"/>
    <w:rsid w:val="00474488"/>
    <w:rsid w:val="004745E3"/>
    <w:rsid w:val="004748A3"/>
    <w:rsid w:val="00474B55"/>
    <w:rsid w:val="00474E2A"/>
    <w:rsid w:val="004757BA"/>
    <w:rsid w:val="00475949"/>
    <w:rsid w:val="00475A08"/>
    <w:rsid w:val="00475C1D"/>
    <w:rsid w:val="004761B9"/>
    <w:rsid w:val="00476627"/>
    <w:rsid w:val="004766E9"/>
    <w:rsid w:val="00476E14"/>
    <w:rsid w:val="004772E2"/>
    <w:rsid w:val="00477411"/>
    <w:rsid w:val="0047771A"/>
    <w:rsid w:val="0047773E"/>
    <w:rsid w:val="00477FA1"/>
    <w:rsid w:val="00480013"/>
    <w:rsid w:val="004802AA"/>
    <w:rsid w:val="004806BE"/>
    <w:rsid w:val="00480D7E"/>
    <w:rsid w:val="00480EFD"/>
    <w:rsid w:val="0048113C"/>
    <w:rsid w:val="00481831"/>
    <w:rsid w:val="004819F6"/>
    <w:rsid w:val="00481A1B"/>
    <w:rsid w:val="00481C42"/>
    <w:rsid w:val="00481C5A"/>
    <w:rsid w:val="00481CFD"/>
    <w:rsid w:val="00481EB7"/>
    <w:rsid w:val="0048210C"/>
    <w:rsid w:val="004824A2"/>
    <w:rsid w:val="00482729"/>
    <w:rsid w:val="004828BD"/>
    <w:rsid w:val="00482A9C"/>
    <w:rsid w:val="00482BF2"/>
    <w:rsid w:val="00482E27"/>
    <w:rsid w:val="00482E43"/>
    <w:rsid w:val="00483566"/>
    <w:rsid w:val="00483F26"/>
    <w:rsid w:val="00484261"/>
    <w:rsid w:val="00484969"/>
    <w:rsid w:val="00484B1B"/>
    <w:rsid w:val="00484C51"/>
    <w:rsid w:val="004853F2"/>
    <w:rsid w:val="00485937"/>
    <w:rsid w:val="00486283"/>
    <w:rsid w:val="004865BF"/>
    <w:rsid w:val="0048689F"/>
    <w:rsid w:val="00486D97"/>
    <w:rsid w:val="00486F19"/>
    <w:rsid w:val="00487469"/>
    <w:rsid w:val="004874A4"/>
    <w:rsid w:val="00487684"/>
    <w:rsid w:val="00487842"/>
    <w:rsid w:val="00487FC7"/>
    <w:rsid w:val="004901F3"/>
    <w:rsid w:val="0049024D"/>
    <w:rsid w:val="004905C6"/>
    <w:rsid w:val="00490D5E"/>
    <w:rsid w:val="00491678"/>
    <w:rsid w:val="00491707"/>
    <w:rsid w:val="0049172D"/>
    <w:rsid w:val="00491C11"/>
    <w:rsid w:val="00491F88"/>
    <w:rsid w:val="004922A6"/>
    <w:rsid w:val="00492ACF"/>
    <w:rsid w:val="00492ECD"/>
    <w:rsid w:val="004935E3"/>
    <w:rsid w:val="004936AC"/>
    <w:rsid w:val="00493744"/>
    <w:rsid w:val="00493BCB"/>
    <w:rsid w:val="00493D37"/>
    <w:rsid w:val="004941A8"/>
    <w:rsid w:val="0049479A"/>
    <w:rsid w:val="0049483D"/>
    <w:rsid w:val="00494848"/>
    <w:rsid w:val="00494EC5"/>
    <w:rsid w:val="00494EE7"/>
    <w:rsid w:val="00495760"/>
    <w:rsid w:val="00495804"/>
    <w:rsid w:val="00495BDE"/>
    <w:rsid w:val="00495D5C"/>
    <w:rsid w:val="00495E11"/>
    <w:rsid w:val="004965BF"/>
    <w:rsid w:val="00496DF2"/>
    <w:rsid w:val="00496F23"/>
    <w:rsid w:val="004971E3"/>
    <w:rsid w:val="00497308"/>
    <w:rsid w:val="0049780C"/>
    <w:rsid w:val="0049796E"/>
    <w:rsid w:val="004979D6"/>
    <w:rsid w:val="00497D98"/>
    <w:rsid w:val="00497DA6"/>
    <w:rsid w:val="00497E22"/>
    <w:rsid w:val="00497EF0"/>
    <w:rsid w:val="004A07DC"/>
    <w:rsid w:val="004A083A"/>
    <w:rsid w:val="004A0895"/>
    <w:rsid w:val="004A0A3C"/>
    <w:rsid w:val="004A0D20"/>
    <w:rsid w:val="004A101E"/>
    <w:rsid w:val="004A102D"/>
    <w:rsid w:val="004A1113"/>
    <w:rsid w:val="004A1381"/>
    <w:rsid w:val="004A1C2E"/>
    <w:rsid w:val="004A1EF2"/>
    <w:rsid w:val="004A2198"/>
    <w:rsid w:val="004A2278"/>
    <w:rsid w:val="004A2483"/>
    <w:rsid w:val="004A250D"/>
    <w:rsid w:val="004A2732"/>
    <w:rsid w:val="004A27B9"/>
    <w:rsid w:val="004A2951"/>
    <w:rsid w:val="004A2E3C"/>
    <w:rsid w:val="004A2E5C"/>
    <w:rsid w:val="004A3157"/>
    <w:rsid w:val="004A31A5"/>
    <w:rsid w:val="004A32E4"/>
    <w:rsid w:val="004A33E7"/>
    <w:rsid w:val="004A3650"/>
    <w:rsid w:val="004A3B88"/>
    <w:rsid w:val="004A3D18"/>
    <w:rsid w:val="004A3F93"/>
    <w:rsid w:val="004A4104"/>
    <w:rsid w:val="004A421E"/>
    <w:rsid w:val="004A433B"/>
    <w:rsid w:val="004A468A"/>
    <w:rsid w:val="004A4B40"/>
    <w:rsid w:val="004A4F16"/>
    <w:rsid w:val="004A5038"/>
    <w:rsid w:val="004A54F9"/>
    <w:rsid w:val="004A592B"/>
    <w:rsid w:val="004A5AA3"/>
    <w:rsid w:val="004A5C92"/>
    <w:rsid w:val="004A5F75"/>
    <w:rsid w:val="004A603C"/>
    <w:rsid w:val="004A61CC"/>
    <w:rsid w:val="004A69DD"/>
    <w:rsid w:val="004A6AFC"/>
    <w:rsid w:val="004A6C59"/>
    <w:rsid w:val="004A6F48"/>
    <w:rsid w:val="004A70CF"/>
    <w:rsid w:val="004A71A2"/>
    <w:rsid w:val="004A74AF"/>
    <w:rsid w:val="004A76EC"/>
    <w:rsid w:val="004A7F21"/>
    <w:rsid w:val="004B01CA"/>
    <w:rsid w:val="004B02DF"/>
    <w:rsid w:val="004B047B"/>
    <w:rsid w:val="004B04C9"/>
    <w:rsid w:val="004B0605"/>
    <w:rsid w:val="004B0D62"/>
    <w:rsid w:val="004B0E96"/>
    <w:rsid w:val="004B0FC6"/>
    <w:rsid w:val="004B106D"/>
    <w:rsid w:val="004B16C3"/>
    <w:rsid w:val="004B191D"/>
    <w:rsid w:val="004B1C1E"/>
    <w:rsid w:val="004B225C"/>
    <w:rsid w:val="004B22D0"/>
    <w:rsid w:val="004B25DC"/>
    <w:rsid w:val="004B277B"/>
    <w:rsid w:val="004B2C9D"/>
    <w:rsid w:val="004B2FB0"/>
    <w:rsid w:val="004B343F"/>
    <w:rsid w:val="004B35B7"/>
    <w:rsid w:val="004B36D9"/>
    <w:rsid w:val="004B382B"/>
    <w:rsid w:val="004B393E"/>
    <w:rsid w:val="004B3E76"/>
    <w:rsid w:val="004B47D0"/>
    <w:rsid w:val="004B4C21"/>
    <w:rsid w:val="004B4E82"/>
    <w:rsid w:val="004B4ECC"/>
    <w:rsid w:val="004B4F76"/>
    <w:rsid w:val="004B4F81"/>
    <w:rsid w:val="004B4FD5"/>
    <w:rsid w:val="004B4FF3"/>
    <w:rsid w:val="004B50AA"/>
    <w:rsid w:val="004B5226"/>
    <w:rsid w:val="004B53B6"/>
    <w:rsid w:val="004B5F83"/>
    <w:rsid w:val="004B6062"/>
    <w:rsid w:val="004B6069"/>
    <w:rsid w:val="004B60E1"/>
    <w:rsid w:val="004B6384"/>
    <w:rsid w:val="004B6622"/>
    <w:rsid w:val="004B6AAA"/>
    <w:rsid w:val="004B6E45"/>
    <w:rsid w:val="004B6ECF"/>
    <w:rsid w:val="004B742F"/>
    <w:rsid w:val="004B7978"/>
    <w:rsid w:val="004B7EA5"/>
    <w:rsid w:val="004C0104"/>
    <w:rsid w:val="004C01D7"/>
    <w:rsid w:val="004C0A85"/>
    <w:rsid w:val="004C15DD"/>
    <w:rsid w:val="004C17CC"/>
    <w:rsid w:val="004C17EC"/>
    <w:rsid w:val="004C18AC"/>
    <w:rsid w:val="004C1C4D"/>
    <w:rsid w:val="004C1D13"/>
    <w:rsid w:val="004C1DB8"/>
    <w:rsid w:val="004C1FF0"/>
    <w:rsid w:val="004C248C"/>
    <w:rsid w:val="004C2545"/>
    <w:rsid w:val="004C26F2"/>
    <w:rsid w:val="004C2B7E"/>
    <w:rsid w:val="004C37BC"/>
    <w:rsid w:val="004C3D42"/>
    <w:rsid w:val="004C4291"/>
    <w:rsid w:val="004C4398"/>
    <w:rsid w:val="004C43E2"/>
    <w:rsid w:val="004C4420"/>
    <w:rsid w:val="004C4C4D"/>
    <w:rsid w:val="004C5529"/>
    <w:rsid w:val="004C55BA"/>
    <w:rsid w:val="004C59E3"/>
    <w:rsid w:val="004C5B34"/>
    <w:rsid w:val="004C5CC9"/>
    <w:rsid w:val="004C5FA4"/>
    <w:rsid w:val="004C64BA"/>
    <w:rsid w:val="004C69B8"/>
    <w:rsid w:val="004C6D09"/>
    <w:rsid w:val="004C7193"/>
    <w:rsid w:val="004C73F1"/>
    <w:rsid w:val="004C7483"/>
    <w:rsid w:val="004C7666"/>
    <w:rsid w:val="004C778C"/>
    <w:rsid w:val="004C780C"/>
    <w:rsid w:val="004C7C16"/>
    <w:rsid w:val="004D0617"/>
    <w:rsid w:val="004D06E7"/>
    <w:rsid w:val="004D070A"/>
    <w:rsid w:val="004D0ABB"/>
    <w:rsid w:val="004D0C38"/>
    <w:rsid w:val="004D0D81"/>
    <w:rsid w:val="004D0EAB"/>
    <w:rsid w:val="004D1289"/>
    <w:rsid w:val="004D162D"/>
    <w:rsid w:val="004D17E6"/>
    <w:rsid w:val="004D1C87"/>
    <w:rsid w:val="004D2657"/>
    <w:rsid w:val="004D29E9"/>
    <w:rsid w:val="004D2AF9"/>
    <w:rsid w:val="004D2C48"/>
    <w:rsid w:val="004D30B3"/>
    <w:rsid w:val="004D3448"/>
    <w:rsid w:val="004D365B"/>
    <w:rsid w:val="004D39BF"/>
    <w:rsid w:val="004D3A3F"/>
    <w:rsid w:val="004D3ED9"/>
    <w:rsid w:val="004D4653"/>
    <w:rsid w:val="004D4674"/>
    <w:rsid w:val="004D478D"/>
    <w:rsid w:val="004D483E"/>
    <w:rsid w:val="004D4A5D"/>
    <w:rsid w:val="004D4F4F"/>
    <w:rsid w:val="004D51AF"/>
    <w:rsid w:val="004D5669"/>
    <w:rsid w:val="004D579E"/>
    <w:rsid w:val="004D62C7"/>
    <w:rsid w:val="004D638C"/>
    <w:rsid w:val="004D6852"/>
    <w:rsid w:val="004D6D63"/>
    <w:rsid w:val="004D70C6"/>
    <w:rsid w:val="004D7391"/>
    <w:rsid w:val="004D775D"/>
    <w:rsid w:val="004D7895"/>
    <w:rsid w:val="004D7C70"/>
    <w:rsid w:val="004D7E90"/>
    <w:rsid w:val="004E010C"/>
    <w:rsid w:val="004E0313"/>
    <w:rsid w:val="004E0692"/>
    <w:rsid w:val="004E0ABC"/>
    <w:rsid w:val="004E0BCC"/>
    <w:rsid w:val="004E0BEE"/>
    <w:rsid w:val="004E0FB4"/>
    <w:rsid w:val="004E21AC"/>
    <w:rsid w:val="004E23DF"/>
    <w:rsid w:val="004E26C1"/>
    <w:rsid w:val="004E2B4F"/>
    <w:rsid w:val="004E2BAE"/>
    <w:rsid w:val="004E33E2"/>
    <w:rsid w:val="004E390B"/>
    <w:rsid w:val="004E3A67"/>
    <w:rsid w:val="004E3ECC"/>
    <w:rsid w:val="004E418E"/>
    <w:rsid w:val="004E4378"/>
    <w:rsid w:val="004E4932"/>
    <w:rsid w:val="004E498B"/>
    <w:rsid w:val="004E4CCA"/>
    <w:rsid w:val="004E50BB"/>
    <w:rsid w:val="004E521A"/>
    <w:rsid w:val="004E53D2"/>
    <w:rsid w:val="004E54A8"/>
    <w:rsid w:val="004E5B7B"/>
    <w:rsid w:val="004E5D80"/>
    <w:rsid w:val="004E5FEF"/>
    <w:rsid w:val="004E61F9"/>
    <w:rsid w:val="004E68F8"/>
    <w:rsid w:val="004E691B"/>
    <w:rsid w:val="004E6C2F"/>
    <w:rsid w:val="004E7227"/>
    <w:rsid w:val="004E75A1"/>
    <w:rsid w:val="004E7629"/>
    <w:rsid w:val="004E7A0D"/>
    <w:rsid w:val="004E7C03"/>
    <w:rsid w:val="004F052F"/>
    <w:rsid w:val="004F079C"/>
    <w:rsid w:val="004F120F"/>
    <w:rsid w:val="004F1955"/>
    <w:rsid w:val="004F19A0"/>
    <w:rsid w:val="004F1ABF"/>
    <w:rsid w:val="004F222B"/>
    <w:rsid w:val="004F2B85"/>
    <w:rsid w:val="004F2D0B"/>
    <w:rsid w:val="004F354F"/>
    <w:rsid w:val="004F3AFD"/>
    <w:rsid w:val="004F3B18"/>
    <w:rsid w:val="004F3B3D"/>
    <w:rsid w:val="004F3BB1"/>
    <w:rsid w:val="004F42B8"/>
    <w:rsid w:val="004F46DB"/>
    <w:rsid w:val="004F4772"/>
    <w:rsid w:val="004F4777"/>
    <w:rsid w:val="004F4793"/>
    <w:rsid w:val="004F4E75"/>
    <w:rsid w:val="004F5091"/>
    <w:rsid w:val="004F56DD"/>
    <w:rsid w:val="004F58BA"/>
    <w:rsid w:val="004F5B52"/>
    <w:rsid w:val="004F5DA1"/>
    <w:rsid w:val="004F5E1F"/>
    <w:rsid w:val="004F6036"/>
    <w:rsid w:val="004F63FF"/>
    <w:rsid w:val="004F66CE"/>
    <w:rsid w:val="004F68AA"/>
    <w:rsid w:val="004F6980"/>
    <w:rsid w:val="004F6B1A"/>
    <w:rsid w:val="004F6BB0"/>
    <w:rsid w:val="004F6F13"/>
    <w:rsid w:val="004F6F9B"/>
    <w:rsid w:val="004F7002"/>
    <w:rsid w:val="004F7278"/>
    <w:rsid w:val="004F7539"/>
    <w:rsid w:val="004F7724"/>
    <w:rsid w:val="004F7BDC"/>
    <w:rsid w:val="004F7FC1"/>
    <w:rsid w:val="005004E4"/>
    <w:rsid w:val="00500AA3"/>
    <w:rsid w:val="00500F29"/>
    <w:rsid w:val="00501866"/>
    <w:rsid w:val="00501961"/>
    <w:rsid w:val="00501966"/>
    <w:rsid w:val="0050198E"/>
    <w:rsid w:val="00501D0E"/>
    <w:rsid w:val="00502296"/>
    <w:rsid w:val="00502722"/>
    <w:rsid w:val="005027B4"/>
    <w:rsid w:val="00502B21"/>
    <w:rsid w:val="0050356D"/>
    <w:rsid w:val="0050395A"/>
    <w:rsid w:val="00503EC4"/>
    <w:rsid w:val="0050419C"/>
    <w:rsid w:val="0050440A"/>
    <w:rsid w:val="00504B50"/>
    <w:rsid w:val="00504B73"/>
    <w:rsid w:val="005057DA"/>
    <w:rsid w:val="00506960"/>
    <w:rsid w:val="00506AC3"/>
    <w:rsid w:val="00506ACA"/>
    <w:rsid w:val="00506BE1"/>
    <w:rsid w:val="00506DFC"/>
    <w:rsid w:val="0050712B"/>
    <w:rsid w:val="00507343"/>
    <w:rsid w:val="005073C3"/>
    <w:rsid w:val="005077FF"/>
    <w:rsid w:val="0050784C"/>
    <w:rsid w:val="0051068C"/>
    <w:rsid w:val="005108CA"/>
    <w:rsid w:val="00510A53"/>
    <w:rsid w:val="00510E86"/>
    <w:rsid w:val="0051129D"/>
    <w:rsid w:val="00511F2A"/>
    <w:rsid w:val="0051237A"/>
    <w:rsid w:val="00512774"/>
    <w:rsid w:val="00512EE9"/>
    <w:rsid w:val="005130D0"/>
    <w:rsid w:val="005130D6"/>
    <w:rsid w:val="005132AF"/>
    <w:rsid w:val="00513441"/>
    <w:rsid w:val="0051444E"/>
    <w:rsid w:val="005144D2"/>
    <w:rsid w:val="0051450E"/>
    <w:rsid w:val="005146EE"/>
    <w:rsid w:val="00514952"/>
    <w:rsid w:val="00514AA2"/>
    <w:rsid w:val="00514B74"/>
    <w:rsid w:val="00514C6A"/>
    <w:rsid w:val="00515085"/>
    <w:rsid w:val="0051559A"/>
    <w:rsid w:val="00515A83"/>
    <w:rsid w:val="00515EF4"/>
    <w:rsid w:val="00515FA9"/>
    <w:rsid w:val="0051676C"/>
    <w:rsid w:val="00516A72"/>
    <w:rsid w:val="00516AAE"/>
    <w:rsid w:val="00517093"/>
    <w:rsid w:val="00517147"/>
    <w:rsid w:val="005174B5"/>
    <w:rsid w:val="005176AE"/>
    <w:rsid w:val="005201BB"/>
    <w:rsid w:val="005207CC"/>
    <w:rsid w:val="00520B1C"/>
    <w:rsid w:val="00520D5F"/>
    <w:rsid w:val="0052123D"/>
    <w:rsid w:val="005218AC"/>
    <w:rsid w:val="005219C0"/>
    <w:rsid w:val="00521ADF"/>
    <w:rsid w:val="00521C8F"/>
    <w:rsid w:val="0052218D"/>
    <w:rsid w:val="00522411"/>
    <w:rsid w:val="005224AA"/>
    <w:rsid w:val="00522654"/>
    <w:rsid w:val="0052282F"/>
    <w:rsid w:val="00522968"/>
    <w:rsid w:val="00523053"/>
    <w:rsid w:val="0052314D"/>
    <w:rsid w:val="00523360"/>
    <w:rsid w:val="00523485"/>
    <w:rsid w:val="0052389F"/>
    <w:rsid w:val="00523C82"/>
    <w:rsid w:val="005241FB"/>
    <w:rsid w:val="005244B4"/>
    <w:rsid w:val="00524642"/>
    <w:rsid w:val="00524AB5"/>
    <w:rsid w:val="00524EE9"/>
    <w:rsid w:val="00525110"/>
    <w:rsid w:val="0052516C"/>
    <w:rsid w:val="00525850"/>
    <w:rsid w:val="005258C1"/>
    <w:rsid w:val="00525C67"/>
    <w:rsid w:val="00525F9A"/>
    <w:rsid w:val="00526093"/>
    <w:rsid w:val="0052619B"/>
    <w:rsid w:val="0052668F"/>
    <w:rsid w:val="00526CF9"/>
    <w:rsid w:val="00526F3A"/>
    <w:rsid w:val="005274CE"/>
    <w:rsid w:val="0052769B"/>
    <w:rsid w:val="005279EF"/>
    <w:rsid w:val="00530655"/>
    <w:rsid w:val="005306F8"/>
    <w:rsid w:val="00530D76"/>
    <w:rsid w:val="00530DA9"/>
    <w:rsid w:val="005317D5"/>
    <w:rsid w:val="00531E96"/>
    <w:rsid w:val="00531F85"/>
    <w:rsid w:val="00532105"/>
    <w:rsid w:val="0053216C"/>
    <w:rsid w:val="005321DE"/>
    <w:rsid w:val="005322B6"/>
    <w:rsid w:val="005325CF"/>
    <w:rsid w:val="005326AB"/>
    <w:rsid w:val="0053270E"/>
    <w:rsid w:val="00532C9E"/>
    <w:rsid w:val="00533370"/>
    <w:rsid w:val="0053372E"/>
    <w:rsid w:val="00533AB3"/>
    <w:rsid w:val="00533C4D"/>
    <w:rsid w:val="00533C9B"/>
    <w:rsid w:val="00533D06"/>
    <w:rsid w:val="0053419A"/>
    <w:rsid w:val="005342FB"/>
    <w:rsid w:val="00534589"/>
    <w:rsid w:val="00534677"/>
    <w:rsid w:val="00534C52"/>
    <w:rsid w:val="00534FE8"/>
    <w:rsid w:val="00535107"/>
    <w:rsid w:val="005351A4"/>
    <w:rsid w:val="005351AF"/>
    <w:rsid w:val="00535763"/>
    <w:rsid w:val="00535A5C"/>
    <w:rsid w:val="00535A7C"/>
    <w:rsid w:val="00535E5D"/>
    <w:rsid w:val="0053642B"/>
    <w:rsid w:val="00536733"/>
    <w:rsid w:val="005369EC"/>
    <w:rsid w:val="00536B09"/>
    <w:rsid w:val="00536C0F"/>
    <w:rsid w:val="00536F9A"/>
    <w:rsid w:val="00536FAE"/>
    <w:rsid w:val="00537325"/>
    <w:rsid w:val="0053735A"/>
    <w:rsid w:val="005373FB"/>
    <w:rsid w:val="00537D16"/>
    <w:rsid w:val="00540204"/>
    <w:rsid w:val="00540FF8"/>
    <w:rsid w:val="0054155C"/>
    <w:rsid w:val="005416FB"/>
    <w:rsid w:val="00541AFA"/>
    <w:rsid w:val="00541EC5"/>
    <w:rsid w:val="00542078"/>
    <w:rsid w:val="00542435"/>
    <w:rsid w:val="00542489"/>
    <w:rsid w:val="0054258F"/>
    <w:rsid w:val="00542AA8"/>
    <w:rsid w:val="00542F97"/>
    <w:rsid w:val="00543652"/>
    <w:rsid w:val="005436CF"/>
    <w:rsid w:val="00543812"/>
    <w:rsid w:val="00543956"/>
    <w:rsid w:val="00543B48"/>
    <w:rsid w:val="00543BF6"/>
    <w:rsid w:val="00543D00"/>
    <w:rsid w:val="005440B5"/>
    <w:rsid w:val="00544752"/>
    <w:rsid w:val="00544885"/>
    <w:rsid w:val="00544991"/>
    <w:rsid w:val="00544E54"/>
    <w:rsid w:val="00545445"/>
    <w:rsid w:val="0054585D"/>
    <w:rsid w:val="00545BD0"/>
    <w:rsid w:val="00545FBE"/>
    <w:rsid w:val="0054616B"/>
    <w:rsid w:val="0054619E"/>
    <w:rsid w:val="0054626D"/>
    <w:rsid w:val="00546659"/>
    <w:rsid w:val="00546ACB"/>
    <w:rsid w:val="00546E45"/>
    <w:rsid w:val="00546EAF"/>
    <w:rsid w:val="00546EB5"/>
    <w:rsid w:val="00547299"/>
    <w:rsid w:val="00547A0D"/>
    <w:rsid w:val="00547F12"/>
    <w:rsid w:val="0055022A"/>
    <w:rsid w:val="005502A5"/>
    <w:rsid w:val="005506A0"/>
    <w:rsid w:val="005507CD"/>
    <w:rsid w:val="00550C60"/>
    <w:rsid w:val="00550D78"/>
    <w:rsid w:val="00551321"/>
    <w:rsid w:val="005515CF"/>
    <w:rsid w:val="005517A3"/>
    <w:rsid w:val="005517F7"/>
    <w:rsid w:val="00551CA3"/>
    <w:rsid w:val="00551DDA"/>
    <w:rsid w:val="0055254D"/>
    <w:rsid w:val="00552998"/>
    <w:rsid w:val="005534A5"/>
    <w:rsid w:val="0055350C"/>
    <w:rsid w:val="00554418"/>
    <w:rsid w:val="005546DA"/>
    <w:rsid w:val="0055489A"/>
    <w:rsid w:val="00554B09"/>
    <w:rsid w:val="00554B77"/>
    <w:rsid w:val="00554BC4"/>
    <w:rsid w:val="00554F88"/>
    <w:rsid w:val="00555132"/>
    <w:rsid w:val="00555247"/>
    <w:rsid w:val="00556072"/>
    <w:rsid w:val="00556298"/>
    <w:rsid w:val="0055629E"/>
    <w:rsid w:val="00556646"/>
    <w:rsid w:val="00556674"/>
    <w:rsid w:val="00556683"/>
    <w:rsid w:val="00556BF2"/>
    <w:rsid w:val="00557008"/>
    <w:rsid w:val="005570EB"/>
    <w:rsid w:val="0055751E"/>
    <w:rsid w:val="00557583"/>
    <w:rsid w:val="005575AA"/>
    <w:rsid w:val="00557608"/>
    <w:rsid w:val="005578C0"/>
    <w:rsid w:val="00557AE6"/>
    <w:rsid w:val="00557BC8"/>
    <w:rsid w:val="00557D1F"/>
    <w:rsid w:val="00560062"/>
    <w:rsid w:val="00560328"/>
    <w:rsid w:val="00560394"/>
    <w:rsid w:val="00560460"/>
    <w:rsid w:val="0056061C"/>
    <w:rsid w:val="00560BCD"/>
    <w:rsid w:val="00560FA4"/>
    <w:rsid w:val="00561991"/>
    <w:rsid w:val="005621AE"/>
    <w:rsid w:val="005623AF"/>
    <w:rsid w:val="0056272B"/>
    <w:rsid w:val="0056299B"/>
    <w:rsid w:val="00562BBA"/>
    <w:rsid w:val="00563490"/>
    <w:rsid w:val="0056370F"/>
    <w:rsid w:val="00563B02"/>
    <w:rsid w:val="00563C87"/>
    <w:rsid w:val="00563D98"/>
    <w:rsid w:val="005641A8"/>
    <w:rsid w:val="005647FF"/>
    <w:rsid w:val="00564D3F"/>
    <w:rsid w:val="0056560E"/>
    <w:rsid w:val="00565892"/>
    <w:rsid w:val="005659D7"/>
    <w:rsid w:val="00565C06"/>
    <w:rsid w:val="00565F4B"/>
    <w:rsid w:val="005661DB"/>
    <w:rsid w:val="0056665B"/>
    <w:rsid w:val="005667D0"/>
    <w:rsid w:val="00566D5B"/>
    <w:rsid w:val="005670D8"/>
    <w:rsid w:val="0056710C"/>
    <w:rsid w:val="005671DA"/>
    <w:rsid w:val="0056765B"/>
    <w:rsid w:val="005677DC"/>
    <w:rsid w:val="005678A2"/>
    <w:rsid w:val="00567D82"/>
    <w:rsid w:val="00567D98"/>
    <w:rsid w:val="00567E03"/>
    <w:rsid w:val="00567F97"/>
    <w:rsid w:val="005701B2"/>
    <w:rsid w:val="00570511"/>
    <w:rsid w:val="0057057A"/>
    <w:rsid w:val="00570829"/>
    <w:rsid w:val="00570920"/>
    <w:rsid w:val="005709E4"/>
    <w:rsid w:val="00570A0F"/>
    <w:rsid w:val="00570A24"/>
    <w:rsid w:val="00570B87"/>
    <w:rsid w:val="00570BDC"/>
    <w:rsid w:val="00571025"/>
    <w:rsid w:val="0057103E"/>
    <w:rsid w:val="00571441"/>
    <w:rsid w:val="0057148F"/>
    <w:rsid w:val="00571744"/>
    <w:rsid w:val="005717C7"/>
    <w:rsid w:val="0057189D"/>
    <w:rsid w:val="00571BCB"/>
    <w:rsid w:val="00571D00"/>
    <w:rsid w:val="00571F47"/>
    <w:rsid w:val="00571FB2"/>
    <w:rsid w:val="00572208"/>
    <w:rsid w:val="0057244C"/>
    <w:rsid w:val="00572758"/>
    <w:rsid w:val="0057280C"/>
    <w:rsid w:val="00572925"/>
    <w:rsid w:val="00572EFD"/>
    <w:rsid w:val="005731CC"/>
    <w:rsid w:val="00573234"/>
    <w:rsid w:val="005732F0"/>
    <w:rsid w:val="005735E7"/>
    <w:rsid w:val="00573DF7"/>
    <w:rsid w:val="00573F70"/>
    <w:rsid w:val="005740A1"/>
    <w:rsid w:val="00574264"/>
    <w:rsid w:val="005744C1"/>
    <w:rsid w:val="00574508"/>
    <w:rsid w:val="00574591"/>
    <w:rsid w:val="0057459F"/>
    <w:rsid w:val="00574653"/>
    <w:rsid w:val="0057485A"/>
    <w:rsid w:val="00575122"/>
    <w:rsid w:val="005753F6"/>
    <w:rsid w:val="0057558B"/>
    <w:rsid w:val="00575770"/>
    <w:rsid w:val="00575897"/>
    <w:rsid w:val="00575DD4"/>
    <w:rsid w:val="00575F46"/>
    <w:rsid w:val="00576070"/>
    <w:rsid w:val="005767A5"/>
    <w:rsid w:val="00576901"/>
    <w:rsid w:val="00576DFB"/>
    <w:rsid w:val="005773E4"/>
    <w:rsid w:val="0058002C"/>
    <w:rsid w:val="0058009D"/>
    <w:rsid w:val="0058016F"/>
    <w:rsid w:val="00581204"/>
    <w:rsid w:val="005814A8"/>
    <w:rsid w:val="00581550"/>
    <w:rsid w:val="00581567"/>
    <w:rsid w:val="00581632"/>
    <w:rsid w:val="00581C26"/>
    <w:rsid w:val="005820DA"/>
    <w:rsid w:val="005821CB"/>
    <w:rsid w:val="0058246C"/>
    <w:rsid w:val="005825DF"/>
    <w:rsid w:val="00582AEA"/>
    <w:rsid w:val="00582B54"/>
    <w:rsid w:val="0058326E"/>
    <w:rsid w:val="00583366"/>
    <w:rsid w:val="005836B5"/>
    <w:rsid w:val="005838A8"/>
    <w:rsid w:val="00584130"/>
    <w:rsid w:val="005842AF"/>
    <w:rsid w:val="00584357"/>
    <w:rsid w:val="005843B4"/>
    <w:rsid w:val="00584719"/>
    <w:rsid w:val="005847C9"/>
    <w:rsid w:val="00584860"/>
    <w:rsid w:val="00584DBD"/>
    <w:rsid w:val="00584DCF"/>
    <w:rsid w:val="00585045"/>
    <w:rsid w:val="005852F9"/>
    <w:rsid w:val="00585448"/>
    <w:rsid w:val="0058562A"/>
    <w:rsid w:val="00585B8D"/>
    <w:rsid w:val="00585EEF"/>
    <w:rsid w:val="0058603C"/>
    <w:rsid w:val="005860D9"/>
    <w:rsid w:val="005860FB"/>
    <w:rsid w:val="0058657B"/>
    <w:rsid w:val="005865D9"/>
    <w:rsid w:val="00586AF8"/>
    <w:rsid w:val="00586BD9"/>
    <w:rsid w:val="00586DAA"/>
    <w:rsid w:val="00586F91"/>
    <w:rsid w:val="0058797F"/>
    <w:rsid w:val="0058798C"/>
    <w:rsid w:val="00587CDC"/>
    <w:rsid w:val="005904FE"/>
    <w:rsid w:val="005906CB"/>
    <w:rsid w:val="005907FF"/>
    <w:rsid w:val="005908F5"/>
    <w:rsid w:val="00590E6B"/>
    <w:rsid w:val="00591048"/>
    <w:rsid w:val="005912F8"/>
    <w:rsid w:val="00591C15"/>
    <w:rsid w:val="005925DF"/>
    <w:rsid w:val="00592EA5"/>
    <w:rsid w:val="005934CF"/>
    <w:rsid w:val="00593967"/>
    <w:rsid w:val="005939B8"/>
    <w:rsid w:val="00594380"/>
    <w:rsid w:val="00594535"/>
    <w:rsid w:val="0059464C"/>
    <w:rsid w:val="0059476F"/>
    <w:rsid w:val="00594E16"/>
    <w:rsid w:val="005952BC"/>
    <w:rsid w:val="005952E7"/>
    <w:rsid w:val="00595B97"/>
    <w:rsid w:val="00595C00"/>
    <w:rsid w:val="00595C38"/>
    <w:rsid w:val="00595C6F"/>
    <w:rsid w:val="00595DED"/>
    <w:rsid w:val="0059624E"/>
    <w:rsid w:val="005966E5"/>
    <w:rsid w:val="005968FF"/>
    <w:rsid w:val="00596937"/>
    <w:rsid w:val="005969A2"/>
    <w:rsid w:val="00596CF4"/>
    <w:rsid w:val="00596D46"/>
    <w:rsid w:val="00597157"/>
    <w:rsid w:val="00597248"/>
    <w:rsid w:val="00597323"/>
    <w:rsid w:val="00597729"/>
    <w:rsid w:val="00597E7B"/>
    <w:rsid w:val="00597E7C"/>
    <w:rsid w:val="005A0112"/>
    <w:rsid w:val="005A02DD"/>
    <w:rsid w:val="005A0703"/>
    <w:rsid w:val="005A094E"/>
    <w:rsid w:val="005A0999"/>
    <w:rsid w:val="005A0A4A"/>
    <w:rsid w:val="005A0B65"/>
    <w:rsid w:val="005A13C1"/>
    <w:rsid w:val="005A15CF"/>
    <w:rsid w:val="005A178A"/>
    <w:rsid w:val="005A1E46"/>
    <w:rsid w:val="005A2CF3"/>
    <w:rsid w:val="005A2E36"/>
    <w:rsid w:val="005A33EA"/>
    <w:rsid w:val="005A3485"/>
    <w:rsid w:val="005A35AA"/>
    <w:rsid w:val="005A35D9"/>
    <w:rsid w:val="005A3603"/>
    <w:rsid w:val="005A37A5"/>
    <w:rsid w:val="005A3C04"/>
    <w:rsid w:val="005A4111"/>
    <w:rsid w:val="005A46F9"/>
    <w:rsid w:val="005A4F6B"/>
    <w:rsid w:val="005A5148"/>
    <w:rsid w:val="005A52C2"/>
    <w:rsid w:val="005A5868"/>
    <w:rsid w:val="005A5F83"/>
    <w:rsid w:val="005A61E7"/>
    <w:rsid w:val="005A6869"/>
    <w:rsid w:val="005A6EEC"/>
    <w:rsid w:val="005A6F30"/>
    <w:rsid w:val="005A6FB1"/>
    <w:rsid w:val="005A7A49"/>
    <w:rsid w:val="005B041F"/>
    <w:rsid w:val="005B100A"/>
    <w:rsid w:val="005B1752"/>
    <w:rsid w:val="005B1809"/>
    <w:rsid w:val="005B1940"/>
    <w:rsid w:val="005B1A6C"/>
    <w:rsid w:val="005B1C14"/>
    <w:rsid w:val="005B1C79"/>
    <w:rsid w:val="005B1CDD"/>
    <w:rsid w:val="005B1E30"/>
    <w:rsid w:val="005B1FF5"/>
    <w:rsid w:val="005B2236"/>
    <w:rsid w:val="005B22CD"/>
    <w:rsid w:val="005B256F"/>
    <w:rsid w:val="005B27FE"/>
    <w:rsid w:val="005B2890"/>
    <w:rsid w:val="005B2979"/>
    <w:rsid w:val="005B2B42"/>
    <w:rsid w:val="005B38B0"/>
    <w:rsid w:val="005B3C23"/>
    <w:rsid w:val="005B3DA0"/>
    <w:rsid w:val="005B3DF4"/>
    <w:rsid w:val="005B490D"/>
    <w:rsid w:val="005B4947"/>
    <w:rsid w:val="005B4F83"/>
    <w:rsid w:val="005B50B9"/>
    <w:rsid w:val="005B535B"/>
    <w:rsid w:val="005B570D"/>
    <w:rsid w:val="005B5C13"/>
    <w:rsid w:val="005B62F8"/>
    <w:rsid w:val="005B6435"/>
    <w:rsid w:val="005B64CD"/>
    <w:rsid w:val="005B68E2"/>
    <w:rsid w:val="005B6C40"/>
    <w:rsid w:val="005B6D81"/>
    <w:rsid w:val="005B6E53"/>
    <w:rsid w:val="005B70E1"/>
    <w:rsid w:val="005B74FF"/>
    <w:rsid w:val="005B785D"/>
    <w:rsid w:val="005B791A"/>
    <w:rsid w:val="005B7C8F"/>
    <w:rsid w:val="005C06C8"/>
    <w:rsid w:val="005C0E05"/>
    <w:rsid w:val="005C0E4E"/>
    <w:rsid w:val="005C11D5"/>
    <w:rsid w:val="005C150B"/>
    <w:rsid w:val="005C1563"/>
    <w:rsid w:val="005C1B08"/>
    <w:rsid w:val="005C23EB"/>
    <w:rsid w:val="005C2A06"/>
    <w:rsid w:val="005C2F20"/>
    <w:rsid w:val="005C32C4"/>
    <w:rsid w:val="005C35C5"/>
    <w:rsid w:val="005C36DB"/>
    <w:rsid w:val="005C3F8D"/>
    <w:rsid w:val="005C4232"/>
    <w:rsid w:val="005C4C83"/>
    <w:rsid w:val="005C4CE5"/>
    <w:rsid w:val="005C505D"/>
    <w:rsid w:val="005C52D4"/>
    <w:rsid w:val="005C5305"/>
    <w:rsid w:val="005C5CC9"/>
    <w:rsid w:val="005C5DB5"/>
    <w:rsid w:val="005C6216"/>
    <w:rsid w:val="005C622B"/>
    <w:rsid w:val="005C63A4"/>
    <w:rsid w:val="005C659F"/>
    <w:rsid w:val="005C6685"/>
    <w:rsid w:val="005C6EBD"/>
    <w:rsid w:val="005C6F65"/>
    <w:rsid w:val="005C73C4"/>
    <w:rsid w:val="005C75B0"/>
    <w:rsid w:val="005C7A2B"/>
    <w:rsid w:val="005C7F8F"/>
    <w:rsid w:val="005D01D2"/>
    <w:rsid w:val="005D075A"/>
    <w:rsid w:val="005D0B1A"/>
    <w:rsid w:val="005D1134"/>
    <w:rsid w:val="005D1171"/>
    <w:rsid w:val="005D13DC"/>
    <w:rsid w:val="005D15DD"/>
    <w:rsid w:val="005D1639"/>
    <w:rsid w:val="005D1CC9"/>
    <w:rsid w:val="005D1EAA"/>
    <w:rsid w:val="005D21C6"/>
    <w:rsid w:val="005D299B"/>
    <w:rsid w:val="005D2BDB"/>
    <w:rsid w:val="005D2CAE"/>
    <w:rsid w:val="005D2D68"/>
    <w:rsid w:val="005D2FF4"/>
    <w:rsid w:val="005D34B5"/>
    <w:rsid w:val="005D3510"/>
    <w:rsid w:val="005D4060"/>
    <w:rsid w:val="005D4692"/>
    <w:rsid w:val="005D49B5"/>
    <w:rsid w:val="005D4B59"/>
    <w:rsid w:val="005D4BDA"/>
    <w:rsid w:val="005D4E45"/>
    <w:rsid w:val="005D56F1"/>
    <w:rsid w:val="005D58B5"/>
    <w:rsid w:val="005D6096"/>
    <w:rsid w:val="005D67C4"/>
    <w:rsid w:val="005D6E1D"/>
    <w:rsid w:val="005D6E81"/>
    <w:rsid w:val="005D6F6D"/>
    <w:rsid w:val="005D71FE"/>
    <w:rsid w:val="005D73BB"/>
    <w:rsid w:val="005E014D"/>
    <w:rsid w:val="005E116D"/>
    <w:rsid w:val="005E12D7"/>
    <w:rsid w:val="005E22D9"/>
    <w:rsid w:val="005E2337"/>
    <w:rsid w:val="005E326B"/>
    <w:rsid w:val="005E3326"/>
    <w:rsid w:val="005E336B"/>
    <w:rsid w:val="005E3636"/>
    <w:rsid w:val="005E38BB"/>
    <w:rsid w:val="005E3A81"/>
    <w:rsid w:val="005E3B40"/>
    <w:rsid w:val="005E3C3A"/>
    <w:rsid w:val="005E3D6C"/>
    <w:rsid w:val="005E3E1D"/>
    <w:rsid w:val="005E41F6"/>
    <w:rsid w:val="005E4401"/>
    <w:rsid w:val="005E49B6"/>
    <w:rsid w:val="005E4A03"/>
    <w:rsid w:val="005E4BE5"/>
    <w:rsid w:val="005E4E53"/>
    <w:rsid w:val="005E4FD2"/>
    <w:rsid w:val="005E50C3"/>
    <w:rsid w:val="005E589E"/>
    <w:rsid w:val="005E58F5"/>
    <w:rsid w:val="005E5989"/>
    <w:rsid w:val="005E5B95"/>
    <w:rsid w:val="005E5C7D"/>
    <w:rsid w:val="005E5C97"/>
    <w:rsid w:val="005E5CBA"/>
    <w:rsid w:val="005E6419"/>
    <w:rsid w:val="005E66CE"/>
    <w:rsid w:val="005E6A2C"/>
    <w:rsid w:val="005E6C54"/>
    <w:rsid w:val="005E6D46"/>
    <w:rsid w:val="005E6E25"/>
    <w:rsid w:val="005E784A"/>
    <w:rsid w:val="005E7CBE"/>
    <w:rsid w:val="005F0056"/>
    <w:rsid w:val="005F0234"/>
    <w:rsid w:val="005F031D"/>
    <w:rsid w:val="005F0844"/>
    <w:rsid w:val="005F0D62"/>
    <w:rsid w:val="005F0F88"/>
    <w:rsid w:val="005F1285"/>
    <w:rsid w:val="005F14BE"/>
    <w:rsid w:val="005F19C2"/>
    <w:rsid w:val="005F1C8A"/>
    <w:rsid w:val="005F1D1A"/>
    <w:rsid w:val="005F1F48"/>
    <w:rsid w:val="005F2025"/>
    <w:rsid w:val="005F2633"/>
    <w:rsid w:val="005F2845"/>
    <w:rsid w:val="005F2BB3"/>
    <w:rsid w:val="005F2E45"/>
    <w:rsid w:val="005F3228"/>
    <w:rsid w:val="005F344E"/>
    <w:rsid w:val="005F353C"/>
    <w:rsid w:val="005F365E"/>
    <w:rsid w:val="005F4049"/>
    <w:rsid w:val="005F40AD"/>
    <w:rsid w:val="005F46E2"/>
    <w:rsid w:val="005F4705"/>
    <w:rsid w:val="005F4876"/>
    <w:rsid w:val="005F495A"/>
    <w:rsid w:val="005F4A17"/>
    <w:rsid w:val="005F4D91"/>
    <w:rsid w:val="005F5278"/>
    <w:rsid w:val="005F5996"/>
    <w:rsid w:val="005F59E4"/>
    <w:rsid w:val="005F59F4"/>
    <w:rsid w:val="005F5D10"/>
    <w:rsid w:val="005F5D28"/>
    <w:rsid w:val="005F5F51"/>
    <w:rsid w:val="005F61C6"/>
    <w:rsid w:val="005F65B8"/>
    <w:rsid w:val="005F695B"/>
    <w:rsid w:val="005F6B91"/>
    <w:rsid w:val="005F7022"/>
    <w:rsid w:val="005F73D0"/>
    <w:rsid w:val="005F7437"/>
    <w:rsid w:val="005F7F7F"/>
    <w:rsid w:val="00600233"/>
    <w:rsid w:val="006006FB"/>
    <w:rsid w:val="00600FAF"/>
    <w:rsid w:val="00601673"/>
    <w:rsid w:val="006018A0"/>
    <w:rsid w:val="00601D61"/>
    <w:rsid w:val="00602597"/>
    <w:rsid w:val="00602820"/>
    <w:rsid w:val="00602AF2"/>
    <w:rsid w:val="00602BB8"/>
    <w:rsid w:val="00603307"/>
    <w:rsid w:val="00603328"/>
    <w:rsid w:val="006034C5"/>
    <w:rsid w:val="006036AF"/>
    <w:rsid w:val="0060373F"/>
    <w:rsid w:val="006037F3"/>
    <w:rsid w:val="00603B84"/>
    <w:rsid w:val="00603DCF"/>
    <w:rsid w:val="00604618"/>
    <w:rsid w:val="00604952"/>
    <w:rsid w:val="00604B60"/>
    <w:rsid w:val="00605014"/>
    <w:rsid w:val="006055D0"/>
    <w:rsid w:val="006060ED"/>
    <w:rsid w:val="006065CF"/>
    <w:rsid w:val="006069B7"/>
    <w:rsid w:val="00606BC2"/>
    <w:rsid w:val="00606DF6"/>
    <w:rsid w:val="006075D7"/>
    <w:rsid w:val="006079A0"/>
    <w:rsid w:val="00607A05"/>
    <w:rsid w:val="00607B47"/>
    <w:rsid w:val="00607C4A"/>
    <w:rsid w:val="0061002F"/>
    <w:rsid w:val="006102DD"/>
    <w:rsid w:val="00611186"/>
    <w:rsid w:val="00611502"/>
    <w:rsid w:val="006115FC"/>
    <w:rsid w:val="00611B1A"/>
    <w:rsid w:val="00612268"/>
    <w:rsid w:val="00612336"/>
    <w:rsid w:val="00612575"/>
    <w:rsid w:val="006128AF"/>
    <w:rsid w:val="00612A12"/>
    <w:rsid w:val="00612CD8"/>
    <w:rsid w:val="0061302C"/>
    <w:rsid w:val="0061306A"/>
    <w:rsid w:val="0061380A"/>
    <w:rsid w:val="006139D7"/>
    <w:rsid w:val="00613ADC"/>
    <w:rsid w:val="00613B00"/>
    <w:rsid w:val="00613E54"/>
    <w:rsid w:val="00613EDC"/>
    <w:rsid w:val="00613FE2"/>
    <w:rsid w:val="006146E0"/>
    <w:rsid w:val="00614A6A"/>
    <w:rsid w:val="006150A6"/>
    <w:rsid w:val="00615593"/>
    <w:rsid w:val="00615C08"/>
    <w:rsid w:val="00615DCF"/>
    <w:rsid w:val="00615F73"/>
    <w:rsid w:val="0061661E"/>
    <w:rsid w:val="00616B55"/>
    <w:rsid w:val="00616E86"/>
    <w:rsid w:val="006174BC"/>
    <w:rsid w:val="00617601"/>
    <w:rsid w:val="0061776E"/>
    <w:rsid w:val="00617779"/>
    <w:rsid w:val="006177A0"/>
    <w:rsid w:val="00617920"/>
    <w:rsid w:val="00617AD9"/>
    <w:rsid w:val="0062075D"/>
    <w:rsid w:val="00620CAA"/>
    <w:rsid w:val="006213F3"/>
    <w:rsid w:val="0062149C"/>
    <w:rsid w:val="006214AF"/>
    <w:rsid w:val="00621841"/>
    <w:rsid w:val="00621A99"/>
    <w:rsid w:val="00621C97"/>
    <w:rsid w:val="00621D8F"/>
    <w:rsid w:val="00621EA4"/>
    <w:rsid w:val="0062237C"/>
    <w:rsid w:val="0062245C"/>
    <w:rsid w:val="00622600"/>
    <w:rsid w:val="00622B58"/>
    <w:rsid w:val="00622FAF"/>
    <w:rsid w:val="0062308B"/>
    <w:rsid w:val="00623A02"/>
    <w:rsid w:val="00623AF4"/>
    <w:rsid w:val="00623B20"/>
    <w:rsid w:val="00623DCE"/>
    <w:rsid w:val="00623F34"/>
    <w:rsid w:val="00623F4D"/>
    <w:rsid w:val="0062409A"/>
    <w:rsid w:val="006240D6"/>
    <w:rsid w:val="00624288"/>
    <w:rsid w:val="006242B7"/>
    <w:rsid w:val="006243CF"/>
    <w:rsid w:val="00624827"/>
    <w:rsid w:val="00624950"/>
    <w:rsid w:val="00624995"/>
    <w:rsid w:val="00624A4E"/>
    <w:rsid w:val="00624C99"/>
    <w:rsid w:val="00624ECE"/>
    <w:rsid w:val="006251A2"/>
    <w:rsid w:val="00625326"/>
    <w:rsid w:val="006256E8"/>
    <w:rsid w:val="00625A85"/>
    <w:rsid w:val="00625AA7"/>
    <w:rsid w:val="00625E59"/>
    <w:rsid w:val="00626049"/>
    <w:rsid w:val="006262D0"/>
    <w:rsid w:val="0062633A"/>
    <w:rsid w:val="00627172"/>
    <w:rsid w:val="00627191"/>
    <w:rsid w:val="00627241"/>
    <w:rsid w:val="00627440"/>
    <w:rsid w:val="006274DC"/>
    <w:rsid w:val="00627A38"/>
    <w:rsid w:val="0063024E"/>
    <w:rsid w:val="006302E3"/>
    <w:rsid w:val="006303B8"/>
    <w:rsid w:val="006309B0"/>
    <w:rsid w:val="0063128D"/>
    <w:rsid w:val="006314ED"/>
    <w:rsid w:val="00631880"/>
    <w:rsid w:val="00631AF5"/>
    <w:rsid w:val="00632075"/>
    <w:rsid w:val="006323A2"/>
    <w:rsid w:val="00632483"/>
    <w:rsid w:val="006325B9"/>
    <w:rsid w:val="00632A34"/>
    <w:rsid w:val="00633014"/>
    <w:rsid w:val="0063305E"/>
    <w:rsid w:val="00633069"/>
    <w:rsid w:val="00633123"/>
    <w:rsid w:val="006332B7"/>
    <w:rsid w:val="0063358D"/>
    <w:rsid w:val="00633963"/>
    <w:rsid w:val="00633F23"/>
    <w:rsid w:val="00634064"/>
    <w:rsid w:val="00634453"/>
    <w:rsid w:val="00634ACE"/>
    <w:rsid w:val="00634E61"/>
    <w:rsid w:val="00634E76"/>
    <w:rsid w:val="006352D3"/>
    <w:rsid w:val="00635702"/>
    <w:rsid w:val="00635781"/>
    <w:rsid w:val="006358C6"/>
    <w:rsid w:val="00635B6A"/>
    <w:rsid w:val="0063642E"/>
    <w:rsid w:val="00636A4A"/>
    <w:rsid w:val="00636CBB"/>
    <w:rsid w:val="00637234"/>
    <w:rsid w:val="0063731A"/>
    <w:rsid w:val="006373B9"/>
    <w:rsid w:val="0063746E"/>
    <w:rsid w:val="0063768F"/>
    <w:rsid w:val="00637C1F"/>
    <w:rsid w:val="00637D20"/>
    <w:rsid w:val="00640256"/>
    <w:rsid w:val="00640300"/>
    <w:rsid w:val="0064038A"/>
    <w:rsid w:val="0064082C"/>
    <w:rsid w:val="006408D0"/>
    <w:rsid w:val="006408F8"/>
    <w:rsid w:val="00640C2D"/>
    <w:rsid w:val="00640C57"/>
    <w:rsid w:val="00640E2F"/>
    <w:rsid w:val="006410FA"/>
    <w:rsid w:val="0064118E"/>
    <w:rsid w:val="00641889"/>
    <w:rsid w:val="006418B2"/>
    <w:rsid w:val="00641A4C"/>
    <w:rsid w:val="00641F31"/>
    <w:rsid w:val="00642011"/>
    <w:rsid w:val="00642133"/>
    <w:rsid w:val="00642929"/>
    <w:rsid w:val="006432D2"/>
    <w:rsid w:val="006435C0"/>
    <w:rsid w:val="00643657"/>
    <w:rsid w:val="00643BF8"/>
    <w:rsid w:val="00643C79"/>
    <w:rsid w:val="00643DE7"/>
    <w:rsid w:val="00643FE4"/>
    <w:rsid w:val="00644BA3"/>
    <w:rsid w:val="0064550F"/>
    <w:rsid w:val="00645589"/>
    <w:rsid w:val="00645661"/>
    <w:rsid w:val="006457FA"/>
    <w:rsid w:val="00645DB5"/>
    <w:rsid w:val="006463B2"/>
    <w:rsid w:val="006463F0"/>
    <w:rsid w:val="0064651E"/>
    <w:rsid w:val="0064652D"/>
    <w:rsid w:val="0064658E"/>
    <w:rsid w:val="00646662"/>
    <w:rsid w:val="00646BF4"/>
    <w:rsid w:val="00646D94"/>
    <w:rsid w:val="00646EDA"/>
    <w:rsid w:val="006471C5"/>
    <w:rsid w:val="006474D2"/>
    <w:rsid w:val="00650199"/>
    <w:rsid w:val="006504E8"/>
    <w:rsid w:val="0065064D"/>
    <w:rsid w:val="00650685"/>
    <w:rsid w:val="00650DC0"/>
    <w:rsid w:val="00650FA5"/>
    <w:rsid w:val="00651321"/>
    <w:rsid w:val="00651422"/>
    <w:rsid w:val="006515CD"/>
    <w:rsid w:val="006523A0"/>
    <w:rsid w:val="00652492"/>
    <w:rsid w:val="00652817"/>
    <w:rsid w:val="006529A0"/>
    <w:rsid w:val="00652A40"/>
    <w:rsid w:val="00652AEF"/>
    <w:rsid w:val="00652EE5"/>
    <w:rsid w:val="00653215"/>
    <w:rsid w:val="00653C40"/>
    <w:rsid w:val="006551FC"/>
    <w:rsid w:val="006558CE"/>
    <w:rsid w:val="00655A1D"/>
    <w:rsid w:val="00655AF0"/>
    <w:rsid w:val="00655CC2"/>
    <w:rsid w:val="006561FC"/>
    <w:rsid w:val="00657866"/>
    <w:rsid w:val="00657CEA"/>
    <w:rsid w:val="00657F0B"/>
    <w:rsid w:val="006601D4"/>
    <w:rsid w:val="006602FD"/>
    <w:rsid w:val="0066031B"/>
    <w:rsid w:val="006609A2"/>
    <w:rsid w:val="00660EC1"/>
    <w:rsid w:val="00661064"/>
    <w:rsid w:val="00661295"/>
    <w:rsid w:val="00661462"/>
    <w:rsid w:val="0066251B"/>
    <w:rsid w:val="006628BB"/>
    <w:rsid w:val="006629D4"/>
    <w:rsid w:val="00662A89"/>
    <w:rsid w:val="00662C53"/>
    <w:rsid w:val="00663828"/>
    <w:rsid w:val="00663941"/>
    <w:rsid w:val="00663F8D"/>
    <w:rsid w:val="00663FDE"/>
    <w:rsid w:val="0066405C"/>
    <w:rsid w:val="006642F1"/>
    <w:rsid w:val="00664510"/>
    <w:rsid w:val="00664865"/>
    <w:rsid w:val="00664A2A"/>
    <w:rsid w:val="00664E79"/>
    <w:rsid w:val="00665084"/>
    <w:rsid w:val="0066559C"/>
    <w:rsid w:val="0066583C"/>
    <w:rsid w:val="00665B20"/>
    <w:rsid w:val="00666460"/>
    <w:rsid w:val="0066659D"/>
    <w:rsid w:val="00666632"/>
    <w:rsid w:val="00666C68"/>
    <w:rsid w:val="006671E9"/>
    <w:rsid w:val="006674A4"/>
    <w:rsid w:val="00667691"/>
    <w:rsid w:val="006678EB"/>
    <w:rsid w:val="006703D3"/>
    <w:rsid w:val="006703E2"/>
    <w:rsid w:val="00670518"/>
    <w:rsid w:val="00670C47"/>
    <w:rsid w:val="00670CF4"/>
    <w:rsid w:val="00670D5B"/>
    <w:rsid w:val="006714EA"/>
    <w:rsid w:val="00671D99"/>
    <w:rsid w:val="00671F34"/>
    <w:rsid w:val="006720B5"/>
    <w:rsid w:val="0067297F"/>
    <w:rsid w:val="00673122"/>
    <w:rsid w:val="00673FE0"/>
    <w:rsid w:val="0067459B"/>
    <w:rsid w:val="00674D3F"/>
    <w:rsid w:val="0067563F"/>
    <w:rsid w:val="00675FBF"/>
    <w:rsid w:val="006765D9"/>
    <w:rsid w:val="006767E2"/>
    <w:rsid w:val="006768B7"/>
    <w:rsid w:val="006769BD"/>
    <w:rsid w:val="00676E37"/>
    <w:rsid w:val="00676ECC"/>
    <w:rsid w:val="00676F3C"/>
    <w:rsid w:val="00677351"/>
    <w:rsid w:val="0067778C"/>
    <w:rsid w:val="006778EA"/>
    <w:rsid w:val="00677B4F"/>
    <w:rsid w:val="00677E78"/>
    <w:rsid w:val="006809A6"/>
    <w:rsid w:val="00680A5B"/>
    <w:rsid w:val="00680AB7"/>
    <w:rsid w:val="00680C5A"/>
    <w:rsid w:val="00681027"/>
    <w:rsid w:val="00681229"/>
    <w:rsid w:val="006812C4"/>
    <w:rsid w:val="0068199F"/>
    <w:rsid w:val="00681AF0"/>
    <w:rsid w:val="006821EC"/>
    <w:rsid w:val="00682545"/>
    <w:rsid w:val="00682DC6"/>
    <w:rsid w:val="0068310C"/>
    <w:rsid w:val="0068344B"/>
    <w:rsid w:val="0068387E"/>
    <w:rsid w:val="00683A1E"/>
    <w:rsid w:val="00683B95"/>
    <w:rsid w:val="006844D2"/>
    <w:rsid w:val="0068462C"/>
    <w:rsid w:val="006847EF"/>
    <w:rsid w:val="00684889"/>
    <w:rsid w:val="00684CE0"/>
    <w:rsid w:val="00684CE3"/>
    <w:rsid w:val="00684E54"/>
    <w:rsid w:val="0068509F"/>
    <w:rsid w:val="006852FF"/>
    <w:rsid w:val="00685345"/>
    <w:rsid w:val="0068564A"/>
    <w:rsid w:val="006859C1"/>
    <w:rsid w:val="00685BA8"/>
    <w:rsid w:val="006861E6"/>
    <w:rsid w:val="0068648E"/>
    <w:rsid w:val="0068669E"/>
    <w:rsid w:val="00686803"/>
    <w:rsid w:val="006872D1"/>
    <w:rsid w:val="006873C9"/>
    <w:rsid w:val="00687588"/>
    <w:rsid w:val="0068781B"/>
    <w:rsid w:val="006879B8"/>
    <w:rsid w:val="00687F6F"/>
    <w:rsid w:val="0069074E"/>
    <w:rsid w:val="00690757"/>
    <w:rsid w:val="00690DCB"/>
    <w:rsid w:val="0069136F"/>
    <w:rsid w:val="006914A5"/>
    <w:rsid w:val="0069152B"/>
    <w:rsid w:val="006916CD"/>
    <w:rsid w:val="006917A9"/>
    <w:rsid w:val="00691942"/>
    <w:rsid w:val="00691B7B"/>
    <w:rsid w:val="00691D7C"/>
    <w:rsid w:val="00691F96"/>
    <w:rsid w:val="0069235F"/>
    <w:rsid w:val="006924CD"/>
    <w:rsid w:val="00692527"/>
    <w:rsid w:val="006926E1"/>
    <w:rsid w:val="006929F2"/>
    <w:rsid w:val="00692A74"/>
    <w:rsid w:val="0069302B"/>
    <w:rsid w:val="006931EC"/>
    <w:rsid w:val="0069336C"/>
    <w:rsid w:val="0069341E"/>
    <w:rsid w:val="00693810"/>
    <w:rsid w:val="00693AAB"/>
    <w:rsid w:val="00693B8E"/>
    <w:rsid w:val="00693D1B"/>
    <w:rsid w:val="00693E17"/>
    <w:rsid w:val="00694048"/>
    <w:rsid w:val="00694159"/>
    <w:rsid w:val="00694243"/>
    <w:rsid w:val="0069471B"/>
    <w:rsid w:val="00694980"/>
    <w:rsid w:val="00694FD0"/>
    <w:rsid w:val="006951A4"/>
    <w:rsid w:val="0069566F"/>
    <w:rsid w:val="0069573D"/>
    <w:rsid w:val="006958BB"/>
    <w:rsid w:val="00695983"/>
    <w:rsid w:val="00695EB1"/>
    <w:rsid w:val="0069634C"/>
    <w:rsid w:val="006967F9"/>
    <w:rsid w:val="006972BD"/>
    <w:rsid w:val="006973FB"/>
    <w:rsid w:val="00697680"/>
    <w:rsid w:val="006976E7"/>
    <w:rsid w:val="0069783C"/>
    <w:rsid w:val="00697FE6"/>
    <w:rsid w:val="006A00D1"/>
    <w:rsid w:val="006A055A"/>
    <w:rsid w:val="006A07C4"/>
    <w:rsid w:val="006A07F6"/>
    <w:rsid w:val="006A0863"/>
    <w:rsid w:val="006A098A"/>
    <w:rsid w:val="006A10A1"/>
    <w:rsid w:val="006A13C7"/>
    <w:rsid w:val="006A144C"/>
    <w:rsid w:val="006A1A0B"/>
    <w:rsid w:val="006A21BA"/>
    <w:rsid w:val="006A2217"/>
    <w:rsid w:val="006A2881"/>
    <w:rsid w:val="006A2C24"/>
    <w:rsid w:val="006A2ED6"/>
    <w:rsid w:val="006A363B"/>
    <w:rsid w:val="006A3B0F"/>
    <w:rsid w:val="006A3ED8"/>
    <w:rsid w:val="006A407D"/>
    <w:rsid w:val="006A4194"/>
    <w:rsid w:val="006A4253"/>
    <w:rsid w:val="006A441E"/>
    <w:rsid w:val="006A4620"/>
    <w:rsid w:val="006A48F1"/>
    <w:rsid w:val="006A4FCB"/>
    <w:rsid w:val="006A4FF3"/>
    <w:rsid w:val="006A5129"/>
    <w:rsid w:val="006A5201"/>
    <w:rsid w:val="006A52B8"/>
    <w:rsid w:val="006A591B"/>
    <w:rsid w:val="006A5B29"/>
    <w:rsid w:val="006A5E2F"/>
    <w:rsid w:val="006A5F0D"/>
    <w:rsid w:val="006A630C"/>
    <w:rsid w:val="006A6501"/>
    <w:rsid w:val="006A6617"/>
    <w:rsid w:val="006A69A7"/>
    <w:rsid w:val="006A6D96"/>
    <w:rsid w:val="006A6ED2"/>
    <w:rsid w:val="006A704D"/>
    <w:rsid w:val="006A7068"/>
    <w:rsid w:val="006A7377"/>
    <w:rsid w:val="006A73AF"/>
    <w:rsid w:val="006A7756"/>
    <w:rsid w:val="006A7EF2"/>
    <w:rsid w:val="006B0201"/>
    <w:rsid w:val="006B0391"/>
    <w:rsid w:val="006B04DD"/>
    <w:rsid w:val="006B0503"/>
    <w:rsid w:val="006B0537"/>
    <w:rsid w:val="006B06E0"/>
    <w:rsid w:val="006B1012"/>
    <w:rsid w:val="006B1495"/>
    <w:rsid w:val="006B1619"/>
    <w:rsid w:val="006B1901"/>
    <w:rsid w:val="006B1BF1"/>
    <w:rsid w:val="006B211F"/>
    <w:rsid w:val="006B2546"/>
    <w:rsid w:val="006B2799"/>
    <w:rsid w:val="006B2D93"/>
    <w:rsid w:val="006B32E4"/>
    <w:rsid w:val="006B3397"/>
    <w:rsid w:val="006B36B1"/>
    <w:rsid w:val="006B3BCF"/>
    <w:rsid w:val="006B3E48"/>
    <w:rsid w:val="006B4B1E"/>
    <w:rsid w:val="006B5165"/>
    <w:rsid w:val="006B5295"/>
    <w:rsid w:val="006B59CE"/>
    <w:rsid w:val="006B5A5E"/>
    <w:rsid w:val="006B6196"/>
    <w:rsid w:val="006B6351"/>
    <w:rsid w:val="006B6434"/>
    <w:rsid w:val="006B659D"/>
    <w:rsid w:val="006B6AA4"/>
    <w:rsid w:val="006B70A6"/>
    <w:rsid w:val="006B72A9"/>
    <w:rsid w:val="006B776C"/>
    <w:rsid w:val="006B7AA5"/>
    <w:rsid w:val="006B7D6B"/>
    <w:rsid w:val="006B7DC3"/>
    <w:rsid w:val="006B7F4B"/>
    <w:rsid w:val="006C013F"/>
    <w:rsid w:val="006C0257"/>
    <w:rsid w:val="006C078D"/>
    <w:rsid w:val="006C131B"/>
    <w:rsid w:val="006C25CE"/>
    <w:rsid w:val="006C274F"/>
    <w:rsid w:val="006C2759"/>
    <w:rsid w:val="006C2858"/>
    <w:rsid w:val="006C324A"/>
    <w:rsid w:val="006C328A"/>
    <w:rsid w:val="006C332C"/>
    <w:rsid w:val="006C360E"/>
    <w:rsid w:val="006C3638"/>
    <w:rsid w:val="006C38A8"/>
    <w:rsid w:val="006C3BB0"/>
    <w:rsid w:val="006C3DC5"/>
    <w:rsid w:val="006C3F44"/>
    <w:rsid w:val="006C4394"/>
    <w:rsid w:val="006C4761"/>
    <w:rsid w:val="006C48B9"/>
    <w:rsid w:val="006C4E13"/>
    <w:rsid w:val="006C51A3"/>
    <w:rsid w:val="006C51EB"/>
    <w:rsid w:val="006C527C"/>
    <w:rsid w:val="006C5A98"/>
    <w:rsid w:val="006C62C1"/>
    <w:rsid w:val="006C6569"/>
    <w:rsid w:val="006C670A"/>
    <w:rsid w:val="006C6748"/>
    <w:rsid w:val="006C698A"/>
    <w:rsid w:val="006C6C26"/>
    <w:rsid w:val="006C6DF9"/>
    <w:rsid w:val="006C7397"/>
    <w:rsid w:val="006C74F4"/>
    <w:rsid w:val="006C783C"/>
    <w:rsid w:val="006C7DD5"/>
    <w:rsid w:val="006C7DDE"/>
    <w:rsid w:val="006D0169"/>
    <w:rsid w:val="006D0214"/>
    <w:rsid w:val="006D0250"/>
    <w:rsid w:val="006D0349"/>
    <w:rsid w:val="006D0A74"/>
    <w:rsid w:val="006D0C6E"/>
    <w:rsid w:val="006D0DA4"/>
    <w:rsid w:val="006D0E17"/>
    <w:rsid w:val="006D0FEA"/>
    <w:rsid w:val="006D110C"/>
    <w:rsid w:val="006D1141"/>
    <w:rsid w:val="006D123B"/>
    <w:rsid w:val="006D1381"/>
    <w:rsid w:val="006D146B"/>
    <w:rsid w:val="006D16CE"/>
    <w:rsid w:val="006D1913"/>
    <w:rsid w:val="006D19AD"/>
    <w:rsid w:val="006D1AE0"/>
    <w:rsid w:val="006D1BC1"/>
    <w:rsid w:val="006D1D1C"/>
    <w:rsid w:val="006D1DF0"/>
    <w:rsid w:val="006D1E02"/>
    <w:rsid w:val="006D223E"/>
    <w:rsid w:val="006D23CA"/>
    <w:rsid w:val="006D2465"/>
    <w:rsid w:val="006D2AC1"/>
    <w:rsid w:val="006D2C50"/>
    <w:rsid w:val="006D3C8D"/>
    <w:rsid w:val="006D3D2F"/>
    <w:rsid w:val="006D4252"/>
    <w:rsid w:val="006D476B"/>
    <w:rsid w:val="006D4B54"/>
    <w:rsid w:val="006D4EE5"/>
    <w:rsid w:val="006D4F64"/>
    <w:rsid w:val="006D5383"/>
    <w:rsid w:val="006D539D"/>
    <w:rsid w:val="006D5B6A"/>
    <w:rsid w:val="006D5E7C"/>
    <w:rsid w:val="006D5F94"/>
    <w:rsid w:val="006D620B"/>
    <w:rsid w:val="006D6799"/>
    <w:rsid w:val="006D6A7A"/>
    <w:rsid w:val="006D6D71"/>
    <w:rsid w:val="006D6FC2"/>
    <w:rsid w:val="006D707C"/>
    <w:rsid w:val="006D721F"/>
    <w:rsid w:val="006D7949"/>
    <w:rsid w:val="006D7BFF"/>
    <w:rsid w:val="006D7F92"/>
    <w:rsid w:val="006E0036"/>
    <w:rsid w:val="006E0166"/>
    <w:rsid w:val="006E08A0"/>
    <w:rsid w:val="006E08DA"/>
    <w:rsid w:val="006E0B9A"/>
    <w:rsid w:val="006E0E1A"/>
    <w:rsid w:val="006E0EAF"/>
    <w:rsid w:val="006E0FE4"/>
    <w:rsid w:val="006E1916"/>
    <w:rsid w:val="006E1940"/>
    <w:rsid w:val="006E1C3F"/>
    <w:rsid w:val="006E1D99"/>
    <w:rsid w:val="006E22CD"/>
    <w:rsid w:val="006E2BD5"/>
    <w:rsid w:val="006E2D22"/>
    <w:rsid w:val="006E3687"/>
    <w:rsid w:val="006E3776"/>
    <w:rsid w:val="006E385D"/>
    <w:rsid w:val="006E3C11"/>
    <w:rsid w:val="006E3C6E"/>
    <w:rsid w:val="006E3DB1"/>
    <w:rsid w:val="006E4100"/>
    <w:rsid w:val="006E417E"/>
    <w:rsid w:val="006E424A"/>
    <w:rsid w:val="006E46ED"/>
    <w:rsid w:val="006E4B23"/>
    <w:rsid w:val="006E51C6"/>
    <w:rsid w:val="006E524E"/>
    <w:rsid w:val="006E577F"/>
    <w:rsid w:val="006E5A84"/>
    <w:rsid w:val="006E603B"/>
    <w:rsid w:val="006E653D"/>
    <w:rsid w:val="006E6B2E"/>
    <w:rsid w:val="006E6CBA"/>
    <w:rsid w:val="006E6CDC"/>
    <w:rsid w:val="006E6ED7"/>
    <w:rsid w:val="006E6EF5"/>
    <w:rsid w:val="006E771D"/>
    <w:rsid w:val="006E7B94"/>
    <w:rsid w:val="006E7DA8"/>
    <w:rsid w:val="006F0116"/>
    <w:rsid w:val="006F01B2"/>
    <w:rsid w:val="006F02E9"/>
    <w:rsid w:val="006F05FC"/>
    <w:rsid w:val="006F0B45"/>
    <w:rsid w:val="006F0B58"/>
    <w:rsid w:val="006F1072"/>
    <w:rsid w:val="006F111C"/>
    <w:rsid w:val="006F1238"/>
    <w:rsid w:val="006F1794"/>
    <w:rsid w:val="006F1B23"/>
    <w:rsid w:val="006F1CC7"/>
    <w:rsid w:val="006F1F20"/>
    <w:rsid w:val="006F1FA8"/>
    <w:rsid w:val="006F2117"/>
    <w:rsid w:val="006F2465"/>
    <w:rsid w:val="006F25E3"/>
    <w:rsid w:val="006F2AF2"/>
    <w:rsid w:val="006F342C"/>
    <w:rsid w:val="006F371B"/>
    <w:rsid w:val="006F383B"/>
    <w:rsid w:val="006F3D2B"/>
    <w:rsid w:val="006F44A0"/>
    <w:rsid w:val="006F458F"/>
    <w:rsid w:val="006F46A6"/>
    <w:rsid w:val="006F4823"/>
    <w:rsid w:val="006F4C03"/>
    <w:rsid w:val="006F579A"/>
    <w:rsid w:val="006F5D9F"/>
    <w:rsid w:val="006F6182"/>
    <w:rsid w:val="006F6209"/>
    <w:rsid w:val="006F718C"/>
    <w:rsid w:val="006F745D"/>
    <w:rsid w:val="006F797E"/>
    <w:rsid w:val="006F7E30"/>
    <w:rsid w:val="006F7F7D"/>
    <w:rsid w:val="0070083F"/>
    <w:rsid w:val="00700B18"/>
    <w:rsid w:val="00700E73"/>
    <w:rsid w:val="00700FF5"/>
    <w:rsid w:val="007013AA"/>
    <w:rsid w:val="0070165D"/>
    <w:rsid w:val="00702BDA"/>
    <w:rsid w:val="00702DB5"/>
    <w:rsid w:val="0070321C"/>
    <w:rsid w:val="00703492"/>
    <w:rsid w:val="0070353D"/>
    <w:rsid w:val="00703680"/>
    <w:rsid w:val="00703823"/>
    <w:rsid w:val="00703D85"/>
    <w:rsid w:val="00703E87"/>
    <w:rsid w:val="00704656"/>
    <w:rsid w:val="00704A11"/>
    <w:rsid w:val="00704B34"/>
    <w:rsid w:val="00704D08"/>
    <w:rsid w:val="007051C8"/>
    <w:rsid w:val="007052D4"/>
    <w:rsid w:val="0070583C"/>
    <w:rsid w:val="007059EA"/>
    <w:rsid w:val="00705A53"/>
    <w:rsid w:val="0070619A"/>
    <w:rsid w:val="00706B02"/>
    <w:rsid w:val="00706B55"/>
    <w:rsid w:val="00706C8A"/>
    <w:rsid w:val="00706D47"/>
    <w:rsid w:val="00706D9A"/>
    <w:rsid w:val="0070708E"/>
    <w:rsid w:val="007071A2"/>
    <w:rsid w:val="007073D9"/>
    <w:rsid w:val="00707CB5"/>
    <w:rsid w:val="00710095"/>
    <w:rsid w:val="0071011F"/>
    <w:rsid w:val="00710205"/>
    <w:rsid w:val="00710B10"/>
    <w:rsid w:val="00710D19"/>
    <w:rsid w:val="00711012"/>
    <w:rsid w:val="007115D8"/>
    <w:rsid w:val="00711675"/>
    <w:rsid w:val="00711681"/>
    <w:rsid w:val="0071187A"/>
    <w:rsid w:val="00711F87"/>
    <w:rsid w:val="00711FC5"/>
    <w:rsid w:val="0071211C"/>
    <w:rsid w:val="007123B0"/>
    <w:rsid w:val="007129E8"/>
    <w:rsid w:val="00712ADD"/>
    <w:rsid w:val="00712F36"/>
    <w:rsid w:val="00713DAD"/>
    <w:rsid w:val="007142AF"/>
    <w:rsid w:val="00714394"/>
    <w:rsid w:val="007143EE"/>
    <w:rsid w:val="0071517C"/>
    <w:rsid w:val="00715294"/>
    <w:rsid w:val="007154BB"/>
    <w:rsid w:val="0071552B"/>
    <w:rsid w:val="007155B8"/>
    <w:rsid w:val="007155DF"/>
    <w:rsid w:val="00715D7A"/>
    <w:rsid w:val="00715DEB"/>
    <w:rsid w:val="00716083"/>
    <w:rsid w:val="00716232"/>
    <w:rsid w:val="00716A15"/>
    <w:rsid w:val="00716D5F"/>
    <w:rsid w:val="007175A1"/>
    <w:rsid w:val="00717AAC"/>
    <w:rsid w:val="00717EBF"/>
    <w:rsid w:val="00720031"/>
    <w:rsid w:val="007207F0"/>
    <w:rsid w:val="0072092C"/>
    <w:rsid w:val="00720EC6"/>
    <w:rsid w:val="00720F6E"/>
    <w:rsid w:val="007214C5"/>
    <w:rsid w:val="0072159C"/>
    <w:rsid w:val="007217C0"/>
    <w:rsid w:val="00721818"/>
    <w:rsid w:val="00721887"/>
    <w:rsid w:val="00721DFB"/>
    <w:rsid w:val="007229CD"/>
    <w:rsid w:val="00722BA9"/>
    <w:rsid w:val="00722CDA"/>
    <w:rsid w:val="00722FC6"/>
    <w:rsid w:val="007234A8"/>
    <w:rsid w:val="0072476C"/>
    <w:rsid w:val="00724862"/>
    <w:rsid w:val="00724CC4"/>
    <w:rsid w:val="0072505E"/>
    <w:rsid w:val="0072514C"/>
    <w:rsid w:val="00725370"/>
    <w:rsid w:val="007253E9"/>
    <w:rsid w:val="00725525"/>
    <w:rsid w:val="007255E8"/>
    <w:rsid w:val="00725865"/>
    <w:rsid w:val="007258DC"/>
    <w:rsid w:val="0072597D"/>
    <w:rsid w:val="00725C9A"/>
    <w:rsid w:val="00725F3B"/>
    <w:rsid w:val="00725FAA"/>
    <w:rsid w:val="007266AC"/>
    <w:rsid w:val="00726C89"/>
    <w:rsid w:val="00726F46"/>
    <w:rsid w:val="0072713F"/>
    <w:rsid w:val="00727270"/>
    <w:rsid w:val="00727646"/>
    <w:rsid w:val="007279D7"/>
    <w:rsid w:val="00727C21"/>
    <w:rsid w:val="0073054C"/>
    <w:rsid w:val="00730617"/>
    <w:rsid w:val="00730E56"/>
    <w:rsid w:val="00730F04"/>
    <w:rsid w:val="0073106C"/>
    <w:rsid w:val="007310E1"/>
    <w:rsid w:val="00731431"/>
    <w:rsid w:val="007321A7"/>
    <w:rsid w:val="007325E9"/>
    <w:rsid w:val="00732C32"/>
    <w:rsid w:val="007335D0"/>
    <w:rsid w:val="00733F14"/>
    <w:rsid w:val="007346AD"/>
    <w:rsid w:val="00734982"/>
    <w:rsid w:val="00734BAC"/>
    <w:rsid w:val="0073515A"/>
    <w:rsid w:val="00735160"/>
    <w:rsid w:val="0073544B"/>
    <w:rsid w:val="007358B3"/>
    <w:rsid w:val="00735B45"/>
    <w:rsid w:val="00735E04"/>
    <w:rsid w:val="007363F6"/>
    <w:rsid w:val="00736470"/>
    <w:rsid w:val="00736657"/>
    <w:rsid w:val="007367C3"/>
    <w:rsid w:val="007370F7"/>
    <w:rsid w:val="00737704"/>
    <w:rsid w:val="0074003E"/>
    <w:rsid w:val="0074082D"/>
    <w:rsid w:val="00740A47"/>
    <w:rsid w:val="00741680"/>
    <w:rsid w:val="00741A42"/>
    <w:rsid w:val="00741CD3"/>
    <w:rsid w:val="0074215C"/>
    <w:rsid w:val="007421FE"/>
    <w:rsid w:val="007422A8"/>
    <w:rsid w:val="0074261A"/>
    <w:rsid w:val="0074279C"/>
    <w:rsid w:val="0074282E"/>
    <w:rsid w:val="00742847"/>
    <w:rsid w:val="007428D5"/>
    <w:rsid w:val="00742D8A"/>
    <w:rsid w:val="00742F67"/>
    <w:rsid w:val="0074305B"/>
    <w:rsid w:val="00743369"/>
    <w:rsid w:val="0074343B"/>
    <w:rsid w:val="007434FF"/>
    <w:rsid w:val="00743918"/>
    <w:rsid w:val="00743D21"/>
    <w:rsid w:val="00743D48"/>
    <w:rsid w:val="00743DCA"/>
    <w:rsid w:val="007442B5"/>
    <w:rsid w:val="00744964"/>
    <w:rsid w:val="0074534F"/>
    <w:rsid w:val="00745808"/>
    <w:rsid w:val="00745912"/>
    <w:rsid w:val="00745A00"/>
    <w:rsid w:val="00745B46"/>
    <w:rsid w:val="00745BFA"/>
    <w:rsid w:val="00745E68"/>
    <w:rsid w:val="007468A6"/>
    <w:rsid w:val="00746B1A"/>
    <w:rsid w:val="00746F3D"/>
    <w:rsid w:val="007477D4"/>
    <w:rsid w:val="0074789D"/>
    <w:rsid w:val="0074798F"/>
    <w:rsid w:val="00747AC4"/>
    <w:rsid w:val="00747D76"/>
    <w:rsid w:val="007506AF"/>
    <w:rsid w:val="00750793"/>
    <w:rsid w:val="0075087B"/>
    <w:rsid w:val="007508D9"/>
    <w:rsid w:val="00750AA1"/>
    <w:rsid w:val="00750F30"/>
    <w:rsid w:val="00750FE9"/>
    <w:rsid w:val="00751045"/>
    <w:rsid w:val="007516E7"/>
    <w:rsid w:val="007518E7"/>
    <w:rsid w:val="007519A6"/>
    <w:rsid w:val="00751EEE"/>
    <w:rsid w:val="00752E7C"/>
    <w:rsid w:val="00753382"/>
    <w:rsid w:val="007535B6"/>
    <w:rsid w:val="007542DE"/>
    <w:rsid w:val="00754485"/>
    <w:rsid w:val="00754609"/>
    <w:rsid w:val="00755079"/>
    <w:rsid w:val="007550A3"/>
    <w:rsid w:val="00755615"/>
    <w:rsid w:val="007558F7"/>
    <w:rsid w:val="00755D2B"/>
    <w:rsid w:val="00755F59"/>
    <w:rsid w:val="00756014"/>
    <w:rsid w:val="0075629C"/>
    <w:rsid w:val="00756328"/>
    <w:rsid w:val="0075632B"/>
    <w:rsid w:val="00756388"/>
    <w:rsid w:val="007568E8"/>
    <w:rsid w:val="007568F5"/>
    <w:rsid w:val="00756C04"/>
    <w:rsid w:val="00756E10"/>
    <w:rsid w:val="00756FB2"/>
    <w:rsid w:val="00756FC1"/>
    <w:rsid w:val="007570B7"/>
    <w:rsid w:val="00757131"/>
    <w:rsid w:val="007573CE"/>
    <w:rsid w:val="00757499"/>
    <w:rsid w:val="007577A3"/>
    <w:rsid w:val="00757935"/>
    <w:rsid w:val="00757CF9"/>
    <w:rsid w:val="00757FCC"/>
    <w:rsid w:val="0076005F"/>
    <w:rsid w:val="007601EB"/>
    <w:rsid w:val="007601F0"/>
    <w:rsid w:val="0076071A"/>
    <w:rsid w:val="007609B5"/>
    <w:rsid w:val="00760A70"/>
    <w:rsid w:val="00760D21"/>
    <w:rsid w:val="00760F6E"/>
    <w:rsid w:val="0076116B"/>
    <w:rsid w:val="00761303"/>
    <w:rsid w:val="007614C7"/>
    <w:rsid w:val="00761815"/>
    <w:rsid w:val="00761E17"/>
    <w:rsid w:val="00761E98"/>
    <w:rsid w:val="0076252D"/>
    <w:rsid w:val="007625BC"/>
    <w:rsid w:val="007628CA"/>
    <w:rsid w:val="0076291B"/>
    <w:rsid w:val="00762A30"/>
    <w:rsid w:val="00763139"/>
    <w:rsid w:val="00763A4B"/>
    <w:rsid w:val="00763D29"/>
    <w:rsid w:val="00763D6D"/>
    <w:rsid w:val="00763E60"/>
    <w:rsid w:val="0076497E"/>
    <w:rsid w:val="00764AF0"/>
    <w:rsid w:val="00764BB3"/>
    <w:rsid w:val="00764F0F"/>
    <w:rsid w:val="0076504E"/>
    <w:rsid w:val="007660E3"/>
    <w:rsid w:val="00766112"/>
    <w:rsid w:val="00766432"/>
    <w:rsid w:val="007668B7"/>
    <w:rsid w:val="00766BE7"/>
    <w:rsid w:val="0076730C"/>
    <w:rsid w:val="00767795"/>
    <w:rsid w:val="00767875"/>
    <w:rsid w:val="00767AFE"/>
    <w:rsid w:val="00767B4E"/>
    <w:rsid w:val="00770179"/>
    <w:rsid w:val="00770944"/>
    <w:rsid w:val="007709FA"/>
    <w:rsid w:val="00770D78"/>
    <w:rsid w:val="007712DD"/>
    <w:rsid w:val="00771996"/>
    <w:rsid w:val="00771C8F"/>
    <w:rsid w:val="00771E90"/>
    <w:rsid w:val="00771FD2"/>
    <w:rsid w:val="0077211B"/>
    <w:rsid w:val="00772416"/>
    <w:rsid w:val="00772793"/>
    <w:rsid w:val="00773658"/>
    <w:rsid w:val="00773767"/>
    <w:rsid w:val="007737F0"/>
    <w:rsid w:val="00773907"/>
    <w:rsid w:val="00773E0C"/>
    <w:rsid w:val="007744D5"/>
    <w:rsid w:val="007745D7"/>
    <w:rsid w:val="007747C5"/>
    <w:rsid w:val="007747E8"/>
    <w:rsid w:val="007748D4"/>
    <w:rsid w:val="00774BEC"/>
    <w:rsid w:val="00774ED5"/>
    <w:rsid w:val="00775B67"/>
    <w:rsid w:val="0077601C"/>
    <w:rsid w:val="00776297"/>
    <w:rsid w:val="0077630D"/>
    <w:rsid w:val="0077676F"/>
    <w:rsid w:val="007770B0"/>
    <w:rsid w:val="00777440"/>
    <w:rsid w:val="007774CD"/>
    <w:rsid w:val="00777548"/>
    <w:rsid w:val="00777CAC"/>
    <w:rsid w:val="00777DEA"/>
    <w:rsid w:val="00780098"/>
    <w:rsid w:val="007800EB"/>
    <w:rsid w:val="007805DF"/>
    <w:rsid w:val="00780B8F"/>
    <w:rsid w:val="00781920"/>
    <w:rsid w:val="00781953"/>
    <w:rsid w:val="00781DF4"/>
    <w:rsid w:val="00782107"/>
    <w:rsid w:val="00782150"/>
    <w:rsid w:val="0078252A"/>
    <w:rsid w:val="00782FBB"/>
    <w:rsid w:val="00783141"/>
    <w:rsid w:val="007833E9"/>
    <w:rsid w:val="00783A8D"/>
    <w:rsid w:val="00784047"/>
    <w:rsid w:val="00784136"/>
    <w:rsid w:val="00784C8D"/>
    <w:rsid w:val="00784FD8"/>
    <w:rsid w:val="007850BC"/>
    <w:rsid w:val="007853C4"/>
    <w:rsid w:val="00785645"/>
    <w:rsid w:val="00785972"/>
    <w:rsid w:val="00785B12"/>
    <w:rsid w:val="00785CC9"/>
    <w:rsid w:val="00785E3E"/>
    <w:rsid w:val="00785FA3"/>
    <w:rsid w:val="00786677"/>
    <w:rsid w:val="00786A0B"/>
    <w:rsid w:val="00786B40"/>
    <w:rsid w:val="00787A06"/>
    <w:rsid w:val="0079018E"/>
    <w:rsid w:val="00790291"/>
    <w:rsid w:val="00790814"/>
    <w:rsid w:val="007909B9"/>
    <w:rsid w:val="007913CE"/>
    <w:rsid w:val="00791E15"/>
    <w:rsid w:val="00791E30"/>
    <w:rsid w:val="0079203F"/>
    <w:rsid w:val="00792233"/>
    <w:rsid w:val="007922DF"/>
    <w:rsid w:val="00792322"/>
    <w:rsid w:val="007929DE"/>
    <w:rsid w:val="00792D5C"/>
    <w:rsid w:val="00792E13"/>
    <w:rsid w:val="00792F08"/>
    <w:rsid w:val="0079342F"/>
    <w:rsid w:val="007937FD"/>
    <w:rsid w:val="007939C2"/>
    <w:rsid w:val="00793A9C"/>
    <w:rsid w:val="00793B98"/>
    <w:rsid w:val="00793C11"/>
    <w:rsid w:val="00793CF1"/>
    <w:rsid w:val="00793DE0"/>
    <w:rsid w:val="00793EAD"/>
    <w:rsid w:val="00794852"/>
    <w:rsid w:val="007949D9"/>
    <w:rsid w:val="00794C42"/>
    <w:rsid w:val="00794D5D"/>
    <w:rsid w:val="00795173"/>
    <w:rsid w:val="00795297"/>
    <w:rsid w:val="007959E8"/>
    <w:rsid w:val="007960F8"/>
    <w:rsid w:val="0079622F"/>
    <w:rsid w:val="00796367"/>
    <w:rsid w:val="00796501"/>
    <w:rsid w:val="0079685C"/>
    <w:rsid w:val="007969D0"/>
    <w:rsid w:val="00796ED3"/>
    <w:rsid w:val="00797034"/>
    <w:rsid w:val="007970D7"/>
    <w:rsid w:val="007978A6"/>
    <w:rsid w:val="007979E5"/>
    <w:rsid w:val="00797B27"/>
    <w:rsid w:val="00797BFE"/>
    <w:rsid w:val="00797E52"/>
    <w:rsid w:val="007A0389"/>
    <w:rsid w:val="007A04BC"/>
    <w:rsid w:val="007A05EB"/>
    <w:rsid w:val="007A06D5"/>
    <w:rsid w:val="007A07CA"/>
    <w:rsid w:val="007A0E77"/>
    <w:rsid w:val="007A1874"/>
    <w:rsid w:val="007A1FA5"/>
    <w:rsid w:val="007A217E"/>
    <w:rsid w:val="007A2274"/>
    <w:rsid w:val="007A22CD"/>
    <w:rsid w:val="007A28AA"/>
    <w:rsid w:val="007A2C54"/>
    <w:rsid w:val="007A31B7"/>
    <w:rsid w:val="007A329B"/>
    <w:rsid w:val="007A38AA"/>
    <w:rsid w:val="007A3994"/>
    <w:rsid w:val="007A429F"/>
    <w:rsid w:val="007A430C"/>
    <w:rsid w:val="007A44FC"/>
    <w:rsid w:val="007A452A"/>
    <w:rsid w:val="007A4574"/>
    <w:rsid w:val="007A491A"/>
    <w:rsid w:val="007A4A23"/>
    <w:rsid w:val="007A4EA0"/>
    <w:rsid w:val="007A50CF"/>
    <w:rsid w:val="007A55C0"/>
    <w:rsid w:val="007A5E2B"/>
    <w:rsid w:val="007A5FFB"/>
    <w:rsid w:val="007A68A8"/>
    <w:rsid w:val="007A6C83"/>
    <w:rsid w:val="007A75A4"/>
    <w:rsid w:val="007A773A"/>
    <w:rsid w:val="007A77EF"/>
    <w:rsid w:val="007A77F4"/>
    <w:rsid w:val="007A7B59"/>
    <w:rsid w:val="007B0264"/>
    <w:rsid w:val="007B028B"/>
    <w:rsid w:val="007B06B2"/>
    <w:rsid w:val="007B06D4"/>
    <w:rsid w:val="007B0910"/>
    <w:rsid w:val="007B0B2C"/>
    <w:rsid w:val="007B0D32"/>
    <w:rsid w:val="007B137D"/>
    <w:rsid w:val="007B14D4"/>
    <w:rsid w:val="007B15BA"/>
    <w:rsid w:val="007B1635"/>
    <w:rsid w:val="007B1752"/>
    <w:rsid w:val="007B19CB"/>
    <w:rsid w:val="007B1A3A"/>
    <w:rsid w:val="007B1C40"/>
    <w:rsid w:val="007B2183"/>
    <w:rsid w:val="007B2191"/>
    <w:rsid w:val="007B2272"/>
    <w:rsid w:val="007B238E"/>
    <w:rsid w:val="007B2446"/>
    <w:rsid w:val="007B24C8"/>
    <w:rsid w:val="007B2D58"/>
    <w:rsid w:val="007B2DB8"/>
    <w:rsid w:val="007B3173"/>
    <w:rsid w:val="007B33F2"/>
    <w:rsid w:val="007B37DB"/>
    <w:rsid w:val="007B415E"/>
    <w:rsid w:val="007B462D"/>
    <w:rsid w:val="007B46A6"/>
    <w:rsid w:val="007B47A4"/>
    <w:rsid w:val="007B4E4A"/>
    <w:rsid w:val="007B4F06"/>
    <w:rsid w:val="007B53EA"/>
    <w:rsid w:val="007B580A"/>
    <w:rsid w:val="007B5B65"/>
    <w:rsid w:val="007B5C23"/>
    <w:rsid w:val="007B60D7"/>
    <w:rsid w:val="007B61BF"/>
    <w:rsid w:val="007B630C"/>
    <w:rsid w:val="007B6429"/>
    <w:rsid w:val="007B6497"/>
    <w:rsid w:val="007B68F2"/>
    <w:rsid w:val="007B6997"/>
    <w:rsid w:val="007B6CAB"/>
    <w:rsid w:val="007B6D53"/>
    <w:rsid w:val="007B7581"/>
    <w:rsid w:val="007B7778"/>
    <w:rsid w:val="007B79BC"/>
    <w:rsid w:val="007B7C64"/>
    <w:rsid w:val="007C006C"/>
    <w:rsid w:val="007C01E9"/>
    <w:rsid w:val="007C02AD"/>
    <w:rsid w:val="007C0D37"/>
    <w:rsid w:val="007C11C3"/>
    <w:rsid w:val="007C125D"/>
    <w:rsid w:val="007C13F6"/>
    <w:rsid w:val="007C145C"/>
    <w:rsid w:val="007C148D"/>
    <w:rsid w:val="007C1B83"/>
    <w:rsid w:val="007C22EF"/>
    <w:rsid w:val="007C23A5"/>
    <w:rsid w:val="007C2816"/>
    <w:rsid w:val="007C2BF5"/>
    <w:rsid w:val="007C2C66"/>
    <w:rsid w:val="007C3899"/>
    <w:rsid w:val="007C393D"/>
    <w:rsid w:val="007C3B8E"/>
    <w:rsid w:val="007C3CAA"/>
    <w:rsid w:val="007C3D72"/>
    <w:rsid w:val="007C3D9D"/>
    <w:rsid w:val="007C40DF"/>
    <w:rsid w:val="007C4538"/>
    <w:rsid w:val="007C4D0B"/>
    <w:rsid w:val="007C4F5C"/>
    <w:rsid w:val="007C536C"/>
    <w:rsid w:val="007C5C2D"/>
    <w:rsid w:val="007C62FD"/>
    <w:rsid w:val="007C633F"/>
    <w:rsid w:val="007C6743"/>
    <w:rsid w:val="007C69A3"/>
    <w:rsid w:val="007C6C22"/>
    <w:rsid w:val="007C6D51"/>
    <w:rsid w:val="007C7518"/>
    <w:rsid w:val="007C75A4"/>
    <w:rsid w:val="007C768F"/>
    <w:rsid w:val="007C769C"/>
    <w:rsid w:val="007C7CB6"/>
    <w:rsid w:val="007C7D25"/>
    <w:rsid w:val="007D029C"/>
    <w:rsid w:val="007D05AA"/>
    <w:rsid w:val="007D060A"/>
    <w:rsid w:val="007D0986"/>
    <w:rsid w:val="007D0CA8"/>
    <w:rsid w:val="007D199B"/>
    <w:rsid w:val="007D1DA1"/>
    <w:rsid w:val="007D227C"/>
    <w:rsid w:val="007D24BB"/>
    <w:rsid w:val="007D252C"/>
    <w:rsid w:val="007D2694"/>
    <w:rsid w:val="007D2B41"/>
    <w:rsid w:val="007D2B47"/>
    <w:rsid w:val="007D3695"/>
    <w:rsid w:val="007D3F43"/>
    <w:rsid w:val="007D4088"/>
    <w:rsid w:val="007D436F"/>
    <w:rsid w:val="007D443C"/>
    <w:rsid w:val="007D4699"/>
    <w:rsid w:val="007D4E41"/>
    <w:rsid w:val="007D4E68"/>
    <w:rsid w:val="007D5111"/>
    <w:rsid w:val="007D58A4"/>
    <w:rsid w:val="007D5B8F"/>
    <w:rsid w:val="007D5CCD"/>
    <w:rsid w:val="007D5DA5"/>
    <w:rsid w:val="007D5E52"/>
    <w:rsid w:val="007D631C"/>
    <w:rsid w:val="007D6734"/>
    <w:rsid w:val="007D67EF"/>
    <w:rsid w:val="007D6822"/>
    <w:rsid w:val="007D6B4F"/>
    <w:rsid w:val="007D6EA8"/>
    <w:rsid w:val="007D6F99"/>
    <w:rsid w:val="007D701E"/>
    <w:rsid w:val="007D7039"/>
    <w:rsid w:val="007D75CC"/>
    <w:rsid w:val="007D779E"/>
    <w:rsid w:val="007D795D"/>
    <w:rsid w:val="007D7BA5"/>
    <w:rsid w:val="007D7FE0"/>
    <w:rsid w:val="007E05FF"/>
    <w:rsid w:val="007E095A"/>
    <w:rsid w:val="007E095C"/>
    <w:rsid w:val="007E0C9F"/>
    <w:rsid w:val="007E1538"/>
    <w:rsid w:val="007E1D48"/>
    <w:rsid w:val="007E2077"/>
    <w:rsid w:val="007E2B42"/>
    <w:rsid w:val="007E2B7B"/>
    <w:rsid w:val="007E2BBB"/>
    <w:rsid w:val="007E2D40"/>
    <w:rsid w:val="007E34F9"/>
    <w:rsid w:val="007E385A"/>
    <w:rsid w:val="007E39F6"/>
    <w:rsid w:val="007E4A31"/>
    <w:rsid w:val="007E4BD0"/>
    <w:rsid w:val="007E4DA0"/>
    <w:rsid w:val="007E4DBE"/>
    <w:rsid w:val="007E4EC8"/>
    <w:rsid w:val="007E4F94"/>
    <w:rsid w:val="007E514D"/>
    <w:rsid w:val="007E528B"/>
    <w:rsid w:val="007E52DE"/>
    <w:rsid w:val="007E545E"/>
    <w:rsid w:val="007E5A3B"/>
    <w:rsid w:val="007E5AD1"/>
    <w:rsid w:val="007E6093"/>
    <w:rsid w:val="007E6602"/>
    <w:rsid w:val="007E67D6"/>
    <w:rsid w:val="007E6845"/>
    <w:rsid w:val="007E6AAA"/>
    <w:rsid w:val="007E6B62"/>
    <w:rsid w:val="007E7801"/>
    <w:rsid w:val="007E78BF"/>
    <w:rsid w:val="007E79AA"/>
    <w:rsid w:val="007F0035"/>
    <w:rsid w:val="007F03DE"/>
    <w:rsid w:val="007F03F8"/>
    <w:rsid w:val="007F091F"/>
    <w:rsid w:val="007F11D5"/>
    <w:rsid w:val="007F13B6"/>
    <w:rsid w:val="007F1CF4"/>
    <w:rsid w:val="007F202B"/>
    <w:rsid w:val="007F2111"/>
    <w:rsid w:val="007F21A9"/>
    <w:rsid w:val="007F222F"/>
    <w:rsid w:val="007F22CD"/>
    <w:rsid w:val="007F240C"/>
    <w:rsid w:val="007F2633"/>
    <w:rsid w:val="007F272F"/>
    <w:rsid w:val="007F29F5"/>
    <w:rsid w:val="007F2EDD"/>
    <w:rsid w:val="007F309C"/>
    <w:rsid w:val="007F35D9"/>
    <w:rsid w:val="007F3A34"/>
    <w:rsid w:val="007F3F0F"/>
    <w:rsid w:val="007F440A"/>
    <w:rsid w:val="007F448B"/>
    <w:rsid w:val="007F46D9"/>
    <w:rsid w:val="007F4DF3"/>
    <w:rsid w:val="007F50F2"/>
    <w:rsid w:val="007F5234"/>
    <w:rsid w:val="007F5505"/>
    <w:rsid w:val="007F5A2A"/>
    <w:rsid w:val="007F5D43"/>
    <w:rsid w:val="007F5DAF"/>
    <w:rsid w:val="007F5E59"/>
    <w:rsid w:val="007F65E4"/>
    <w:rsid w:val="007F67A1"/>
    <w:rsid w:val="007F6A56"/>
    <w:rsid w:val="007F6AB6"/>
    <w:rsid w:val="007F6BE5"/>
    <w:rsid w:val="007F6DB5"/>
    <w:rsid w:val="007F6FF2"/>
    <w:rsid w:val="007F7B06"/>
    <w:rsid w:val="007F7CC9"/>
    <w:rsid w:val="007F7F8F"/>
    <w:rsid w:val="00800545"/>
    <w:rsid w:val="0080069F"/>
    <w:rsid w:val="00800968"/>
    <w:rsid w:val="00800995"/>
    <w:rsid w:val="00800C23"/>
    <w:rsid w:val="00800C3D"/>
    <w:rsid w:val="00800E80"/>
    <w:rsid w:val="008011AD"/>
    <w:rsid w:val="00801436"/>
    <w:rsid w:val="0080160D"/>
    <w:rsid w:val="0080179B"/>
    <w:rsid w:val="0080195F"/>
    <w:rsid w:val="00801D7D"/>
    <w:rsid w:val="00802411"/>
    <w:rsid w:val="00802A34"/>
    <w:rsid w:val="00802AAB"/>
    <w:rsid w:val="00802DF1"/>
    <w:rsid w:val="008037C8"/>
    <w:rsid w:val="00803893"/>
    <w:rsid w:val="00803F08"/>
    <w:rsid w:val="008045F8"/>
    <w:rsid w:val="00804999"/>
    <w:rsid w:val="00804CAD"/>
    <w:rsid w:val="00804D29"/>
    <w:rsid w:val="00805494"/>
    <w:rsid w:val="008055FF"/>
    <w:rsid w:val="00805D4A"/>
    <w:rsid w:val="00805DCB"/>
    <w:rsid w:val="008069F9"/>
    <w:rsid w:val="00806EBF"/>
    <w:rsid w:val="00806F95"/>
    <w:rsid w:val="0080739D"/>
    <w:rsid w:val="008075F3"/>
    <w:rsid w:val="008077ED"/>
    <w:rsid w:val="00807856"/>
    <w:rsid w:val="0081025F"/>
    <w:rsid w:val="00811509"/>
    <w:rsid w:val="0081161F"/>
    <w:rsid w:val="00811C75"/>
    <w:rsid w:val="00811FA2"/>
    <w:rsid w:val="00812433"/>
    <w:rsid w:val="0081296B"/>
    <w:rsid w:val="00812D32"/>
    <w:rsid w:val="00812DF8"/>
    <w:rsid w:val="0081300B"/>
    <w:rsid w:val="0081330D"/>
    <w:rsid w:val="0081351D"/>
    <w:rsid w:val="0081359D"/>
    <w:rsid w:val="00813ECF"/>
    <w:rsid w:val="008140F7"/>
    <w:rsid w:val="0081471D"/>
    <w:rsid w:val="00814894"/>
    <w:rsid w:val="00814E25"/>
    <w:rsid w:val="00814E4B"/>
    <w:rsid w:val="00814F00"/>
    <w:rsid w:val="00815D55"/>
    <w:rsid w:val="008163AD"/>
    <w:rsid w:val="00816435"/>
    <w:rsid w:val="00816488"/>
    <w:rsid w:val="00816891"/>
    <w:rsid w:val="00816CB2"/>
    <w:rsid w:val="00816EAB"/>
    <w:rsid w:val="00817280"/>
    <w:rsid w:val="008172BE"/>
    <w:rsid w:val="00817409"/>
    <w:rsid w:val="00817583"/>
    <w:rsid w:val="008178B5"/>
    <w:rsid w:val="00817F5D"/>
    <w:rsid w:val="00820312"/>
    <w:rsid w:val="00820784"/>
    <w:rsid w:val="00820830"/>
    <w:rsid w:val="00821214"/>
    <w:rsid w:val="00821438"/>
    <w:rsid w:val="008216F6"/>
    <w:rsid w:val="0082191A"/>
    <w:rsid w:val="00821AA0"/>
    <w:rsid w:val="0082200E"/>
    <w:rsid w:val="00822277"/>
    <w:rsid w:val="008224D1"/>
    <w:rsid w:val="00822871"/>
    <w:rsid w:val="00822B5C"/>
    <w:rsid w:val="008235FA"/>
    <w:rsid w:val="00823D1E"/>
    <w:rsid w:val="00823D70"/>
    <w:rsid w:val="00823E2B"/>
    <w:rsid w:val="00823F92"/>
    <w:rsid w:val="00824048"/>
    <w:rsid w:val="008240D1"/>
    <w:rsid w:val="008243BB"/>
    <w:rsid w:val="008244B3"/>
    <w:rsid w:val="00824514"/>
    <w:rsid w:val="00824588"/>
    <w:rsid w:val="00824AAF"/>
    <w:rsid w:val="00824D76"/>
    <w:rsid w:val="00824F5A"/>
    <w:rsid w:val="008252A2"/>
    <w:rsid w:val="00825D86"/>
    <w:rsid w:val="00825FB2"/>
    <w:rsid w:val="00826125"/>
    <w:rsid w:val="008264C7"/>
    <w:rsid w:val="00826B15"/>
    <w:rsid w:val="00826B8E"/>
    <w:rsid w:val="0083035E"/>
    <w:rsid w:val="00830669"/>
    <w:rsid w:val="0083071F"/>
    <w:rsid w:val="00830D4C"/>
    <w:rsid w:val="00831017"/>
    <w:rsid w:val="00831173"/>
    <w:rsid w:val="0083149A"/>
    <w:rsid w:val="00831A22"/>
    <w:rsid w:val="00831BE4"/>
    <w:rsid w:val="00831DBF"/>
    <w:rsid w:val="00831F4B"/>
    <w:rsid w:val="0083212F"/>
    <w:rsid w:val="00832A47"/>
    <w:rsid w:val="00832CF9"/>
    <w:rsid w:val="00833428"/>
    <w:rsid w:val="00833559"/>
    <w:rsid w:val="00833C04"/>
    <w:rsid w:val="008343BC"/>
    <w:rsid w:val="00834785"/>
    <w:rsid w:val="00834B8E"/>
    <w:rsid w:val="00834DED"/>
    <w:rsid w:val="008352B6"/>
    <w:rsid w:val="008353BB"/>
    <w:rsid w:val="008354A8"/>
    <w:rsid w:val="0083551E"/>
    <w:rsid w:val="0083579F"/>
    <w:rsid w:val="00835C37"/>
    <w:rsid w:val="00835F80"/>
    <w:rsid w:val="008364F3"/>
    <w:rsid w:val="008371C4"/>
    <w:rsid w:val="00837EAF"/>
    <w:rsid w:val="00840124"/>
    <w:rsid w:val="00840324"/>
    <w:rsid w:val="008406A8"/>
    <w:rsid w:val="0084072E"/>
    <w:rsid w:val="00840FBF"/>
    <w:rsid w:val="00841262"/>
    <w:rsid w:val="00841431"/>
    <w:rsid w:val="008419B2"/>
    <w:rsid w:val="00841BD0"/>
    <w:rsid w:val="00842019"/>
    <w:rsid w:val="008428CB"/>
    <w:rsid w:val="00842A21"/>
    <w:rsid w:val="00842A34"/>
    <w:rsid w:val="00842F99"/>
    <w:rsid w:val="00843D7B"/>
    <w:rsid w:val="00844914"/>
    <w:rsid w:val="00844A32"/>
    <w:rsid w:val="00844A33"/>
    <w:rsid w:val="00845255"/>
    <w:rsid w:val="008452DB"/>
    <w:rsid w:val="00845804"/>
    <w:rsid w:val="008458ED"/>
    <w:rsid w:val="0084591F"/>
    <w:rsid w:val="00846F49"/>
    <w:rsid w:val="00847452"/>
    <w:rsid w:val="00847807"/>
    <w:rsid w:val="00847B5A"/>
    <w:rsid w:val="00847BD8"/>
    <w:rsid w:val="00847C57"/>
    <w:rsid w:val="00847E17"/>
    <w:rsid w:val="008502DE"/>
    <w:rsid w:val="008506AD"/>
    <w:rsid w:val="0085094D"/>
    <w:rsid w:val="00851788"/>
    <w:rsid w:val="008518EB"/>
    <w:rsid w:val="00851B79"/>
    <w:rsid w:val="00851D41"/>
    <w:rsid w:val="00851EAC"/>
    <w:rsid w:val="00851EE6"/>
    <w:rsid w:val="00851F2D"/>
    <w:rsid w:val="008520D0"/>
    <w:rsid w:val="008520E2"/>
    <w:rsid w:val="0085229A"/>
    <w:rsid w:val="008524EA"/>
    <w:rsid w:val="0085287C"/>
    <w:rsid w:val="00853144"/>
    <w:rsid w:val="00853242"/>
    <w:rsid w:val="00853C20"/>
    <w:rsid w:val="00853DB7"/>
    <w:rsid w:val="00853E66"/>
    <w:rsid w:val="00853F79"/>
    <w:rsid w:val="0085440F"/>
    <w:rsid w:val="00854EFE"/>
    <w:rsid w:val="0085514C"/>
    <w:rsid w:val="008554FD"/>
    <w:rsid w:val="008556ED"/>
    <w:rsid w:val="00855773"/>
    <w:rsid w:val="00855CCE"/>
    <w:rsid w:val="00855EED"/>
    <w:rsid w:val="00856056"/>
    <w:rsid w:val="00856103"/>
    <w:rsid w:val="0085632E"/>
    <w:rsid w:val="00856384"/>
    <w:rsid w:val="008564E3"/>
    <w:rsid w:val="0085664A"/>
    <w:rsid w:val="00856E83"/>
    <w:rsid w:val="00857140"/>
    <w:rsid w:val="00857F07"/>
    <w:rsid w:val="0086003D"/>
    <w:rsid w:val="00860041"/>
    <w:rsid w:val="0086009C"/>
    <w:rsid w:val="00860864"/>
    <w:rsid w:val="008611D1"/>
    <w:rsid w:val="00861436"/>
    <w:rsid w:val="00861CD6"/>
    <w:rsid w:val="00861D18"/>
    <w:rsid w:val="00862417"/>
    <w:rsid w:val="008625BA"/>
    <w:rsid w:val="008625FA"/>
    <w:rsid w:val="00862793"/>
    <w:rsid w:val="00862997"/>
    <w:rsid w:val="00862BCE"/>
    <w:rsid w:val="00862C73"/>
    <w:rsid w:val="00863087"/>
    <w:rsid w:val="0086330B"/>
    <w:rsid w:val="0086378A"/>
    <w:rsid w:val="0086379C"/>
    <w:rsid w:val="00863968"/>
    <w:rsid w:val="00863C9B"/>
    <w:rsid w:val="00863CB9"/>
    <w:rsid w:val="008640A7"/>
    <w:rsid w:val="008648A3"/>
    <w:rsid w:val="00865E5D"/>
    <w:rsid w:val="00865F06"/>
    <w:rsid w:val="00866171"/>
    <w:rsid w:val="00866213"/>
    <w:rsid w:val="00866720"/>
    <w:rsid w:val="0086676F"/>
    <w:rsid w:val="008667E4"/>
    <w:rsid w:val="00866CF7"/>
    <w:rsid w:val="00866EB4"/>
    <w:rsid w:val="00867308"/>
    <w:rsid w:val="0086743D"/>
    <w:rsid w:val="0086747B"/>
    <w:rsid w:val="00867E25"/>
    <w:rsid w:val="00870185"/>
    <w:rsid w:val="00870589"/>
    <w:rsid w:val="00870A05"/>
    <w:rsid w:val="00871331"/>
    <w:rsid w:val="0087156A"/>
    <w:rsid w:val="00871C9C"/>
    <w:rsid w:val="00872A2F"/>
    <w:rsid w:val="00872CD5"/>
    <w:rsid w:val="00872D32"/>
    <w:rsid w:val="00872F64"/>
    <w:rsid w:val="00873799"/>
    <w:rsid w:val="00873803"/>
    <w:rsid w:val="00874069"/>
    <w:rsid w:val="00874479"/>
    <w:rsid w:val="00874629"/>
    <w:rsid w:val="008746F0"/>
    <w:rsid w:val="00874A07"/>
    <w:rsid w:val="00874E63"/>
    <w:rsid w:val="008751AE"/>
    <w:rsid w:val="008755F1"/>
    <w:rsid w:val="008759FA"/>
    <w:rsid w:val="008760E7"/>
    <w:rsid w:val="00876456"/>
    <w:rsid w:val="00876649"/>
    <w:rsid w:val="008767DC"/>
    <w:rsid w:val="00876DFE"/>
    <w:rsid w:val="00877658"/>
    <w:rsid w:val="008777F0"/>
    <w:rsid w:val="00877B88"/>
    <w:rsid w:val="00877EDA"/>
    <w:rsid w:val="00877F93"/>
    <w:rsid w:val="00880065"/>
    <w:rsid w:val="0088065C"/>
    <w:rsid w:val="00880916"/>
    <w:rsid w:val="008809FE"/>
    <w:rsid w:val="00881601"/>
    <w:rsid w:val="008816DF"/>
    <w:rsid w:val="00881CFD"/>
    <w:rsid w:val="0088219B"/>
    <w:rsid w:val="008827EA"/>
    <w:rsid w:val="00882925"/>
    <w:rsid w:val="008830C8"/>
    <w:rsid w:val="00883BF1"/>
    <w:rsid w:val="00883C63"/>
    <w:rsid w:val="00883CA4"/>
    <w:rsid w:val="00883DA8"/>
    <w:rsid w:val="00883E59"/>
    <w:rsid w:val="00884269"/>
    <w:rsid w:val="008848FD"/>
    <w:rsid w:val="00884D6F"/>
    <w:rsid w:val="00885B4F"/>
    <w:rsid w:val="00885BBF"/>
    <w:rsid w:val="00886058"/>
    <w:rsid w:val="00886083"/>
    <w:rsid w:val="0088690C"/>
    <w:rsid w:val="0088743E"/>
    <w:rsid w:val="00887483"/>
    <w:rsid w:val="0088772F"/>
    <w:rsid w:val="00887D31"/>
    <w:rsid w:val="00887E50"/>
    <w:rsid w:val="00887E61"/>
    <w:rsid w:val="008900A6"/>
    <w:rsid w:val="008901C8"/>
    <w:rsid w:val="008902C1"/>
    <w:rsid w:val="008905EF"/>
    <w:rsid w:val="0089080E"/>
    <w:rsid w:val="0089089F"/>
    <w:rsid w:val="0089094E"/>
    <w:rsid w:val="00890BDB"/>
    <w:rsid w:val="00890EAF"/>
    <w:rsid w:val="00891181"/>
    <w:rsid w:val="008912DA"/>
    <w:rsid w:val="00891337"/>
    <w:rsid w:val="008913DF"/>
    <w:rsid w:val="0089140F"/>
    <w:rsid w:val="0089149F"/>
    <w:rsid w:val="0089150E"/>
    <w:rsid w:val="00891AF6"/>
    <w:rsid w:val="00891EF0"/>
    <w:rsid w:val="00892292"/>
    <w:rsid w:val="00892741"/>
    <w:rsid w:val="00892B1E"/>
    <w:rsid w:val="00893143"/>
    <w:rsid w:val="00893621"/>
    <w:rsid w:val="008939F7"/>
    <w:rsid w:val="00893CDA"/>
    <w:rsid w:val="00893D65"/>
    <w:rsid w:val="00893DBB"/>
    <w:rsid w:val="00893DF9"/>
    <w:rsid w:val="0089482D"/>
    <w:rsid w:val="0089492B"/>
    <w:rsid w:val="00894D11"/>
    <w:rsid w:val="00895816"/>
    <w:rsid w:val="0089616A"/>
    <w:rsid w:val="00896834"/>
    <w:rsid w:val="008969F9"/>
    <w:rsid w:val="00897179"/>
    <w:rsid w:val="008973C7"/>
    <w:rsid w:val="008978F4"/>
    <w:rsid w:val="00897CAB"/>
    <w:rsid w:val="008A018C"/>
    <w:rsid w:val="008A01A8"/>
    <w:rsid w:val="008A0239"/>
    <w:rsid w:val="008A0395"/>
    <w:rsid w:val="008A04EC"/>
    <w:rsid w:val="008A0567"/>
    <w:rsid w:val="008A0878"/>
    <w:rsid w:val="008A0B82"/>
    <w:rsid w:val="008A0C7A"/>
    <w:rsid w:val="008A0D62"/>
    <w:rsid w:val="008A127F"/>
    <w:rsid w:val="008A136D"/>
    <w:rsid w:val="008A1388"/>
    <w:rsid w:val="008A138D"/>
    <w:rsid w:val="008A15FA"/>
    <w:rsid w:val="008A1996"/>
    <w:rsid w:val="008A1C69"/>
    <w:rsid w:val="008A3172"/>
    <w:rsid w:val="008A335E"/>
    <w:rsid w:val="008A3C29"/>
    <w:rsid w:val="008A3E60"/>
    <w:rsid w:val="008A434F"/>
    <w:rsid w:val="008A535A"/>
    <w:rsid w:val="008A535B"/>
    <w:rsid w:val="008A5A50"/>
    <w:rsid w:val="008A5C53"/>
    <w:rsid w:val="008A5F24"/>
    <w:rsid w:val="008A75D9"/>
    <w:rsid w:val="008A76BD"/>
    <w:rsid w:val="008A76C6"/>
    <w:rsid w:val="008A77AA"/>
    <w:rsid w:val="008A7E49"/>
    <w:rsid w:val="008B01AA"/>
    <w:rsid w:val="008B0295"/>
    <w:rsid w:val="008B06A0"/>
    <w:rsid w:val="008B06C8"/>
    <w:rsid w:val="008B0888"/>
    <w:rsid w:val="008B0AAF"/>
    <w:rsid w:val="008B0AD6"/>
    <w:rsid w:val="008B0C87"/>
    <w:rsid w:val="008B0E1A"/>
    <w:rsid w:val="008B1251"/>
    <w:rsid w:val="008B1422"/>
    <w:rsid w:val="008B15BF"/>
    <w:rsid w:val="008B17B6"/>
    <w:rsid w:val="008B1935"/>
    <w:rsid w:val="008B1B94"/>
    <w:rsid w:val="008B1C33"/>
    <w:rsid w:val="008B1CE5"/>
    <w:rsid w:val="008B1E3F"/>
    <w:rsid w:val="008B249E"/>
    <w:rsid w:val="008B254A"/>
    <w:rsid w:val="008B295D"/>
    <w:rsid w:val="008B2AAC"/>
    <w:rsid w:val="008B2BB0"/>
    <w:rsid w:val="008B2EB7"/>
    <w:rsid w:val="008B3676"/>
    <w:rsid w:val="008B3C9B"/>
    <w:rsid w:val="008B3EF5"/>
    <w:rsid w:val="008B401E"/>
    <w:rsid w:val="008B433B"/>
    <w:rsid w:val="008B4A0E"/>
    <w:rsid w:val="008B4E87"/>
    <w:rsid w:val="008B53AF"/>
    <w:rsid w:val="008B586B"/>
    <w:rsid w:val="008B58AE"/>
    <w:rsid w:val="008B5A07"/>
    <w:rsid w:val="008B5B1E"/>
    <w:rsid w:val="008B5F44"/>
    <w:rsid w:val="008B602B"/>
    <w:rsid w:val="008B68B0"/>
    <w:rsid w:val="008B6C8B"/>
    <w:rsid w:val="008B7176"/>
    <w:rsid w:val="008B72EF"/>
    <w:rsid w:val="008C01F9"/>
    <w:rsid w:val="008C0282"/>
    <w:rsid w:val="008C0C4D"/>
    <w:rsid w:val="008C10DF"/>
    <w:rsid w:val="008C17E6"/>
    <w:rsid w:val="008C1804"/>
    <w:rsid w:val="008C1C98"/>
    <w:rsid w:val="008C1E8B"/>
    <w:rsid w:val="008C20B0"/>
    <w:rsid w:val="008C2690"/>
    <w:rsid w:val="008C2AC7"/>
    <w:rsid w:val="008C2DA5"/>
    <w:rsid w:val="008C2E4C"/>
    <w:rsid w:val="008C2E7A"/>
    <w:rsid w:val="008C3178"/>
    <w:rsid w:val="008C33CE"/>
    <w:rsid w:val="008C36C9"/>
    <w:rsid w:val="008C3810"/>
    <w:rsid w:val="008C3CFB"/>
    <w:rsid w:val="008C3DBB"/>
    <w:rsid w:val="008C3E53"/>
    <w:rsid w:val="008C4164"/>
    <w:rsid w:val="008C42C9"/>
    <w:rsid w:val="008C4955"/>
    <w:rsid w:val="008C4B3C"/>
    <w:rsid w:val="008C4B5D"/>
    <w:rsid w:val="008C4D9F"/>
    <w:rsid w:val="008C521F"/>
    <w:rsid w:val="008C55C5"/>
    <w:rsid w:val="008C578D"/>
    <w:rsid w:val="008C57F9"/>
    <w:rsid w:val="008C5A1D"/>
    <w:rsid w:val="008C5FCE"/>
    <w:rsid w:val="008C672F"/>
    <w:rsid w:val="008C6793"/>
    <w:rsid w:val="008C6B33"/>
    <w:rsid w:val="008C6E44"/>
    <w:rsid w:val="008C7006"/>
    <w:rsid w:val="008C7051"/>
    <w:rsid w:val="008C76E4"/>
    <w:rsid w:val="008C7822"/>
    <w:rsid w:val="008C7A13"/>
    <w:rsid w:val="008C7CF2"/>
    <w:rsid w:val="008D0201"/>
    <w:rsid w:val="008D021A"/>
    <w:rsid w:val="008D0A69"/>
    <w:rsid w:val="008D11FF"/>
    <w:rsid w:val="008D1330"/>
    <w:rsid w:val="008D1394"/>
    <w:rsid w:val="008D2189"/>
    <w:rsid w:val="008D22B9"/>
    <w:rsid w:val="008D27CB"/>
    <w:rsid w:val="008D29DE"/>
    <w:rsid w:val="008D2BB9"/>
    <w:rsid w:val="008D2C81"/>
    <w:rsid w:val="008D2E87"/>
    <w:rsid w:val="008D2F4A"/>
    <w:rsid w:val="008D3004"/>
    <w:rsid w:val="008D344C"/>
    <w:rsid w:val="008D3533"/>
    <w:rsid w:val="008D3CF8"/>
    <w:rsid w:val="008D3EB3"/>
    <w:rsid w:val="008D4307"/>
    <w:rsid w:val="008D44A3"/>
    <w:rsid w:val="008D47BB"/>
    <w:rsid w:val="008D493D"/>
    <w:rsid w:val="008D4B1A"/>
    <w:rsid w:val="008D4ECE"/>
    <w:rsid w:val="008D51E0"/>
    <w:rsid w:val="008D570B"/>
    <w:rsid w:val="008D574E"/>
    <w:rsid w:val="008D5A3E"/>
    <w:rsid w:val="008D5CAC"/>
    <w:rsid w:val="008D5CD7"/>
    <w:rsid w:val="008D5F4B"/>
    <w:rsid w:val="008D6251"/>
    <w:rsid w:val="008D63ED"/>
    <w:rsid w:val="008D72B6"/>
    <w:rsid w:val="008D7498"/>
    <w:rsid w:val="008D79F9"/>
    <w:rsid w:val="008E02D0"/>
    <w:rsid w:val="008E03A4"/>
    <w:rsid w:val="008E058D"/>
    <w:rsid w:val="008E0735"/>
    <w:rsid w:val="008E0D7E"/>
    <w:rsid w:val="008E0F95"/>
    <w:rsid w:val="008E10F9"/>
    <w:rsid w:val="008E1B26"/>
    <w:rsid w:val="008E1D51"/>
    <w:rsid w:val="008E1E4F"/>
    <w:rsid w:val="008E25AD"/>
    <w:rsid w:val="008E27C0"/>
    <w:rsid w:val="008E2808"/>
    <w:rsid w:val="008E28C8"/>
    <w:rsid w:val="008E2AFF"/>
    <w:rsid w:val="008E2C3B"/>
    <w:rsid w:val="008E2F6A"/>
    <w:rsid w:val="008E385B"/>
    <w:rsid w:val="008E38C3"/>
    <w:rsid w:val="008E3944"/>
    <w:rsid w:val="008E3A04"/>
    <w:rsid w:val="008E3A47"/>
    <w:rsid w:val="008E3B10"/>
    <w:rsid w:val="008E3B11"/>
    <w:rsid w:val="008E3B23"/>
    <w:rsid w:val="008E3ED8"/>
    <w:rsid w:val="008E4653"/>
    <w:rsid w:val="008E508E"/>
    <w:rsid w:val="008E56B7"/>
    <w:rsid w:val="008E5962"/>
    <w:rsid w:val="008E5BF8"/>
    <w:rsid w:val="008E5C97"/>
    <w:rsid w:val="008E615F"/>
    <w:rsid w:val="008E6185"/>
    <w:rsid w:val="008E653A"/>
    <w:rsid w:val="008E7048"/>
    <w:rsid w:val="008E7204"/>
    <w:rsid w:val="008E7959"/>
    <w:rsid w:val="008E7BED"/>
    <w:rsid w:val="008E7BF2"/>
    <w:rsid w:val="008E7C49"/>
    <w:rsid w:val="008E7CB2"/>
    <w:rsid w:val="008E7D02"/>
    <w:rsid w:val="008F0101"/>
    <w:rsid w:val="008F048B"/>
    <w:rsid w:val="008F0538"/>
    <w:rsid w:val="008F06F9"/>
    <w:rsid w:val="008F0725"/>
    <w:rsid w:val="008F0963"/>
    <w:rsid w:val="008F1178"/>
    <w:rsid w:val="008F1190"/>
    <w:rsid w:val="008F127F"/>
    <w:rsid w:val="008F12C1"/>
    <w:rsid w:val="008F1631"/>
    <w:rsid w:val="008F1638"/>
    <w:rsid w:val="008F16AD"/>
    <w:rsid w:val="008F179A"/>
    <w:rsid w:val="008F179F"/>
    <w:rsid w:val="008F193B"/>
    <w:rsid w:val="008F1F08"/>
    <w:rsid w:val="008F1F69"/>
    <w:rsid w:val="008F2C97"/>
    <w:rsid w:val="008F30F2"/>
    <w:rsid w:val="008F31C4"/>
    <w:rsid w:val="008F328A"/>
    <w:rsid w:val="008F32BE"/>
    <w:rsid w:val="008F3E3C"/>
    <w:rsid w:val="008F3F4F"/>
    <w:rsid w:val="008F44CE"/>
    <w:rsid w:val="008F46D2"/>
    <w:rsid w:val="008F4A6F"/>
    <w:rsid w:val="008F4CC7"/>
    <w:rsid w:val="008F647E"/>
    <w:rsid w:val="008F64CC"/>
    <w:rsid w:val="008F64D3"/>
    <w:rsid w:val="008F66B1"/>
    <w:rsid w:val="008F67DB"/>
    <w:rsid w:val="008F68AA"/>
    <w:rsid w:val="008F6B05"/>
    <w:rsid w:val="008F7424"/>
    <w:rsid w:val="008F746E"/>
    <w:rsid w:val="008F7AD1"/>
    <w:rsid w:val="008F7C50"/>
    <w:rsid w:val="009000F3"/>
    <w:rsid w:val="009003DF"/>
    <w:rsid w:val="00900619"/>
    <w:rsid w:val="00900D8B"/>
    <w:rsid w:val="00901A5C"/>
    <w:rsid w:val="00901D9D"/>
    <w:rsid w:val="00901FEE"/>
    <w:rsid w:val="0090243C"/>
    <w:rsid w:val="00902536"/>
    <w:rsid w:val="0090254D"/>
    <w:rsid w:val="009029EA"/>
    <w:rsid w:val="00902A84"/>
    <w:rsid w:val="009030CE"/>
    <w:rsid w:val="009031CE"/>
    <w:rsid w:val="0090368B"/>
    <w:rsid w:val="009039AB"/>
    <w:rsid w:val="00903BA3"/>
    <w:rsid w:val="00903DCB"/>
    <w:rsid w:val="009042F0"/>
    <w:rsid w:val="00904CF0"/>
    <w:rsid w:val="00905166"/>
    <w:rsid w:val="00905284"/>
    <w:rsid w:val="00905443"/>
    <w:rsid w:val="009056FC"/>
    <w:rsid w:val="00905891"/>
    <w:rsid w:val="009058E4"/>
    <w:rsid w:val="00905963"/>
    <w:rsid w:val="0090610E"/>
    <w:rsid w:val="00906BA8"/>
    <w:rsid w:val="00906ED9"/>
    <w:rsid w:val="00907165"/>
    <w:rsid w:val="009077D6"/>
    <w:rsid w:val="009102A6"/>
    <w:rsid w:val="009103D3"/>
    <w:rsid w:val="0091051D"/>
    <w:rsid w:val="0091091C"/>
    <w:rsid w:val="00910B59"/>
    <w:rsid w:val="00911034"/>
    <w:rsid w:val="00911230"/>
    <w:rsid w:val="009115C2"/>
    <w:rsid w:val="00911901"/>
    <w:rsid w:val="00911A49"/>
    <w:rsid w:val="00912C81"/>
    <w:rsid w:val="009136C4"/>
    <w:rsid w:val="009137CF"/>
    <w:rsid w:val="009142E4"/>
    <w:rsid w:val="0091433D"/>
    <w:rsid w:val="0091450C"/>
    <w:rsid w:val="00914A00"/>
    <w:rsid w:val="00915383"/>
    <w:rsid w:val="009153E0"/>
    <w:rsid w:val="009156E0"/>
    <w:rsid w:val="009157D5"/>
    <w:rsid w:val="00915AB1"/>
    <w:rsid w:val="00915D17"/>
    <w:rsid w:val="00916849"/>
    <w:rsid w:val="00916910"/>
    <w:rsid w:val="00916ABF"/>
    <w:rsid w:val="009172CB"/>
    <w:rsid w:val="00917593"/>
    <w:rsid w:val="009175C0"/>
    <w:rsid w:val="0091785F"/>
    <w:rsid w:val="00917B94"/>
    <w:rsid w:val="00917C55"/>
    <w:rsid w:val="00920438"/>
    <w:rsid w:val="00920D21"/>
    <w:rsid w:val="00920E00"/>
    <w:rsid w:val="00921550"/>
    <w:rsid w:val="00921B9B"/>
    <w:rsid w:val="00921DD3"/>
    <w:rsid w:val="00921E7D"/>
    <w:rsid w:val="009220DA"/>
    <w:rsid w:val="00922207"/>
    <w:rsid w:val="009229D1"/>
    <w:rsid w:val="00922CC1"/>
    <w:rsid w:val="009230CE"/>
    <w:rsid w:val="00923711"/>
    <w:rsid w:val="0092387D"/>
    <w:rsid w:val="009238C9"/>
    <w:rsid w:val="00923B36"/>
    <w:rsid w:val="00923D9B"/>
    <w:rsid w:val="00924876"/>
    <w:rsid w:val="009249C3"/>
    <w:rsid w:val="00924F9B"/>
    <w:rsid w:val="0092557D"/>
    <w:rsid w:val="009261FC"/>
    <w:rsid w:val="009263AD"/>
    <w:rsid w:val="00926AD0"/>
    <w:rsid w:val="00926D88"/>
    <w:rsid w:val="009270EC"/>
    <w:rsid w:val="00927139"/>
    <w:rsid w:val="00927175"/>
    <w:rsid w:val="009274BA"/>
    <w:rsid w:val="00927527"/>
    <w:rsid w:val="00927661"/>
    <w:rsid w:val="00927748"/>
    <w:rsid w:val="00927AB4"/>
    <w:rsid w:val="00927E1E"/>
    <w:rsid w:val="00930000"/>
    <w:rsid w:val="00930457"/>
    <w:rsid w:val="009306E2"/>
    <w:rsid w:val="0093073F"/>
    <w:rsid w:val="009312AE"/>
    <w:rsid w:val="009317C3"/>
    <w:rsid w:val="00931AC0"/>
    <w:rsid w:val="00931C8F"/>
    <w:rsid w:val="00931DBE"/>
    <w:rsid w:val="00932EA9"/>
    <w:rsid w:val="00932EE1"/>
    <w:rsid w:val="00933124"/>
    <w:rsid w:val="00933C25"/>
    <w:rsid w:val="00933CE9"/>
    <w:rsid w:val="009343B6"/>
    <w:rsid w:val="0093465D"/>
    <w:rsid w:val="00935345"/>
    <w:rsid w:val="0093538C"/>
    <w:rsid w:val="009354E6"/>
    <w:rsid w:val="0093561E"/>
    <w:rsid w:val="009357E2"/>
    <w:rsid w:val="0093596C"/>
    <w:rsid w:val="00935A45"/>
    <w:rsid w:val="0093602F"/>
    <w:rsid w:val="00936385"/>
    <w:rsid w:val="009363B9"/>
    <w:rsid w:val="0093688B"/>
    <w:rsid w:val="00936B06"/>
    <w:rsid w:val="00936CC5"/>
    <w:rsid w:val="00936CD7"/>
    <w:rsid w:val="00936F57"/>
    <w:rsid w:val="009371B2"/>
    <w:rsid w:val="00937D60"/>
    <w:rsid w:val="009403C1"/>
    <w:rsid w:val="009404C7"/>
    <w:rsid w:val="009406C2"/>
    <w:rsid w:val="009409C6"/>
    <w:rsid w:val="00940AD9"/>
    <w:rsid w:val="0094100F"/>
    <w:rsid w:val="0094104D"/>
    <w:rsid w:val="009410B7"/>
    <w:rsid w:val="0094117B"/>
    <w:rsid w:val="009411A4"/>
    <w:rsid w:val="009412D9"/>
    <w:rsid w:val="00941523"/>
    <w:rsid w:val="0094169E"/>
    <w:rsid w:val="0094193F"/>
    <w:rsid w:val="00941975"/>
    <w:rsid w:val="00941DCD"/>
    <w:rsid w:val="009420B0"/>
    <w:rsid w:val="009421F6"/>
    <w:rsid w:val="00942279"/>
    <w:rsid w:val="009428C3"/>
    <w:rsid w:val="00942C76"/>
    <w:rsid w:val="009434A6"/>
    <w:rsid w:val="00943574"/>
    <w:rsid w:val="00943B43"/>
    <w:rsid w:val="00943E99"/>
    <w:rsid w:val="00944221"/>
    <w:rsid w:val="009447C1"/>
    <w:rsid w:val="00944851"/>
    <w:rsid w:val="00944C4A"/>
    <w:rsid w:val="00945164"/>
    <w:rsid w:val="0094516E"/>
    <w:rsid w:val="00945237"/>
    <w:rsid w:val="009452B4"/>
    <w:rsid w:val="0094583C"/>
    <w:rsid w:val="0094596B"/>
    <w:rsid w:val="00945A0F"/>
    <w:rsid w:val="00945BE4"/>
    <w:rsid w:val="00945D1E"/>
    <w:rsid w:val="0094639F"/>
    <w:rsid w:val="00946503"/>
    <w:rsid w:val="0094669D"/>
    <w:rsid w:val="00946906"/>
    <w:rsid w:val="009475BB"/>
    <w:rsid w:val="00947682"/>
    <w:rsid w:val="0094774F"/>
    <w:rsid w:val="00947C76"/>
    <w:rsid w:val="00947E2A"/>
    <w:rsid w:val="00950089"/>
    <w:rsid w:val="00950092"/>
    <w:rsid w:val="009501A5"/>
    <w:rsid w:val="009501F8"/>
    <w:rsid w:val="00950351"/>
    <w:rsid w:val="00950922"/>
    <w:rsid w:val="00950AE5"/>
    <w:rsid w:val="00950DB6"/>
    <w:rsid w:val="00950E2F"/>
    <w:rsid w:val="00950F70"/>
    <w:rsid w:val="009516E6"/>
    <w:rsid w:val="0095181E"/>
    <w:rsid w:val="00951869"/>
    <w:rsid w:val="0095208E"/>
    <w:rsid w:val="009520E0"/>
    <w:rsid w:val="00952107"/>
    <w:rsid w:val="0095238C"/>
    <w:rsid w:val="009529A3"/>
    <w:rsid w:val="00953145"/>
    <w:rsid w:val="009532CC"/>
    <w:rsid w:val="0095340C"/>
    <w:rsid w:val="00953532"/>
    <w:rsid w:val="00953C7E"/>
    <w:rsid w:val="00953D9C"/>
    <w:rsid w:val="00953F59"/>
    <w:rsid w:val="00953F82"/>
    <w:rsid w:val="0095409A"/>
    <w:rsid w:val="00954299"/>
    <w:rsid w:val="00954634"/>
    <w:rsid w:val="009546D3"/>
    <w:rsid w:val="00954B36"/>
    <w:rsid w:val="00954BD9"/>
    <w:rsid w:val="00954CFB"/>
    <w:rsid w:val="0095506A"/>
    <w:rsid w:val="00955172"/>
    <w:rsid w:val="00955587"/>
    <w:rsid w:val="009557F2"/>
    <w:rsid w:val="00955E0A"/>
    <w:rsid w:val="00956120"/>
    <w:rsid w:val="00956187"/>
    <w:rsid w:val="00956722"/>
    <w:rsid w:val="00956747"/>
    <w:rsid w:val="009569B6"/>
    <w:rsid w:val="00956E6D"/>
    <w:rsid w:val="0095705C"/>
    <w:rsid w:val="00957660"/>
    <w:rsid w:val="00957C0B"/>
    <w:rsid w:val="009608D3"/>
    <w:rsid w:val="00960CBD"/>
    <w:rsid w:val="009612C1"/>
    <w:rsid w:val="009613CA"/>
    <w:rsid w:val="009613E0"/>
    <w:rsid w:val="009615EA"/>
    <w:rsid w:val="00961736"/>
    <w:rsid w:val="00961D6B"/>
    <w:rsid w:val="00961F9A"/>
    <w:rsid w:val="0096215A"/>
    <w:rsid w:val="0096259B"/>
    <w:rsid w:val="0096275B"/>
    <w:rsid w:val="009629ED"/>
    <w:rsid w:val="00962A15"/>
    <w:rsid w:val="00962BDE"/>
    <w:rsid w:val="00962C19"/>
    <w:rsid w:val="00962C2B"/>
    <w:rsid w:val="009633E4"/>
    <w:rsid w:val="00963AE0"/>
    <w:rsid w:val="00963DC0"/>
    <w:rsid w:val="0096420C"/>
    <w:rsid w:val="0096421F"/>
    <w:rsid w:val="00964600"/>
    <w:rsid w:val="009649F7"/>
    <w:rsid w:val="00964AF8"/>
    <w:rsid w:val="00964D03"/>
    <w:rsid w:val="00964EB9"/>
    <w:rsid w:val="00964FA2"/>
    <w:rsid w:val="00965643"/>
    <w:rsid w:val="00965922"/>
    <w:rsid w:val="00965D9D"/>
    <w:rsid w:val="00965F47"/>
    <w:rsid w:val="0096627A"/>
    <w:rsid w:val="0096635A"/>
    <w:rsid w:val="009663AE"/>
    <w:rsid w:val="00966E89"/>
    <w:rsid w:val="00967089"/>
    <w:rsid w:val="0096735F"/>
    <w:rsid w:val="009673C7"/>
    <w:rsid w:val="00967A0F"/>
    <w:rsid w:val="00967CAC"/>
    <w:rsid w:val="00967DE5"/>
    <w:rsid w:val="0097008C"/>
    <w:rsid w:val="009701CF"/>
    <w:rsid w:val="009715A2"/>
    <w:rsid w:val="0097166C"/>
    <w:rsid w:val="00971B02"/>
    <w:rsid w:val="00971DEF"/>
    <w:rsid w:val="009723AC"/>
    <w:rsid w:val="00972614"/>
    <w:rsid w:val="009727E0"/>
    <w:rsid w:val="00972951"/>
    <w:rsid w:val="00972988"/>
    <w:rsid w:val="00972FAE"/>
    <w:rsid w:val="009734DA"/>
    <w:rsid w:val="00973648"/>
    <w:rsid w:val="009737A0"/>
    <w:rsid w:val="00973AA2"/>
    <w:rsid w:val="00973DA0"/>
    <w:rsid w:val="00974302"/>
    <w:rsid w:val="0097459E"/>
    <w:rsid w:val="009746E1"/>
    <w:rsid w:val="0097477C"/>
    <w:rsid w:val="0097495B"/>
    <w:rsid w:val="00974D10"/>
    <w:rsid w:val="00974E77"/>
    <w:rsid w:val="00974F76"/>
    <w:rsid w:val="009750C5"/>
    <w:rsid w:val="0097536F"/>
    <w:rsid w:val="00975625"/>
    <w:rsid w:val="00975C00"/>
    <w:rsid w:val="00975E0B"/>
    <w:rsid w:val="00975E5D"/>
    <w:rsid w:val="00975E69"/>
    <w:rsid w:val="00976065"/>
    <w:rsid w:val="00976168"/>
    <w:rsid w:val="009762F4"/>
    <w:rsid w:val="009765B3"/>
    <w:rsid w:val="0097661D"/>
    <w:rsid w:val="009768A8"/>
    <w:rsid w:val="00976A80"/>
    <w:rsid w:val="00976AE8"/>
    <w:rsid w:val="009770E1"/>
    <w:rsid w:val="0097744A"/>
    <w:rsid w:val="009777B0"/>
    <w:rsid w:val="00977CB3"/>
    <w:rsid w:val="00977CE0"/>
    <w:rsid w:val="00980305"/>
    <w:rsid w:val="0098066B"/>
    <w:rsid w:val="00980948"/>
    <w:rsid w:val="00980DA2"/>
    <w:rsid w:val="00980E08"/>
    <w:rsid w:val="00980EBC"/>
    <w:rsid w:val="00980F0B"/>
    <w:rsid w:val="0098105A"/>
    <w:rsid w:val="0098123E"/>
    <w:rsid w:val="00981244"/>
    <w:rsid w:val="009813ED"/>
    <w:rsid w:val="009819E2"/>
    <w:rsid w:val="00981AD1"/>
    <w:rsid w:val="00981B59"/>
    <w:rsid w:val="00981F47"/>
    <w:rsid w:val="00981FB2"/>
    <w:rsid w:val="009821B0"/>
    <w:rsid w:val="00982378"/>
    <w:rsid w:val="00982700"/>
    <w:rsid w:val="00982707"/>
    <w:rsid w:val="0098274F"/>
    <w:rsid w:val="0098294B"/>
    <w:rsid w:val="0098374C"/>
    <w:rsid w:val="0098399B"/>
    <w:rsid w:val="00983C97"/>
    <w:rsid w:val="00983FED"/>
    <w:rsid w:val="009843B3"/>
    <w:rsid w:val="00984925"/>
    <w:rsid w:val="00984C2F"/>
    <w:rsid w:val="0098502B"/>
    <w:rsid w:val="009853E8"/>
    <w:rsid w:val="00985525"/>
    <w:rsid w:val="009858D3"/>
    <w:rsid w:val="00985E3D"/>
    <w:rsid w:val="00985ECA"/>
    <w:rsid w:val="00986103"/>
    <w:rsid w:val="00986421"/>
    <w:rsid w:val="009866B8"/>
    <w:rsid w:val="0098685A"/>
    <w:rsid w:val="00986983"/>
    <w:rsid w:val="00986F02"/>
    <w:rsid w:val="00987404"/>
    <w:rsid w:val="009876B0"/>
    <w:rsid w:val="009879E4"/>
    <w:rsid w:val="009903CD"/>
    <w:rsid w:val="00990435"/>
    <w:rsid w:val="00990640"/>
    <w:rsid w:val="00990725"/>
    <w:rsid w:val="00990DC9"/>
    <w:rsid w:val="0099187A"/>
    <w:rsid w:val="00991D77"/>
    <w:rsid w:val="00991E15"/>
    <w:rsid w:val="0099226A"/>
    <w:rsid w:val="009925AB"/>
    <w:rsid w:val="009927CB"/>
    <w:rsid w:val="009928E5"/>
    <w:rsid w:val="00992B9A"/>
    <w:rsid w:val="00992C18"/>
    <w:rsid w:val="00992CE8"/>
    <w:rsid w:val="00992D02"/>
    <w:rsid w:val="00992EE7"/>
    <w:rsid w:val="00992EF8"/>
    <w:rsid w:val="00993038"/>
    <w:rsid w:val="00993314"/>
    <w:rsid w:val="009933D1"/>
    <w:rsid w:val="00993E8D"/>
    <w:rsid w:val="00994102"/>
    <w:rsid w:val="009947C7"/>
    <w:rsid w:val="009952F6"/>
    <w:rsid w:val="00995446"/>
    <w:rsid w:val="009954A1"/>
    <w:rsid w:val="00995C25"/>
    <w:rsid w:val="00995F34"/>
    <w:rsid w:val="00996076"/>
    <w:rsid w:val="009961F1"/>
    <w:rsid w:val="009963DD"/>
    <w:rsid w:val="00996887"/>
    <w:rsid w:val="009969C8"/>
    <w:rsid w:val="00996C97"/>
    <w:rsid w:val="009973C0"/>
    <w:rsid w:val="00997509"/>
    <w:rsid w:val="00997EAC"/>
    <w:rsid w:val="009A00C1"/>
    <w:rsid w:val="009A0487"/>
    <w:rsid w:val="009A0507"/>
    <w:rsid w:val="009A05AB"/>
    <w:rsid w:val="009A05E9"/>
    <w:rsid w:val="009A05F6"/>
    <w:rsid w:val="009A0F10"/>
    <w:rsid w:val="009A10F8"/>
    <w:rsid w:val="009A113F"/>
    <w:rsid w:val="009A17AD"/>
    <w:rsid w:val="009A1B5F"/>
    <w:rsid w:val="009A214A"/>
    <w:rsid w:val="009A2640"/>
    <w:rsid w:val="009A286B"/>
    <w:rsid w:val="009A2EB4"/>
    <w:rsid w:val="009A31CF"/>
    <w:rsid w:val="009A334B"/>
    <w:rsid w:val="009A3549"/>
    <w:rsid w:val="009A38C3"/>
    <w:rsid w:val="009A3919"/>
    <w:rsid w:val="009A3FED"/>
    <w:rsid w:val="009A48E9"/>
    <w:rsid w:val="009A4B7C"/>
    <w:rsid w:val="009A4B99"/>
    <w:rsid w:val="009A4F92"/>
    <w:rsid w:val="009A528B"/>
    <w:rsid w:val="009A5484"/>
    <w:rsid w:val="009A59FC"/>
    <w:rsid w:val="009A5FF7"/>
    <w:rsid w:val="009A6111"/>
    <w:rsid w:val="009A65DB"/>
    <w:rsid w:val="009A6799"/>
    <w:rsid w:val="009A6903"/>
    <w:rsid w:val="009A6A3E"/>
    <w:rsid w:val="009A6A48"/>
    <w:rsid w:val="009A6B11"/>
    <w:rsid w:val="009A6DAF"/>
    <w:rsid w:val="009A7902"/>
    <w:rsid w:val="009A79BD"/>
    <w:rsid w:val="009A7C8E"/>
    <w:rsid w:val="009A7C91"/>
    <w:rsid w:val="009B0208"/>
    <w:rsid w:val="009B053D"/>
    <w:rsid w:val="009B0DA1"/>
    <w:rsid w:val="009B109B"/>
    <w:rsid w:val="009B148A"/>
    <w:rsid w:val="009B155F"/>
    <w:rsid w:val="009B1894"/>
    <w:rsid w:val="009B1A09"/>
    <w:rsid w:val="009B2144"/>
    <w:rsid w:val="009B25AE"/>
    <w:rsid w:val="009B2A47"/>
    <w:rsid w:val="009B2C4C"/>
    <w:rsid w:val="009B2FF5"/>
    <w:rsid w:val="009B31C2"/>
    <w:rsid w:val="009B375D"/>
    <w:rsid w:val="009B3CEB"/>
    <w:rsid w:val="009B46E7"/>
    <w:rsid w:val="009B4A19"/>
    <w:rsid w:val="009B4CE6"/>
    <w:rsid w:val="009B507F"/>
    <w:rsid w:val="009B531F"/>
    <w:rsid w:val="009B5C6E"/>
    <w:rsid w:val="009B5DBC"/>
    <w:rsid w:val="009B5F2A"/>
    <w:rsid w:val="009B6157"/>
    <w:rsid w:val="009B633F"/>
    <w:rsid w:val="009B6438"/>
    <w:rsid w:val="009B6B66"/>
    <w:rsid w:val="009B6B7E"/>
    <w:rsid w:val="009B6CA2"/>
    <w:rsid w:val="009B6E88"/>
    <w:rsid w:val="009B6F73"/>
    <w:rsid w:val="009B6FC9"/>
    <w:rsid w:val="009B7241"/>
    <w:rsid w:val="009B7251"/>
    <w:rsid w:val="009B74ED"/>
    <w:rsid w:val="009C029D"/>
    <w:rsid w:val="009C060B"/>
    <w:rsid w:val="009C0706"/>
    <w:rsid w:val="009C0922"/>
    <w:rsid w:val="009C0957"/>
    <w:rsid w:val="009C0989"/>
    <w:rsid w:val="009C0A41"/>
    <w:rsid w:val="009C0CBB"/>
    <w:rsid w:val="009C10A9"/>
    <w:rsid w:val="009C1210"/>
    <w:rsid w:val="009C1430"/>
    <w:rsid w:val="009C148E"/>
    <w:rsid w:val="009C1597"/>
    <w:rsid w:val="009C163E"/>
    <w:rsid w:val="009C1925"/>
    <w:rsid w:val="009C2099"/>
    <w:rsid w:val="009C2359"/>
    <w:rsid w:val="009C2539"/>
    <w:rsid w:val="009C27D1"/>
    <w:rsid w:val="009C2A56"/>
    <w:rsid w:val="009C30BF"/>
    <w:rsid w:val="009C3418"/>
    <w:rsid w:val="009C3519"/>
    <w:rsid w:val="009C37B1"/>
    <w:rsid w:val="009C3992"/>
    <w:rsid w:val="009C39A2"/>
    <w:rsid w:val="009C3AFA"/>
    <w:rsid w:val="009C3D53"/>
    <w:rsid w:val="009C3D61"/>
    <w:rsid w:val="009C3D9C"/>
    <w:rsid w:val="009C42CF"/>
    <w:rsid w:val="009C47CE"/>
    <w:rsid w:val="009C546A"/>
    <w:rsid w:val="009C5965"/>
    <w:rsid w:val="009C5EAF"/>
    <w:rsid w:val="009C60F8"/>
    <w:rsid w:val="009C61E9"/>
    <w:rsid w:val="009C6CA7"/>
    <w:rsid w:val="009C6ECB"/>
    <w:rsid w:val="009D015A"/>
    <w:rsid w:val="009D06AC"/>
    <w:rsid w:val="009D06B3"/>
    <w:rsid w:val="009D0B30"/>
    <w:rsid w:val="009D0BD7"/>
    <w:rsid w:val="009D1042"/>
    <w:rsid w:val="009D174C"/>
    <w:rsid w:val="009D1CE8"/>
    <w:rsid w:val="009D21A2"/>
    <w:rsid w:val="009D224B"/>
    <w:rsid w:val="009D287E"/>
    <w:rsid w:val="009D2C1E"/>
    <w:rsid w:val="009D2E87"/>
    <w:rsid w:val="009D3143"/>
    <w:rsid w:val="009D37F6"/>
    <w:rsid w:val="009D3A91"/>
    <w:rsid w:val="009D3EDB"/>
    <w:rsid w:val="009D4000"/>
    <w:rsid w:val="009D4122"/>
    <w:rsid w:val="009D4304"/>
    <w:rsid w:val="009D453F"/>
    <w:rsid w:val="009D47F0"/>
    <w:rsid w:val="009D4995"/>
    <w:rsid w:val="009D4AB2"/>
    <w:rsid w:val="009D4ED0"/>
    <w:rsid w:val="009D51AD"/>
    <w:rsid w:val="009D55A8"/>
    <w:rsid w:val="009D5E22"/>
    <w:rsid w:val="009D5F1D"/>
    <w:rsid w:val="009D5F9C"/>
    <w:rsid w:val="009D68E3"/>
    <w:rsid w:val="009D6B4C"/>
    <w:rsid w:val="009D6D55"/>
    <w:rsid w:val="009D78BB"/>
    <w:rsid w:val="009D7AA2"/>
    <w:rsid w:val="009D7CD9"/>
    <w:rsid w:val="009D7D99"/>
    <w:rsid w:val="009D7E8C"/>
    <w:rsid w:val="009E0048"/>
    <w:rsid w:val="009E007C"/>
    <w:rsid w:val="009E0BA8"/>
    <w:rsid w:val="009E1221"/>
    <w:rsid w:val="009E1441"/>
    <w:rsid w:val="009E19BA"/>
    <w:rsid w:val="009E1BA5"/>
    <w:rsid w:val="009E1DE8"/>
    <w:rsid w:val="009E1ED5"/>
    <w:rsid w:val="009E27A2"/>
    <w:rsid w:val="009E2E95"/>
    <w:rsid w:val="009E3279"/>
    <w:rsid w:val="009E35F7"/>
    <w:rsid w:val="009E3680"/>
    <w:rsid w:val="009E374F"/>
    <w:rsid w:val="009E382B"/>
    <w:rsid w:val="009E4117"/>
    <w:rsid w:val="009E4685"/>
    <w:rsid w:val="009E4814"/>
    <w:rsid w:val="009E4A2C"/>
    <w:rsid w:val="009E4D35"/>
    <w:rsid w:val="009E4F4D"/>
    <w:rsid w:val="009E517F"/>
    <w:rsid w:val="009E5542"/>
    <w:rsid w:val="009E5547"/>
    <w:rsid w:val="009E5765"/>
    <w:rsid w:val="009E5A80"/>
    <w:rsid w:val="009E5CD3"/>
    <w:rsid w:val="009E6102"/>
    <w:rsid w:val="009E6130"/>
    <w:rsid w:val="009E615B"/>
    <w:rsid w:val="009E62DB"/>
    <w:rsid w:val="009E63E7"/>
    <w:rsid w:val="009E65C0"/>
    <w:rsid w:val="009E70DC"/>
    <w:rsid w:val="009E7442"/>
    <w:rsid w:val="009E781B"/>
    <w:rsid w:val="009E786A"/>
    <w:rsid w:val="009E7DB8"/>
    <w:rsid w:val="009F066B"/>
    <w:rsid w:val="009F080A"/>
    <w:rsid w:val="009F08E6"/>
    <w:rsid w:val="009F0BCD"/>
    <w:rsid w:val="009F0BF7"/>
    <w:rsid w:val="009F0CBC"/>
    <w:rsid w:val="009F0F81"/>
    <w:rsid w:val="009F1413"/>
    <w:rsid w:val="009F166B"/>
    <w:rsid w:val="009F17D8"/>
    <w:rsid w:val="009F1D0E"/>
    <w:rsid w:val="009F2440"/>
    <w:rsid w:val="009F313B"/>
    <w:rsid w:val="009F3232"/>
    <w:rsid w:val="009F3681"/>
    <w:rsid w:val="009F3816"/>
    <w:rsid w:val="009F3BD7"/>
    <w:rsid w:val="009F3D81"/>
    <w:rsid w:val="009F3E5A"/>
    <w:rsid w:val="009F40F8"/>
    <w:rsid w:val="009F41C7"/>
    <w:rsid w:val="009F41F7"/>
    <w:rsid w:val="009F4319"/>
    <w:rsid w:val="009F4337"/>
    <w:rsid w:val="009F438B"/>
    <w:rsid w:val="009F4454"/>
    <w:rsid w:val="009F4697"/>
    <w:rsid w:val="009F49A4"/>
    <w:rsid w:val="009F4C39"/>
    <w:rsid w:val="009F5203"/>
    <w:rsid w:val="009F521F"/>
    <w:rsid w:val="009F58C5"/>
    <w:rsid w:val="009F5933"/>
    <w:rsid w:val="009F5C92"/>
    <w:rsid w:val="009F6011"/>
    <w:rsid w:val="009F623D"/>
    <w:rsid w:val="009F6556"/>
    <w:rsid w:val="009F6612"/>
    <w:rsid w:val="009F6738"/>
    <w:rsid w:val="009F6748"/>
    <w:rsid w:val="009F6AA9"/>
    <w:rsid w:val="009F6CDE"/>
    <w:rsid w:val="009F6DE8"/>
    <w:rsid w:val="009F6F1E"/>
    <w:rsid w:val="009F7083"/>
    <w:rsid w:val="009F73FB"/>
    <w:rsid w:val="009F7541"/>
    <w:rsid w:val="009F7645"/>
    <w:rsid w:val="009F7B55"/>
    <w:rsid w:val="009F7C2C"/>
    <w:rsid w:val="00A004F3"/>
    <w:rsid w:val="00A00773"/>
    <w:rsid w:val="00A00888"/>
    <w:rsid w:val="00A008AB"/>
    <w:rsid w:val="00A00B96"/>
    <w:rsid w:val="00A00D4F"/>
    <w:rsid w:val="00A00E76"/>
    <w:rsid w:val="00A0140C"/>
    <w:rsid w:val="00A015D1"/>
    <w:rsid w:val="00A0195B"/>
    <w:rsid w:val="00A01C5D"/>
    <w:rsid w:val="00A01DD8"/>
    <w:rsid w:val="00A020B1"/>
    <w:rsid w:val="00A02156"/>
    <w:rsid w:val="00A033E5"/>
    <w:rsid w:val="00A03586"/>
    <w:rsid w:val="00A03E3B"/>
    <w:rsid w:val="00A04298"/>
    <w:rsid w:val="00A046DD"/>
    <w:rsid w:val="00A052B5"/>
    <w:rsid w:val="00A053D1"/>
    <w:rsid w:val="00A061D2"/>
    <w:rsid w:val="00A06810"/>
    <w:rsid w:val="00A06BEB"/>
    <w:rsid w:val="00A072FA"/>
    <w:rsid w:val="00A0739D"/>
    <w:rsid w:val="00A074D2"/>
    <w:rsid w:val="00A07786"/>
    <w:rsid w:val="00A07A1E"/>
    <w:rsid w:val="00A07D34"/>
    <w:rsid w:val="00A07F15"/>
    <w:rsid w:val="00A100C5"/>
    <w:rsid w:val="00A102C2"/>
    <w:rsid w:val="00A1098E"/>
    <w:rsid w:val="00A10DBD"/>
    <w:rsid w:val="00A11028"/>
    <w:rsid w:val="00A11183"/>
    <w:rsid w:val="00A11655"/>
    <w:rsid w:val="00A11670"/>
    <w:rsid w:val="00A117B1"/>
    <w:rsid w:val="00A12281"/>
    <w:rsid w:val="00A1228E"/>
    <w:rsid w:val="00A12491"/>
    <w:rsid w:val="00A12B2E"/>
    <w:rsid w:val="00A135D5"/>
    <w:rsid w:val="00A13BE6"/>
    <w:rsid w:val="00A13D85"/>
    <w:rsid w:val="00A13F7E"/>
    <w:rsid w:val="00A14219"/>
    <w:rsid w:val="00A1439B"/>
    <w:rsid w:val="00A1495B"/>
    <w:rsid w:val="00A14CCC"/>
    <w:rsid w:val="00A150BE"/>
    <w:rsid w:val="00A15750"/>
    <w:rsid w:val="00A166DE"/>
    <w:rsid w:val="00A168FC"/>
    <w:rsid w:val="00A169AD"/>
    <w:rsid w:val="00A16BFC"/>
    <w:rsid w:val="00A16EEB"/>
    <w:rsid w:val="00A1706F"/>
    <w:rsid w:val="00A170D5"/>
    <w:rsid w:val="00A174CE"/>
    <w:rsid w:val="00A17616"/>
    <w:rsid w:val="00A17BA1"/>
    <w:rsid w:val="00A20117"/>
    <w:rsid w:val="00A20153"/>
    <w:rsid w:val="00A2047C"/>
    <w:rsid w:val="00A205FE"/>
    <w:rsid w:val="00A20612"/>
    <w:rsid w:val="00A208C7"/>
    <w:rsid w:val="00A20C01"/>
    <w:rsid w:val="00A20D30"/>
    <w:rsid w:val="00A21157"/>
    <w:rsid w:val="00A213C4"/>
    <w:rsid w:val="00A216DE"/>
    <w:rsid w:val="00A21C5E"/>
    <w:rsid w:val="00A21F21"/>
    <w:rsid w:val="00A22000"/>
    <w:rsid w:val="00A220B4"/>
    <w:rsid w:val="00A22220"/>
    <w:rsid w:val="00A222D7"/>
    <w:rsid w:val="00A22627"/>
    <w:rsid w:val="00A226AD"/>
    <w:rsid w:val="00A227FE"/>
    <w:rsid w:val="00A229A4"/>
    <w:rsid w:val="00A22C4F"/>
    <w:rsid w:val="00A2318A"/>
    <w:rsid w:val="00A2340C"/>
    <w:rsid w:val="00A23ACB"/>
    <w:rsid w:val="00A23C79"/>
    <w:rsid w:val="00A2402C"/>
    <w:rsid w:val="00A242E9"/>
    <w:rsid w:val="00A24A4D"/>
    <w:rsid w:val="00A24E6D"/>
    <w:rsid w:val="00A25620"/>
    <w:rsid w:val="00A25793"/>
    <w:rsid w:val="00A259D1"/>
    <w:rsid w:val="00A25C1D"/>
    <w:rsid w:val="00A262E7"/>
    <w:rsid w:val="00A2636A"/>
    <w:rsid w:val="00A26472"/>
    <w:rsid w:val="00A26736"/>
    <w:rsid w:val="00A26748"/>
    <w:rsid w:val="00A27579"/>
    <w:rsid w:val="00A27C48"/>
    <w:rsid w:val="00A30894"/>
    <w:rsid w:val="00A30E62"/>
    <w:rsid w:val="00A3107C"/>
    <w:rsid w:val="00A31287"/>
    <w:rsid w:val="00A312BF"/>
    <w:rsid w:val="00A3152D"/>
    <w:rsid w:val="00A3176C"/>
    <w:rsid w:val="00A31801"/>
    <w:rsid w:val="00A31B17"/>
    <w:rsid w:val="00A31BB6"/>
    <w:rsid w:val="00A31E42"/>
    <w:rsid w:val="00A31FFB"/>
    <w:rsid w:val="00A323D0"/>
    <w:rsid w:val="00A32D74"/>
    <w:rsid w:val="00A33E9A"/>
    <w:rsid w:val="00A33F22"/>
    <w:rsid w:val="00A343BA"/>
    <w:rsid w:val="00A347C4"/>
    <w:rsid w:val="00A34A3F"/>
    <w:rsid w:val="00A34A4A"/>
    <w:rsid w:val="00A34BF2"/>
    <w:rsid w:val="00A352D6"/>
    <w:rsid w:val="00A35563"/>
    <w:rsid w:val="00A35B3C"/>
    <w:rsid w:val="00A35CB0"/>
    <w:rsid w:val="00A35D92"/>
    <w:rsid w:val="00A36023"/>
    <w:rsid w:val="00A361C6"/>
    <w:rsid w:val="00A37191"/>
    <w:rsid w:val="00A3723B"/>
    <w:rsid w:val="00A37344"/>
    <w:rsid w:val="00A37356"/>
    <w:rsid w:val="00A375A3"/>
    <w:rsid w:val="00A37695"/>
    <w:rsid w:val="00A376EA"/>
    <w:rsid w:val="00A37744"/>
    <w:rsid w:val="00A37A57"/>
    <w:rsid w:val="00A37F48"/>
    <w:rsid w:val="00A40344"/>
    <w:rsid w:val="00A40483"/>
    <w:rsid w:val="00A404A1"/>
    <w:rsid w:val="00A40D8B"/>
    <w:rsid w:val="00A40DE1"/>
    <w:rsid w:val="00A41057"/>
    <w:rsid w:val="00A4109A"/>
    <w:rsid w:val="00A41214"/>
    <w:rsid w:val="00A4157B"/>
    <w:rsid w:val="00A415F5"/>
    <w:rsid w:val="00A41630"/>
    <w:rsid w:val="00A416FB"/>
    <w:rsid w:val="00A4223A"/>
    <w:rsid w:val="00A427FE"/>
    <w:rsid w:val="00A42AC0"/>
    <w:rsid w:val="00A42BF6"/>
    <w:rsid w:val="00A4350A"/>
    <w:rsid w:val="00A435F7"/>
    <w:rsid w:val="00A4368A"/>
    <w:rsid w:val="00A43B15"/>
    <w:rsid w:val="00A43B2D"/>
    <w:rsid w:val="00A43B8D"/>
    <w:rsid w:val="00A43CA4"/>
    <w:rsid w:val="00A44892"/>
    <w:rsid w:val="00A44D84"/>
    <w:rsid w:val="00A44E4E"/>
    <w:rsid w:val="00A44E9E"/>
    <w:rsid w:val="00A4503C"/>
    <w:rsid w:val="00A45301"/>
    <w:rsid w:val="00A45336"/>
    <w:rsid w:val="00A453F7"/>
    <w:rsid w:val="00A45851"/>
    <w:rsid w:val="00A45DCA"/>
    <w:rsid w:val="00A461D7"/>
    <w:rsid w:val="00A461DD"/>
    <w:rsid w:val="00A46580"/>
    <w:rsid w:val="00A467A5"/>
    <w:rsid w:val="00A469AC"/>
    <w:rsid w:val="00A46C3C"/>
    <w:rsid w:val="00A47299"/>
    <w:rsid w:val="00A476C6"/>
    <w:rsid w:val="00A47753"/>
    <w:rsid w:val="00A47BAD"/>
    <w:rsid w:val="00A5078F"/>
    <w:rsid w:val="00A51E6E"/>
    <w:rsid w:val="00A51FE9"/>
    <w:rsid w:val="00A5210A"/>
    <w:rsid w:val="00A5220D"/>
    <w:rsid w:val="00A52338"/>
    <w:rsid w:val="00A523C7"/>
    <w:rsid w:val="00A52875"/>
    <w:rsid w:val="00A52965"/>
    <w:rsid w:val="00A52B84"/>
    <w:rsid w:val="00A52F26"/>
    <w:rsid w:val="00A5326E"/>
    <w:rsid w:val="00A5378A"/>
    <w:rsid w:val="00A53DAB"/>
    <w:rsid w:val="00A54286"/>
    <w:rsid w:val="00A5497B"/>
    <w:rsid w:val="00A54CFA"/>
    <w:rsid w:val="00A55216"/>
    <w:rsid w:val="00A55360"/>
    <w:rsid w:val="00A5557F"/>
    <w:rsid w:val="00A55939"/>
    <w:rsid w:val="00A55AD6"/>
    <w:rsid w:val="00A55FEF"/>
    <w:rsid w:val="00A56EE4"/>
    <w:rsid w:val="00A57186"/>
    <w:rsid w:val="00A5722F"/>
    <w:rsid w:val="00A57345"/>
    <w:rsid w:val="00A578F5"/>
    <w:rsid w:val="00A57BCB"/>
    <w:rsid w:val="00A57D25"/>
    <w:rsid w:val="00A60261"/>
    <w:rsid w:val="00A60F90"/>
    <w:rsid w:val="00A616D7"/>
    <w:rsid w:val="00A617F5"/>
    <w:rsid w:val="00A61921"/>
    <w:rsid w:val="00A61CB4"/>
    <w:rsid w:val="00A6205F"/>
    <w:rsid w:val="00A623AE"/>
    <w:rsid w:val="00A62B3F"/>
    <w:rsid w:val="00A63044"/>
    <w:rsid w:val="00A6326F"/>
    <w:rsid w:val="00A63467"/>
    <w:rsid w:val="00A637F3"/>
    <w:rsid w:val="00A637F9"/>
    <w:rsid w:val="00A63A5C"/>
    <w:rsid w:val="00A64116"/>
    <w:rsid w:val="00A64302"/>
    <w:rsid w:val="00A6454C"/>
    <w:rsid w:val="00A64820"/>
    <w:rsid w:val="00A64902"/>
    <w:rsid w:val="00A64BF1"/>
    <w:rsid w:val="00A64CAE"/>
    <w:rsid w:val="00A65186"/>
    <w:rsid w:val="00A65792"/>
    <w:rsid w:val="00A65AEA"/>
    <w:rsid w:val="00A660B2"/>
    <w:rsid w:val="00A66452"/>
    <w:rsid w:val="00A66463"/>
    <w:rsid w:val="00A66575"/>
    <w:rsid w:val="00A6666F"/>
    <w:rsid w:val="00A66B7C"/>
    <w:rsid w:val="00A671DC"/>
    <w:rsid w:val="00A67205"/>
    <w:rsid w:val="00A67D9B"/>
    <w:rsid w:val="00A701E7"/>
    <w:rsid w:val="00A70205"/>
    <w:rsid w:val="00A707FD"/>
    <w:rsid w:val="00A70AA9"/>
    <w:rsid w:val="00A71000"/>
    <w:rsid w:val="00A71455"/>
    <w:rsid w:val="00A71880"/>
    <w:rsid w:val="00A71DDF"/>
    <w:rsid w:val="00A71FD4"/>
    <w:rsid w:val="00A72816"/>
    <w:rsid w:val="00A729CA"/>
    <w:rsid w:val="00A72B4B"/>
    <w:rsid w:val="00A72DE0"/>
    <w:rsid w:val="00A730B7"/>
    <w:rsid w:val="00A734CE"/>
    <w:rsid w:val="00A7383C"/>
    <w:rsid w:val="00A738B0"/>
    <w:rsid w:val="00A74281"/>
    <w:rsid w:val="00A7434C"/>
    <w:rsid w:val="00A74CCB"/>
    <w:rsid w:val="00A7508F"/>
    <w:rsid w:val="00A7541C"/>
    <w:rsid w:val="00A75B89"/>
    <w:rsid w:val="00A75CCF"/>
    <w:rsid w:val="00A75EAC"/>
    <w:rsid w:val="00A75F6C"/>
    <w:rsid w:val="00A7616E"/>
    <w:rsid w:val="00A763BE"/>
    <w:rsid w:val="00A767BF"/>
    <w:rsid w:val="00A7782F"/>
    <w:rsid w:val="00A8081E"/>
    <w:rsid w:val="00A812F7"/>
    <w:rsid w:val="00A8139C"/>
    <w:rsid w:val="00A814D9"/>
    <w:rsid w:val="00A8156C"/>
    <w:rsid w:val="00A81C56"/>
    <w:rsid w:val="00A81D8A"/>
    <w:rsid w:val="00A81E5B"/>
    <w:rsid w:val="00A81F8E"/>
    <w:rsid w:val="00A8215C"/>
    <w:rsid w:val="00A82597"/>
    <w:rsid w:val="00A828B5"/>
    <w:rsid w:val="00A8297C"/>
    <w:rsid w:val="00A829C2"/>
    <w:rsid w:val="00A82B76"/>
    <w:rsid w:val="00A82BCB"/>
    <w:rsid w:val="00A82E60"/>
    <w:rsid w:val="00A82EFE"/>
    <w:rsid w:val="00A83193"/>
    <w:rsid w:val="00A832F0"/>
    <w:rsid w:val="00A83861"/>
    <w:rsid w:val="00A83D11"/>
    <w:rsid w:val="00A83D6F"/>
    <w:rsid w:val="00A83FA9"/>
    <w:rsid w:val="00A8436D"/>
    <w:rsid w:val="00A84969"/>
    <w:rsid w:val="00A84FD3"/>
    <w:rsid w:val="00A84FEE"/>
    <w:rsid w:val="00A854D0"/>
    <w:rsid w:val="00A85951"/>
    <w:rsid w:val="00A85B15"/>
    <w:rsid w:val="00A85F71"/>
    <w:rsid w:val="00A861A7"/>
    <w:rsid w:val="00A8657C"/>
    <w:rsid w:val="00A8695F"/>
    <w:rsid w:val="00A86EA5"/>
    <w:rsid w:val="00A86F7E"/>
    <w:rsid w:val="00A87642"/>
    <w:rsid w:val="00A87831"/>
    <w:rsid w:val="00A87868"/>
    <w:rsid w:val="00A8792A"/>
    <w:rsid w:val="00A87ACF"/>
    <w:rsid w:val="00A87DB5"/>
    <w:rsid w:val="00A87E78"/>
    <w:rsid w:val="00A87F20"/>
    <w:rsid w:val="00A87F52"/>
    <w:rsid w:val="00A913FF"/>
    <w:rsid w:val="00A9147E"/>
    <w:rsid w:val="00A9169A"/>
    <w:rsid w:val="00A9177B"/>
    <w:rsid w:val="00A917AF"/>
    <w:rsid w:val="00A91D68"/>
    <w:rsid w:val="00A91F66"/>
    <w:rsid w:val="00A92397"/>
    <w:rsid w:val="00A926D6"/>
    <w:rsid w:val="00A93205"/>
    <w:rsid w:val="00A933AA"/>
    <w:rsid w:val="00A933B1"/>
    <w:rsid w:val="00A935D9"/>
    <w:rsid w:val="00A937A5"/>
    <w:rsid w:val="00A93956"/>
    <w:rsid w:val="00A939C1"/>
    <w:rsid w:val="00A93D52"/>
    <w:rsid w:val="00A9421B"/>
    <w:rsid w:val="00A943D6"/>
    <w:rsid w:val="00A944C1"/>
    <w:rsid w:val="00A95011"/>
    <w:rsid w:val="00A9555F"/>
    <w:rsid w:val="00A95602"/>
    <w:rsid w:val="00A96107"/>
    <w:rsid w:val="00A9624E"/>
    <w:rsid w:val="00A96953"/>
    <w:rsid w:val="00A96B47"/>
    <w:rsid w:val="00A96C03"/>
    <w:rsid w:val="00A97353"/>
    <w:rsid w:val="00A97523"/>
    <w:rsid w:val="00A975A8"/>
    <w:rsid w:val="00A97E8A"/>
    <w:rsid w:val="00AA0386"/>
    <w:rsid w:val="00AA0505"/>
    <w:rsid w:val="00AA067B"/>
    <w:rsid w:val="00AA07F0"/>
    <w:rsid w:val="00AA0AF7"/>
    <w:rsid w:val="00AA0B87"/>
    <w:rsid w:val="00AA0C7A"/>
    <w:rsid w:val="00AA16DE"/>
    <w:rsid w:val="00AA19AB"/>
    <w:rsid w:val="00AA19B8"/>
    <w:rsid w:val="00AA1A2B"/>
    <w:rsid w:val="00AA2841"/>
    <w:rsid w:val="00AA2F27"/>
    <w:rsid w:val="00AA2FAF"/>
    <w:rsid w:val="00AA35D9"/>
    <w:rsid w:val="00AA39AC"/>
    <w:rsid w:val="00AA39EB"/>
    <w:rsid w:val="00AA3A33"/>
    <w:rsid w:val="00AA3D40"/>
    <w:rsid w:val="00AA3DFB"/>
    <w:rsid w:val="00AA3E70"/>
    <w:rsid w:val="00AA41D5"/>
    <w:rsid w:val="00AA42A1"/>
    <w:rsid w:val="00AA44C9"/>
    <w:rsid w:val="00AA45B0"/>
    <w:rsid w:val="00AA478F"/>
    <w:rsid w:val="00AA4840"/>
    <w:rsid w:val="00AA49ED"/>
    <w:rsid w:val="00AA50D5"/>
    <w:rsid w:val="00AA51E9"/>
    <w:rsid w:val="00AA5447"/>
    <w:rsid w:val="00AA578E"/>
    <w:rsid w:val="00AA5A4C"/>
    <w:rsid w:val="00AA5E4B"/>
    <w:rsid w:val="00AA60BD"/>
    <w:rsid w:val="00AA622D"/>
    <w:rsid w:val="00AA69D6"/>
    <w:rsid w:val="00AA6B30"/>
    <w:rsid w:val="00AA7609"/>
    <w:rsid w:val="00AB00B3"/>
    <w:rsid w:val="00AB018E"/>
    <w:rsid w:val="00AB07E6"/>
    <w:rsid w:val="00AB0F92"/>
    <w:rsid w:val="00AB1061"/>
    <w:rsid w:val="00AB17D1"/>
    <w:rsid w:val="00AB1899"/>
    <w:rsid w:val="00AB1A2F"/>
    <w:rsid w:val="00AB1AC5"/>
    <w:rsid w:val="00AB1BBA"/>
    <w:rsid w:val="00AB2169"/>
    <w:rsid w:val="00AB2480"/>
    <w:rsid w:val="00AB2BED"/>
    <w:rsid w:val="00AB2D7E"/>
    <w:rsid w:val="00AB2EBF"/>
    <w:rsid w:val="00AB2FD7"/>
    <w:rsid w:val="00AB3729"/>
    <w:rsid w:val="00AB39CC"/>
    <w:rsid w:val="00AB4554"/>
    <w:rsid w:val="00AB4A65"/>
    <w:rsid w:val="00AB536B"/>
    <w:rsid w:val="00AB55DC"/>
    <w:rsid w:val="00AB62F4"/>
    <w:rsid w:val="00AB6D2E"/>
    <w:rsid w:val="00AB6FBD"/>
    <w:rsid w:val="00AB7116"/>
    <w:rsid w:val="00AB751D"/>
    <w:rsid w:val="00AB76CE"/>
    <w:rsid w:val="00AB7EDE"/>
    <w:rsid w:val="00AC00D1"/>
    <w:rsid w:val="00AC012C"/>
    <w:rsid w:val="00AC039E"/>
    <w:rsid w:val="00AC08A7"/>
    <w:rsid w:val="00AC0953"/>
    <w:rsid w:val="00AC0A34"/>
    <w:rsid w:val="00AC0D75"/>
    <w:rsid w:val="00AC0E41"/>
    <w:rsid w:val="00AC0E6D"/>
    <w:rsid w:val="00AC1439"/>
    <w:rsid w:val="00AC16E7"/>
    <w:rsid w:val="00AC19E6"/>
    <w:rsid w:val="00AC1B70"/>
    <w:rsid w:val="00AC1D0C"/>
    <w:rsid w:val="00AC21B6"/>
    <w:rsid w:val="00AC22E6"/>
    <w:rsid w:val="00AC26DD"/>
    <w:rsid w:val="00AC2B39"/>
    <w:rsid w:val="00AC2DAD"/>
    <w:rsid w:val="00AC30A7"/>
    <w:rsid w:val="00AC31C8"/>
    <w:rsid w:val="00AC35AC"/>
    <w:rsid w:val="00AC3637"/>
    <w:rsid w:val="00AC3877"/>
    <w:rsid w:val="00AC3AA6"/>
    <w:rsid w:val="00AC3D93"/>
    <w:rsid w:val="00AC4494"/>
    <w:rsid w:val="00AC47A7"/>
    <w:rsid w:val="00AC47F6"/>
    <w:rsid w:val="00AC4882"/>
    <w:rsid w:val="00AC492D"/>
    <w:rsid w:val="00AC4AE1"/>
    <w:rsid w:val="00AC50EE"/>
    <w:rsid w:val="00AC52E9"/>
    <w:rsid w:val="00AC5465"/>
    <w:rsid w:val="00AC547D"/>
    <w:rsid w:val="00AC5660"/>
    <w:rsid w:val="00AC5666"/>
    <w:rsid w:val="00AC58DB"/>
    <w:rsid w:val="00AC5BDF"/>
    <w:rsid w:val="00AC6078"/>
    <w:rsid w:val="00AC62A5"/>
    <w:rsid w:val="00AC63E9"/>
    <w:rsid w:val="00AC6779"/>
    <w:rsid w:val="00AC67C8"/>
    <w:rsid w:val="00AC6885"/>
    <w:rsid w:val="00AC68AF"/>
    <w:rsid w:val="00AC69EF"/>
    <w:rsid w:val="00AC6DCE"/>
    <w:rsid w:val="00AC6F52"/>
    <w:rsid w:val="00AC70A0"/>
    <w:rsid w:val="00AC7101"/>
    <w:rsid w:val="00AC7319"/>
    <w:rsid w:val="00AC7415"/>
    <w:rsid w:val="00AC7AD2"/>
    <w:rsid w:val="00AC7DB2"/>
    <w:rsid w:val="00AD0157"/>
    <w:rsid w:val="00AD01D1"/>
    <w:rsid w:val="00AD0610"/>
    <w:rsid w:val="00AD0826"/>
    <w:rsid w:val="00AD1111"/>
    <w:rsid w:val="00AD12EF"/>
    <w:rsid w:val="00AD14FB"/>
    <w:rsid w:val="00AD18EC"/>
    <w:rsid w:val="00AD1A32"/>
    <w:rsid w:val="00AD1B03"/>
    <w:rsid w:val="00AD263A"/>
    <w:rsid w:val="00AD285B"/>
    <w:rsid w:val="00AD2D27"/>
    <w:rsid w:val="00AD3012"/>
    <w:rsid w:val="00AD3593"/>
    <w:rsid w:val="00AD36B1"/>
    <w:rsid w:val="00AD36BD"/>
    <w:rsid w:val="00AD374C"/>
    <w:rsid w:val="00AD394B"/>
    <w:rsid w:val="00AD3969"/>
    <w:rsid w:val="00AD3BD3"/>
    <w:rsid w:val="00AD3C0C"/>
    <w:rsid w:val="00AD3E3A"/>
    <w:rsid w:val="00AD441B"/>
    <w:rsid w:val="00AD45CF"/>
    <w:rsid w:val="00AD468F"/>
    <w:rsid w:val="00AD4D9B"/>
    <w:rsid w:val="00AD51AA"/>
    <w:rsid w:val="00AD5D53"/>
    <w:rsid w:val="00AD5EF0"/>
    <w:rsid w:val="00AD6825"/>
    <w:rsid w:val="00AD6D8F"/>
    <w:rsid w:val="00AD6DE9"/>
    <w:rsid w:val="00AD7032"/>
    <w:rsid w:val="00AD70F8"/>
    <w:rsid w:val="00AD7274"/>
    <w:rsid w:val="00AD793E"/>
    <w:rsid w:val="00AD7A42"/>
    <w:rsid w:val="00AD7F2A"/>
    <w:rsid w:val="00AE0098"/>
    <w:rsid w:val="00AE03E8"/>
    <w:rsid w:val="00AE04E9"/>
    <w:rsid w:val="00AE0523"/>
    <w:rsid w:val="00AE0744"/>
    <w:rsid w:val="00AE09F1"/>
    <w:rsid w:val="00AE0BC9"/>
    <w:rsid w:val="00AE1316"/>
    <w:rsid w:val="00AE16A4"/>
    <w:rsid w:val="00AE199D"/>
    <w:rsid w:val="00AE1E7B"/>
    <w:rsid w:val="00AE2093"/>
    <w:rsid w:val="00AE2712"/>
    <w:rsid w:val="00AE28A8"/>
    <w:rsid w:val="00AE2AA7"/>
    <w:rsid w:val="00AE2D46"/>
    <w:rsid w:val="00AE2D7F"/>
    <w:rsid w:val="00AE2E12"/>
    <w:rsid w:val="00AE2F2E"/>
    <w:rsid w:val="00AE314B"/>
    <w:rsid w:val="00AE3DB8"/>
    <w:rsid w:val="00AE4550"/>
    <w:rsid w:val="00AE4A42"/>
    <w:rsid w:val="00AE4CB2"/>
    <w:rsid w:val="00AE5638"/>
    <w:rsid w:val="00AE5A8F"/>
    <w:rsid w:val="00AE5B1F"/>
    <w:rsid w:val="00AE5F64"/>
    <w:rsid w:val="00AE67ED"/>
    <w:rsid w:val="00AE6C9C"/>
    <w:rsid w:val="00AE6F24"/>
    <w:rsid w:val="00AE70F6"/>
    <w:rsid w:val="00AE75DB"/>
    <w:rsid w:val="00AE789E"/>
    <w:rsid w:val="00AE7A03"/>
    <w:rsid w:val="00AE7B7A"/>
    <w:rsid w:val="00AE7EFA"/>
    <w:rsid w:val="00AF053E"/>
    <w:rsid w:val="00AF0651"/>
    <w:rsid w:val="00AF06D0"/>
    <w:rsid w:val="00AF07B9"/>
    <w:rsid w:val="00AF0C22"/>
    <w:rsid w:val="00AF0C64"/>
    <w:rsid w:val="00AF0E87"/>
    <w:rsid w:val="00AF0F21"/>
    <w:rsid w:val="00AF15F2"/>
    <w:rsid w:val="00AF1B35"/>
    <w:rsid w:val="00AF1E61"/>
    <w:rsid w:val="00AF26F5"/>
    <w:rsid w:val="00AF2795"/>
    <w:rsid w:val="00AF289F"/>
    <w:rsid w:val="00AF2A9C"/>
    <w:rsid w:val="00AF2BBB"/>
    <w:rsid w:val="00AF3009"/>
    <w:rsid w:val="00AF3B1F"/>
    <w:rsid w:val="00AF3C06"/>
    <w:rsid w:val="00AF43C2"/>
    <w:rsid w:val="00AF44AF"/>
    <w:rsid w:val="00AF4C13"/>
    <w:rsid w:val="00AF4E75"/>
    <w:rsid w:val="00AF4EB6"/>
    <w:rsid w:val="00AF4F78"/>
    <w:rsid w:val="00AF53B5"/>
    <w:rsid w:val="00AF53EE"/>
    <w:rsid w:val="00AF57D6"/>
    <w:rsid w:val="00AF588E"/>
    <w:rsid w:val="00AF58BA"/>
    <w:rsid w:val="00AF5EB1"/>
    <w:rsid w:val="00AF618F"/>
    <w:rsid w:val="00AF6226"/>
    <w:rsid w:val="00AF62AE"/>
    <w:rsid w:val="00AF6B9A"/>
    <w:rsid w:val="00AF7018"/>
    <w:rsid w:val="00AF7038"/>
    <w:rsid w:val="00AF783F"/>
    <w:rsid w:val="00AF7AF7"/>
    <w:rsid w:val="00AF7F13"/>
    <w:rsid w:val="00B00653"/>
    <w:rsid w:val="00B00C37"/>
    <w:rsid w:val="00B00E23"/>
    <w:rsid w:val="00B00E85"/>
    <w:rsid w:val="00B01348"/>
    <w:rsid w:val="00B01B5C"/>
    <w:rsid w:val="00B01D3C"/>
    <w:rsid w:val="00B021BF"/>
    <w:rsid w:val="00B021F7"/>
    <w:rsid w:val="00B02309"/>
    <w:rsid w:val="00B024DA"/>
    <w:rsid w:val="00B0289E"/>
    <w:rsid w:val="00B02EAE"/>
    <w:rsid w:val="00B030F1"/>
    <w:rsid w:val="00B03DB1"/>
    <w:rsid w:val="00B0423C"/>
    <w:rsid w:val="00B042E4"/>
    <w:rsid w:val="00B04630"/>
    <w:rsid w:val="00B05D55"/>
    <w:rsid w:val="00B061FD"/>
    <w:rsid w:val="00B068B9"/>
    <w:rsid w:val="00B06E10"/>
    <w:rsid w:val="00B070F0"/>
    <w:rsid w:val="00B075DB"/>
    <w:rsid w:val="00B077DA"/>
    <w:rsid w:val="00B07970"/>
    <w:rsid w:val="00B07F74"/>
    <w:rsid w:val="00B103DA"/>
    <w:rsid w:val="00B1045A"/>
    <w:rsid w:val="00B104C8"/>
    <w:rsid w:val="00B106C2"/>
    <w:rsid w:val="00B1096D"/>
    <w:rsid w:val="00B10A78"/>
    <w:rsid w:val="00B10ACE"/>
    <w:rsid w:val="00B10B99"/>
    <w:rsid w:val="00B112FC"/>
    <w:rsid w:val="00B119CF"/>
    <w:rsid w:val="00B11CE5"/>
    <w:rsid w:val="00B12911"/>
    <w:rsid w:val="00B12AB2"/>
    <w:rsid w:val="00B12C53"/>
    <w:rsid w:val="00B12CD1"/>
    <w:rsid w:val="00B12D11"/>
    <w:rsid w:val="00B13192"/>
    <w:rsid w:val="00B13DAA"/>
    <w:rsid w:val="00B13E63"/>
    <w:rsid w:val="00B14144"/>
    <w:rsid w:val="00B1435E"/>
    <w:rsid w:val="00B14456"/>
    <w:rsid w:val="00B147B0"/>
    <w:rsid w:val="00B1497E"/>
    <w:rsid w:val="00B14A4A"/>
    <w:rsid w:val="00B14B49"/>
    <w:rsid w:val="00B15150"/>
    <w:rsid w:val="00B15368"/>
    <w:rsid w:val="00B153CA"/>
    <w:rsid w:val="00B155CA"/>
    <w:rsid w:val="00B155CC"/>
    <w:rsid w:val="00B15A18"/>
    <w:rsid w:val="00B15E68"/>
    <w:rsid w:val="00B15EBA"/>
    <w:rsid w:val="00B16639"/>
    <w:rsid w:val="00B1663E"/>
    <w:rsid w:val="00B17111"/>
    <w:rsid w:val="00B174F3"/>
    <w:rsid w:val="00B1768A"/>
    <w:rsid w:val="00B1789D"/>
    <w:rsid w:val="00B1791C"/>
    <w:rsid w:val="00B17D0F"/>
    <w:rsid w:val="00B17D84"/>
    <w:rsid w:val="00B17EEF"/>
    <w:rsid w:val="00B20353"/>
    <w:rsid w:val="00B203B8"/>
    <w:rsid w:val="00B2089D"/>
    <w:rsid w:val="00B20CAC"/>
    <w:rsid w:val="00B20F16"/>
    <w:rsid w:val="00B2130F"/>
    <w:rsid w:val="00B21E28"/>
    <w:rsid w:val="00B221BA"/>
    <w:rsid w:val="00B225A9"/>
    <w:rsid w:val="00B225BF"/>
    <w:rsid w:val="00B22618"/>
    <w:rsid w:val="00B233D8"/>
    <w:rsid w:val="00B238F6"/>
    <w:rsid w:val="00B23C6F"/>
    <w:rsid w:val="00B23D92"/>
    <w:rsid w:val="00B24A74"/>
    <w:rsid w:val="00B24BC7"/>
    <w:rsid w:val="00B2510F"/>
    <w:rsid w:val="00B2517A"/>
    <w:rsid w:val="00B2523C"/>
    <w:rsid w:val="00B256D5"/>
    <w:rsid w:val="00B26165"/>
    <w:rsid w:val="00B26538"/>
    <w:rsid w:val="00B26910"/>
    <w:rsid w:val="00B269EC"/>
    <w:rsid w:val="00B26CE8"/>
    <w:rsid w:val="00B271B0"/>
    <w:rsid w:val="00B27379"/>
    <w:rsid w:val="00B27447"/>
    <w:rsid w:val="00B278CE"/>
    <w:rsid w:val="00B279AC"/>
    <w:rsid w:val="00B27DAC"/>
    <w:rsid w:val="00B306C5"/>
    <w:rsid w:val="00B30720"/>
    <w:rsid w:val="00B30BD1"/>
    <w:rsid w:val="00B30D9C"/>
    <w:rsid w:val="00B30EF3"/>
    <w:rsid w:val="00B30F49"/>
    <w:rsid w:val="00B314FD"/>
    <w:rsid w:val="00B3181A"/>
    <w:rsid w:val="00B319A8"/>
    <w:rsid w:val="00B31A62"/>
    <w:rsid w:val="00B31C31"/>
    <w:rsid w:val="00B31CE4"/>
    <w:rsid w:val="00B31DA5"/>
    <w:rsid w:val="00B31FC7"/>
    <w:rsid w:val="00B335F9"/>
    <w:rsid w:val="00B339F6"/>
    <w:rsid w:val="00B3430D"/>
    <w:rsid w:val="00B34E9D"/>
    <w:rsid w:val="00B353B9"/>
    <w:rsid w:val="00B35B7B"/>
    <w:rsid w:val="00B35CFE"/>
    <w:rsid w:val="00B35D61"/>
    <w:rsid w:val="00B35DFD"/>
    <w:rsid w:val="00B35F56"/>
    <w:rsid w:val="00B35FF2"/>
    <w:rsid w:val="00B36843"/>
    <w:rsid w:val="00B36925"/>
    <w:rsid w:val="00B36A91"/>
    <w:rsid w:val="00B36DF3"/>
    <w:rsid w:val="00B36FDC"/>
    <w:rsid w:val="00B370D3"/>
    <w:rsid w:val="00B37347"/>
    <w:rsid w:val="00B377A1"/>
    <w:rsid w:val="00B37874"/>
    <w:rsid w:val="00B37E50"/>
    <w:rsid w:val="00B404AE"/>
    <w:rsid w:val="00B406C6"/>
    <w:rsid w:val="00B4081D"/>
    <w:rsid w:val="00B40B0B"/>
    <w:rsid w:val="00B40DD6"/>
    <w:rsid w:val="00B4105B"/>
    <w:rsid w:val="00B41553"/>
    <w:rsid w:val="00B42D59"/>
    <w:rsid w:val="00B430EF"/>
    <w:rsid w:val="00B434BD"/>
    <w:rsid w:val="00B4370B"/>
    <w:rsid w:val="00B43C76"/>
    <w:rsid w:val="00B4475A"/>
    <w:rsid w:val="00B44A14"/>
    <w:rsid w:val="00B44B64"/>
    <w:rsid w:val="00B44CD5"/>
    <w:rsid w:val="00B451C8"/>
    <w:rsid w:val="00B4539E"/>
    <w:rsid w:val="00B456AB"/>
    <w:rsid w:val="00B4593A"/>
    <w:rsid w:val="00B45DC3"/>
    <w:rsid w:val="00B46069"/>
    <w:rsid w:val="00B467C1"/>
    <w:rsid w:val="00B472B2"/>
    <w:rsid w:val="00B478A2"/>
    <w:rsid w:val="00B47D8A"/>
    <w:rsid w:val="00B47F2E"/>
    <w:rsid w:val="00B502AD"/>
    <w:rsid w:val="00B505FB"/>
    <w:rsid w:val="00B50697"/>
    <w:rsid w:val="00B50EEA"/>
    <w:rsid w:val="00B51C42"/>
    <w:rsid w:val="00B51D79"/>
    <w:rsid w:val="00B51DB5"/>
    <w:rsid w:val="00B524F5"/>
    <w:rsid w:val="00B5270C"/>
    <w:rsid w:val="00B52732"/>
    <w:rsid w:val="00B52831"/>
    <w:rsid w:val="00B5290A"/>
    <w:rsid w:val="00B52AF2"/>
    <w:rsid w:val="00B53E1D"/>
    <w:rsid w:val="00B53E81"/>
    <w:rsid w:val="00B546FF"/>
    <w:rsid w:val="00B54731"/>
    <w:rsid w:val="00B54890"/>
    <w:rsid w:val="00B5489D"/>
    <w:rsid w:val="00B55538"/>
    <w:rsid w:val="00B5557F"/>
    <w:rsid w:val="00B557E2"/>
    <w:rsid w:val="00B55807"/>
    <w:rsid w:val="00B55EE8"/>
    <w:rsid w:val="00B56036"/>
    <w:rsid w:val="00B56162"/>
    <w:rsid w:val="00B56295"/>
    <w:rsid w:val="00B56451"/>
    <w:rsid w:val="00B566DD"/>
    <w:rsid w:val="00B56713"/>
    <w:rsid w:val="00B57690"/>
    <w:rsid w:val="00B57E7C"/>
    <w:rsid w:val="00B57EB7"/>
    <w:rsid w:val="00B601F4"/>
    <w:rsid w:val="00B602B1"/>
    <w:rsid w:val="00B60518"/>
    <w:rsid w:val="00B6070C"/>
    <w:rsid w:val="00B60CF1"/>
    <w:rsid w:val="00B60D91"/>
    <w:rsid w:val="00B60F91"/>
    <w:rsid w:val="00B6106B"/>
    <w:rsid w:val="00B6122B"/>
    <w:rsid w:val="00B616C8"/>
    <w:rsid w:val="00B61B0B"/>
    <w:rsid w:val="00B61D60"/>
    <w:rsid w:val="00B61DE8"/>
    <w:rsid w:val="00B61FF4"/>
    <w:rsid w:val="00B62650"/>
    <w:rsid w:val="00B62894"/>
    <w:rsid w:val="00B62AEE"/>
    <w:rsid w:val="00B62C6D"/>
    <w:rsid w:val="00B631D0"/>
    <w:rsid w:val="00B632C4"/>
    <w:rsid w:val="00B6346D"/>
    <w:rsid w:val="00B63743"/>
    <w:rsid w:val="00B63995"/>
    <w:rsid w:val="00B63CF7"/>
    <w:rsid w:val="00B644AF"/>
    <w:rsid w:val="00B64715"/>
    <w:rsid w:val="00B649DE"/>
    <w:rsid w:val="00B64A27"/>
    <w:rsid w:val="00B64CB3"/>
    <w:rsid w:val="00B64D46"/>
    <w:rsid w:val="00B65926"/>
    <w:rsid w:val="00B65AF4"/>
    <w:rsid w:val="00B66469"/>
    <w:rsid w:val="00B66B42"/>
    <w:rsid w:val="00B66F1B"/>
    <w:rsid w:val="00B673C3"/>
    <w:rsid w:val="00B6756A"/>
    <w:rsid w:val="00B67974"/>
    <w:rsid w:val="00B67A4B"/>
    <w:rsid w:val="00B67EDC"/>
    <w:rsid w:val="00B70589"/>
    <w:rsid w:val="00B705F5"/>
    <w:rsid w:val="00B70BE9"/>
    <w:rsid w:val="00B71295"/>
    <w:rsid w:val="00B7157C"/>
    <w:rsid w:val="00B71895"/>
    <w:rsid w:val="00B718EC"/>
    <w:rsid w:val="00B72007"/>
    <w:rsid w:val="00B720A5"/>
    <w:rsid w:val="00B72600"/>
    <w:rsid w:val="00B729FD"/>
    <w:rsid w:val="00B72BB9"/>
    <w:rsid w:val="00B72C03"/>
    <w:rsid w:val="00B72F2F"/>
    <w:rsid w:val="00B7307E"/>
    <w:rsid w:val="00B73B12"/>
    <w:rsid w:val="00B73E33"/>
    <w:rsid w:val="00B74242"/>
    <w:rsid w:val="00B743B7"/>
    <w:rsid w:val="00B74B6F"/>
    <w:rsid w:val="00B74C61"/>
    <w:rsid w:val="00B74D33"/>
    <w:rsid w:val="00B74DE0"/>
    <w:rsid w:val="00B74F0B"/>
    <w:rsid w:val="00B75A38"/>
    <w:rsid w:val="00B75A8E"/>
    <w:rsid w:val="00B76166"/>
    <w:rsid w:val="00B7619C"/>
    <w:rsid w:val="00B7624C"/>
    <w:rsid w:val="00B76300"/>
    <w:rsid w:val="00B76480"/>
    <w:rsid w:val="00B76982"/>
    <w:rsid w:val="00B76B6A"/>
    <w:rsid w:val="00B772B2"/>
    <w:rsid w:val="00B773F9"/>
    <w:rsid w:val="00B77F60"/>
    <w:rsid w:val="00B77FD7"/>
    <w:rsid w:val="00B8055E"/>
    <w:rsid w:val="00B80819"/>
    <w:rsid w:val="00B8085E"/>
    <w:rsid w:val="00B81393"/>
    <w:rsid w:val="00B81428"/>
    <w:rsid w:val="00B81942"/>
    <w:rsid w:val="00B81A3D"/>
    <w:rsid w:val="00B8221A"/>
    <w:rsid w:val="00B82500"/>
    <w:rsid w:val="00B82E6F"/>
    <w:rsid w:val="00B83517"/>
    <w:rsid w:val="00B835CC"/>
    <w:rsid w:val="00B836B6"/>
    <w:rsid w:val="00B837FC"/>
    <w:rsid w:val="00B838CD"/>
    <w:rsid w:val="00B83A02"/>
    <w:rsid w:val="00B83B47"/>
    <w:rsid w:val="00B83CA2"/>
    <w:rsid w:val="00B83DBD"/>
    <w:rsid w:val="00B84428"/>
    <w:rsid w:val="00B844A1"/>
    <w:rsid w:val="00B846DF"/>
    <w:rsid w:val="00B856FA"/>
    <w:rsid w:val="00B85BF0"/>
    <w:rsid w:val="00B860F4"/>
    <w:rsid w:val="00B863A3"/>
    <w:rsid w:val="00B86A36"/>
    <w:rsid w:val="00B86CA3"/>
    <w:rsid w:val="00B86CD8"/>
    <w:rsid w:val="00B86D92"/>
    <w:rsid w:val="00B86F64"/>
    <w:rsid w:val="00B8701F"/>
    <w:rsid w:val="00B87333"/>
    <w:rsid w:val="00B874B5"/>
    <w:rsid w:val="00B8771A"/>
    <w:rsid w:val="00B87E7A"/>
    <w:rsid w:val="00B87F72"/>
    <w:rsid w:val="00B901F1"/>
    <w:rsid w:val="00B90394"/>
    <w:rsid w:val="00B9052B"/>
    <w:rsid w:val="00B90737"/>
    <w:rsid w:val="00B909A4"/>
    <w:rsid w:val="00B9172A"/>
    <w:rsid w:val="00B92492"/>
    <w:rsid w:val="00B924D4"/>
    <w:rsid w:val="00B92633"/>
    <w:rsid w:val="00B92635"/>
    <w:rsid w:val="00B92BD7"/>
    <w:rsid w:val="00B92DBC"/>
    <w:rsid w:val="00B931AA"/>
    <w:rsid w:val="00B93537"/>
    <w:rsid w:val="00B9382F"/>
    <w:rsid w:val="00B93FB2"/>
    <w:rsid w:val="00B94171"/>
    <w:rsid w:val="00B946A6"/>
    <w:rsid w:val="00B947F0"/>
    <w:rsid w:val="00B94CD6"/>
    <w:rsid w:val="00B94D09"/>
    <w:rsid w:val="00B94D0C"/>
    <w:rsid w:val="00B94FF8"/>
    <w:rsid w:val="00B95047"/>
    <w:rsid w:val="00B9508F"/>
    <w:rsid w:val="00B952C2"/>
    <w:rsid w:val="00B95739"/>
    <w:rsid w:val="00B958C5"/>
    <w:rsid w:val="00B95A09"/>
    <w:rsid w:val="00B96127"/>
    <w:rsid w:val="00B96234"/>
    <w:rsid w:val="00B96894"/>
    <w:rsid w:val="00B96E28"/>
    <w:rsid w:val="00B97CE8"/>
    <w:rsid w:val="00B97CEB"/>
    <w:rsid w:val="00B97E3A"/>
    <w:rsid w:val="00B97FA2"/>
    <w:rsid w:val="00BA0AF3"/>
    <w:rsid w:val="00BA0F4C"/>
    <w:rsid w:val="00BA1132"/>
    <w:rsid w:val="00BA1385"/>
    <w:rsid w:val="00BA14F3"/>
    <w:rsid w:val="00BA1651"/>
    <w:rsid w:val="00BA1668"/>
    <w:rsid w:val="00BA17D6"/>
    <w:rsid w:val="00BA1C19"/>
    <w:rsid w:val="00BA204B"/>
    <w:rsid w:val="00BA2583"/>
    <w:rsid w:val="00BA2B07"/>
    <w:rsid w:val="00BA37D0"/>
    <w:rsid w:val="00BA3849"/>
    <w:rsid w:val="00BA438C"/>
    <w:rsid w:val="00BA4482"/>
    <w:rsid w:val="00BA4517"/>
    <w:rsid w:val="00BA45A1"/>
    <w:rsid w:val="00BA4994"/>
    <w:rsid w:val="00BA49B5"/>
    <w:rsid w:val="00BA4B40"/>
    <w:rsid w:val="00BA4E72"/>
    <w:rsid w:val="00BA4FB9"/>
    <w:rsid w:val="00BA515C"/>
    <w:rsid w:val="00BA547F"/>
    <w:rsid w:val="00BA574B"/>
    <w:rsid w:val="00BA589E"/>
    <w:rsid w:val="00BA5A76"/>
    <w:rsid w:val="00BA5B43"/>
    <w:rsid w:val="00BA5B4B"/>
    <w:rsid w:val="00BA5C0D"/>
    <w:rsid w:val="00BA5CE2"/>
    <w:rsid w:val="00BA5DBC"/>
    <w:rsid w:val="00BA602D"/>
    <w:rsid w:val="00BA60A6"/>
    <w:rsid w:val="00BA6506"/>
    <w:rsid w:val="00BA6546"/>
    <w:rsid w:val="00BA67C4"/>
    <w:rsid w:val="00BA6CD9"/>
    <w:rsid w:val="00BA6D59"/>
    <w:rsid w:val="00BA79C7"/>
    <w:rsid w:val="00BA7A17"/>
    <w:rsid w:val="00BA7FA4"/>
    <w:rsid w:val="00BB033E"/>
    <w:rsid w:val="00BB034C"/>
    <w:rsid w:val="00BB0519"/>
    <w:rsid w:val="00BB06D5"/>
    <w:rsid w:val="00BB085D"/>
    <w:rsid w:val="00BB104B"/>
    <w:rsid w:val="00BB1057"/>
    <w:rsid w:val="00BB1617"/>
    <w:rsid w:val="00BB18E9"/>
    <w:rsid w:val="00BB1AC0"/>
    <w:rsid w:val="00BB200F"/>
    <w:rsid w:val="00BB2465"/>
    <w:rsid w:val="00BB2539"/>
    <w:rsid w:val="00BB2A5D"/>
    <w:rsid w:val="00BB2A7F"/>
    <w:rsid w:val="00BB32C4"/>
    <w:rsid w:val="00BB332D"/>
    <w:rsid w:val="00BB3528"/>
    <w:rsid w:val="00BB3BD1"/>
    <w:rsid w:val="00BB3D0E"/>
    <w:rsid w:val="00BB4217"/>
    <w:rsid w:val="00BB4D32"/>
    <w:rsid w:val="00BB4E0B"/>
    <w:rsid w:val="00BB4F5D"/>
    <w:rsid w:val="00BB54A8"/>
    <w:rsid w:val="00BB5504"/>
    <w:rsid w:val="00BB5739"/>
    <w:rsid w:val="00BB5B52"/>
    <w:rsid w:val="00BB63E7"/>
    <w:rsid w:val="00BB648C"/>
    <w:rsid w:val="00BB659F"/>
    <w:rsid w:val="00BB66BC"/>
    <w:rsid w:val="00BB6A86"/>
    <w:rsid w:val="00BB6E2D"/>
    <w:rsid w:val="00BB7002"/>
    <w:rsid w:val="00BB7083"/>
    <w:rsid w:val="00BB70DC"/>
    <w:rsid w:val="00BB71B3"/>
    <w:rsid w:val="00BB71EA"/>
    <w:rsid w:val="00BB73B0"/>
    <w:rsid w:val="00BB79F7"/>
    <w:rsid w:val="00BB7B2A"/>
    <w:rsid w:val="00BC0021"/>
    <w:rsid w:val="00BC0327"/>
    <w:rsid w:val="00BC06FD"/>
    <w:rsid w:val="00BC0A91"/>
    <w:rsid w:val="00BC16BF"/>
    <w:rsid w:val="00BC1751"/>
    <w:rsid w:val="00BC1B7A"/>
    <w:rsid w:val="00BC1CB5"/>
    <w:rsid w:val="00BC1FA9"/>
    <w:rsid w:val="00BC1FF2"/>
    <w:rsid w:val="00BC275D"/>
    <w:rsid w:val="00BC32CD"/>
    <w:rsid w:val="00BC346D"/>
    <w:rsid w:val="00BC3576"/>
    <w:rsid w:val="00BC3AC5"/>
    <w:rsid w:val="00BC3B91"/>
    <w:rsid w:val="00BC3ED8"/>
    <w:rsid w:val="00BC4002"/>
    <w:rsid w:val="00BC47C4"/>
    <w:rsid w:val="00BC4917"/>
    <w:rsid w:val="00BC4CB1"/>
    <w:rsid w:val="00BC4E39"/>
    <w:rsid w:val="00BC4ED3"/>
    <w:rsid w:val="00BC4F1D"/>
    <w:rsid w:val="00BC4F5B"/>
    <w:rsid w:val="00BC521A"/>
    <w:rsid w:val="00BC5941"/>
    <w:rsid w:val="00BC5C68"/>
    <w:rsid w:val="00BC5DF4"/>
    <w:rsid w:val="00BC6172"/>
    <w:rsid w:val="00BC6192"/>
    <w:rsid w:val="00BC63F8"/>
    <w:rsid w:val="00BC66CD"/>
    <w:rsid w:val="00BC6810"/>
    <w:rsid w:val="00BC6A9F"/>
    <w:rsid w:val="00BC6C3A"/>
    <w:rsid w:val="00BC6DB5"/>
    <w:rsid w:val="00BC70BB"/>
    <w:rsid w:val="00BC75BE"/>
    <w:rsid w:val="00BC7919"/>
    <w:rsid w:val="00BC79F6"/>
    <w:rsid w:val="00BD04FD"/>
    <w:rsid w:val="00BD0707"/>
    <w:rsid w:val="00BD0776"/>
    <w:rsid w:val="00BD0A99"/>
    <w:rsid w:val="00BD0D63"/>
    <w:rsid w:val="00BD1BC3"/>
    <w:rsid w:val="00BD22E0"/>
    <w:rsid w:val="00BD24B6"/>
    <w:rsid w:val="00BD29C6"/>
    <w:rsid w:val="00BD2D1E"/>
    <w:rsid w:val="00BD3031"/>
    <w:rsid w:val="00BD3303"/>
    <w:rsid w:val="00BD35AC"/>
    <w:rsid w:val="00BD375A"/>
    <w:rsid w:val="00BD3AB1"/>
    <w:rsid w:val="00BD3C81"/>
    <w:rsid w:val="00BD4423"/>
    <w:rsid w:val="00BD44F6"/>
    <w:rsid w:val="00BD4598"/>
    <w:rsid w:val="00BD4652"/>
    <w:rsid w:val="00BD4C68"/>
    <w:rsid w:val="00BD4D24"/>
    <w:rsid w:val="00BD5BA9"/>
    <w:rsid w:val="00BD61AA"/>
    <w:rsid w:val="00BD6362"/>
    <w:rsid w:val="00BD641F"/>
    <w:rsid w:val="00BD64AC"/>
    <w:rsid w:val="00BD731E"/>
    <w:rsid w:val="00BD7883"/>
    <w:rsid w:val="00BD7915"/>
    <w:rsid w:val="00BD7AD9"/>
    <w:rsid w:val="00BD7E10"/>
    <w:rsid w:val="00BE00F4"/>
    <w:rsid w:val="00BE0969"/>
    <w:rsid w:val="00BE0B70"/>
    <w:rsid w:val="00BE0DAC"/>
    <w:rsid w:val="00BE13B8"/>
    <w:rsid w:val="00BE1A46"/>
    <w:rsid w:val="00BE1DAE"/>
    <w:rsid w:val="00BE214C"/>
    <w:rsid w:val="00BE2376"/>
    <w:rsid w:val="00BE2533"/>
    <w:rsid w:val="00BE2665"/>
    <w:rsid w:val="00BE2A9F"/>
    <w:rsid w:val="00BE2AF9"/>
    <w:rsid w:val="00BE2C21"/>
    <w:rsid w:val="00BE2D4B"/>
    <w:rsid w:val="00BE2D7C"/>
    <w:rsid w:val="00BE2E96"/>
    <w:rsid w:val="00BE3003"/>
    <w:rsid w:val="00BE300A"/>
    <w:rsid w:val="00BE3B4F"/>
    <w:rsid w:val="00BE3BFD"/>
    <w:rsid w:val="00BE4302"/>
    <w:rsid w:val="00BE4A28"/>
    <w:rsid w:val="00BE4B0E"/>
    <w:rsid w:val="00BE4E51"/>
    <w:rsid w:val="00BE55B8"/>
    <w:rsid w:val="00BE5630"/>
    <w:rsid w:val="00BE5FC2"/>
    <w:rsid w:val="00BE6173"/>
    <w:rsid w:val="00BE6422"/>
    <w:rsid w:val="00BE6578"/>
    <w:rsid w:val="00BE6650"/>
    <w:rsid w:val="00BE67E2"/>
    <w:rsid w:val="00BE6D3C"/>
    <w:rsid w:val="00BE6D4C"/>
    <w:rsid w:val="00BE7011"/>
    <w:rsid w:val="00BE7606"/>
    <w:rsid w:val="00BE77D5"/>
    <w:rsid w:val="00BE794D"/>
    <w:rsid w:val="00BE79B7"/>
    <w:rsid w:val="00BE7EB0"/>
    <w:rsid w:val="00BE7F17"/>
    <w:rsid w:val="00BF0051"/>
    <w:rsid w:val="00BF0082"/>
    <w:rsid w:val="00BF053E"/>
    <w:rsid w:val="00BF06BA"/>
    <w:rsid w:val="00BF08C4"/>
    <w:rsid w:val="00BF0E1E"/>
    <w:rsid w:val="00BF1104"/>
    <w:rsid w:val="00BF1395"/>
    <w:rsid w:val="00BF150F"/>
    <w:rsid w:val="00BF160D"/>
    <w:rsid w:val="00BF19AB"/>
    <w:rsid w:val="00BF1A7C"/>
    <w:rsid w:val="00BF21D4"/>
    <w:rsid w:val="00BF23AC"/>
    <w:rsid w:val="00BF24D3"/>
    <w:rsid w:val="00BF2907"/>
    <w:rsid w:val="00BF2A1B"/>
    <w:rsid w:val="00BF2B5C"/>
    <w:rsid w:val="00BF2C03"/>
    <w:rsid w:val="00BF331D"/>
    <w:rsid w:val="00BF443D"/>
    <w:rsid w:val="00BF44D7"/>
    <w:rsid w:val="00BF4723"/>
    <w:rsid w:val="00BF4812"/>
    <w:rsid w:val="00BF49A3"/>
    <w:rsid w:val="00BF52D2"/>
    <w:rsid w:val="00BF53D7"/>
    <w:rsid w:val="00BF597E"/>
    <w:rsid w:val="00BF5B70"/>
    <w:rsid w:val="00BF5CA3"/>
    <w:rsid w:val="00BF5D69"/>
    <w:rsid w:val="00BF5E35"/>
    <w:rsid w:val="00BF603D"/>
    <w:rsid w:val="00BF6069"/>
    <w:rsid w:val="00BF62C8"/>
    <w:rsid w:val="00BF6C3D"/>
    <w:rsid w:val="00BF6DDA"/>
    <w:rsid w:val="00BF6FA2"/>
    <w:rsid w:val="00BF7196"/>
    <w:rsid w:val="00BF71F6"/>
    <w:rsid w:val="00BF7762"/>
    <w:rsid w:val="00C002C9"/>
    <w:rsid w:val="00C00C8F"/>
    <w:rsid w:val="00C00E65"/>
    <w:rsid w:val="00C011B1"/>
    <w:rsid w:val="00C014CA"/>
    <w:rsid w:val="00C0194E"/>
    <w:rsid w:val="00C01A7B"/>
    <w:rsid w:val="00C01CEB"/>
    <w:rsid w:val="00C01D12"/>
    <w:rsid w:val="00C0224F"/>
    <w:rsid w:val="00C02305"/>
    <w:rsid w:val="00C024CB"/>
    <w:rsid w:val="00C0259B"/>
    <w:rsid w:val="00C027A5"/>
    <w:rsid w:val="00C02853"/>
    <w:rsid w:val="00C02A77"/>
    <w:rsid w:val="00C02BCB"/>
    <w:rsid w:val="00C02EEF"/>
    <w:rsid w:val="00C02EF8"/>
    <w:rsid w:val="00C036DD"/>
    <w:rsid w:val="00C0380B"/>
    <w:rsid w:val="00C03A9B"/>
    <w:rsid w:val="00C03B2E"/>
    <w:rsid w:val="00C03CDD"/>
    <w:rsid w:val="00C03E69"/>
    <w:rsid w:val="00C044F4"/>
    <w:rsid w:val="00C0496A"/>
    <w:rsid w:val="00C05E93"/>
    <w:rsid w:val="00C05E95"/>
    <w:rsid w:val="00C065AE"/>
    <w:rsid w:val="00C06774"/>
    <w:rsid w:val="00C06A9B"/>
    <w:rsid w:val="00C06FEF"/>
    <w:rsid w:val="00C07009"/>
    <w:rsid w:val="00C078F0"/>
    <w:rsid w:val="00C07C75"/>
    <w:rsid w:val="00C07E11"/>
    <w:rsid w:val="00C07E66"/>
    <w:rsid w:val="00C10158"/>
    <w:rsid w:val="00C106C4"/>
    <w:rsid w:val="00C10D72"/>
    <w:rsid w:val="00C10FD8"/>
    <w:rsid w:val="00C110C8"/>
    <w:rsid w:val="00C1152A"/>
    <w:rsid w:val="00C1164A"/>
    <w:rsid w:val="00C11AE1"/>
    <w:rsid w:val="00C11C3D"/>
    <w:rsid w:val="00C11D19"/>
    <w:rsid w:val="00C121D6"/>
    <w:rsid w:val="00C12442"/>
    <w:rsid w:val="00C12966"/>
    <w:rsid w:val="00C12B62"/>
    <w:rsid w:val="00C12DF7"/>
    <w:rsid w:val="00C1305E"/>
    <w:rsid w:val="00C13362"/>
    <w:rsid w:val="00C135BC"/>
    <w:rsid w:val="00C1373E"/>
    <w:rsid w:val="00C13872"/>
    <w:rsid w:val="00C1389E"/>
    <w:rsid w:val="00C13974"/>
    <w:rsid w:val="00C14281"/>
    <w:rsid w:val="00C14282"/>
    <w:rsid w:val="00C1455A"/>
    <w:rsid w:val="00C147B3"/>
    <w:rsid w:val="00C1490A"/>
    <w:rsid w:val="00C14A9C"/>
    <w:rsid w:val="00C15295"/>
    <w:rsid w:val="00C159F9"/>
    <w:rsid w:val="00C15EF1"/>
    <w:rsid w:val="00C17122"/>
    <w:rsid w:val="00C17379"/>
    <w:rsid w:val="00C17943"/>
    <w:rsid w:val="00C2050D"/>
    <w:rsid w:val="00C2075A"/>
    <w:rsid w:val="00C20ECE"/>
    <w:rsid w:val="00C21057"/>
    <w:rsid w:val="00C21126"/>
    <w:rsid w:val="00C214BE"/>
    <w:rsid w:val="00C214CA"/>
    <w:rsid w:val="00C21614"/>
    <w:rsid w:val="00C216A9"/>
    <w:rsid w:val="00C218A6"/>
    <w:rsid w:val="00C21953"/>
    <w:rsid w:val="00C21AF7"/>
    <w:rsid w:val="00C21E57"/>
    <w:rsid w:val="00C21ECE"/>
    <w:rsid w:val="00C22AB1"/>
    <w:rsid w:val="00C22F9C"/>
    <w:rsid w:val="00C23328"/>
    <w:rsid w:val="00C234FC"/>
    <w:rsid w:val="00C2353B"/>
    <w:rsid w:val="00C241AF"/>
    <w:rsid w:val="00C24474"/>
    <w:rsid w:val="00C249D0"/>
    <w:rsid w:val="00C24A5B"/>
    <w:rsid w:val="00C24D4C"/>
    <w:rsid w:val="00C24FE3"/>
    <w:rsid w:val="00C2507E"/>
    <w:rsid w:val="00C25578"/>
    <w:rsid w:val="00C25817"/>
    <w:rsid w:val="00C2594A"/>
    <w:rsid w:val="00C25A83"/>
    <w:rsid w:val="00C25B7C"/>
    <w:rsid w:val="00C25D18"/>
    <w:rsid w:val="00C2671C"/>
    <w:rsid w:val="00C2687B"/>
    <w:rsid w:val="00C26B82"/>
    <w:rsid w:val="00C26E1D"/>
    <w:rsid w:val="00C27114"/>
    <w:rsid w:val="00C27372"/>
    <w:rsid w:val="00C275D0"/>
    <w:rsid w:val="00C27BEF"/>
    <w:rsid w:val="00C27EE5"/>
    <w:rsid w:val="00C27FCF"/>
    <w:rsid w:val="00C3014A"/>
    <w:rsid w:val="00C30254"/>
    <w:rsid w:val="00C307A3"/>
    <w:rsid w:val="00C307C0"/>
    <w:rsid w:val="00C30A80"/>
    <w:rsid w:val="00C30A9F"/>
    <w:rsid w:val="00C30ABE"/>
    <w:rsid w:val="00C30BD3"/>
    <w:rsid w:val="00C30DAD"/>
    <w:rsid w:val="00C31179"/>
    <w:rsid w:val="00C318D4"/>
    <w:rsid w:val="00C31A7F"/>
    <w:rsid w:val="00C31DD0"/>
    <w:rsid w:val="00C32100"/>
    <w:rsid w:val="00C32302"/>
    <w:rsid w:val="00C3270C"/>
    <w:rsid w:val="00C32C2F"/>
    <w:rsid w:val="00C3373E"/>
    <w:rsid w:val="00C33924"/>
    <w:rsid w:val="00C33927"/>
    <w:rsid w:val="00C33C30"/>
    <w:rsid w:val="00C33D99"/>
    <w:rsid w:val="00C33F3D"/>
    <w:rsid w:val="00C3431C"/>
    <w:rsid w:val="00C34646"/>
    <w:rsid w:val="00C34810"/>
    <w:rsid w:val="00C349C1"/>
    <w:rsid w:val="00C34ECE"/>
    <w:rsid w:val="00C34EF5"/>
    <w:rsid w:val="00C35113"/>
    <w:rsid w:val="00C35847"/>
    <w:rsid w:val="00C35AD2"/>
    <w:rsid w:val="00C35C10"/>
    <w:rsid w:val="00C35E1C"/>
    <w:rsid w:val="00C35F0A"/>
    <w:rsid w:val="00C35F96"/>
    <w:rsid w:val="00C35FC1"/>
    <w:rsid w:val="00C36341"/>
    <w:rsid w:val="00C36906"/>
    <w:rsid w:val="00C36983"/>
    <w:rsid w:val="00C369A5"/>
    <w:rsid w:val="00C369EE"/>
    <w:rsid w:val="00C36A2C"/>
    <w:rsid w:val="00C36A8C"/>
    <w:rsid w:val="00C3723F"/>
    <w:rsid w:val="00C37303"/>
    <w:rsid w:val="00C37494"/>
    <w:rsid w:val="00C378C4"/>
    <w:rsid w:val="00C379D1"/>
    <w:rsid w:val="00C37A5A"/>
    <w:rsid w:val="00C37EFD"/>
    <w:rsid w:val="00C40052"/>
    <w:rsid w:val="00C40273"/>
    <w:rsid w:val="00C409F4"/>
    <w:rsid w:val="00C40EBB"/>
    <w:rsid w:val="00C413DA"/>
    <w:rsid w:val="00C41449"/>
    <w:rsid w:val="00C416F2"/>
    <w:rsid w:val="00C417F4"/>
    <w:rsid w:val="00C41CE7"/>
    <w:rsid w:val="00C41DBC"/>
    <w:rsid w:val="00C41EE1"/>
    <w:rsid w:val="00C42566"/>
    <w:rsid w:val="00C42794"/>
    <w:rsid w:val="00C42BDF"/>
    <w:rsid w:val="00C42C3A"/>
    <w:rsid w:val="00C42FE1"/>
    <w:rsid w:val="00C4313C"/>
    <w:rsid w:val="00C432B1"/>
    <w:rsid w:val="00C43915"/>
    <w:rsid w:val="00C43DD0"/>
    <w:rsid w:val="00C43EF5"/>
    <w:rsid w:val="00C4478B"/>
    <w:rsid w:val="00C44A91"/>
    <w:rsid w:val="00C44BD5"/>
    <w:rsid w:val="00C44D96"/>
    <w:rsid w:val="00C44DB8"/>
    <w:rsid w:val="00C44EC8"/>
    <w:rsid w:val="00C452E0"/>
    <w:rsid w:val="00C452F7"/>
    <w:rsid w:val="00C4590F"/>
    <w:rsid w:val="00C465E8"/>
    <w:rsid w:val="00C469D7"/>
    <w:rsid w:val="00C46AAB"/>
    <w:rsid w:val="00C46B66"/>
    <w:rsid w:val="00C46F16"/>
    <w:rsid w:val="00C47208"/>
    <w:rsid w:val="00C47695"/>
    <w:rsid w:val="00C476A1"/>
    <w:rsid w:val="00C4774A"/>
    <w:rsid w:val="00C4790E"/>
    <w:rsid w:val="00C4791E"/>
    <w:rsid w:val="00C47F3D"/>
    <w:rsid w:val="00C5013E"/>
    <w:rsid w:val="00C5036E"/>
    <w:rsid w:val="00C50F4B"/>
    <w:rsid w:val="00C50FB5"/>
    <w:rsid w:val="00C51129"/>
    <w:rsid w:val="00C515F4"/>
    <w:rsid w:val="00C51607"/>
    <w:rsid w:val="00C530E6"/>
    <w:rsid w:val="00C5318D"/>
    <w:rsid w:val="00C53373"/>
    <w:rsid w:val="00C534F1"/>
    <w:rsid w:val="00C5360D"/>
    <w:rsid w:val="00C537C3"/>
    <w:rsid w:val="00C53D59"/>
    <w:rsid w:val="00C53ED9"/>
    <w:rsid w:val="00C54215"/>
    <w:rsid w:val="00C54656"/>
    <w:rsid w:val="00C547C7"/>
    <w:rsid w:val="00C54809"/>
    <w:rsid w:val="00C54977"/>
    <w:rsid w:val="00C54A99"/>
    <w:rsid w:val="00C54AA2"/>
    <w:rsid w:val="00C54E26"/>
    <w:rsid w:val="00C5542B"/>
    <w:rsid w:val="00C554CD"/>
    <w:rsid w:val="00C556F9"/>
    <w:rsid w:val="00C56B4A"/>
    <w:rsid w:val="00C56C43"/>
    <w:rsid w:val="00C56D16"/>
    <w:rsid w:val="00C570E7"/>
    <w:rsid w:val="00C572C5"/>
    <w:rsid w:val="00C5748E"/>
    <w:rsid w:val="00C574CD"/>
    <w:rsid w:val="00C57AA9"/>
    <w:rsid w:val="00C57E6C"/>
    <w:rsid w:val="00C57EA6"/>
    <w:rsid w:val="00C600CD"/>
    <w:rsid w:val="00C600FE"/>
    <w:rsid w:val="00C602A6"/>
    <w:rsid w:val="00C602C8"/>
    <w:rsid w:val="00C6060D"/>
    <w:rsid w:val="00C60AEE"/>
    <w:rsid w:val="00C60CBB"/>
    <w:rsid w:val="00C60E26"/>
    <w:rsid w:val="00C615B3"/>
    <w:rsid w:val="00C617CC"/>
    <w:rsid w:val="00C61858"/>
    <w:rsid w:val="00C61863"/>
    <w:rsid w:val="00C61921"/>
    <w:rsid w:val="00C61B8B"/>
    <w:rsid w:val="00C61C01"/>
    <w:rsid w:val="00C61E02"/>
    <w:rsid w:val="00C61E24"/>
    <w:rsid w:val="00C61EB7"/>
    <w:rsid w:val="00C61FCA"/>
    <w:rsid w:val="00C622CD"/>
    <w:rsid w:val="00C62541"/>
    <w:rsid w:val="00C6271D"/>
    <w:rsid w:val="00C627F0"/>
    <w:rsid w:val="00C63A36"/>
    <w:rsid w:val="00C63B31"/>
    <w:rsid w:val="00C64013"/>
    <w:rsid w:val="00C64736"/>
    <w:rsid w:val="00C64B5A"/>
    <w:rsid w:val="00C650F8"/>
    <w:rsid w:val="00C652BF"/>
    <w:rsid w:val="00C65C5B"/>
    <w:rsid w:val="00C65E79"/>
    <w:rsid w:val="00C65FD7"/>
    <w:rsid w:val="00C66043"/>
    <w:rsid w:val="00C66395"/>
    <w:rsid w:val="00C663DA"/>
    <w:rsid w:val="00C66B7C"/>
    <w:rsid w:val="00C66DCD"/>
    <w:rsid w:val="00C66F88"/>
    <w:rsid w:val="00C66FE7"/>
    <w:rsid w:val="00C671BE"/>
    <w:rsid w:val="00C67649"/>
    <w:rsid w:val="00C67D1B"/>
    <w:rsid w:val="00C67EC5"/>
    <w:rsid w:val="00C67EFF"/>
    <w:rsid w:val="00C70272"/>
    <w:rsid w:val="00C705CB"/>
    <w:rsid w:val="00C708C3"/>
    <w:rsid w:val="00C71106"/>
    <w:rsid w:val="00C71557"/>
    <w:rsid w:val="00C717FA"/>
    <w:rsid w:val="00C71AC2"/>
    <w:rsid w:val="00C720BB"/>
    <w:rsid w:val="00C720C1"/>
    <w:rsid w:val="00C7216F"/>
    <w:rsid w:val="00C721FE"/>
    <w:rsid w:val="00C72A8C"/>
    <w:rsid w:val="00C72D60"/>
    <w:rsid w:val="00C73B50"/>
    <w:rsid w:val="00C73EDA"/>
    <w:rsid w:val="00C74309"/>
    <w:rsid w:val="00C74B22"/>
    <w:rsid w:val="00C74DCB"/>
    <w:rsid w:val="00C7505D"/>
    <w:rsid w:val="00C7512B"/>
    <w:rsid w:val="00C7525F"/>
    <w:rsid w:val="00C755AA"/>
    <w:rsid w:val="00C7560A"/>
    <w:rsid w:val="00C756E3"/>
    <w:rsid w:val="00C7582E"/>
    <w:rsid w:val="00C75D5A"/>
    <w:rsid w:val="00C75F9F"/>
    <w:rsid w:val="00C76141"/>
    <w:rsid w:val="00C763FF"/>
    <w:rsid w:val="00C76533"/>
    <w:rsid w:val="00C76920"/>
    <w:rsid w:val="00C76E0B"/>
    <w:rsid w:val="00C7700E"/>
    <w:rsid w:val="00C77175"/>
    <w:rsid w:val="00C7732C"/>
    <w:rsid w:val="00C774CA"/>
    <w:rsid w:val="00C775BC"/>
    <w:rsid w:val="00C775DE"/>
    <w:rsid w:val="00C777D1"/>
    <w:rsid w:val="00C77813"/>
    <w:rsid w:val="00C77AC7"/>
    <w:rsid w:val="00C77C33"/>
    <w:rsid w:val="00C77C71"/>
    <w:rsid w:val="00C77C84"/>
    <w:rsid w:val="00C77CEF"/>
    <w:rsid w:val="00C77DA2"/>
    <w:rsid w:val="00C802C9"/>
    <w:rsid w:val="00C80375"/>
    <w:rsid w:val="00C805FF"/>
    <w:rsid w:val="00C80B70"/>
    <w:rsid w:val="00C80CDE"/>
    <w:rsid w:val="00C81123"/>
    <w:rsid w:val="00C81198"/>
    <w:rsid w:val="00C81857"/>
    <w:rsid w:val="00C8205F"/>
    <w:rsid w:val="00C82192"/>
    <w:rsid w:val="00C82316"/>
    <w:rsid w:val="00C82373"/>
    <w:rsid w:val="00C82738"/>
    <w:rsid w:val="00C828D5"/>
    <w:rsid w:val="00C82B2A"/>
    <w:rsid w:val="00C83469"/>
    <w:rsid w:val="00C835FE"/>
    <w:rsid w:val="00C83BFE"/>
    <w:rsid w:val="00C842E4"/>
    <w:rsid w:val="00C8446C"/>
    <w:rsid w:val="00C844E8"/>
    <w:rsid w:val="00C84A8C"/>
    <w:rsid w:val="00C855A8"/>
    <w:rsid w:val="00C85604"/>
    <w:rsid w:val="00C85B2A"/>
    <w:rsid w:val="00C86145"/>
    <w:rsid w:val="00C86328"/>
    <w:rsid w:val="00C865A6"/>
    <w:rsid w:val="00C8677C"/>
    <w:rsid w:val="00C867F8"/>
    <w:rsid w:val="00C8694F"/>
    <w:rsid w:val="00C874CC"/>
    <w:rsid w:val="00C876B0"/>
    <w:rsid w:val="00C8797A"/>
    <w:rsid w:val="00C879DA"/>
    <w:rsid w:val="00C87A3C"/>
    <w:rsid w:val="00C87B68"/>
    <w:rsid w:val="00C87EB7"/>
    <w:rsid w:val="00C9035E"/>
    <w:rsid w:val="00C904D8"/>
    <w:rsid w:val="00C90728"/>
    <w:rsid w:val="00C90738"/>
    <w:rsid w:val="00C909AD"/>
    <w:rsid w:val="00C90A3D"/>
    <w:rsid w:val="00C90CAB"/>
    <w:rsid w:val="00C91012"/>
    <w:rsid w:val="00C916A6"/>
    <w:rsid w:val="00C92289"/>
    <w:rsid w:val="00C924FB"/>
    <w:rsid w:val="00C92669"/>
    <w:rsid w:val="00C92AD0"/>
    <w:rsid w:val="00C92DF6"/>
    <w:rsid w:val="00C92F80"/>
    <w:rsid w:val="00C93148"/>
    <w:rsid w:val="00C931EF"/>
    <w:rsid w:val="00C93343"/>
    <w:rsid w:val="00C935A9"/>
    <w:rsid w:val="00C93755"/>
    <w:rsid w:val="00C93B24"/>
    <w:rsid w:val="00C93B80"/>
    <w:rsid w:val="00C942EA"/>
    <w:rsid w:val="00C94336"/>
    <w:rsid w:val="00C94BB5"/>
    <w:rsid w:val="00C94C4E"/>
    <w:rsid w:val="00C951C6"/>
    <w:rsid w:val="00C95BE7"/>
    <w:rsid w:val="00C95F93"/>
    <w:rsid w:val="00C962E9"/>
    <w:rsid w:val="00C96397"/>
    <w:rsid w:val="00C96418"/>
    <w:rsid w:val="00C964D1"/>
    <w:rsid w:val="00C9670C"/>
    <w:rsid w:val="00C9689E"/>
    <w:rsid w:val="00C96C13"/>
    <w:rsid w:val="00C97324"/>
    <w:rsid w:val="00C978B2"/>
    <w:rsid w:val="00C97C93"/>
    <w:rsid w:val="00C97F1D"/>
    <w:rsid w:val="00CA0101"/>
    <w:rsid w:val="00CA04CE"/>
    <w:rsid w:val="00CA069A"/>
    <w:rsid w:val="00CA0EA5"/>
    <w:rsid w:val="00CA11CE"/>
    <w:rsid w:val="00CA127C"/>
    <w:rsid w:val="00CA138E"/>
    <w:rsid w:val="00CA1B6A"/>
    <w:rsid w:val="00CA1C0E"/>
    <w:rsid w:val="00CA242B"/>
    <w:rsid w:val="00CA26F9"/>
    <w:rsid w:val="00CA28A2"/>
    <w:rsid w:val="00CA28EE"/>
    <w:rsid w:val="00CA29E8"/>
    <w:rsid w:val="00CA33FC"/>
    <w:rsid w:val="00CA3993"/>
    <w:rsid w:val="00CA3A78"/>
    <w:rsid w:val="00CA3F86"/>
    <w:rsid w:val="00CA3F9E"/>
    <w:rsid w:val="00CA4358"/>
    <w:rsid w:val="00CA4681"/>
    <w:rsid w:val="00CA48CE"/>
    <w:rsid w:val="00CA52AC"/>
    <w:rsid w:val="00CA5D0E"/>
    <w:rsid w:val="00CA5F0A"/>
    <w:rsid w:val="00CA6757"/>
    <w:rsid w:val="00CA6947"/>
    <w:rsid w:val="00CA7131"/>
    <w:rsid w:val="00CA73CD"/>
    <w:rsid w:val="00CA7C16"/>
    <w:rsid w:val="00CB00B7"/>
    <w:rsid w:val="00CB00D2"/>
    <w:rsid w:val="00CB00FD"/>
    <w:rsid w:val="00CB01A5"/>
    <w:rsid w:val="00CB0263"/>
    <w:rsid w:val="00CB02DC"/>
    <w:rsid w:val="00CB0A5F"/>
    <w:rsid w:val="00CB0C99"/>
    <w:rsid w:val="00CB0D86"/>
    <w:rsid w:val="00CB15FC"/>
    <w:rsid w:val="00CB1DAE"/>
    <w:rsid w:val="00CB218E"/>
    <w:rsid w:val="00CB2298"/>
    <w:rsid w:val="00CB2658"/>
    <w:rsid w:val="00CB27F4"/>
    <w:rsid w:val="00CB2898"/>
    <w:rsid w:val="00CB2FC1"/>
    <w:rsid w:val="00CB323F"/>
    <w:rsid w:val="00CB347A"/>
    <w:rsid w:val="00CB34CF"/>
    <w:rsid w:val="00CB37DD"/>
    <w:rsid w:val="00CB3930"/>
    <w:rsid w:val="00CB3EDC"/>
    <w:rsid w:val="00CB4B20"/>
    <w:rsid w:val="00CB50E1"/>
    <w:rsid w:val="00CB51A1"/>
    <w:rsid w:val="00CB5952"/>
    <w:rsid w:val="00CB5C81"/>
    <w:rsid w:val="00CB5D51"/>
    <w:rsid w:val="00CB5E5B"/>
    <w:rsid w:val="00CB606B"/>
    <w:rsid w:val="00CB632F"/>
    <w:rsid w:val="00CB66A2"/>
    <w:rsid w:val="00CB67FD"/>
    <w:rsid w:val="00CB6B9E"/>
    <w:rsid w:val="00CB6C55"/>
    <w:rsid w:val="00CB6EF3"/>
    <w:rsid w:val="00CB73F2"/>
    <w:rsid w:val="00CB75D8"/>
    <w:rsid w:val="00CB7633"/>
    <w:rsid w:val="00CB7695"/>
    <w:rsid w:val="00CB78D0"/>
    <w:rsid w:val="00CB7C6E"/>
    <w:rsid w:val="00CB7D73"/>
    <w:rsid w:val="00CB7EDC"/>
    <w:rsid w:val="00CC0138"/>
    <w:rsid w:val="00CC0210"/>
    <w:rsid w:val="00CC0451"/>
    <w:rsid w:val="00CC04A7"/>
    <w:rsid w:val="00CC04DA"/>
    <w:rsid w:val="00CC051D"/>
    <w:rsid w:val="00CC0B8A"/>
    <w:rsid w:val="00CC0C3A"/>
    <w:rsid w:val="00CC0CEE"/>
    <w:rsid w:val="00CC103C"/>
    <w:rsid w:val="00CC1269"/>
    <w:rsid w:val="00CC1560"/>
    <w:rsid w:val="00CC21F3"/>
    <w:rsid w:val="00CC2301"/>
    <w:rsid w:val="00CC259A"/>
    <w:rsid w:val="00CC2EBA"/>
    <w:rsid w:val="00CC35F4"/>
    <w:rsid w:val="00CC3AB9"/>
    <w:rsid w:val="00CC3E78"/>
    <w:rsid w:val="00CC3FE1"/>
    <w:rsid w:val="00CC40BA"/>
    <w:rsid w:val="00CC52C7"/>
    <w:rsid w:val="00CC5354"/>
    <w:rsid w:val="00CC58E0"/>
    <w:rsid w:val="00CC637A"/>
    <w:rsid w:val="00CC66FE"/>
    <w:rsid w:val="00CC6B12"/>
    <w:rsid w:val="00CC6D2B"/>
    <w:rsid w:val="00CC713A"/>
    <w:rsid w:val="00CC7389"/>
    <w:rsid w:val="00CC749A"/>
    <w:rsid w:val="00CC7952"/>
    <w:rsid w:val="00CC7D3C"/>
    <w:rsid w:val="00CD0245"/>
    <w:rsid w:val="00CD0744"/>
    <w:rsid w:val="00CD1005"/>
    <w:rsid w:val="00CD10BC"/>
    <w:rsid w:val="00CD1AB4"/>
    <w:rsid w:val="00CD1B0A"/>
    <w:rsid w:val="00CD1C43"/>
    <w:rsid w:val="00CD1D0C"/>
    <w:rsid w:val="00CD1F6D"/>
    <w:rsid w:val="00CD27B6"/>
    <w:rsid w:val="00CD283F"/>
    <w:rsid w:val="00CD2850"/>
    <w:rsid w:val="00CD2EB1"/>
    <w:rsid w:val="00CD3548"/>
    <w:rsid w:val="00CD3676"/>
    <w:rsid w:val="00CD3A31"/>
    <w:rsid w:val="00CD404F"/>
    <w:rsid w:val="00CD4241"/>
    <w:rsid w:val="00CD43FE"/>
    <w:rsid w:val="00CD483F"/>
    <w:rsid w:val="00CD484A"/>
    <w:rsid w:val="00CD4C1C"/>
    <w:rsid w:val="00CD50CD"/>
    <w:rsid w:val="00CD57E4"/>
    <w:rsid w:val="00CD5B39"/>
    <w:rsid w:val="00CD5D0D"/>
    <w:rsid w:val="00CD609D"/>
    <w:rsid w:val="00CD642A"/>
    <w:rsid w:val="00CD6C26"/>
    <w:rsid w:val="00CD6E1E"/>
    <w:rsid w:val="00CD6F14"/>
    <w:rsid w:val="00CD73A6"/>
    <w:rsid w:val="00CD740E"/>
    <w:rsid w:val="00CD74B6"/>
    <w:rsid w:val="00CD755D"/>
    <w:rsid w:val="00CD7806"/>
    <w:rsid w:val="00CD7C56"/>
    <w:rsid w:val="00CD7CD3"/>
    <w:rsid w:val="00CD7EF7"/>
    <w:rsid w:val="00CE001A"/>
    <w:rsid w:val="00CE03FB"/>
    <w:rsid w:val="00CE0A52"/>
    <w:rsid w:val="00CE0C0F"/>
    <w:rsid w:val="00CE1185"/>
    <w:rsid w:val="00CE1391"/>
    <w:rsid w:val="00CE1EC2"/>
    <w:rsid w:val="00CE2399"/>
    <w:rsid w:val="00CE2433"/>
    <w:rsid w:val="00CE2B63"/>
    <w:rsid w:val="00CE30DA"/>
    <w:rsid w:val="00CE3773"/>
    <w:rsid w:val="00CE3985"/>
    <w:rsid w:val="00CE3DD6"/>
    <w:rsid w:val="00CE4136"/>
    <w:rsid w:val="00CE41C1"/>
    <w:rsid w:val="00CE4716"/>
    <w:rsid w:val="00CE4918"/>
    <w:rsid w:val="00CE4CA6"/>
    <w:rsid w:val="00CE5405"/>
    <w:rsid w:val="00CE596D"/>
    <w:rsid w:val="00CE5DAA"/>
    <w:rsid w:val="00CE5F41"/>
    <w:rsid w:val="00CE64A3"/>
    <w:rsid w:val="00CE6598"/>
    <w:rsid w:val="00CE6902"/>
    <w:rsid w:val="00CE6E9B"/>
    <w:rsid w:val="00CE772A"/>
    <w:rsid w:val="00CE79D5"/>
    <w:rsid w:val="00CF1457"/>
    <w:rsid w:val="00CF191B"/>
    <w:rsid w:val="00CF207C"/>
    <w:rsid w:val="00CF21A9"/>
    <w:rsid w:val="00CF25D5"/>
    <w:rsid w:val="00CF27F8"/>
    <w:rsid w:val="00CF29CF"/>
    <w:rsid w:val="00CF2D63"/>
    <w:rsid w:val="00CF310A"/>
    <w:rsid w:val="00CF336F"/>
    <w:rsid w:val="00CF35F8"/>
    <w:rsid w:val="00CF36FA"/>
    <w:rsid w:val="00CF3D29"/>
    <w:rsid w:val="00CF3E68"/>
    <w:rsid w:val="00CF4344"/>
    <w:rsid w:val="00CF43D2"/>
    <w:rsid w:val="00CF462B"/>
    <w:rsid w:val="00CF4719"/>
    <w:rsid w:val="00CF4997"/>
    <w:rsid w:val="00CF4D40"/>
    <w:rsid w:val="00CF4ECF"/>
    <w:rsid w:val="00CF5CB6"/>
    <w:rsid w:val="00CF5FBA"/>
    <w:rsid w:val="00CF676D"/>
    <w:rsid w:val="00CF6A8B"/>
    <w:rsid w:val="00CF6B83"/>
    <w:rsid w:val="00CF6B94"/>
    <w:rsid w:val="00CF6EBD"/>
    <w:rsid w:val="00CF71E2"/>
    <w:rsid w:val="00CF7249"/>
    <w:rsid w:val="00CF73A3"/>
    <w:rsid w:val="00CF7855"/>
    <w:rsid w:val="00D000D0"/>
    <w:rsid w:val="00D001ED"/>
    <w:rsid w:val="00D00315"/>
    <w:rsid w:val="00D0043F"/>
    <w:rsid w:val="00D00836"/>
    <w:rsid w:val="00D00B09"/>
    <w:rsid w:val="00D00C04"/>
    <w:rsid w:val="00D0108C"/>
    <w:rsid w:val="00D01295"/>
    <w:rsid w:val="00D01CB9"/>
    <w:rsid w:val="00D02496"/>
    <w:rsid w:val="00D025DF"/>
    <w:rsid w:val="00D026F8"/>
    <w:rsid w:val="00D027A1"/>
    <w:rsid w:val="00D02C0E"/>
    <w:rsid w:val="00D02D40"/>
    <w:rsid w:val="00D032C8"/>
    <w:rsid w:val="00D03D80"/>
    <w:rsid w:val="00D03E4C"/>
    <w:rsid w:val="00D03F4B"/>
    <w:rsid w:val="00D0406E"/>
    <w:rsid w:val="00D041CC"/>
    <w:rsid w:val="00D045AC"/>
    <w:rsid w:val="00D045DE"/>
    <w:rsid w:val="00D04BD2"/>
    <w:rsid w:val="00D04EE7"/>
    <w:rsid w:val="00D05A18"/>
    <w:rsid w:val="00D05D02"/>
    <w:rsid w:val="00D05D28"/>
    <w:rsid w:val="00D05F36"/>
    <w:rsid w:val="00D05F51"/>
    <w:rsid w:val="00D065DB"/>
    <w:rsid w:val="00D067BE"/>
    <w:rsid w:val="00D068AE"/>
    <w:rsid w:val="00D06D13"/>
    <w:rsid w:val="00D071EC"/>
    <w:rsid w:val="00D0722D"/>
    <w:rsid w:val="00D072FF"/>
    <w:rsid w:val="00D07600"/>
    <w:rsid w:val="00D076C2"/>
    <w:rsid w:val="00D079A2"/>
    <w:rsid w:val="00D07A87"/>
    <w:rsid w:val="00D1000B"/>
    <w:rsid w:val="00D10457"/>
    <w:rsid w:val="00D104D4"/>
    <w:rsid w:val="00D10F94"/>
    <w:rsid w:val="00D110A5"/>
    <w:rsid w:val="00D11430"/>
    <w:rsid w:val="00D11771"/>
    <w:rsid w:val="00D1178A"/>
    <w:rsid w:val="00D11820"/>
    <w:rsid w:val="00D11893"/>
    <w:rsid w:val="00D11ABA"/>
    <w:rsid w:val="00D11C9D"/>
    <w:rsid w:val="00D11DCD"/>
    <w:rsid w:val="00D12538"/>
    <w:rsid w:val="00D12675"/>
    <w:rsid w:val="00D12787"/>
    <w:rsid w:val="00D12A44"/>
    <w:rsid w:val="00D12AD0"/>
    <w:rsid w:val="00D12DDB"/>
    <w:rsid w:val="00D12FAD"/>
    <w:rsid w:val="00D13766"/>
    <w:rsid w:val="00D13EE1"/>
    <w:rsid w:val="00D140C0"/>
    <w:rsid w:val="00D14257"/>
    <w:rsid w:val="00D146E2"/>
    <w:rsid w:val="00D148FE"/>
    <w:rsid w:val="00D149F5"/>
    <w:rsid w:val="00D14E5D"/>
    <w:rsid w:val="00D14F9B"/>
    <w:rsid w:val="00D14FFD"/>
    <w:rsid w:val="00D151E5"/>
    <w:rsid w:val="00D156B2"/>
    <w:rsid w:val="00D156DE"/>
    <w:rsid w:val="00D15938"/>
    <w:rsid w:val="00D159DD"/>
    <w:rsid w:val="00D15AA4"/>
    <w:rsid w:val="00D15F60"/>
    <w:rsid w:val="00D15F7D"/>
    <w:rsid w:val="00D16298"/>
    <w:rsid w:val="00D162EA"/>
    <w:rsid w:val="00D1668C"/>
    <w:rsid w:val="00D16D60"/>
    <w:rsid w:val="00D16F18"/>
    <w:rsid w:val="00D171DA"/>
    <w:rsid w:val="00D174EF"/>
    <w:rsid w:val="00D175EB"/>
    <w:rsid w:val="00D1783A"/>
    <w:rsid w:val="00D201E5"/>
    <w:rsid w:val="00D2047B"/>
    <w:rsid w:val="00D20590"/>
    <w:rsid w:val="00D205B6"/>
    <w:rsid w:val="00D20AF9"/>
    <w:rsid w:val="00D21229"/>
    <w:rsid w:val="00D21336"/>
    <w:rsid w:val="00D213A9"/>
    <w:rsid w:val="00D217E1"/>
    <w:rsid w:val="00D219DF"/>
    <w:rsid w:val="00D21F07"/>
    <w:rsid w:val="00D21F46"/>
    <w:rsid w:val="00D21FB0"/>
    <w:rsid w:val="00D2270C"/>
    <w:rsid w:val="00D227A5"/>
    <w:rsid w:val="00D22A96"/>
    <w:rsid w:val="00D22BA8"/>
    <w:rsid w:val="00D231DA"/>
    <w:rsid w:val="00D2340D"/>
    <w:rsid w:val="00D23800"/>
    <w:rsid w:val="00D23887"/>
    <w:rsid w:val="00D238AF"/>
    <w:rsid w:val="00D23941"/>
    <w:rsid w:val="00D23945"/>
    <w:rsid w:val="00D239F9"/>
    <w:rsid w:val="00D23A35"/>
    <w:rsid w:val="00D23A97"/>
    <w:rsid w:val="00D24067"/>
    <w:rsid w:val="00D2433E"/>
    <w:rsid w:val="00D24348"/>
    <w:rsid w:val="00D246BF"/>
    <w:rsid w:val="00D246EA"/>
    <w:rsid w:val="00D2482A"/>
    <w:rsid w:val="00D24A15"/>
    <w:rsid w:val="00D24AE6"/>
    <w:rsid w:val="00D24D98"/>
    <w:rsid w:val="00D250D7"/>
    <w:rsid w:val="00D25787"/>
    <w:rsid w:val="00D25898"/>
    <w:rsid w:val="00D25AE7"/>
    <w:rsid w:val="00D25E3B"/>
    <w:rsid w:val="00D261B0"/>
    <w:rsid w:val="00D26652"/>
    <w:rsid w:val="00D269F5"/>
    <w:rsid w:val="00D26F63"/>
    <w:rsid w:val="00D270AC"/>
    <w:rsid w:val="00D27108"/>
    <w:rsid w:val="00D27353"/>
    <w:rsid w:val="00D2744E"/>
    <w:rsid w:val="00D277E2"/>
    <w:rsid w:val="00D27A48"/>
    <w:rsid w:val="00D27D08"/>
    <w:rsid w:val="00D27DF8"/>
    <w:rsid w:val="00D30247"/>
    <w:rsid w:val="00D30B45"/>
    <w:rsid w:val="00D30E54"/>
    <w:rsid w:val="00D3180B"/>
    <w:rsid w:val="00D31CAD"/>
    <w:rsid w:val="00D3214B"/>
    <w:rsid w:val="00D3293F"/>
    <w:rsid w:val="00D32ECA"/>
    <w:rsid w:val="00D3332F"/>
    <w:rsid w:val="00D3333D"/>
    <w:rsid w:val="00D33581"/>
    <w:rsid w:val="00D33590"/>
    <w:rsid w:val="00D335AF"/>
    <w:rsid w:val="00D33C7A"/>
    <w:rsid w:val="00D33D58"/>
    <w:rsid w:val="00D342C2"/>
    <w:rsid w:val="00D3444D"/>
    <w:rsid w:val="00D35880"/>
    <w:rsid w:val="00D35DF7"/>
    <w:rsid w:val="00D35FC4"/>
    <w:rsid w:val="00D36056"/>
    <w:rsid w:val="00D36076"/>
    <w:rsid w:val="00D364C9"/>
    <w:rsid w:val="00D36627"/>
    <w:rsid w:val="00D36788"/>
    <w:rsid w:val="00D36AB9"/>
    <w:rsid w:val="00D36F34"/>
    <w:rsid w:val="00D378C0"/>
    <w:rsid w:val="00D378C6"/>
    <w:rsid w:val="00D37AF2"/>
    <w:rsid w:val="00D37F90"/>
    <w:rsid w:val="00D40222"/>
    <w:rsid w:val="00D404C4"/>
    <w:rsid w:val="00D409FD"/>
    <w:rsid w:val="00D40FEA"/>
    <w:rsid w:val="00D411F5"/>
    <w:rsid w:val="00D4132F"/>
    <w:rsid w:val="00D4169B"/>
    <w:rsid w:val="00D419B6"/>
    <w:rsid w:val="00D41F68"/>
    <w:rsid w:val="00D4204D"/>
    <w:rsid w:val="00D421D7"/>
    <w:rsid w:val="00D428E7"/>
    <w:rsid w:val="00D430EF"/>
    <w:rsid w:val="00D43647"/>
    <w:rsid w:val="00D43A91"/>
    <w:rsid w:val="00D43FCB"/>
    <w:rsid w:val="00D4412C"/>
    <w:rsid w:val="00D4440A"/>
    <w:rsid w:val="00D45159"/>
    <w:rsid w:val="00D4518F"/>
    <w:rsid w:val="00D454ED"/>
    <w:rsid w:val="00D45623"/>
    <w:rsid w:val="00D457C0"/>
    <w:rsid w:val="00D458F2"/>
    <w:rsid w:val="00D4591B"/>
    <w:rsid w:val="00D45A03"/>
    <w:rsid w:val="00D45DAE"/>
    <w:rsid w:val="00D45FE3"/>
    <w:rsid w:val="00D45FF8"/>
    <w:rsid w:val="00D4646A"/>
    <w:rsid w:val="00D4691A"/>
    <w:rsid w:val="00D46F45"/>
    <w:rsid w:val="00D473ED"/>
    <w:rsid w:val="00D478CA"/>
    <w:rsid w:val="00D4796A"/>
    <w:rsid w:val="00D47D05"/>
    <w:rsid w:val="00D47DD2"/>
    <w:rsid w:val="00D47FCA"/>
    <w:rsid w:val="00D5027D"/>
    <w:rsid w:val="00D50E3D"/>
    <w:rsid w:val="00D51756"/>
    <w:rsid w:val="00D517B1"/>
    <w:rsid w:val="00D51E48"/>
    <w:rsid w:val="00D52336"/>
    <w:rsid w:val="00D5243C"/>
    <w:rsid w:val="00D52641"/>
    <w:rsid w:val="00D52C34"/>
    <w:rsid w:val="00D52C90"/>
    <w:rsid w:val="00D52DF4"/>
    <w:rsid w:val="00D52E0F"/>
    <w:rsid w:val="00D53097"/>
    <w:rsid w:val="00D53452"/>
    <w:rsid w:val="00D538C4"/>
    <w:rsid w:val="00D5397A"/>
    <w:rsid w:val="00D53A00"/>
    <w:rsid w:val="00D53C4D"/>
    <w:rsid w:val="00D53D45"/>
    <w:rsid w:val="00D53D7C"/>
    <w:rsid w:val="00D54261"/>
    <w:rsid w:val="00D54424"/>
    <w:rsid w:val="00D546B0"/>
    <w:rsid w:val="00D549C2"/>
    <w:rsid w:val="00D54E3B"/>
    <w:rsid w:val="00D5515E"/>
    <w:rsid w:val="00D55544"/>
    <w:rsid w:val="00D55786"/>
    <w:rsid w:val="00D558FA"/>
    <w:rsid w:val="00D55B6A"/>
    <w:rsid w:val="00D55DE8"/>
    <w:rsid w:val="00D55F7A"/>
    <w:rsid w:val="00D55FBC"/>
    <w:rsid w:val="00D56118"/>
    <w:rsid w:val="00D562D7"/>
    <w:rsid w:val="00D5640D"/>
    <w:rsid w:val="00D565A2"/>
    <w:rsid w:val="00D56863"/>
    <w:rsid w:val="00D56B12"/>
    <w:rsid w:val="00D56EA9"/>
    <w:rsid w:val="00D57029"/>
    <w:rsid w:val="00D57089"/>
    <w:rsid w:val="00D5716A"/>
    <w:rsid w:val="00D575A0"/>
    <w:rsid w:val="00D576E1"/>
    <w:rsid w:val="00D576FA"/>
    <w:rsid w:val="00D57704"/>
    <w:rsid w:val="00D579A8"/>
    <w:rsid w:val="00D57C28"/>
    <w:rsid w:val="00D57D0E"/>
    <w:rsid w:val="00D60C51"/>
    <w:rsid w:val="00D60DFF"/>
    <w:rsid w:val="00D6109F"/>
    <w:rsid w:val="00D611C3"/>
    <w:rsid w:val="00D61959"/>
    <w:rsid w:val="00D619AE"/>
    <w:rsid w:val="00D61B7F"/>
    <w:rsid w:val="00D61CB4"/>
    <w:rsid w:val="00D61E74"/>
    <w:rsid w:val="00D6255C"/>
    <w:rsid w:val="00D62626"/>
    <w:rsid w:val="00D6274A"/>
    <w:rsid w:val="00D628C8"/>
    <w:rsid w:val="00D629F5"/>
    <w:rsid w:val="00D62C14"/>
    <w:rsid w:val="00D63073"/>
    <w:rsid w:val="00D63082"/>
    <w:rsid w:val="00D630DA"/>
    <w:rsid w:val="00D632C0"/>
    <w:rsid w:val="00D636A4"/>
    <w:rsid w:val="00D63713"/>
    <w:rsid w:val="00D63E3D"/>
    <w:rsid w:val="00D63F2B"/>
    <w:rsid w:val="00D643A9"/>
    <w:rsid w:val="00D64453"/>
    <w:rsid w:val="00D644E6"/>
    <w:rsid w:val="00D64566"/>
    <w:rsid w:val="00D64FC4"/>
    <w:rsid w:val="00D650AA"/>
    <w:rsid w:val="00D65198"/>
    <w:rsid w:val="00D65203"/>
    <w:rsid w:val="00D652BC"/>
    <w:rsid w:val="00D6556C"/>
    <w:rsid w:val="00D655C3"/>
    <w:rsid w:val="00D657E8"/>
    <w:rsid w:val="00D657F8"/>
    <w:rsid w:val="00D65CA6"/>
    <w:rsid w:val="00D65E49"/>
    <w:rsid w:val="00D66282"/>
    <w:rsid w:val="00D669A3"/>
    <w:rsid w:val="00D67103"/>
    <w:rsid w:val="00D67491"/>
    <w:rsid w:val="00D6770F"/>
    <w:rsid w:val="00D677EC"/>
    <w:rsid w:val="00D67A8A"/>
    <w:rsid w:val="00D67E84"/>
    <w:rsid w:val="00D708BF"/>
    <w:rsid w:val="00D70BFD"/>
    <w:rsid w:val="00D711DC"/>
    <w:rsid w:val="00D719BF"/>
    <w:rsid w:val="00D71B03"/>
    <w:rsid w:val="00D7216A"/>
    <w:rsid w:val="00D72293"/>
    <w:rsid w:val="00D72631"/>
    <w:rsid w:val="00D72A0C"/>
    <w:rsid w:val="00D734D0"/>
    <w:rsid w:val="00D73547"/>
    <w:rsid w:val="00D73645"/>
    <w:rsid w:val="00D73910"/>
    <w:rsid w:val="00D739B7"/>
    <w:rsid w:val="00D74319"/>
    <w:rsid w:val="00D75450"/>
    <w:rsid w:val="00D75741"/>
    <w:rsid w:val="00D7594F"/>
    <w:rsid w:val="00D75E6D"/>
    <w:rsid w:val="00D763FF"/>
    <w:rsid w:val="00D7678A"/>
    <w:rsid w:val="00D76EDA"/>
    <w:rsid w:val="00D7791D"/>
    <w:rsid w:val="00D80068"/>
    <w:rsid w:val="00D8012E"/>
    <w:rsid w:val="00D8105C"/>
    <w:rsid w:val="00D811C9"/>
    <w:rsid w:val="00D811F5"/>
    <w:rsid w:val="00D81345"/>
    <w:rsid w:val="00D813BF"/>
    <w:rsid w:val="00D81973"/>
    <w:rsid w:val="00D81AC5"/>
    <w:rsid w:val="00D81B51"/>
    <w:rsid w:val="00D81C8F"/>
    <w:rsid w:val="00D81D2F"/>
    <w:rsid w:val="00D820FD"/>
    <w:rsid w:val="00D821AB"/>
    <w:rsid w:val="00D82344"/>
    <w:rsid w:val="00D82354"/>
    <w:rsid w:val="00D823CB"/>
    <w:rsid w:val="00D82879"/>
    <w:rsid w:val="00D82A27"/>
    <w:rsid w:val="00D8302D"/>
    <w:rsid w:val="00D8302E"/>
    <w:rsid w:val="00D8309B"/>
    <w:rsid w:val="00D8339D"/>
    <w:rsid w:val="00D839DF"/>
    <w:rsid w:val="00D83B8A"/>
    <w:rsid w:val="00D8422A"/>
    <w:rsid w:val="00D848BE"/>
    <w:rsid w:val="00D84BA9"/>
    <w:rsid w:val="00D85491"/>
    <w:rsid w:val="00D854B4"/>
    <w:rsid w:val="00D85FC8"/>
    <w:rsid w:val="00D86A26"/>
    <w:rsid w:val="00D86A87"/>
    <w:rsid w:val="00D86D4E"/>
    <w:rsid w:val="00D87287"/>
    <w:rsid w:val="00D87414"/>
    <w:rsid w:val="00D87915"/>
    <w:rsid w:val="00D87EB2"/>
    <w:rsid w:val="00D900CF"/>
    <w:rsid w:val="00D90160"/>
    <w:rsid w:val="00D90397"/>
    <w:rsid w:val="00D906F6"/>
    <w:rsid w:val="00D90788"/>
    <w:rsid w:val="00D907EB"/>
    <w:rsid w:val="00D90F0A"/>
    <w:rsid w:val="00D916D3"/>
    <w:rsid w:val="00D917AD"/>
    <w:rsid w:val="00D92840"/>
    <w:rsid w:val="00D92EDD"/>
    <w:rsid w:val="00D93088"/>
    <w:rsid w:val="00D930BB"/>
    <w:rsid w:val="00D93548"/>
    <w:rsid w:val="00D93A77"/>
    <w:rsid w:val="00D94252"/>
    <w:rsid w:val="00D94318"/>
    <w:rsid w:val="00D945E5"/>
    <w:rsid w:val="00D94FEF"/>
    <w:rsid w:val="00D95019"/>
    <w:rsid w:val="00D95033"/>
    <w:rsid w:val="00D9526B"/>
    <w:rsid w:val="00D9540E"/>
    <w:rsid w:val="00D957FE"/>
    <w:rsid w:val="00D95F33"/>
    <w:rsid w:val="00D96A5B"/>
    <w:rsid w:val="00D96ABB"/>
    <w:rsid w:val="00D96B71"/>
    <w:rsid w:val="00D971DB"/>
    <w:rsid w:val="00D97255"/>
    <w:rsid w:val="00D97ABF"/>
    <w:rsid w:val="00DA011F"/>
    <w:rsid w:val="00DA01C0"/>
    <w:rsid w:val="00DA0ACF"/>
    <w:rsid w:val="00DA0AFD"/>
    <w:rsid w:val="00DA0BC5"/>
    <w:rsid w:val="00DA0CB3"/>
    <w:rsid w:val="00DA136A"/>
    <w:rsid w:val="00DA15DA"/>
    <w:rsid w:val="00DA15F6"/>
    <w:rsid w:val="00DA17A4"/>
    <w:rsid w:val="00DA1859"/>
    <w:rsid w:val="00DA18C4"/>
    <w:rsid w:val="00DA19AB"/>
    <w:rsid w:val="00DA2075"/>
    <w:rsid w:val="00DA229D"/>
    <w:rsid w:val="00DA22C1"/>
    <w:rsid w:val="00DA22DC"/>
    <w:rsid w:val="00DA2624"/>
    <w:rsid w:val="00DA2884"/>
    <w:rsid w:val="00DA2BBC"/>
    <w:rsid w:val="00DA2F05"/>
    <w:rsid w:val="00DA3064"/>
    <w:rsid w:val="00DA3194"/>
    <w:rsid w:val="00DA345B"/>
    <w:rsid w:val="00DA35CD"/>
    <w:rsid w:val="00DA3618"/>
    <w:rsid w:val="00DA3969"/>
    <w:rsid w:val="00DA400B"/>
    <w:rsid w:val="00DA4CC3"/>
    <w:rsid w:val="00DA4F03"/>
    <w:rsid w:val="00DA5E6F"/>
    <w:rsid w:val="00DA6184"/>
    <w:rsid w:val="00DA6BBC"/>
    <w:rsid w:val="00DA6C59"/>
    <w:rsid w:val="00DA6CC0"/>
    <w:rsid w:val="00DA6E9E"/>
    <w:rsid w:val="00DA6F5D"/>
    <w:rsid w:val="00DA70B8"/>
    <w:rsid w:val="00DA7578"/>
    <w:rsid w:val="00DA78B1"/>
    <w:rsid w:val="00DA7A03"/>
    <w:rsid w:val="00DA7A53"/>
    <w:rsid w:val="00DB033D"/>
    <w:rsid w:val="00DB0F3E"/>
    <w:rsid w:val="00DB124C"/>
    <w:rsid w:val="00DB1406"/>
    <w:rsid w:val="00DB14EE"/>
    <w:rsid w:val="00DB15C2"/>
    <w:rsid w:val="00DB1B5E"/>
    <w:rsid w:val="00DB228C"/>
    <w:rsid w:val="00DB299C"/>
    <w:rsid w:val="00DB3103"/>
    <w:rsid w:val="00DB3AEC"/>
    <w:rsid w:val="00DB3D47"/>
    <w:rsid w:val="00DB3FE9"/>
    <w:rsid w:val="00DB46F8"/>
    <w:rsid w:val="00DB481D"/>
    <w:rsid w:val="00DB5369"/>
    <w:rsid w:val="00DB56F2"/>
    <w:rsid w:val="00DB57E3"/>
    <w:rsid w:val="00DB580F"/>
    <w:rsid w:val="00DB5935"/>
    <w:rsid w:val="00DB5BAF"/>
    <w:rsid w:val="00DB6548"/>
    <w:rsid w:val="00DB65F9"/>
    <w:rsid w:val="00DB66D3"/>
    <w:rsid w:val="00DB6854"/>
    <w:rsid w:val="00DB6E8C"/>
    <w:rsid w:val="00DB6F4E"/>
    <w:rsid w:val="00DB706D"/>
    <w:rsid w:val="00DB74A8"/>
    <w:rsid w:val="00DB7714"/>
    <w:rsid w:val="00DB7A07"/>
    <w:rsid w:val="00DB7B6E"/>
    <w:rsid w:val="00DB7C1E"/>
    <w:rsid w:val="00DB7CAB"/>
    <w:rsid w:val="00DB7D93"/>
    <w:rsid w:val="00DB7FA5"/>
    <w:rsid w:val="00DC040E"/>
    <w:rsid w:val="00DC0EF5"/>
    <w:rsid w:val="00DC10E8"/>
    <w:rsid w:val="00DC1CAE"/>
    <w:rsid w:val="00DC1D37"/>
    <w:rsid w:val="00DC1EA9"/>
    <w:rsid w:val="00DC255C"/>
    <w:rsid w:val="00DC2BA5"/>
    <w:rsid w:val="00DC3078"/>
    <w:rsid w:val="00DC3556"/>
    <w:rsid w:val="00DC3A8B"/>
    <w:rsid w:val="00DC3DD0"/>
    <w:rsid w:val="00DC4095"/>
    <w:rsid w:val="00DC40AD"/>
    <w:rsid w:val="00DC4487"/>
    <w:rsid w:val="00DC4509"/>
    <w:rsid w:val="00DC452A"/>
    <w:rsid w:val="00DC46A3"/>
    <w:rsid w:val="00DC4D75"/>
    <w:rsid w:val="00DC509F"/>
    <w:rsid w:val="00DC536A"/>
    <w:rsid w:val="00DC5BC6"/>
    <w:rsid w:val="00DC604B"/>
    <w:rsid w:val="00DC60C4"/>
    <w:rsid w:val="00DC6991"/>
    <w:rsid w:val="00DC69BB"/>
    <w:rsid w:val="00DC6E3C"/>
    <w:rsid w:val="00DC7030"/>
    <w:rsid w:val="00DC706C"/>
    <w:rsid w:val="00DC7CA5"/>
    <w:rsid w:val="00DC7FDC"/>
    <w:rsid w:val="00DD0019"/>
    <w:rsid w:val="00DD043F"/>
    <w:rsid w:val="00DD049C"/>
    <w:rsid w:val="00DD0536"/>
    <w:rsid w:val="00DD0ADC"/>
    <w:rsid w:val="00DD0D3D"/>
    <w:rsid w:val="00DD11A0"/>
    <w:rsid w:val="00DD15EB"/>
    <w:rsid w:val="00DD1F45"/>
    <w:rsid w:val="00DD2118"/>
    <w:rsid w:val="00DD2BC8"/>
    <w:rsid w:val="00DD3100"/>
    <w:rsid w:val="00DD3122"/>
    <w:rsid w:val="00DD3224"/>
    <w:rsid w:val="00DD392D"/>
    <w:rsid w:val="00DD39D1"/>
    <w:rsid w:val="00DD3D0B"/>
    <w:rsid w:val="00DD471B"/>
    <w:rsid w:val="00DD5286"/>
    <w:rsid w:val="00DD52AF"/>
    <w:rsid w:val="00DD52B6"/>
    <w:rsid w:val="00DD55FB"/>
    <w:rsid w:val="00DD5601"/>
    <w:rsid w:val="00DD569C"/>
    <w:rsid w:val="00DD59DD"/>
    <w:rsid w:val="00DD5C1C"/>
    <w:rsid w:val="00DD60DE"/>
    <w:rsid w:val="00DD6303"/>
    <w:rsid w:val="00DD635D"/>
    <w:rsid w:val="00DD645B"/>
    <w:rsid w:val="00DD65C4"/>
    <w:rsid w:val="00DD69FB"/>
    <w:rsid w:val="00DD6C7D"/>
    <w:rsid w:val="00DD71AA"/>
    <w:rsid w:val="00DD73BD"/>
    <w:rsid w:val="00DD7404"/>
    <w:rsid w:val="00DD7488"/>
    <w:rsid w:val="00DD79A8"/>
    <w:rsid w:val="00DE0053"/>
    <w:rsid w:val="00DE070E"/>
    <w:rsid w:val="00DE07F0"/>
    <w:rsid w:val="00DE093A"/>
    <w:rsid w:val="00DE097D"/>
    <w:rsid w:val="00DE0A0A"/>
    <w:rsid w:val="00DE0A2A"/>
    <w:rsid w:val="00DE0B20"/>
    <w:rsid w:val="00DE14C0"/>
    <w:rsid w:val="00DE22D8"/>
    <w:rsid w:val="00DE2B86"/>
    <w:rsid w:val="00DE2D45"/>
    <w:rsid w:val="00DE319C"/>
    <w:rsid w:val="00DE3486"/>
    <w:rsid w:val="00DE34F8"/>
    <w:rsid w:val="00DE35E5"/>
    <w:rsid w:val="00DE360F"/>
    <w:rsid w:val="00DE3B46"/>
    <w:rsid w:val="00DE3D1F"/>
    <w:rsid w:val="00DE4139"/>
    <w:rsid w:val="00DE41AA"/>
    <w:rsid w:val="00DE4220"/>
    <w:rsid w:val="00DE444E"/>
    <w:rsid w:val="00DE4535"/>
    <w:rsid w:val="00DE5154"/>
    <w:rsid w:val="00DE5763"/>
    <w:rsid w:val="00DE5F29"/>
    <w:rsid w:val="00DE5FB8"/>
    <w:rsid w:val="00DE62CF"/>
    <w:rsid w:val="00DE62FC"/>
    <w:rsid w:val="00DE67C9"/>
    <w:rsid w:val="00DE6AE5"/>
    <w:rsid w:val="00DE6D35"/>
    <w:rsid w:val="00DE703D"/>
    <w:rsid w:val="00DE733B"/>
    <w:rsid w:val="00DE7354"/>
    <w:rsid w:val="00DE7430"/>
    <w:rsid w:val="00DE7AC5"/>
    <w:rsid w:val="00DE7D39"/>
    <w:rsid w:val="00DE7D83"/>
    <w:rsid w:val="00DE7E3C"/>
    <w:rsid w:val="00DE7EDA"/>
    <w:rsid w:val="00DF00A0"/>
    <w:rsid w:val="00DF047F"/>
    <w:rsid w:val="00DF048C"/>
    <w:rsid w:val="00DF05F5"/>
    <w:rsid w:val="00DF078A"/>
    <w:rsid w:val="00DF0BAF"/>
    <w:rsid w:val="00DF0DDC"/>
    <w:rsid w:val="00DF10EC"/>
    <w:rsid w:val="00DF133C"/>
    <w:rsid w:val="00DF137D"/>
    <w:rsid w:val="00DF15A6"/>
    <w:rsid w:val="00DF1D35"/>
    <w:rsid w:val="00DF2352"/>
    <w:rsid w:val="00DF239D"/>
    <w:rsid w:val="00DF2535"/>
    <w:rsid w:val="00DF27A4"/>
    <w:rsid w:val="00DF2CF3"/>
    <w:rsid w:val="00DF2D48"/>
    <w:rsid w:val="00DF2DD7"/>
    <w:rsid w:val="00DF2EF0"/>
    <w:rsid w:val="00DF30F8"/>
    <w:rsid w:val="00DF3224"/>
    <w:rsid w:val="00DF32C1"/>
    <w:rsid w:val="00DF37FF"/>
    <w:rsid w:val="00DF3B0B"/>
    <w:rsid w:val="00DF3C38"/>
    <w:rsid w:val="00DF3C42"/>
    <w:rsid w:val="00DF4087"/>
    <w:rsid w:val="00DF457A"/>
    <w:rsid w:val="00DF4594"/>
    <w:rsid w:val="00DF46C4"/>
    <w:rsid w:val="00DF485E"/>
    <w:rsid w:val="00DF48BF"/>
    <w:rsid w:val="00DF5069"/>
    <w:rsid w:val="00DF53DE"/>
    <w:rsid w:val="00DF5485"/>
    <w:rsid w:val="00DF5528"/>
    <w:rsid w:val="00DF5545"/>
    <w:rsid w:val="00DF55B1"/>
    <w:rsid w:val="00DF5797"/>
    <w:rsid w:val="00DF616C"/>
    <w:rsid w:val="00DF621C"/>
    <w:rsid w:val="00DF6605"/>
    <w:rsid w:val="00DF6896"/>
    <w:rsid w:val="00DF6C16"/>
    <w:rsid w:val="00DF6E59"/>
    <w:rsid w:val="00DF6F2F"/>
    <w:rsid w:val="00DF71DC"/>
    <w:rsid w:val="00DF72E8"/>
    <w:rsid w:val="00DF734A"/>
    <w:rsid w:val="00DF7547"/>
    <w:rsid w:val="00DF7611"/>
    <w:rsid w:val="00DF76CD"/>
    <w:rsid w:val="00DF77A3"/>
    <w:rsid w:val="00DF7BF5"/>
    <w:rsid w:val="00DF7F91"/>
    <w:rsid w:val="00E00393"/>
    <w:rsid w:val="00E00625"/>
    <w:rsid w:val="00E0063C"/>
    <w:rsid w:val="00E00646"/>
    <w:rsid w:val="00E007B0"/>
    <w:rsid w:val="00E0097E"/>
    <w:rsid w:val="00E00C16"/>
    <w:rsid w:val="00E00C40"/>
    <w:rsid w:val="00E00C4E"/>
    <w:rsid w:val="00E00D44"/>
    <w:rsid w:val="00E01229"/>
    <w:rsid w:val="00E0175B"/>
    <w:rsid w:val="00E01AD9"/>
    <w:rsid w:val="00E01B27"/>
    <w:rsid w:val="00E01E95"/>
    <w:rsid w:val="00E01ED0"/>
    <w:rsid w:val="00E023DE"/>
    <w:rsid w:val="00E023F1"/>
    <w:rsid w:val="00E02D44"/>
    <w:rsid w:val="00E02F22"/>
    <w:rsid w:val="00E0305F"/>
    <w:rsid w:val="00E035A7"/>
    <w:rsid w:val="00E036D4"/>
    <w:rsid w:val="00E03A15"/>
    <w:rsid w:val="00E03F44"/>
    <w:rsid w:val="00E047E8"/>
    <w:rsid w:val="00E04C99"/>
    <w:rsid w:val="00E04F73"/>
    <w:rsid w:val="00E05077"/>
    <w:rsid w:val="00E053DA"/>
    <w:rsid w:val="00E054FD"/>
    <w:rsid w:val="00E058AC"/>
    <w:rsid w:val="00E05A3B"/>
    <w:rsid w:val="00E05B4D"/>
    <w:rsid w:val="00E061A3"/>
    <w:rsid w:val="00E06536"/>
    <w:rsid w:val="00E06B50"/>
    <w:rsid w:val="00E07212"/>
    <w:rsid w:val="00E07411"/>
    <w:rsid w:val="00E10408"/>
    <w:rsid w:val="00E106BC"/>
    <w:rsid w:val="00E10751"/>
    <w:rsid w:val="00E107C3"/>
    <w:rsid w:val="00E1094C"/>
    <w:rsid w:val="00E109E0"/>
    <w:rsid w:val="00E10ACC"/>
    <w:rsid w:val="00E10D7C"/>
    <w:rsid w:val="00E10E0F"/>
    <w:rsid w:val="00E1132A"/>
    <w:rsid w:val="00E11450"/>
    <w:rsid w:val="00E1153A"/>
    <w:rsid w:val="00E11D4D"/>
    <w:rsid w:val="00E11E42"/>
    <w:rsid w:val="00E11E78"/>
    <w:rsid w:val="00E11F0B"/>
    <w:rsid w:val="00E12496"/>
    <w:rsid w:val="00E124CC"/>
    <w:rsid w:val="00E125BA"/>
    <w:rsid w:val="00E1270C"/>
    <w:rsid w:val="00E127D3"/>
    <w:rsid w:val="00E128CA"/>
    <w:rsid w:val="00E12993"/>
    <w:rsid w:val="00E13131"/>
    <w:rsid w:val="00E13364"/>
    <w:rsid w:val="00E134E4"/>
    <w:rsid w:val="00E136F1"/>
    <w:rsid w:val="00E13FC7"/>
    <w:rsid w:val="00E14399"/>
    <w:rsid w:val="00E1460E"/>
    <w:rsid w:val="00E148F7"/>
    <w:rsid w:val="00E14AE3"/>
    <w:rsid w:val="00E15802"/>
    <w:rsid w:val="00E15A68"/>
    <w:rsid w:val="00E161CA"/>
    <w:rsid w:val="00E161EE"/>
    <w:rsid w:val="00E1639D"/>
    <w:rsid w:val="00E166B4"/>
    <w:rsid w:val="00E168F2"/>
    <w:rsid w:val="00E1692C"/>
    <w:rsid w:val="00E16965"/>
    <w:rsid w:val="00E169EF"/>
    <w:rsid w:val="00E16EF6"/>
    <w:rsid w:val="00E174FE"/>
    <w:rsid w:val="00E176AF"/>
    <w:rsid w:val="00E17834"/>
    <w:rsid w:val="00E2014E"/>
    <w:rsid w:val="00E207A0"/>
    <w:rsid w:val="00E20925"/>
    <w:rsid w:val="00E211B9"/>
    <w:rsid w:val="00E21266"/>
    <w:rsid w:val="00E21748"/>
    <w:rsid w:val="00E220B5"/>
    <w:rsid w:val="00E228DD"/>
    <w:rsid w:val="00E22B5C"/>
    <w:rsid w:val="00E22D92"/>
    <w:rsid w:val="00E2312E"/>
    <w:rsid w:val="00E23204"/>
    <w:rsid w:val="00E233B7"/>
    <w:rsid w:val="00E23432"/>
    <w:rsid w:val="00E23584"/>
    <w:rsid w:val="00E238EC"/>
    <w:rsid w:val="00E239B9"/>
    <w:rsid w:val="00E23B00"/>
    <w:rsid w:val="00E23BFC"/>
    <w:rsid w:val="00E23C90"/>
    <w:rsid w:val="00E24CE3"/>
    <w:rsid w:val="00E25147"/>
    <w:rsid w:val="00E251D6"/>
    <w:rsid w:val="00E256BE"/>
    <w:rsid w:val="00E25BA6"/>
    <w:rsid w:val="00E25E47"/>
    <w:rsid w:val="00E26077"/>
    <w:rsid w:val="00E26135"/>
    <w:rsid w:val="00E26173"/>
    <w:rsid w:val="00E263D5"/>
    <w:rsid w:val="00E26464"/>
    <w:rsid w:val="00E26A1A"/>
    <w:rsid w:val="00E26C06"/>
    <w:rsid w:val="00E26C14"/>
    <w:rsid w:val="00E26E39"/>
    <w:rsid w:val="00E27020"/>
    <w:rsid w:val="00E27048"/>
    <w:rsid w:val="00E2778F"/>
    <w:rsid w:val="00E27B85"/>
    <w:rsid w:val="00E27E28"/>
    <w:rsid w:val="00E27E7D"/>
    <w:rsid w:val="00E27F46"/>
    <w:rsid w:val="00E3061C"/>
    <w:rsid w:val="00E30676"/>
    <w:rsid w:val="00E306B4"/>
    <w:rsid w:val="00E309B2"/>
    <w:rsid w:val="00E30C8A"/>
    <w:rsid w:val="00E30FFF"/>
    <w:rsid w:val="00E3138D"/>
    <w:rsid w:val="00E31852"/>
    <w:rsid w:val="00E31892"/>
    <w:rsid w:val="00E318FB"/>
    <w:rsid w:val="00E31B4E"/>
    <w:rsid w:val="00E31EDD"/>
    <w:rsid w:val="00E31F5C"/>
    <w:rsid w:val="00E32301"/>
    <w:rsid w:val="00E3291A"/>
    <w:rsid w:val="00E33322"/>
    <w:rsid w:val="00E3338C"/>
    <w:rsid w:val="00E33629"/>
    <w:rsid w:val="00E33A0A"/>
    <w:rsid w:val="00E33BB2"/>
    <w:rsid w:val="00E33E27"/>
    <w:rsid w:val="00E344A2"/>
    <w:rsid w:val="00E34728"/>
    <w:rsid w:val="00E34B3E"/>
    <w:rsid w:val="00E34D26"/>
    <w:rsid w:val="00E34FE0"/>
    <w:rsid w:val="00E35092"/>
    <w:rsid w:val="00E359A7"/>
    <w:rsid w:val="00E35BA7"/>
    <w:rsid w:val="00E35D98"/>
    <w:rsid w:val="00E362AF"/>
    <w:rsid w:val="00E363A8"/>
    <w:rsid w:val="00E3643E"/>
    <w:rsid w:val="00E36C73"/>
    <w:rsid w:val="00E36F01"/>
    <w:rsid w:val="00E375AB"/>
    <w:rsid w:val="00E37CAB"/>
    <w:rsid w:val="00E37E03"/>
    <w:rsid w:val="00E37E79"/>
    <w:rsid w:val="00E4019B"/>
    <w:rsid w:val="00E40224"/>
    <w:rsid w:val="00E40385"/>
    <w:rsid w:val="00E40653"/>
    <w:rsid w:val="00E4136A"/>
    <w:rsid w:val="00E413F7"/>
    <w:rsid w:val="00E413FD"/>
    <w:rsid w:val="00E4159D"/>
    <w:rsid w:val="00E41BF9"/>
    <w:rsid w:val="00E41D97"/>
    <w:rsid w:val="00E41E7F"/>
    <w:rsid w:val="00E423C8"/>
    <w:rsid w:val="00E426D1"/>
    <w:rsid w:val="00E42AB4"/>
    <w:rsid w:val="00E42BAD"/>
    <w:rsid w:val="00E42C58"/>
    <w:rsid w:val="00E432F5"/>
    <w:rsid w:val="00E43FDA"/>
    <w:rsid w:val="00E44141"/>
    <w:rsid w:val="00E443EC"/>
    <w:rsid w:val="00E4491B"/>
    <w:rsid w:val="00E44D9B"/>
    <w:rsid w:val="00E45485"/>
    <w:rsid w:val="00E4553D"/>
    <w:rsid w:val="00E4563E"/>
    <w:rsid w:val="00E457BC"/>
    <w:rsid w:val="00E459EE"/>
    <w:rsid w:val="00E45A5C"/>
    <w:rsid w:val="00E46A11"/>
    <w:rsid w:val="00E46A71"/>
    <w:rsid w:val="00E46A72"/>
    <w:rsid w:val="00E46AAB"/>
    <w:rsid w:val="00E47209"/>
    <w:rsid w:val="00E47744"/>
    <w:rsid w:val="00E477A1"/>
    <w:rsid w:val="00E500C3"/>
    <w:rsid w:val="00E50313"/>
    <w:rsid w:val="00E5062C"/>
    <w:rsid w:val="00E50B70"/>
    <w:rsid w:val="00E50BB9"/>
    <w:rsid w:val="00E50E6B"/>
    <w:rsid w:val="00E51140"/>
    <w:rsid w:val="00E51537"/>
    <w:rsid w:val="00E51894"/>
    <w:rsid w:val="00E51A07"/>
    <w:rsid w:val="00E5210E"/>
    <w:rsid w:val="00E521FC"/>
    <w:rsid w:val="00E52771"/>
    <w:rsid w:val="00E529E3"/>
    <w:rsid w:val="00E52E3A"/>
    <w:rsid w:val="00E52FE9"/>
    <w:rsid w:val="00E5301D"/>
    <w:rsid w:val="00E53659"/>
    <w:rsid w:val="00E53764"/>
    <w:rsid w:val="00E5396F"/>
    <w:rsid w:val="00E53F25"/>
    <w:rsid w:val="00E54105"/>
    <w:rsid w:val="00E543BD"/>
    <w:rsid w:val="00E545C6"/>
    <w:rsid w:val="00E54727"/>
    <w:rsid w:val="00E55507"/>
    <w:rsid w:val="00E55E30"/>
    <w:rsid w:val="00E56158"/>
    <w:rsid w:val="00E5624A"/>
    <w:rsid w:val="00E56300"/>
    <w:rsid w:val="00E56455"/>
    <w:rsid w:val="00E5657A"/>
    <w:rsid w:val="00E578CD"/>
    <w:rsid w:val="00E57CBE"/>
    <w:rsid w:val="00E605A7"/>
    <w:rsid w:val="00E605D9"/>
    <w:rsid w:val="00E60760"/>
    <w:rsid w:val="00E60895"/>
    <w:rsid w:val="00E60ADF"/>
    <w:rsid w:val="00E60E3A"/>
    <w:rsid w:val="00E61337"/>
    <w:rsid w:val="00E61937"/>
    <w:rsid w:val="00E6197D"/>
    <w:rsid w:val="00E626A6"/>
    <w:rsid w:val="00E627EF"/>
    <w:rsid w:val="00E635F6"/>
    <w:rsid w:val="00E63B64"/>
    <w:rsid w:val="00E63C72"/>
    <w:rsid w:val="00E63D7A"/>
    <w:rsid w:val="00E6403F"/>
    <w:rsid w:val="00E641B1"/>
    <w:rsid w:val="00E64E3F"/>
    <w:rsid w:val="00E6525E"/>
    <w:rsid w:val="00E65954"/>
    <w:rsid w:val="00E65B59"/>
    <w:rsid w:val="00E6607C"/>
    <w:rsid w:val="00E66089"/>
    <w:rsid w:val="00E663C3"/>
    <w:rsid w:val="00E66652"/>
    <w:rsid w:val="00E66B8C"/>
    <w:rsid w:val="00E66E5D"/>
    <w:rsid w:val="00E67162"/>
    <w:rsid w:val="00E674B8"/>
    <w:rsid w:val="00E677AA"/>
    <w:rsid w:val="00E677D4"/>
    <w:rsid w:val="00E67DA5"/>
    <w:rsid w:val="00E70226"/>
    <w:rsid w:val="00E702D0"/>
    <w:rsid w:val="00E70581"/>
    <w:rsid w:val="00E706D0"/>
    <w:rsid w:val="00E70F28"/>
    <w:rsid w:val="00E71065"/>
    <w:rsid w:val="00E712EA"/>
    <w:rsid w:val="00E71DA9"/>
    <w:rsid w:val="00E71F4D"/>
    <w:rsid w:val="00E72251"/>
    <w:rsid w:val="00E7237D"/>
    <w:rsid w:val="00E7272B"/>
    <w:rsid w:val="00E72A21"/>
    <w:rsid w:val="00E72B06"/>
    <w:rsid w:val="00E72F3F"/>
    <w:rsid w:val="00E72FF4"/>
    <w:rsid w:val="00E730FD"/>
    <w:rsid w:val="00E73256"/>
    <w:rsid w:val="00E7379D"/>
    <w:rsid w:val="00E73C1E"/>
    <w:rsid w:val="00E73CBE"/>
    <w:rsid w:val="00E749D1"/>
    <w:rsid w:val="00E749FE"/>
    <w:rsid w:val="00E74D5B"/>
    <w:rsid w:val="00E74E0B"/>
    <w:rsid w:val="00E75E55"/>
    <w:rsid w:val="00E76AB0"/>
    <w:rsid w:val="00E76B9A"/>
    <w:rsid w:val="00E76DD4"/>
    <w:rsid w:val="00E77047"/>
    <w:rsid w:val="00E77056"/>
    <w:rsid w:val="00E77168"/>
    <w:rsid w:val="00E77245"/>
    <w:rsid w:val="00E772A1"/>
    <w:rsid w:val="00E7777D"/>
    <w:rsid w:val="00E777CB"/>
    <w:rsid w:val="00E7781A"/>
    <w:rsid w:val="00E779CE"/>
    <w:rsid w:val="00E77D0E"/>
    <w:rsid w:val="00E77EA7"/>
    <w:rsid w:val="00E80069"/>
    <w:rsid w:val="00E80157"/>
    <w:rsid w:val="00E802E4"/>
    <w:rsid w:val="00E80381"/>
    <w:rsid w:val="00E803BC"/>
    <w:rsid w:val="00E80E4F"/>
    <w:rsid w:val="00E81982"/>
    <w:rsid w:val="00E81A3E"/>
    <w:rsid w:val="00E81C04"/>
    <w:rsid w:val="00E81D69"/>
    <w:rsid w:val="00E81EBB"/>
    <w:rsid w:val="00E81F3E"/>
    <w:rsid w:val="00E82900"/>
    <w:rsid w:val="00E82B0C"/>
    <w:rsid w:val="00E82E6C"/>
    <w:rsid w:val="00E83506"/>
    <w:rsid w:val="00E83CDD"/>
    <w:rsid w:val="00E842E0"/>
    <w:rsid w:val="00E8457C"/>
    <w:rsid w:val="00E847D7"/>
    <w:rsid w:val="00E84E04"/>
    <w:rsid w:val="00E856DC"/>
    <w:rsid w:val="00E85711"/>
    <w:rsid w:val="00E85C87"/>
    <w:rsid w:val="00E863E7"/>
    <w:rsid w:val="00E8644E"/>
    <w:rsid w:val="00E8655C"/>
    <w:rsid w:val="00E866AF"/>
    <w:rsid w:val="00E867B2"/>
    <w:rsid w:val="00E86BC0"/>
    <w:rsid w:val="00E86FEC"/>
    <w:rsid w:val="00E87784"/>
    <w:rsid w:val="00E87980"/>
    <w:rsid w:val="00E87B53"/>
    <w:rsid w:val="00E9020C"/>
    <w:rsid w:val="00E902EB"/>
    <w:rsid w:val="00E90B66"/>
    <w:rsid w:val="00E90C6E"/>
    <w:rsid w:val="00E90CCA"/>
    <w:rsid w:val="00E90CF5"/>
    <w:rsid w:val="00E90D8D"/>
    <w:rsid w:val="00E9104B"/>
    <w:rsid w:val="00E9159E"/>
    <w:rsid w:val="00E91A9A"/>
    <w:rsid w:val="00E91FE1"/>
    <w:rsid w:val="00E92C94"/>
    <w:rsid w:val="00E92F2E"/>
    <w:rsid w:val="00E9317C"/>
    <w:rsid w:val="00E93406"/>
    <w:rsid w:val="00E9347A"/>
    <w:rsid w:val="00E93BAE"/>
    <w:rsid w:val="00E944B2"/>
    <w:rsid w:val="00E945AE"/>
    <w:rsid w:val="00E9489F"/>
    <w:rsid w:val="00E94E63"/>
    <w:rsid w:val="00E95CEB"/>
    <w:rsid w:val="00E96011"/>
    <w:rsid w:val="00E96551"/>
    <w:rsid w:val="00E96A89"/>
    <w:rsid w:val="00E96FDC"/>
    <w:rsid w:val="00E973D3"/>
    <w:rsid w:val="00E979AA"/>
    <w:rsid w:val="00E97BFC"/>
    <w:rsid w:val="00E97D96"/>
    <w:rsid w:val="00E97DAF"/>
    <w:rsid w:val="00EA02B4"/>
    <w:rsid w:val="00EA0426"/>
    <w:rsid w:val="00EA07BB"/>
    <w:rsid w:val="00EA0876"/>
    <w:rsid w:val="00EA0AE7"/>
    <w:rsid w:val="00EA0C04"/>
    <w:rsid w:val="00EA133C"/>
    <w:rsid w:val="00EA14BB"/>
    <w:rsid w:val="00EA185A"/>
    <w:rsid w:val="00EA18B5"/>
    <w:rsid w:val="00EA19B1"/>
    <w:rsid w:val="00EA1C4B"/>
    <w:rsid w:val="00EA27C9"/>
    <w:rsid w:val="00EA3168"/>
    <w:rsid w:val="00EA331C"/>
    <w:rsid w:val="00EA36F2"/>
    <w:rsid w:val="00EA41AA"/>
    <w:rsid w:val="00EA42C0"/>
    <w:rsid w:val="00EA49AD"/>
    <w:rsid w:val="00EA4BA7"/>
    <w:rsid w:val="00EA4C49"/>
    <w:rsid w:val="00EA55D8"/>
    <w:rsid w:val="00EA57FE"/>
    <w:rsid w:val="00EA5831"/>
    <w:rsid w:val="00EA5A03"/>
    <w:rsid w:val="00EA5FE7"/>
    <w:rsid w:val="00EA6163"/>
    <w:rsid w:val="00EA6204"/>
    <w:rsid w:val="00EA64BF"/>
    <w:rsid w:val="00EA673F"/>
    <w:rsid w:val="00EA681D"/>
    <w:rsid w:val="00EA772E"/>
    <w:rsid w:val="00EB08B9"/>
    <w:rsid w:val="00EB08F0"/>
    <w:rsid w:val="00EB0ACC"/>
    <w:rsid w:val="00EB0B78"/>
    <w:rsid w:val="00EB0B92"/>
    <w:rsid w:val="00EB1222"/>
    <w:rsid w:val="00EB149D"/>
    <w:rsid w:val="00EB18F3"/>
    <w:rsid w:val="00EB1BEB"/>
    <w:rsid w:val="00EB28AB"/>
    <w:rsid w:val="00EB3219"/>
    <w:rsid w:val="00EB3930"/>
    <w:rsid w:val="00EB3A36"/>
    <w:rsid w:val="00EB3B40"/>
    <w:rsid w:val="00EB3C13"/>
    <w:rsid w:val="00EB3E7B"/>
    <w:rsid w:val="00EB40B6"/>
    <w:rsid w:val="00EB4464"/>
    <w:rsid w:val="00EB471E"/>
    <w:rsid w:val="00EB48E5"/>
    <w:rsid w:val="00EB4A88"/>
    <w:rsid w:val="00EB4A8D"/>
    <w:rsid w:val="00EB4C36"/>
    <w:rsid w:val="00EB4D08"/>
    <w:rsid w:val="00EB4FCE"/>
    <w:rsid w:val="00EB4FD8"/>
    <w:rsid w:val="00EB5268"/>
    <w:rsid w:val="00EB52E2"/>
    <w:rsid w:val="00EB5B7C"/>
    <w:rsid w:val="00EB67D7"/>
    <w:rsid w:val="00EB6AF3"/>
    <w:rsid w:val="00EB7229"/>
    <w:rsid w:val="00EB79D9"/>
    <w:rsid w:val="00EB79E3"/>
    <w:rsid w:val="00EB7ACD"/>
    <w:rsid w:val="00EB7B0E"/>
    <w:rsid w:val="00EB7F39"/>
    <w:rsid w:val="00EB7F6C"/>
    <w:rsid w:val="00EC01A1"/>
    <w:rsid w:val="00EC01E3"/>
    <w:rsid w:val="00EC0326"/>
    <w:rsid w:val="00EC07B6"/>
    <w:rsid w:val="00EC07CF"/>
    <w:rsid w:val="00EC0816"/>
    <w:rsid w:val="00EC088D"/>
    <w:rsid w:val="00EC08EE"/>
    <w:rsid w:val="00EC0A29"/>
    <w:rsid w:val="00EC1F8A"/>
    <w:rsid w:val="00EC20B6"/>
    <w:rsid w:val="00EC2865"/>
    <w:rsid w:val="00EC2A20"/>
    <w:rsid w:val="00EC3022"/>
    <w:rsid w:val="00EC33B4"/>
    <w:rsid w:val="00EC36A7"/>
    <w:rsid w:val="00EC382B"/>
    <w:rsid w:val="00EC3F91"/>
    <w:rsid w:val="00EC405E"/>
    <w:rsid w:val="00EC4AC8"/>
    <w:rsid w:val="00EC4B5C"/>
    <w:rsid w:val="00EC4C97"/>
    <w:rsid w:val="00EC4CB4"/>
    <w:rsid w:val="00EC4DF8"/>
    <w:rsid w:val="00EC50D2"/>
    <w:rsid w:val="00EC56B8"/>
    <w:rsid w:val="00EC57E1"/>
    <w:rsid w:val="00EC5836"/>
    <w:rsid w:val="00EC5E76"/>
    <w:rsid w:val="00EC5F94"/>
    <w:rsid w:val="00EC60DF"/>
    <w:rsid w:val="00EC62E6"/>
    <w:rsid w:val="00EC6397"/>
    <w:rsid w:val="00EC63D8"/>
    <w:rsid w:val="00EC6C1D"/>
    <w:rsid w:val="00EC7209"/>
    <w:rsid w:val="00EC73E0"/>
    <w:rsid w:val="00EC73E7"/>
    <w:rsid w:val="00EC74D2"/>
    <w:rsid w:val="00ED084B"/>
    <w:rsid w:val="00ED0BE4"/>
    <w:rsid w:val="00ED0C00"/>
    <w:rsid w:val="00ED1149"/>
    <w:rsid w:val="00ED154E"/>
    <w:rsid w:val="00ED1678"/>
    <w:rsid w:val="00ED187C"/>
    <w:rsid w:val="00ED18DA"/>
    <w:rsid w:val="00ED1BA8"/>
    <w:rsid w:val="00ED238B"/>
    <w:rsid w:val="00ED27AD"/>
    <w:rsid w:val="00ED2A0C"/>
    <w:rsid w:val="00ED2A16"/>
    <w:rsid w:val="00ED2B39"/>
    <w:rsid w:val="00ED2E8F"/>
    <w:rsid w:val="00ED2F49"/>
    <w:rsid w:val="00ED3021"/>
    <w:rsid w:val="00ED30F8"/>
    <w:rsid w:val="00ED337B"/>
    <w:rsid w:val="00ED35CE"/>
    <w:rsid w:val="00ED3C1E"/>
    <w:rsid w:val="00ED3C24"/>
    <w:rsid w:val="00ED3C97"/>
    <w:rsid w:val="00ED3F14"/>
    <w:rsid w:val="00ED4022"/>
    <w:rsid w:val="00ED4159"/>
    <w:rsid w:val="00ED42A2"/>
    <w:rsid w:val="00ED477B"/>
    <w:rsid w:val="00ED4842"/>
    <w:rsid w:val="00ED489C"/>
    <w:rsid w:val="00ED4C49"/>
    <w:rsid w:val="00ED4CA2"/>
    <w:rsid w:val="00ED4CC5"/>
    <w:rsid w:val="00ED51F8"/>
    <w:rsid w:val="00ED55BA"/>
    <w:rsid w:val="00ED57EA"/>
    <w:rsid w:val="00ED5859"/>
    <w:rsid w:val="00ED5CE0"/>
    <w:rsid w:val="00ED634F"/>
    <w:rsid w:val="00ED644F"/>
    <w:rsid w:val="00ED64D4"/>
    <w:rsid w:val="00ED6713"/>
    <w:rsid w:val="00ED6924"/>
    <w:rsid w:val="00ED6D82"/>
    <w:rsid w:val="00ED72EE"/>
    <w:rsid w:val="00ED7A6B"/>
    <w:rsid w:val="00EE0038"/>
    <w:rsid w:val="00EE02E2"/>
    <w:rsid w:val="00EE0BE7"/>
    <w:rsid w:val="00EE110D"/>
    <w:rsid w:val="00EE1346"/>
    <w:rsid w:val="00EE13C8"/>
    <w:rsid w:val="00EE14DD"/>
    <w:rsid w:val="00EE1CF6"/>
    <w:rsid w:val="00EE1DE7"/>
    <w:rsid w:val="00EE1DF5"/>
    <w:rsid w:val="00EE234A"/>
    <w:rsid w:val="00EE23B6"/>
    <w:rsid w:val="00EE26D1"/>
    <w:rsid w:val="00EE2CAB"/>
    <w:rsid w:val="00EE34AD"/>
    <w:rsid w:val="00EE34E7"/>
    <w:rsid w:val="00EE3F4F"/>
    <w:rsid w:val="00EE4047"/>
    <w:rsid w:val="00EE4187"/>
    <w:rsid w:val="00EE4402"/>
    <w:rsid w:val="00EE44C7"/>
    <w:rsid w:val="00EE4502"/>
    <w:rsid w:val="00EE45E7"/>
    <w:rsid w:val="00EE497C"/>
    <w:rsid w:val="00EE4A2A"/>
    <w:rsid w:val="00EE4B04"/>
    <w:rsid w:val="00EE4EE5"/>
    <w:rsid w:val="00EE5492"/>
    <w:rsid w:val="00EE54E1"/>
    <w:rsid w:val="00EE5745"/>
    <w:rsid w:val="00EE5F0A"/>
    <w:rsid w:val="00EE694E"/>
    <w:rsid w:val="00EE6A38"/>
    <w:rsid w:val="00EE6AE2"/>
    <w:rsid w:val="00EE6B48"/>
    <w:rsid w:val="00EE6DE8"/>
    <w:rsid w:val="00EE70A4"/>
    <w:rsid w:val="00EE72FA"/>
    <w:rsid w:val="00EE77C7"/>
    <w:rsid w:val="00EE795F"/>
    <w:rsid w:val="00EF03FB"/>
    <w:rsid w:val="00EF0710"/>
    <w:rsid w:val="00EF0B92"/>
    <w:rsid w:val="00EF0C2C"/>
    <w:rsid w:val="00EF0D8D"/>
    <w:rsid w:val="00EF0FFE"/>
    <w:rsid w:val="00EF1018"/>
    <w:rsid w:val="00EF15B9"/>
    <w:rsid w:val="00EF1666"/>
    <w:rsid w:val="00EF182D"/>
    <w:rsid w:val="00EF184B"/>
    <w:rsid w:val="00EF1C79"/>
    <w:rsid w:val="00EF1CCF"/>
    <w:rsid w:val="00EF20C5"/>
    <w:rsid w:val="00EF22DC"/>
    <w:rsid w:val="00EF22E5"/>
    <w:rsid w:val="00EF23E7"/>
    <w:rsid w:val="00EF2803"/>
    <w:rsid w:val="00EF3B9E"/>
    <w:rsid w:val="00EF3BC8"/>
    <w:rsid w:val="00EF3DC6"/>
    <w:rsid w:val="00EF3DF7"/>
    <w:rsid w:val="00EF3E0D"/>
    <w:rsid w:val="00EF3E7F"/>
    <w:rsid w:val="00EF3E93"/>
    <w:rsid w:val="00EF3EB3"/>
    <w:rsid w:val="00EF46B4"/>
    <w:rsid w:val="00EF4DBA"/>
    <w:rsid w:val="00EF4F38"/>
    <w:rsid w:val="00EF58EE"/>
    <w:rsid w:val="00EF5D5A"/>
    <w:rsid w:val="00EF5EDC"/>
    <w:rsid w:val="00EF63C2"/>
    <w:rsid w:val="00EF670E"/>
    <w:rsid w:val="00EF69C5"/>
    <w:rsid w:val="00EF6E48"/>
    <w:rsid w:val="00EF75B4"/>
    <w:rsid w:val="00EF7C44"/>
    <w:rsid w:val="00F00670"/>
    <w:rsid w:val="00F0074A"/>
    <w:rsid w:val="00F00F09"/>
    <w:rsid w:val="00F01227"/>
    <w:rsid w:val="00F013B6"/>
    <w:rsid w:val="00F013D6"/>
    <w:rsid w:val="00F013DC"/>
    <w:rsid w:val="00F01640"/>
    <w:rsid w:val="00F01C38"/>
    <w:rsid w:val="00F02016"/>
    <w:rsid w:val="00F02079"/>
    <w:rsid w:val="00F0239E"/>
    <w:rsid w:val="00F02669"/>
    <w:rsid w:val="00F0283C"/>
    <w:rsid w:val="00F029AE"/>
    <w:rsid w:val="00F02A67"/>
    <w:rsid w:val="00F0393F"/>
    <w:rsid w:val="00F0402C"/>
    <w:rsid w:val="00F04D81"/>
    <w:rsid w:val="00F04DE7"/>
    <w:rsid w:val="00F04E20"/>
    <w:rsid w:val="00F054A7"/>
    <w:rsid w:val="00F0552A"/>
    <w:rsid w:val="00F05E25"/>
    <w:rsid w:val="00F061E6"/>
    <w:rsid w:val="00F06899"/>
    <w:rsid w:val="00F0696D"/>
    <w:rsid w:val="00F06DA0"/>
    <w:rsid w:val="00F06DA3"/>
    <w:rsid w:val="00F06FB7"/>
    <w:rsid w:val="00F072FF"/>
    <w:rsid w:val="00F078B0"/>
    <w:rsid w:val="00F104D6"/>
    <w:rsid w:val="00F10E1D"/>
    <w:rsid w:val="00F10E89"/>
    <w:rsid w:val="00F10FAB"/>
    <w:rsid w:val="00F113EF"/>
    <w:rsid w:val="00F11435"/>
    <w:rsid w:val="00F11825"/>
    <w:rsid w:val="00F11B1E"/>
    <w:rsid w:val="00F11E38"/>
    <w:rsid w:val="00F11FBF"/>
    <w:rsid w:val="00F120D5"/>
    <w:rsid w:val="00F12520"/>
    <w:rsid w:val="00F12C4A"/>
    <w:rsid w:val="00F12DE6"/>
    <w:rsid w:val="00F13691"/>
    <w:rsid w:val="00F13741"/>
    <w:rsid w:val="00F13843"/>
    <w:rsid w:val="00F13B95"/>
    <w:rsid w:val="00F146A1"/>
    <w:rsid w:val="00F149AA"/>
    <w:rsid w:val="00F14CC9"/>
    <w:rsid w:val="00F14CE6"/>
    <w:rsid w:val="00F14E45"/>
    <w:rsid w:val="00F14EEA"/>
    <w:rsid w:val="00F1513D"/>
    <w:rsid w:val="00F15509"/>
    <w:rsid w:val="00F1579C"/>
    <w:rsid w:val="00F1586D"/>
    <w:rsid w:val="00F15A46"/>
    <w:rsid w:val="00F15B76"/>
    <w:rsid w:val="00F15C16"/>
    <w:rsid w:val="00F15E02"/>
    <w:rsid w:val="00F15E60"/>
    <w:rsid w:val="00F163E5"/>
    <w:rsid w:val="00F16591"/>
    <w:rsid w:val="00F16A88"/>
    <w:rsid w:val="00F17095"/>
    <w:rsid w:val="00F17881"/>
    <w:rsid w:val="00F179D5"/>
    <w:rsid w:val="00F17CA3"/>
    <w:rsid w:val="00F20126"/>
    <w:rsid w:val="00F203C6"/>
    <w:rsid w:val="00F207F5"/>
    <w:rsid w:val="00F20D23"/>
    <w:rsid w:val="00F20DDB"/>
    <w:rsid w:val="00F210F8"/>
    <w:rsid w:val="00F211F4"/>
    <w:rsid w:val="00F21840"/>
    <w:rsid w:val="00F218BC"/>
    <w:rsid w:val="00F21BF0"/>
    <w:rsid w:val="00F21C98"/>
    <w:rsid w:val="00F21ED1"/>
    <w:rsid w:val="00F22108"/>
    <w:rsid w:val="00F22110"/>
    <w:rsid w:val="00F2231A"/>
    <w:rsid w:val="00F22CB0"/>
    <w:rsid w:val="00F22E8C"/>
    <w:rsid w:val="00F2300D"/>
    <w:rsid w:val="00F23133"/>
    <w:rsid w:val="00F232E8"/>
    <w:rsid w:val="00F23352"/>
    <w:rsid w:val="00F234F3"/>
    <w:rsid w:val="00F2368F"/>
    <w:rsid w:val="00F23B14"/>
    <w:rsid w:val="00F23BFC"/>
    <w:rsid w:val="00F23FD1"/>
    <w:rsid w:val="00F24517"/>
    <w:rsid w:val="00F24519"/>
    <w:rsid w:val="00F2453A"/>
    <w:rsid w:val="00F245FA"/>
    <w:rsid w:val="00F248CF"/>
    <w:rsid w:val="00F24A76"/>
    <w:rsid w:val="00F24D63"/>
    <w:rsid w:val="00F24D8C"/>
    <w:rsid w:val="00F24E8B"/>
    <w:rsid w:val="00F250C0"/>
    <w:rsid w:val="00F25DCE"/>
    <w:rsid w:val="00F25E61"/>
    <w:rsid w:val="00F26760"/>
    <w:rsid w:val="00F26946"/>
    <w:rsid w:val="00F26AA1"/>
    <w:rsid w:val="00F26E2A"/>
    <w:rsid w:val="00F27A3B"/>
    <w:rsid w:val="00F27A81"/>
    <w:rsid w:val="00F27DCA"/>
    <w:rsid w:val="00F301FF"/>
    <w:rsid w:val="00F305FF"/>
    <w:rsid w:val="00F30715"/>
    <w:rsid w:val="00F30F93"/>
    <w:rsid w:val="00F31000"/>
    <w:rsid w:val="00F3140A"/>
    <w:rsid w:val="00F31B5E"/>
    <w:rsid w:val="00F31B70"/>
    <w:rsid w:val="00F31D9C"/>
    <w:rsid w:val="00F32005"/>
    <w:rsid w:val="00F320C4"/>
    <w:rsid w:val="00F321AB"/>
    <w:rsid w:val="00F3236D"/>
    <w:rsid w:val="00F32437"/>
    <w:rsid w:val="00F329C4"/>
    <w:rsid w:val="00F32A41"/>
    <w:rsid w:val="00F33152"/>
    <w:rsid w:val="00F331B9"/>
    <w:rsid w:val="00F33258"/>
    <w:rsid w:val="00F33B22"/>
    <w:rsid w:val="00F33B90"/>
    <w:rsid w:val="00F341EE"/>
    <w:rsid w:val="00F342DA"/>
    <w:rsid w:val="00F34E7F"/>
    <w:rsid w:val="00F35756"/>
    <w:rsid w:val="00F35E79"/>
    <w:rsid w:val="00F360CE"/>
    <w:rsid w:val="00F36168"/>
    <w:rsid w:val="00F36669"/>
    <w:rsid w:val="00F36985"/>
    <w:rsid w:val="00F36F99"/>
    <w:rsid w:val="00F36FE7"/>
    <w:rsid w:val="00F37735"/>
    <w:rsid w:val="00F379EC"/>
    <w:rsid w:val="00F37E0F"/>
    <w:rsid w:val="00F37E36"/>
    <w:rsid w:val="00F40034"/>
    <w:rsid w:val="00F4039C"/>
    <w:rsid w:val="00F40477"/>
    <w:rsid w:val="00F40AFB"/>
    <w:rsid w:val="00F40D14"/>
    <w:rsid w:val="00F412EC"/>
    <w:rsid w:val="00F41429"/>
    <w:rsid w:val="00F41A71"/>
    <w:rsid w:val="00F41B50"/>
    <w:rsid w:val="00F41F8B"/>
    <w:rsid w:val="00F4224C"/>
    <w:rsid w:val="00F424AC"/>
    <w:rsid w:val="00F427E7"/>
    <w:rsid w:val="00F429D9"/>
    <w:rsid w:val="00F42A24"/>
    <w:rsid w:val="00F43038"/>
    <w:rsid w:val="00F43DAB"/>
    <w:rsid w:val="00F44684"/>
    <w:rsid w:val="00F44D0D"/>
    <w:rsid w:val="00F44F03"/>
    <w:rsid w:val="00F44F1E"/>
    <w:rsid w:val="00F4523E"/>
    <w:rsid w:val="00F4530C"/>
    <w:rsid w:val="00F45404"/>
    <w:rsid w:val="00F4557C"/>
    <w:rsid w:val="00F45862"/>
    <w:rsid w:val="00F45BD0"/>
    <w:rsid w:val="00F4690E"/>
    <w:rsid w:val="00F46B46"/>
    <w:rsid w:val="00F46E9D"/>
    <w:rsid w:val="00F46F21"/>
    <w:rsid w:val="00F474B6"/>
    <w:rsid w:val="00F4754C"/>
    <w:rsid w:val="00F4763E"/>
    <w:rsid w:val="00F47665"/>
    <w:rsid w:val="00F476B0"/>
    <w:rsid w:val="00F478E7"/>
    <w:rsid w:val="00F47A7E"/>
    <w:rsid w:val="00F47F92"/>
    <w:rsid w:val="00F5058A"/>
    <w:rsid w:val="00F5090D"/>
    <w:rsid w:val="00F509B0"/>
    <w:rsid w:val="00F50ADE"/>
    <w:rsid w:val="00F51037"/>
    <w:rsid w:val="00F51401"/>
    <w:rsid w:val="00F51BA4"/>
    <w:rsid w:val="00F51FA6"/>
    <w:rsid w:val="00F521B2"/>
    <w:rsid w:val="00F5220C"/>
    <w:rsid w:val="00F52956"/>
    <w:rsid w:val="00F52AFD"/>
    <w:rsid w:val="00F53084"/>
    <w:rsid w:val="00F531EE"/>
    <w:rsid w:val="00F5321A"/>
    <w:rsid w:val="00F53440"/>
    <w:rsid w:val="00F53445"/>
    <w:rsid w:val="00F534D5"/>
    <w:rsid w:val="00F53759"/>
    <w:rsid w:val="00F539C6"/>
    <w:rsid w:val="00F53DA2"/>
    <w:rsid w:val="00F53DD5"/>
    <w:rsid w:val="00F53FC3"/>
    <w:rsid w:val="00F53FF4"/>
    <w:rsid w:val="00F54023"/>
    <w:rsid w:val="00F541C1"/>
    <w:rsid w:val="00F542D4"/>
    <w:rsid w:val="00F542DD"/>
    <w:rsid w:val="00F5484A"/>
    <w:rsid w:val="00F55108"/>
    <w:rsid w:val="00F556AB"/>
    <w:rsid w:val="00F558A0"/>
    <w:rsid w:val="00F55C28"/>
    <w:rsid w:val="00F55E20"/>
    <w:rsid w:val="00F56161"/>
    <w:rsid w:val="00F568A2"/>
    <w:rsid w:val="00F56CCF"/>
    <w:rsid w:val="00F56E2F"/>
    <w:rsid w:val="00F56FB7"/>
    <w:rsid w:val="00F570AF"/>
    <w:rsid w:val="00F57442"/>
    <w:rsid w:val="00F57C04"/>
    <w:rsid w:val="00F603D8"/>
    <w:rsid w:val="00F605E4"/>
    <w:rsid w:val="00F60755"/>
    <w:rsid w:val="00F60FEA"/>
    <w:rsid w:val="00F618CE"/>
    <w:rsid w:val="00F61B2D"/>
    <w:rsid w:val="00F621D5"/>
    <w:rsid w:val="00F6244C"/>
    <w:rsid w:val="00F62794"/>
    <w:rsid w:val="00F6287E"/>
    <w:rsid w:val="00F62A87"/>
    <w:rsid w:val="00F62C0E"/>
    <w:rsid w:val="00F631BA"/>
    <w:rsid w:val="00F63833"/>
    <w:rsid w:val="00F63D7C"/>
    <w:rsid w:val="00F63F41"/>
    <w:rsid w:val="00F6454A"/>
    <w:rsid w:val="00F64652"/>
    <w:rsid w:val="00F652E2"/>
    <w:rsid w:val="00F65515"/>
    <w:rsid w:val="00F65AA4"/>
    <w:rsid w:val="00F65D1B"/>
    <w:rsid w:val="00F664EB"/>
    <w:rsid w:val="00F665C4"/>
    <w:rsid w:val="00F665CA"/>
    <w:rsid w:val="00F665CE"/>
    <w:rsid w:val="00F66943"/>
    <w:rsid w:val="00F66A50"/>
    <w:rsid w:val="00F66BDE"/>
    <w:rsid w:val="00F66D56"/>
    <w:rsid w:val="00F66F8A"/>
    <w:rsid w:val="00F676A2"/>
    <w:rsid w:val="00F67788"/>
    <w:rsid w:val="00F67ADD"/>
    <w:rsid w:val="00F67B9E"/>
    <w:rsid w:val="00F67EA9"/>
    <w:rsid w:val="00F7022F"/>
    <w:rsid w:val="00F704F5"/>
    <w:rsid w:val="00F706A2"/>
    <w:rsid w:val="00F70804"/>
    <w:rsid w:val="00F70C0D"/>
    <w:rsid w:val="00F71617"/>
    <w:rsid w:val="00F718CA"/>
    <w:rsid w:val="00F71A8D"/>
    <w:rsid w:val="00F71F72"/>
    <w:rsid w:val="00F71FCC"/>
    <w:rsid w:val="00F72625"/>
    <w:rsid w:val="00F72661"/>
    <w:rsid w:val="00F72AF3"/>
    <w:rsid w:val="00F72E99"/>
    <w:rsid w:val="00F7304E"/>
    <w:rsid w:val="00F7361F"/>
    <w:rsid w:val="00F73861"/>
    <w:rsid w:val="00F73B09"/>
    <w:rsid w:val="00F73D0A"/>
    <w:rsid w:val="00F73EE3"/>
    <w:rsid w:val="00F73FB8"/>
    <w:rsid w:val="00F74514"/>
    <w:rsid w:val="00F74589"/>
    <w:rsid w:val="00F74979"/>
    <w:rsid w:val="00F74BE0"/>
    <w:rsid w:val="00F74D40"/>
    <w:rsid w:val="00F74E17"/>
    <w:rsid w:val="00F74E99"/>
    <w:rsid w:val="00F75026"/>
    <w:rsid w:val="00F7508E"/>
    <w:rsid w:val="00F75CA9"/>
    <w:rsid w:val="00F75FBA"/>
    <w:rsid w:val="00F762CE"/>
    <w:rsid w:val="00F7634E"/>
    <w:rsid w:val="00F76530"/>
    <w:rsid w:val="00F76888"/>
    <w:rsid w:val="00F76974"/>
    <w:rsid w:val="00F76A03"/>
    <w:rsid w:val="00F76F2D"/>
    <w:rsid w:val="00F77269"/>
    <w:rsid w:val="00F77422"/>
    <w:rsid w:val="00F775C2"/>
    <w:rsid w:val="00F77ACE"/>
    <w:rsid w:val="00F77B1D"/>
    <w:rsid w:val="00F77CE7"/>
    <w:rsid w:val="00F80807"/>
    <w:rsid w:val="00F80948"/>
    <w:rsid w:val="00F80BAD"/>
    <w:rsid w:val="00F818D2"/>
    <w:rsid w:val="00F81CBB"/>
    <w:rsid w:val="00F82222"/>
    <w:rsid w:val="00F8256F"/>
    <w:rsid w:val="00F82728"/>
    <w:rsid w:val="00F828AC"/>
    <w:rsid w:val="00F82B35"/>
    <w:rsid w:val="00F82D54"/>
    <w:rsid w:val="00F82DD5"/>
    <w:rsid w:val="00F8300D"/>
    <w:rsid w:val="00F83016"/>
    <w:rsid w:val="00F8325A"/>
    <w:rsid w:val="00F83385"/>
    <w:rsid w:val="00F83473"/>
    <w:rsid w:val="00F8360E"/>
    <w:rsid w:val="00F838D8"/>
    <w:rsid w:val="00F841A0"/>
    <w:rsid w:val="00F844A0"/>
    <w:rsid w:val="00F846FA"/>
    <w:rsid w:val="00F84769"/>
    <w:rsid w:val="00F8480B"/>
    <w:rsid w:val="00F850C0"/>
    <w:rsid w:val="00F8515B"/>
    <w:rsid w:val="00F854BE"/>
    <w:rsid w:val="00F85709"/>
    <w:rsid w:val="00F858E7"/>
    <w:rsid w:val="00F85D5B"/>
    <w:rsid w:val="00F86191"/>
    <w:rsid w:val="00F86263"/>
    <w:rsid w:val="00F863EB"/>
    <w:rsid w:val="00F8642E"/>
    <w:rsid w:val="00F86B14"/>
    <w:rsid w:val="00F86B3B"/>
    <w:rsid w:val="00F86C27"/>
    <w:rsid w:val="00F87111"/>
    <w:rsid w:val="00F875E4"/>
    <w:rsid w:val="00F8785E"/>
    <w:rsid w:val="00F87A5E"/>
    <w:rsid w:val="00F9074F"/>
    <w:rsid w:val="00F909DD"/>
    <w:rsid w:val="00F90A24"/>
    <w:rsid w:val="00F90A2D"/>
    <w:rsid w:val="00F90AFF"/>
    <w:rsid w:val="00F90ED3"/>
    <w:rsid w:val="00F90EDA"/>
    <w:rsid w:val="00F910F4"/>
    <w:rsid w:val="00F91709"/>
    <w:rsid w:val="00F9194C"/>
    <w:rsid w:val="00F91AF0"/>
    <w:rsid w:val="00F91DDA"/>
    <w:rsid w:val="00F91F19"/>
    <w:rsid w:val="00F92198"/>
    <w:rsid w:val="00F92796"/>
    <w:rsid w:val="00F929AB"/>
    <w:rsid w:val="00F92AC6"/>
    <w:rsid w:val="00F92BFE"/>
    <w:rsid w:val="00F93120"/>
    <w:rsid w:val="00F9371D"/>
    <w:rsid w:val="00F9395F"/>
    <w:rsid w:val="00F93C4F"/>
    <w:rsid w:val="00F93F49"/>
    <w:rsid w:val="00F93FE6"/>
    <w:rsid w:val="00F9402B"/>
    <w:rsid w:val="00F943EF"/>
    <w:rsid w:val="00F9474A"/>
    <w:rsid w:val="00F947A0"/>
    <w:rsid w:val="00F947BF"/>
    <w:rsid w:val="00F94BD8"/>
    <w:rsid w:val="00F94F10"/>
    <w:rsid w:val="00F956BF"/>
    <w:rsid w:val="00F95952"/>
    <w:rsid w:val="00F95D3F"/>
    <w:rsid w:val="00F95F79"/>
    <w:rsid w:val="00F962F1"/>
    <w:rsid w:val="00F96D37"/>
    <w:rsid w:val="00F9789D"/>
    <w:rsid w:val="00F9791D"/>
    <w:rsid w:val="00F97B42"/>
    <w:rsid w:val="00F97BB9"/>
    <w:rsid w:val="00F97D31"/>
    <w:rsid w:val="00F97F84"/>
    <w:rsid w:val="00FA0045"/>
    <w:rsid w:val="00FA052D"/>
    <w:rsid w:val="00FA056B"/>
    <w:rsid w:val="00FA0646"/>
    <w:rsid w:val="00FA0E17"/>
    <w:rsid w:val="00FA1045"/>
    <w:rsid w:val="00FA141F"/>
    <w:rsid w:val="00FA1EED"/>
    <w:rsid w:val="00FA250A"/>
    <w:rsid w:val="00FA26B3"/>
    <w:rsid w:val="00FA2C11"/>
    <w:rsid w:val="00FA302B"/>
    <w:rsid w:val="00FA3041"/>
    <w:rsid w:val="00FA3384"/>
    <w:rsid w:val="00FA359B"/>
    <w:rsid w:val="00FA3631"/>
    <w:rsid w:val="00FA38C5"/>
    <w:rsid w:val="00FA3987"/>
    <w:rsid w:val="00FA3EE6"/>
    <w:rsid w:val="00FA3FC7"/>
    <w:rsid w:val="00FA43C2"/>
    <w:rsid w:val="00FA4630"/>
    <w:rsid w:val="00FA47CA"/>
    <w:rsid w:val="00FA493C"/>
    <w:rsid w:val="00FA4F3F"/>
    <w:rsid w:val="00FA525B"/>
    <w:rsid w:val="00FA528C"/>
    <w:rsid w:val="00FA5435"/>
    <w:rsid w:val="00FA5522"/>
    <w:rsid w:val="00FA55ED"/>
    <w:rsid w:val="00FA5CB3"/>
    <w:rsid w:val="00FA5E69"/>
    <w:rsid w:val="00FA5F35"/>
    <w:rsid w:val="00FA613C"/>
    <w:rsid w:val="00FA62E6"/>
    <w:rsid w:val="00FA6751"/>
    <w:rsid w:val="00FA68F9"/>
    <w:rsid w:val="00FA705D"/>
    <w:rsid w:val="00FA7671"/>
    <w:rsid w:val="00FA777D"/>
    <w:rsid w:val="00FA790B"/>
    <w:rsid w:val="00FA7A33"/>
    <w:rsid w:val="00FA7B2B"/>
    <w:rsid w:val="00FA7D56"/>
    <w:rsid w:val="00FA7F43"/>
    <w:rsid w:val="00FB088D"/>
    <w:rsid w:val="00FB0936"/>
    <w:rsid w:val="00FB0CD4"/>
    <w:rsid w:val="00FB0F0E"/>
    <w:rsid w:val="00FB11A4"/>
    <w:rsid w:val="00FB1588"/>
    <w:rsid w:val="00FB17B7"/>
    <w:rsid w:val="00FB2941"/>
    <w:rsid w:val="00FB2CA8"/>
    <w:rsid w:val="00FB2D20"/>
    <w:rsid w:val="00FB2FA8"/>
    <w:rsid w:val="00FB3013"/>
    <w:rsid w:val="00FB3108"/>
    <w:rsid w:val="00FB325B"/>
    <w:rsid w:val="00FB3926"/>
    <w:rsid w:val="00FB40B5"/>
    <w:rsid w:val="00FB42DE"/>
    <w:rsid w:val="00FB43F0"/>
    <w:rsid w:val="00FB4500"/>
    <w:rsid w:val="00FB45D8"/>
    <w:rsid w:val="00FB4A63"/>
    <w:rsid w:val="00FB54A5"/>
    <w:rsid w:val="00FB59F5"/>
    <w:rsid w:val="00FB5A53"/>
    <w:rsid w:val="00FB607D"/>
    <w:rsid w:val="00FB6208"/>
    <w:rsid w:val="00FB64AA"/>
    <w:rsid w:val="00FB655A"/>
    <w:rsid w:val="00FB68BE"/>
    <w:rsid w:val="00FB69C2"/>
    <w:rsid w:val="00FB6BBB"/>
    <w:rsid w:val="00FB707E"/>
    <w:rsid w:val="00FB709D"/>
    <w:rsid w:val="00FB7448"/>
    <w:rsid w:val="00FB74D5"/>
    <w:rsid w:val="00FB75BC"/>
    <w:rsid w:val="00FB7E36"/>
    <w:rsid w:val="00FB7E88"/>
    <w:rsid w:val="00FC0291"/>
    <w:rsid w:val="00FC089B"/>
    <w:rsid w:val="00FC0F26"/>
    <w:rsid w:val="00FC1208"/>
    <w:rsid w:val="00FC1758"/>
    <w:rsid w:val="00FC1B53"/>
    <w:rsid w:val="00FC1D3B"/>
    <w:rsid w:val="00FC21DC"/>
    <w:rsid w:val="00FC2820"/>
    <w:rsid w:val="00FC2B4E"/>
    <w:rsid w:val="00FC2EC6"/>
    <w:rsid w:val="00FC3708"/>
    <w:rsid w:val="00FC3A4E"/>
    <w:rsid w:val="00FC4046"/>
    <w:rsid w:val="00FC4240"/>
    <w:rsid w:val="00FC493C"/>
    <w:rsid w:val="00FC53B8"/>
    <w:rsid w:val="00FC58ED"/>
    <w:rsid w:val="00FC5913"/>
    <w:rsid w:val="00FC5B30"/>
    <w:rsid w:val="00FC5B32"/>
    <w:rsid w:val="00FC5BA3"/>
    <w:rsid w:val="00FC6095"/>
    <w:rsid w:val="00FC61B5"/>
    <w:rsid w:val="00FC649F"/>
    <w:rsid w:val="00FC6658"/>
    <w:rsid w:val="00FC66B3"/>
    <w:rsid w:val="00FC745F"/>
    <w:rsid w:val="00FC7641"/>
    <w:rsid w:val="00FC7B22"/>
    <w:rsid w:val="00FD015E"/>
    <w:rsid w:val="00FD0326"/>
    <w:rsid w:val="00FD0428"/>
    <w:rsid w:val="00FD05EE"/>
    <w:rsid w:val="00FD0E43"/>
    <w:rsid w:val="00FD0EAD"/>
    <w:rsid w:val="00FD13FC"/>
    <w:rsid w:val="00FD15C9"/>
    <w:rsid w:val="00FD2B77"/>
    <w:rsid w:val="00FD2E38"/>
    <w:rsid w:val="00FD2EC2"/>
    <w:rsid w:val="00FD2EEA"/>
    <w:rsid w:val="00FD3389"/>
    <w:rsid w:val="00FD36B8"/>
    <w:rsid w:val="00FD3A5A"/>
    <w:rsid w:val="00FD3B13"/>
    <w:rsid w:val="00FD4352"/>
    <w:rsid w:val="00FD436D"/>
    <w:rsid w:val="00FD4E0C"/>
    <w:rsid w:val="00FD4E81"/>
    <w:rsid w:val="00FD523A"/>
    <w:rsid w:val="00FD591B"/>
    <w:rsid w:val="00FD6234"/>
    <w:rsid w:val="00FD6E12"/>
    <w:rsid w:val="00FD71C1"/>
    <w:rsid w:val="00FD75FC"/>
    <w:rsid w:val="00FD7666"/>
    <w:rsid w:val="00FD77A2"/>
    <w:rsid w:val="00FD7AF8"/>
    <w:rsid w:val="00FD7D7A"/>
    <w:rsid w:val="00FE005E"/>
    <w:rsid w:val="00FE0106"/>
    <w:rsid w:val="00FE04EA"/>
    <w:rsid w:val="00FE0560"/>
    <w:rsid w:val="00FE07C6"/>
    <w:rsid w:val="00FE0A6B"/>
    <w:rsid w:val="00FE0ED9"/>
    <w:rsid w:val="00FE10AE"/>
    <w:rsid w:val="00FE1315"/>
    <w:rsid w:val="00FE1424"/>
    <w:rsid w:val="00FE1438"/>
    <w:rsid w:val="00FE180E"/>
    <w:rsid w:val="00FE204E"/>
    <w:rsid w:val="00FE270A"/>
    <w:rsid w:val="00FE2715"/>
    <w:rsid w:val="00FE2A34"/>
    <w:rsid w:val="00FE2CA5"/>
    <w:rsid w:val="00FE2FB3"/>
    <w:rsid w:val="00FE38C5"/>
    <w:rsid w:val="00FE3AA7"/>
    <w:rsid w:val="00FE4539"/>
    <w:rsid w:val="00FE455A"/>
    <w:rsid w:val="00FE4565"/>
    <w:rsid w:val="00FE48DC"/>
    <w:rsid w:val="00FE49C1"/>
    <w:rsid w:val="00FE4F4A"/>
    <w:rsid w:val="00FE5059"/>
    <w:rsid w:val="00FE5198"/>
    <w:rsid w:val="00FE526D"/>
    <w:rsid w:val="00FE5417"/>
    <w:rsid w:val="00FE5990"/>
    <w:rsid w:val="00FE5CDD"/>
    <w:rsid w:val="00FE5DC7"/>
    <w:rsid w:val="00FE62BF"/>
    <w:rsid w:val="00FE6965"/>
    <w:rsid w:val="00FE6ABE"/>
    <w:rsid w:val="00FE72C6"/>
    <w:rsid w:val="00FE7704"/>
    <w:rsid w:val="00FE772D"/>
    <w:rsid w:val="00FF026D"/>
    <w:rsid w:val="00FF03D9"/>
    <w:rsid w:val="00FF06A1"/>
    <w:rsid w:val="00FF09E5"/>
    <w:rsid w:val="00FF0A1D"/>
    <w:rsid w:val="00FF0DA7"/>
    <w:rsid w:val="00FF0F63"/>
    <w:rsid w:val="00FF0F9C"/>
    <w:rsid w:val="00FF12DA"/>
    <w:rsid w:val="00FF1758"/>
    <w:rsid w:val="00FF1A24"/>
    <w:rsid w:val="00FF1E3F"/>
    <w:rsid w:val="00FF1FA9"/>
    <w:rsid w:val="00FF1FC0"/>
    <w:rsid w:val="00FF2787"/>
    <w:rsid w:val="00FF3354"/>
    <w:rsid w:val="00FF340E"/>
    <w:rsid w:val="00FF34BA"/>
    <w:rsid w:val="00FF3807"/>
    <w:rsid w:val="00FF3860"/>
    <w:rsid w:val="00FF3908"/>
    <w:rsid w:val="00FF39D4"/>
    <w:rsid w:val="00FF3F8B"/>
    <w:rsid w:val="00FF41F9"/>
    <w:rsid w:val="00FF4286"/>
    <w:rsid w:val="00FF4524"/>
    <w:rsid w:val="00FF45CD"/>
    <w:rsid w:val="00FF45E9"/>
    <w:rsid w:val="00FF4737"/>
    <w:rsid w:val="00FF534E"/>
    <w:rsid w:val="00FF57C9"/>
    <w:rsid w:val="00FF598E"/>
    <w:rsid w:val="00FF5B91"/>
    <w:rsid w:val="00FF5CBF"/>
    <w:rsid w:val="00FF62C7"/>
    <w:rsid w:val="00FF62E2"/>
    <w:rsid w:val="00FF67E8"/>
    <w:rsid w:val="00FF6940"/>
    <w:rsid w:val="00FF6AC2"/>
    <w:rsid w:val="00FF6B83"/>
    <w:rsid w:val="00FF6D70"/>
    <w:rsid w:val="00FF6E93"/>
    <w:rsid w:val="00FF6FD3"/>
    <w:rsid w:val="00FF715B"/>
    <w:rsid w:val="00FF73BD"/>
    <w:rsid w:val="00FF7AEB"/>
    <w:rsid w:val="00FF7DCC"/>
    <w:rsid w:val="00FF7E00"/>
    <w:rsid w:val="014D5453"/>
    <w:rsid w:val="01511CDE"/>
    <w:rsid w:val="01687703"/>
    <w:rsid w:val="01695A69"/>
    <w:rsid w:val="01844717"/>
    <w:rsid w:val="01AD6890"/>
    <w:rsid w:val="01BB2B5B"/>
    <w:rsid w:val="01C16406"/>
    <w:rsid w:val="01D60996"/>
    <w:rsid w:val="02094AC3"/>
    <w:rsid w:val="023F2212"/>
    <w:rsid w:val="02590EC8"/>
    <w:rsid w:val="026F1277"/>
    <w:rsid w:val="02906C56"/>
    <w:rsid w:val="0297204E"/>
    <w:rsid w:val="02D6675F"/>
    <w:rsid w:val="02DE33FE"/>
    <w:rsid w:val="02F0175E"/>
    <w:rsid w:val="02F375E3"/>
    <w:rsid w:val="02FF0BE5"/>
    <w:rsid w:val="03004E02"/>
    <w:rsid w:val="030C347D"/>
    <w:rsid w:val="03487C68"/>
    <w:rsid w:val="03716765"/>
    <w:rsid w:val="03790A4F"/>
    <w:rsid w:val="037C7AE7"/>
    <w:rsid w:val="03DF412E"/>
    <w:rsid w:val="03E640E7"/>
    <w:rsid w:val="03FD6DC8"/>
    <w:rsid w:val="03FF48AB"/>
    <w:rsid w:val="04366D9A"/>
    <w:rsid w:val="04491AFD"/>
    <w:rsid w:val="0461317C"/>
    <w:rsid w:val="04767705"/>
    <w:rsid w:val="048D2C93"/>
    <w:rsid w:val="048F5D96"/>
    <w:rsid w:val="04926F71"/>
    <w:rsid w:val="04AE18D1"/>
    <w:rsid w:val="04EC5EC2"/>
    <w:rsid w:val="04FA4ECF"/>
    <w:rsid w:val="05121010"/>
    <w:rsid w:val="053022A3"/>
    <w:rsid w:val="05302CAD"/>
    <w:rsid w:val="056643A8"/>
    <w:rsid w:val="058478F7"/>
    <w:rsid w:val="05C644B1"/>
    <w:rsid w:val="05CF75E4"/>
    <w:rsid w:val="05E85A65"/>
    <w:rsid w:val="05F96BD7"/>
    <w:rsid w:val="060C06C0"/>
    <w:rsid w:val="063B13B3"/>
    <w:rsid w:val="063B5109"/>
    <w:rsid w:val="0647151B"/>
    <w:rsid w:val="06471956"/>
    <w:rsid w:val="06684123"/>
    <w:rsid w:val="067032E2"/>
    <w:rsid w:val="068B4583"/>
    <w:rsid w:val="06E217D0"/>
    <w:rsid w:val="06EC4A5A"/>
    <w:rsid w:val="06F7755F"/>
    <w:rsid w:val="072365A6"/>
    <w:rsid w:val="07A70F85"/>
    <w:rsid w:val="07B74190"/>
    <w:rsid w:val="07CA0EE3"/>
    <w:rsid w:val="07E326DC"/>
    <w:rsid w:val="07F37227"/>
    <w:rsid w:val="07FD6DF7"/>
    <w:rsid w:val="0810157E"/>
    <w:rsid w:val="08170959"/>
    <w:rsid w:val="084902EB"/>
    <w:rsid w:val="084F05ED"/>
    <w:rsid w:val="08581A70"/>
    <w:rsid w:val="086B3224"/>
    <w:rsid w:val="089002CB"/>
    <w:rsid w:val="08915791"/>
    <w:rsid w:val="089401A2"/>
    <w:rsid w:val="089B6610"/>
    <w:rsid w:val="08B34AD1"/>
    <w:rsid w:val="08D87D3F"/>
    <w:rsid w:val="08DF2355"/>
    <w:rsid w:val="0900347A"/>
    <w:rsid w:val="09082084"/>
    <w:rsid w:val="095D0E42"/>
    <w:rsid w:val="09820DC9"/>
    <w:rsid w:val="098D5F59"/>
    <w:rsid w:val="09C77403"/>
    <w:rsid w:val="09D056DC"/>
    <w:rsid w:val="09DE4A06"/>
    <w:rsid w:val="09F36A81"/>
    <w:rsid w:val="0A0F1CD6"/>
    <w:rsid w:val="0A314F7D"/>
    <w:rsid w:val="0A442896"/>
    <w:rsid w:val="0A456833"/>
    <w:rsid w:val="0A633BB0"/>
    <w:rsid w:val="0A842AFF"/>
    <w:rsid w:val="0A8837F6"/>
    <w:rsid w:val="0A9C7CA6"/>
    <w:rsid w:val="0AA964DF"/>
    <w:rsid w:val="0AAA00CF"/>
    <w:rsid w:val="0AB92FD5"/>
    <w:rsid w:val="0AC44769"/>
    <w:rsid w:val="0AF51F2B"/>
    <w:rsid w:val="0AFE0548"/>
    <w:rsid w:val="0B0A68E0"/>
    <w:rsid w:val="0B146A4F"/>
    <w:rsid w:val="0B160F8B"/>
    <w:rsid w:val="0B362A3B"/>
    <w:rsid w:val="0B695B72"/>
    <w:rsid w:val="0B6F7939"/>
    <w:rsid w:val="0B93537C"/>
    <w:rsid w:val="0B9A6BFD"/>
    <w:rsid w:val="0BC3711B"/>
    <w:rsid w:val="0BF202F5"/>
    <w:rsid w:val="0BF35110"/>
    <w:rsid w:val="0BFA3A3E"/>
    <w:rsid w:val="0C4954A7"/>
    <w:rsid w:val="0C517985"/>
    <w:rsid w:val="0C6566A3"/>
    <w:rsid w:val="0C827C56"/>
    <w:rsid w:val="0C846977"/>
    <w:rsid w:val="0C873B15"/>
    <w:rsid w:val="0C8C11A7"/>
    <w:rsid w:val="0C9C4A0A"/>
    <w:rsid w:val="0CAD0AD3"/>
    <w:rsid w:val="0CC72300"/>
    <w:rsid w:val="0CD93263"/>
    <w:rsid w:val="0CFA1B0E"/>
    <w:rsid w:val="0D0632D8"/>
    <w:rsid w:val="0D1D75F3"/>
    <w:rsid w:val="0D5F65DD"/>
    <w:rsid w:val="0D616393"/>
    <w:rsid w:val="0D841421"/>
    <w:rsid w:val="0D920D86"/>
    <w:rsid w:val="0D9D5054"/>
    <w:rsid w:val="0DBA09FA"/>
    <w:rsid w:val="0DD12E69"/>
    <w:rsid w:val="0DE03240"/>
    <w:rsid w:val="0DF1721D"/>
    <w:rsid w:val="0DF5025F"/>
    <w:rsid w:val="0DFD64EC"/>
    <w:rsid w:val="0E182CD6"/>
    <w:rsid w:val="0E3C2660"/>
    <w:rsid w:val="0E622F69"/>
    <w:rsid w:val="0EA74686"/>
    <w:rsid w:val="0EBA1781"/>
    <w:rsid w:val="0EC02B50"/>
    <w:rsid w:val="0F026AA1"/>
    <w:rsid w:val="0F0A0B8E"/>
    <w:rsid w:val="0F0B142E"/>
    <w:rsid w:val="0F274759"/>
    <w:rsid w:val="0F2A1335"/>
    <w:rsid w:val="0F2D1860"/>
    <w:rsid w:val="0F890CB4"/>
    <w:rsid w:val="0F9022FF"/>
    <w:rsid w:val="0FA52567"/>
    <w:rsid w:val="0FC73C25"/>
    <w:rsid w:val="0FE00F7F"/>
    <w:rsid w:val="0FE2696E"/>
    <w:rsid w:val="10652745"/>
    <w:rsid w:val="10710382"/>
    <w:rsid w:val="10727C56"/>
    <w:rsid w:val="107B5DB9"/>
    <w:rsid w:val="10954A03"/>
    <w:rsid w:val="109C2F25"/>
    <w:rsid w:val="109D1CAE"/>
    <w:rsid w:val="10A44C4D"/>
    <w:rsid w:val="10BA207F"/>
    <w:rsid w:val="10BE30A1"/>
    <w:rsid w:val="10F47E32"/>
    <w:rsid w:val="10F7320E"/>
    <w:rsid w:val="110B5B96"/>
    <w:rsid w:val="11103F78"/>
    <w:rsid w:val="11194B65"/>
    <w:rsid w:val="11292A0B"/>
    <w:rsid w:val="1132634D"/>
    <w:rsid w:val="114F2D26"/>
    <w:rsid w:val="11793E68"/>
    <w:rsid w:val="11813DD8"/>
    <w:rsid w:val="11AA463D"/>
    <w:rsid w:val="11B02383"/>
    <w:rsid w:val="11B620BD"/>
    <w:rsid w:val="11D861DF"/>
    <w:rsid w:val="11E76422"/>
    <w:rsid w:val="11EE2305"/>
    <w:rsid w:val="11F07F63"/>
    <w:rsid w:val="11F70871"/>
    <w:rsid w:val="12135248"/>
    <w:rsid w:val="12385BCF"/>
    <w:rsid w:val="123A567C"/>
    <w:rsid w:val="125D4024"/>
    <w:rsid w:val="125F49AE"/>
    <w:rsid w:val="12696C6F"/>
    <w:rsid w:val="127964DE"/>
    <w:rsid w:val="127E60E3"/>
    <w:rsid w:val="12804F29"/>
    <w:rsid w:val="12932AC8"/>
    <w:rsid w:val="12B04A66"/>
    <w:rsid w:val="12DC48BD"/>
    <w:rsid w:val="131E5E73"/>
    <w:rsid w:val="133A4E2D"/>
    <w:rsid w:val="13412D92"/>
    <w:rsid w:val="135106FF"/>
    <w:rsid w:val="13602922"/>
    <w:rsid w:val="138D1F12"/>
    <w:rsid w:val="138D6052"/>
    <w:rsid w:val="13B94521"/>
    <w:rsid w:val="13C4538B"/>
    <w:rsid w:val="13C50239"/>
    <w:rsid w:val="13DD188A"/>
    <w:rsid w:val="13DF6E1D"/>
    <w:rsid w:val="14163D9C"/>
    <w:rsid w:val="14195CE4"/>
    <w:rsid w:val="144C07BE"/>
    <w:rsid w:val="145A50C1"/>
    <w:rsid w:val="14914285"/>
    <w:rsid w:val="14A91FA2"/>
    <w:rsid w:val="14BD2C28"/>
    <w:rsid w:val="14DF0D33"/>
    <w:rsid w:val="14FE7D0A"/>
    <w:rsid w:val="150E01E8"/>
    <w:rsid w:val="15190A1F"/>
    <w:rsid w:val="151A5EF2"/>
    <w:rsid w:val="155512CA"/>
    <w:rsid w:val="15707B05"/>
    <w:rsid w:val="15742892"/>
    <w:rsid w:val="15890537"/>
    <w:rsid w:val="158E54A8"/>
    <w:rsid w:val="15956850"/>
    <w:rsid w:val="159E5049"/>
    <w:rsid w:val="15BD4879"/>
    <w:rsid w:val="15DF5F9D"/>
    <w:rsid w:val="1602067C"/>
    <w:rsid w:val="16270CC1"/>
    <w:rsid w:val="163D0555"/>
    <w:rsid w:val="165C1209"/>
    <w:rsid w:val="16C112AE"/>
    <w:rsid w:val="16E37A95"/>
    <w:rsid w:val="17111EC5"/>
    <w:rsid w:val="172A26ED"/>
    <w:rsid w:val="175E2FA6"/>
    <w:rsid w:val="17871B3D"/>
    <w:rsid w:val="17A56B63"/>
    <w:rsid w:val="17B270B5"/>
    <w:rsid w:val="17E77DC7"/>
    <w:rsid w:val="17EE4E86"/>
    <w:rsid w:val="18043263"/>
    <w:rsid w:val="18111C39"/>
    <w:rsid w:val="181A56C6"/>
    <w:rsid w:val="184332AE"/>
    <w:rsid w:val="18433F2B"/>
    <w:rsid w:val="1849397A"/>
    <w:rsid w:val="18497798"/>
    <w:rsid w:val="18647C7D"/>
    <w:rsid w:val="18764263"/>
    <w:rsid w:val="188354D1"/>
    <w:rsid w:val="189540FC"/>
    <w:rsid w:val="189E7863"/>
    <w:rsid w:val="18A76D9F"/>
    <w:rsid w:val="18B057C0"/>
    <w:rsid w:val="18E5797C"/>
    <w:rsid w:val="19235F91"/>
    <w:rsid w:val="19613BEB"/>
    <w:rsid w:val="197821B8"/>
    <w:rsid w:val="199646B5"/>
    <w:rsid w:val="19A2257B"/>
    <w:rsid w:val="19C24DE5"/>
    <w:rsid w:val="19D17E7D"/>
    <w:rsid w:val="19F25835"/>
    <w:rsid w:val="1A18265E"/>
    <w:rsid w:val="1A2F0966"/>
    <w:rsid w:val="1A34170F"/>
    <w:rsid w:val="1A3E55FB"/>
    <w:rsid w:val="1A4A39F2"/>
    <w:rsid w:val="1A634436"/>
    <w:rsid w:val="1A6A1680"/>
    <w:rsid w:val="1A74124A"/>
    <w:rsid w:val="1AB307A6"/>
    <w:rsid w:val="1AB46399"/>
    <w:rsid w:val="1ABB12DB"/>
    <w:rsid w:val="1ABC7E12"/>
    <w:rsid w:val="1B182E70"/>
    <w:rsid w:val="1B391A9C"/>
    <w:rsid w:val="1B653896"/>
    <w:rsid w:val="1B682ACD"/>
    <w:rsid w:val="1B701236"/>
    <w:rsid w:val="1B8453C9"/>
    <w:rsid w:val="1BB20A4D"/>
    <w:rsid w:val="1BB71191"/>
    <w:rsid w:val="1BCE78AD"/>
    <w:rsid w:val="1BE907EF"/>
    <w:rsid w:val="1BEC139D"/>
    <w:rsid w:val="1C0B3844"/>
    <w:rsid w:val="1C752FA8"/>
    <w:rsid w:val="1C7B1AED"/>
    <w:rsid w:val="1C8B4291"/>
    <w:rsid w:val="1CC14922"/>
    <w:rsid w:val="1CF96043"/>
    <w:rsid w:val="1CFA1620"/>
    <w:rsid w:val="1D1772ED"/>
    <w:rsid w:val="1D1D116C"/>
    <w:rsid w:val="1D210A3A"/>
    <w:rsid w:val="1D2A23C3"/>
    <w:rsid w:val="1D324E42"/>
    <w:rsid w:val="1D470009"/>
    <w:rsid w:val="1D530D6A"/>
    <w:rsid w:val="1D6F00D4"/>
    <w:rsid w:val="1D812199"/>
    <w:rsid w:val="1D9143F6"/>
    <w:rsid w:val="1DA3702B"/>
    <w:rsid w:val="1DD50B1E"/>
    <w:rsid w:val="1DE475AB"/>
    <w:rsid w:val="1E19221C"/>
    <w:rsid w:val="1E26653C"/>
    <w:rsid w:val="1E2A08D5"/>
    <w:rsid w:val="1E407150"/>
    <w:rsid w:val="1E470974"/>
    <w:rsid w:val="1E52504F"/>
    <w:rsid w:val="1E5661E3"/>
    <w:rsid w:val="1E6A62E9"/>
    <w:rsid w:val="1E8D30FB"/>
    <w:rsid w:val="1EAA3620"/>
    <w:rsid w:val="1ED22699"/>
    <w:rsid w:val="1EDE2743"/>
    <w:rsid w:val="1EF926A2"/>
    <w:rsid w:val="1EFF3ECE"/>
    <w:rsid w:val="1F0D14E7"/>
    <w:rsid w:val="1F113B5A"/>
    <w:rsid w:val="1F244929"/>
    <w:rsid w:val="1F34240C"/>
    <w:rsid w:val="1F38206B"/>
    <w:rsid w:val="1F3B1BEF"/>
    <w:rsid w:val="1F460718"/>
    <w:rsid w:val="1F7402F9"/>
    <w:rsid w:val="1F8C788C"/>
    <w:rsid w:val="1F984B84"/>
    <w:rsid w:val="1FBE4C66"/>
    <w:rsid w:val="1FC05159"/>
    <w:rsid w:val="1FDC0E13"/>
    <w:rsid w:val="1FF26FE2"/>
    <w:rsid w:val="20382A21"/>
    <w:rsid w:val="205F1DDB"/>
    <w:rsid w:val="20623843"/>
    <w:rsid w:val="206536DB"/>
    <w:rsid w:val="206C6470"/>
    <w:rsid w:val="206F172A"/>
    <w:rsid w:val="20895274"/>
    <w:rsid w:val="20A606AD"/>
    <w:rsid w:val="20AC5639"/>
    <w:rsid w:val="20B052F9"/>
    <w:rsid w:val="20CE44EA"/>
    <w:rsid w:val="20D453B1"/>
    <w:rsid w:val="20F63669"/>
    <w:rsid w:val="20F73983"/>
    <w:rsid w:val="210A2DC2"/>
    <w:rsid w:val="212A1E87"/>
    <w:rsid w:val="213D27CC"/>
    <w:rsid w:val="21787C6A"/>
    <w:rsid w:val="217D69AA"/>
    <w:rsid w:val="21BB3985"/>
    <w:rsid w:val="21C422DC"/>
    <w:rsid w:val="21D32618"/>
    <w:rsid w:val="21DF5F3D"/>
    <w:rsid w:val="21F56E91"/>
    <w:rsid w:val="22015837"/>
    <w:rsid w:val="2208207C"/>
    <w:rsid w:val="22171983"/>
    <w:rsid w:val="221C3B4F"/>
    <w:rsid w:val="225334EA"/>
    <w:rsid w:val="225F3FCC"/>
    <w:rsid w:val="22612BF3"/>
    <w:rsid w:val="228C104B"/>
    <w:rsid w:val="229B2A59"/>
    <w:rsid w:val="22BE6151"/>
    <w:rsid w:val="22D95E60"/>
    <w:rsid w:val="22E25E51"/>
    <w:rsid w:val="22FC17C1"/>
    <w:rsid w:val="22FE6DF2"/>
    <w:rsid w:val="23010AA2"/>
    <w:rsid w:val="230E7B85"/>
    <w:rsid w:val="232460B4"/>
    <w:rsid w:val="23403496"/>
    <w:rsid w:val="23470E3C"/>
    <w:rsid w:val="235356C5"/>
    <w:rsid w:val="23574D4A"/>
    <w:rsid w:val="235B2A46"/>
    <w:rsid w:val="237B5EFA"/>
    <w:rsid w:val="237C15A5"/>
    <w:rsid w:val="238A5043"/>
    <w:rsid w:val="23A42A2A"/>
    <w:rsid w:val="23A73059"/>
    <w:rsid w:val="23CF1F8A"/>
    <w:rsid w:val="23DD54CF"/>
    <w:rsid w:val="23FB5898"/>
    <w:rsid w:val="240D5AF8"/>
    <w:rsid w:val="24156BA3"/>
    <w:rsid w:val="242157C3"/>
    <w:rsid w:val="2422135D"/>
    <w:rsid w:val="243D47D4"/>
    <w:rsid w:val="24687F31"/>
    <w:rsid w:val="24713F1C"/>
    <w:rsid w:val="248F214F"/>
    <w:rsid w:val="24C03ABA"/>
    <w:rsid w:val="24C06758"/>
    <w:rsid w:val="24CE7DD9"/>
    <w:rsid w:val="24D709FA"/>
    <w:rsid w:val="24D86FD2"/>
    <w:rsid w:val="24DA6444"/>
    <w:rsid w:val="24DE1D85"/>
    <w:rsid w:val="25117089"/>
    <w:rsid w:val="25236AA0"/>
    <w:rsid w:val="25416003"/>
    <w:rsid w:val="25453733"/>
    <w:rsid w:val="25626093"/>
    <w:rsid w:val="25732A26"/>
    <w:rsid w:val="25A93F7F"/>
    <w:rsid w:val="25B35E5D"/>
    <w:rsid w:val="25DB4634"/>
    <w:rsid w:val="26146280"/>
    <w:rsid w:val="26284BE7"/>
    <w:rsid w:val="26564279"/>
    <w:rsid w:val="26570D58"/>
    <w:rsid w:val="26647128"/>
    <w:rsid w:val="27114E24"/>
    <w:rsid w:val="27177DC8"/>
    <w:rsid w:val="27211386"/>
    <w:rsid w:val="273852FE"/>
    <w:rsid w:val="273D223D"/>
    <w:rsid w:val="277E6F02"/>
    <w:rsid w:val="27895B59"/>
    <w:rsid w:val="27A57CA4"/>
    <w:rsid w:val="27D17500"/>
    <w:rsid w:val="28025D85"/>
    <w:rsid w:val="282B67AC"/>
    <w:rsid w:val="28332AB4"/>
    <w:rsid w:val="286675F9"/>
    <w:rsid w:val="28DF1CD8"/>
    <w:rsid w:val="28E23FCB"/>
    <w:rsid w:val="290A4136"/>
    <w:rsid w:val="290C41D4"/>
    <w:rsid w:val="29233D8C"/>
    <w:rsid w:val="29526C86"/>
    <w:rsid w:val="29833B59"/>
    <w:rsid w:val="29A5660B"/>
    <w:rsid w:val="29AC69D2"/>
    <w:rsid w:val="29B164F7"/>
    <w:rsid w:val="29B24829"/>
    <w:rsid w:val="29D81EE2"/>
    <w:rsid w:val="29DF2722"/>
    <w:rsid w:val="29E66D90"/>
    <w:rsid w:val="29E8637A"/>
    <w:rsid w:val="2A143DCF"/>
    <w:rsid w:val="2A2B655B"/>
    <w:rsid w:val="2A4F5655"/>
    <w:rsid w:val="2A6D02E7"/>
    <w:rsid w:val="2A862820"/>
    <w:rsid w:val="2A875CB1"/>
    <w:rsid w:val="2AF6700E"/>
    <w:rsid w:val="2B035C23"/>
    <w:rsid w:val="2B201E73"/>
    <w:rsid w:val="2B51512C"/>
    <w:rsid w:val="2B6C6162"/>
    <w:rsid w:val="2BA203E2"/>
    <w:rsid w:val="2BA41CE5"/>
    <w:rsid w:val="2BAB177C"/>
    <w:rsid w:val="2BBA379E"/>
    <w:rsid w:val="2BBD2276"/>
    <w:rsid w:val="2BE77091"/>
    <w:rsid w:val="2BED57C3"/>
    <w:rsid w:val="2BF8557E"/>
    <w:rsid w:val="2BFA5602"/>
    <w:rsid w:val="2C043F9B"/>
    <w:rsid w:val="2C0476BC"/>
    <w:rsid w:val="2C0C2AD3"/>
    <w:rsid w:val="2C5F012D"/>
    <w:rsid w:val="2C8B3A60"/>
    <w:rsid w:val="2CE0789D"/>
    <w:rsid w:val="2CFD57D7"/>
    <w:rsid w:val="2D113C88"/>
    <w:rsid w:val="2D1E3FEC"/>
    <w:rsid w:val="2D4B38B1"/>
    <w:rsid w:val="2D533EAA"/>
    <w:rsid w:val="2D6D1A79"/>
    <w:rsid w:val="2D8852E1"/>
    <w:rsid w:val="2D8D5007"/>
    <w:rsid w:val="2DAB776E"/>
    <w:rsid w:val="2DBB6EE7"/>
    <w:rsid w:val="2DC96A47"/>
    <w:rsid w:val="2DD07698"/>
    <w:rsid w:val="2DFF22C0"/>
    <w:rsid w:val="2E0D4510"/>
    <w:rsid w:val="2E2E60BE"/>
    <w:rsid w:val="2E350FEF"/>
    <w:rsid w:val="2E3848C4"/>
    <w:rsid w:val="2E396E74"/>
    <w:rsid w:val="2E3A049C"/>
    <w:rsid w:val="2E3E4E71"/>
    <w:rsid w:val="2E4C2A64"/>
    <w:rsid w:val="2E53086C"/>
    <w:rsid w:val="2E5B3D7B"/>
    <w:rsid w:val="2E710993"/>
    <w:rsid w:val="2E8140CE"/>
    <w:rsid w:val="2E821554"/>
    <w:rsid w:val="2E8D745C"/>
    <w:rsid w:val="2E8E12CC"/>
    <w:rsid w:val="2E9A257C"/>
    <w:rsid w:val="2EBD00BB"/>
    <w:rsid w:val="2EC17687"/>
    <w:rsid w:val="2ED51C99"/>
    <w:rsid w:val="2ED578D6"/>
    <w:rsid w:val="2EFD3F86"/>
    <w:rsid w:val="2F020B7E"/>
    <w:rsid w:val="2F372A84"/>
    <w:rsid w:val="2F471EA4"/>
    <w:rsid w:val="2F77098D"/>
    <w:rsid w:val="2F920AD9"/>
    <w:rsid w:val="2FB63264"/>
    <w:rsid w:val="2FC31259"/>
    <w:rsid w:val="2FE26667"/>
    <w:rsid w:val="2FE82328"/>
    <w:rsid w:val="301E23D1"/>
    <w:rsid w:val="301F7BF8"/>
    <w:rsid w:val="3071362F"/>
    <w:rsid w:val="30771690"/>
    <w:rsid w:val="30836316"/>
    <w:rsid w:val="30953524"/>
    <w:rsid w:val="30AC2466"/>
    <w:rsid w:val="30DB75FE"/>
    <w:rsid w:val="30DD2A12"/>
    <w:rsid w:val="30E06864"/>
    <w:rsid w:val="30EC2EC0"/>
    <w:rsid w:val="30EF69E4"/>
    <w:rsid w:val="31352096"/>
    <w:rsid w:val="31680BDA"/>
    <w:rsid w:val="316A3A43"/>
    <w:rsid w:val="319F04CA"/>
    <w:rsid w:val="31A6493E"/>
    <w:rsid w:val="31B52F7B"/>
    <w:rsid w:val="31E542D4"/>
    <w:rsid w:val="32095398"/>
    <w:rsid w:val="322C52E9"/>
    <w:rsid w:val="323F5E6B"/>
    <w:rsid w:val="32662DB9"/>
    <w:rsid w:val="326C67A3"/>
    <w:rsid w:val="32714FAC"/>
    <w:rsid w:val="329769BD"/>
    <w:rsid w:val="329C1708"/>
    <w:rsid w:val="32AA7F54"/>
    <w:rsid w:val="33251FB9"/>
    <w:rsid w:val="33260700"/>
    <w:rsid w:val="334D5038"/>
    <w:rsid w:val="335C6818"/>
    <w:rsid w:val="335F7C7A"/>
    <w:rsid w:val="33627F81"/>
    <w:rsid w:val="338C365C"/>
    <w:rsid w:val="338C6348"/>
    <w:rsid w:val="33A87AFE"/>
    <w:rsid w:val="33AF2150"/>
    <w:rsid w:val="33D83A93"/>
    <w:rsid w:val="33EB2DE6"/>
    <w:rsid w:val="33F1302C"/>
    <w:rsid w:val="33F245D3"/>
    <w:rsid w:val="343C7EFD"/>
    <w:rsid w:val="343D2075"/>
    <w:rsid w:val="348D4886"/>
    <w:rsid w:val="349B1829"/>
    <w:rsid w:val="349C0F2F"/>
    <w:rsid w:val="34A51D20"/>
    <w:rsid w:val="34C401D1"/>
    <w:rsid w:val="34E14DF2"/>
    <w:rsid w:val="34E42621"/>
    <w:rsid w:val="34E535BD"/>
    <w:rsid w:val="34E5616D"/>
    <w:rsid w:val="35094993"/>
    <w:rsid w:val="3558228F"/>
    <w:rsid w:val="358642D9"/>
    <w:rsid w:val="3594209A"/>
    <w:rsid w:val="35AE37C0"/>
    <w:rsid w:val="35B11666"/>
    <w:rsid w:val="35B41A7F"/>
    <w:rsid w:val="35C6514C"/>
    <w:rsid w:val="35D77D86"/>
    <w:rsid w:val="35E97AD6"/>
    <w:rsid w:val="35FC2BB9"/>
    <w:rsid w:val="35FC741C"/>
    <w:rsid w:val="360060FB"/>
    <w:rsid w:val="3625143D"/>
    <w:rsid w:val="363B70A2"/>
    <w:rsid w:val="36503C17"/>
    <w:rsid w:val="36950329"/>
    <w:rsid w:val="369E4D4B"/>
    <w:rsid w:val="36D33D58"/>
    <w:rsid w:val="36F85B40"/>
    <w:rsid w:val="372A341D"/>
    <w:rsid w:val="373B04F2"/>
    <w:rsid w:val="37720B3E"/>
    <w:rsid w:val="377F4883"/>
    <w:rsid w:val="378105FB"/>
    <w:rsid w:val="379305C9"/>
    <w:rsid w:val="37F77995"/>
    <w:rsid w:val="37FB4D29"/>
    <w:rsid w:val="37FC4126"/>
    <w:rsid w:val="3808478E"/>
    <w:rsid w:val="38456BB6"/>
    <w:rsid w:val="38495118"/>
    <w:rsid w:val="38820103"/>
    <w:rsid w:val="388B20CA"/>
    <w:rsid w:val="38A16C08"/>
    <w:rsid w:val="38BF2064"/>
    <w:rsid w:val="38D06884"/>
    <w:rsid w:val="397363CE"/>
    <w:rsid w:val="3976770B"/>
    <w:rsid w:val="39A03BEE"/>
    <w:rsid w:val="39B1478D"/>
    <w:rsid w:val="39CB4807"/>
    <w:rsid w:val="39D40DF6"/>
    <w:rsid w:val="39FA2880"/>
    <w:rsid w:val="3A002A64"/>
    <w:rsid w:val="3A0A4442"/>
    <w:rsid w:val="3A1667DD"/>
    <w:rsid w:val="3A4B0346"/>
    <w:rsid w:val="3A5C3501"/>
    <w:rsid w:val="3A6A3A77"/>
    <w:rsid w:val="3A6D337E"/>
    <w:rsid w:val="3A700600"/>
    <w:rsid w:val="3A741A4B"/>
    <w:rsid w:val="3A854CA0"/>
    <w:rsid w:val="3A8A66CD"/>
    <w:rsid w:val="3AA52853"/>
    <w:rsid w:val="3AA74B40"/>
    <w:rsid w:val="3AAB04AE"/>
    <w:rsid w:val="3AAC017F"/>
    <w:rsid w:val="3AD23290"/>
    <w:rsid w:val="3AE47278"/>
    <w:rsid w:val="3AEF2352"/>
    <w:rsid w:val="3AF0628A"/>
    <w:rsid w:val="3AF62F47"/>
    <w:rsid w:val="3B3E449C"/>
    <w:rsid w:val="3B4958D4"/>
    <w:rsid w:val="3B8B1C35"/>
    <w:rsid w:val="3B917830"/>
    <w:rsid w:val="3BB764C3"/>
    <w:rsid w:val="3BC710CA"/>
    <w:rsid w:val="3BD5137B"/>
    <w:rsid w:val="3BDD537A"/>
    <w:rsid w:val="3BE01846"/>
    <w:rsid w:val="3BF93C09"/>
    <w:rsid w:val="3C1B1378"/>
    <w:rsid w:val="3C401357"/>
    <w:rsid w:val="3C886B7F"/>
    <w:rsid w:val="3C940DD1"/>
    <w:rsid w:val="3C9D480A"/>
    <w:rsid w:val="3CA65F73"/>
    <w:rsid w:val="3CD7142F"/>
    <w:rsid w:val="3CE10B86"/>
    <w:rsid w:val="3CFD6976"/>
    <w:rsid w:val="3D0E357A"/>
    <w:rsid w:val="3D0F66A9"/>
    <w:rsid w:val="3D135893"/>
    <w:rsid w:val="3D1D1527"/>
    <w:rsid w:val="3D4466E8"/>
    <w:rsid w:val="3D6848F6"/>
    <w:rsid w:val="3D6A61F8"/>
    <w:rsid w:val="3D8A3200"/>
    <w:rsid w:val="3D9E3E65"/>
    <w:rsid w:val="3DAF1F7B"/>
    <w:rsid w:val="3DB34638"/>
    <w:rsid w:val="3DB8711F"/>
    <w:rsid w:val="3DE9514C"/>
    <w:rsid w:val="3DEE7179"/>
    <w:rsid w:val="3DFD6502"/>
    <w:rsid w:val="3E013954"/>
    <w:rsid w:val="3E1321C9"/>
    <w:rsid w:val="3E140BF7"/>
    <w:rsid w:val="3E18158D"/>
    <w:rsid w:val="3E323AD2"/>
    <w:rsid w:val="3E432AAE"/>
    <w:rsid w:val="3E871D5B"/>
    <w:rsid w:val="3EA83AFF"/>
    <w:rsid w:val="3EB42D61"/>
    <w:rsid w:val="3EB954B1"/>
    <w:rsid w:val="3EDF68B5"/>
    <w:rsid w:val="3F075EF3"/>
    <w:rsid w:val="3F3D76BC"/>
    <w:rsid w:val="3F4D15E5"/>
    <w:rsid w:val="3F7555E7"/>
    <w:rsid w:val="3F9264ED"/>
    <w:rsid w:val="3F95280E"/>
    <w:rsid w:val="3FB74F44"/>
    <w:rsid w:val="3FBB3709"/>
    <w:rsid w:val="3FD915C0"/>
    <w:rsid w:val="3FFC7456"/>
    <w:rsid w:val="40017321"/>
    <w:rsid w:val="40083413"/>
    <w:rsid w:val="400E0D7B"/>
    <w:rsid w:val="400E4E5A"/>
    <w:rsid w:val="403129DA"/>
    <w:rsid w:val="40404CF1"/>
    <w:rsid w:val="40407744"/>
    <w:rsid w:val="404A41A4"/>
    <w:rsid w:val="404D797B"/>
    <w:rsid w:val="405014B2"/>
    <w:rsid w:val="40587D98"/>
    <w:rsid w:val="40634DCB"/>
    <w:rsid w:val="40653627"/>
    <w:rsid w:val="4079250F"/>
    <w:rsid w:val="40BA1FEE"/>
    <w:rsid w:val="40D0614F"/>
    <w:rsid w:val="40DE01D3"/>
    <w:rsid w:val="40F813EC"/>
    <w:rsid w:val="411271F1"/>
    <w:rsid w:val="412B33E7"/>
    <w:rsid w:val="41654C6E"/>
    <w:rsid w:val="41870F04"/>
    <w:rsid w:val="41880048"/>
    <w:rsid w:val="41B34ED0"/>
    <w:rsid w:val="41D37CA5"/>
    <w:rsid w:val="41FC48A0"/>
    <w:rsid w:val="41FF6CEC"/>
    <w:rsid w:val="421B201E"/>
    <w:rsid w:val="423B1D52"/>
    <w:rsid w:val="424566C9"/>
    <w:rsid w:val="424F11F9"/>
    <w:rsid w:val="42504C1B"/>
    <w:rsid w:val="425C413F"/>
    <w:rsid w:val="42763211"/>
    <w:rsid w:val="428829E1"/>
    <w:rsid w:val="42A229BF"/>
    <w:rsid w:val="42AC04F6"/>
    <w:rsid w:val="42C35F6C"/>
    <w:rsid w:val="42FB1DE6"/>
    <w:rsid w:val="43086074"/>
    <w:rsid w:val="431A30C8"/>
    <w:rsid w:val="43266633"/>
    <w:rsid w:val="43297A61"/>
    <w:rsid w:val="4370549E"/>
    <w:rsid w:val="43725738"/>
    <w:rsid w:val="43863CBA"/>
    <w:rsid w:val="438B52DD"/>
    <w:rsid w:val="438E3F3E"/>
    <w:rsid w:val="43DB65B3"/>
    <w:rsid w:val="440E0B44"/>
    <w:rsid w:val="44345D25"/>
    <w:rsid w:val="44540EA7"/>
    <w:rsid w:val="446277DF"/>
    <w:rsid w:val="44660367"/>
    <w:rsid w:val="446C2633"/>
    <w:rsid w:val="44AC711D"/>
    <w:rsid w:val="44D52793"/>
    <w:rsid w:val="44E128D1"/>
    <w:rsid w:val="44E44FFA"/>
    <w:rsid w:val="44EC39F9"/>
    <w:rsid w:val="450A03B4"/>
    <w:rsid w:val="45235BA6"/>
    <w:rsid w:val="45360993"/>
    <w:rsid w:val="454B049A"/>
    <w:rsid w:val="45857508"/>
    <w:rsid w:val="45893E36"/>
    <w:rsid w:val="45D03A36"/>
    <w:rsid w:val="45F156D0"/>
    <w:rsid w:val="46183F5B"/>
    <w:rsid w:val="461D5805"/>
    <w:rsid w:val="46492C2C"/>
    <w:rsid w:val="464A21B2"/>
    <w:rsid w:val="466E2EB3"/>
    <w:rsid w:val="467210BB"/>
    <w:rsid w:val="467557CF"/>
    <w:rsid w:val="46771244"/>
    <w:rsid w:val="46823255"/>
    <w:rsid w:val="46993EDB"/>
    <w:rsid w:val="46C73107"/>
    <w:rsid w:val="46E81EA0"/>
    <w:rsid w:val="46EB3CE3"/>
    <w:rsid w:val="47114992"/>
    <w:rsid w:val="47126672"/>
    <w:rsid w:val="472914BB"/>
    <w:rsid w:val="474D04FA"/>
    <w:rsid w:val="477261B2"/>
    <w:rsid w:val="478E1A96"/>
    <w:rsid w:val="478F28C0"/>
    <w:rsid w:val="47CB7671"/>
    <w:rsid w:val="47DA0370"/>
    <w:rsid w:val="48091404"/>
    <w:rsid w:val="480B61CA"/>
    <w:rsid w:val="48312FA2"/>
    <w:rsid w:val="4839363E"/>
    <w:rsid w:val="487426C0"/>
    <w:rsid w:val="48B14AB8"/>
    <w:rsid w:val="48B704BD"/>
    <w:rsid w:val="48C14140"/>
    <w:rsid w:val="48C308BB"/>
    <w:rsid w:val="48EE51E0"/>
    <w:rsid w:val="491C507B"/>
    <w:rsid w:val="492350D1"/>
    <w:rsid w:val="497922B0"/>
    <w:rsid w:val="49955F1C"/>
    <w:rsid w:val="49C1302C"/>
    <w:rsid w:val="4A1E7F2C"/>
    <w:rsid w:val="4A324BAB"/>
    <w:rsid w:val="4A3D1F3B"/>
    <w:rsid w:val="4A4226A2"/>
    <w:rsid w:val="4A644C13"/>
    <w:rsid w:val="4A686647"/>
    <w:rsid w:val="4A6936A9"/>
    <w:rsid w:val="4A8B08F3"/>
    <w:rsid w:val="4ABF0801"/>
    <w:rsid w:val="4AC82401"/>
    <w:rsid w:val="4AF32547"/>
    <w:rsid w:val="4B006FF3"/>
    <w:rsid w:val="4B0518C6"/>
    <w:rsid w:val="4B0C5DF6"/>
    <w:rsid w:val="4B362D81"/>
    <w:rsid w:val="4B6512EB"/>
    <w:rsid w:val="4B7B7FC1"/>
    <w:rsid w:val="4B8F68D8"/>
    <w:rsid w:val="4BA11950"/>
    <w:rsid w:val="4BAE129D"/>
    <w:rsid w:val="4BC44BC4"/>
    <w:rsid w:val="4BCA49F5"/>
    <w:rsid w:val="4BDF2CD4"/>
    <w:rsid w:val="4BFC604B"/>
    <w:rsid w:val="4C160A40"/>
    <w:rsid w:val="4C332CB3"/>
    <w:rsid w:val="4C3440C6"/>
    <w:rsid w:val="4C4D6F48"/>
    <w:rsid w:val="4C5B4E20"/>
    <w:rsid w:val="4C602A7D"/>
    <w:rsid w:val="4CB40439"/>
    <w:rsid w:val="4CB614C5"/>
    <w:rsid w:val="4D1D18EA"/>
    <w:rsid w:val="4D327917"/>
    <w:rsid w:val="4D333942"/>
    <w:rsid w:val="4D3A3951"/>
    <w:rsid w:val="4D4D193A"/>
    <w:rsid w:val="4D650631"/>
    <w:rsid w:val="4D671BE9"/>
    <w:rsid w:val="4D676122"/>
    <w:rsid w:val="4D776F5D"/>
    <w:rsid w:val="4D7F7584"/>
    <w:rsid w:val="4D8B3B2A"/>
    <w:rsid w:val="4D8E358A"/>
    <w:rsid w:val="4D9622BE"/>
    <w:rsid w:val="4D9D59D7"/>
    <w:rsid w:val="4DAB6909"/>
    <w:rsid w:val="4DC57D4D"/>
    <w:rsid w:val="4DD51688"/>
    <w:rsid w:val="4DF17EC3"/>
    <w:rsid w:val="4DF86859"/>
    <w:rsid w:val="4DFE2DD0"/>
    <w:rsid w:val="4E153D69"/>
    <w:rsid w:val="4E1B798F"/>
    <w:rsid w:val="4E401860"/>
    <w:rsid w:val="4E4A1E40"/>
    <w:rsid w:val="4E560771"/>
    <w:rsid w:val="4E710CAA"/>
    <w:rsid w:val="4E802F63"/>
    <w:rsid w:val="4E805B7B"/>
    <w:rsid w:val="4E892AF2"/>
    <w:rsid w:val="4EDD3562"/>
    <w:rsid w:val="4EFB74B8"/>
    <w:rsid w:val="4F1A3204"/>
    <w:rsid w:val="4F1B2C35"/>
    <w:rsid w:val="4F225C07"/>
    <w:rsid w:val="4F347E24"/>
    <w:rsid w:val="4F44241B"/>
    <w:rsid w:val="4F5B752C"/>
    <w:rsid w:val="4F8932FF"/>
    <w:rsid w:val="4FD03C8B"/>
    <w:rsid w:val="503261EE"/>
    <w:rsid w:val="506E58D3"/>
    <w:rsid w:val="50835915"/>
    <w:rsid w:val="50874853"/>
    <w:rsid w:val="50A527F7"/>
    <w:rsid w:val="50B0480C"/>
    <w:rsid w:val="50B5694F"/>
    <w:rsid w:val="50D946D5"/>
    <w:rsid w:val="50E74089"/>
    <w:rsid w:val="50EF617E"/>
    <w:rsid w:val="50F50674"/>
    <w:rsid w:val="5100038B"/>
    <w:rsid w:val="512D6FBE"/>
    <w:rsid w:val="51340732"/>
    <w:rsid w:val="514B70F7"/>
    <w:rsid w:val="515431B7"/>
    <w:rsid w:val="5170351F"/>
    <w:rsid w:val="51A45CC6"/>
    <w:rsid w:val="51C26554"/>
    <w:rsid w:val="51D1688B"/>
    <w:rsid w:val="520912CD"/>
    <w:rsid w:val="521205FA"/>
    <w:rsid w:val="52137739"/>
    <w:rsid w:val="52287DE5"/>
    <w:rsid w:val="52531E3C"/>
    <w:rsid w:val="527D5212"/>
    <w:rsid w:val="52973301"/>
    <w:rsid w:val="529A2555"/>
    <w:rsid w:val="52EF6EC8"/>
    <w:rsid w:val="52F50359"/>
    <w:rsid w:val="53017B6F"/>
    <w:rsid w:val="530F4495"/>
    <w:rsid w:val="532E7431"/>
    <w:rsid w:val="534074DD"/>
    <w:rsid w:val="534344C5"/>
    <w:rsid w:val="534D50DB"/>
    <w:rsid w:val="5377126F"/>
    <w:rsid w:val="53A712CA"/>
    <w:rsid w:val="53AF3865"/>
    <w:rsid w:val="53B33FCE"/>
    <w:rsid w:val="53C91B70"/>
    <w:rsid w:val="53D31D87"/>
    <w:rsid w:val="53DA07DB"/>
    <w:rsid w:val="53E114D1"/>
    <w:rsid w:val="53F151ED"/>
    <w:rsid w:val="54002903"/>
    <w:rsid w:val="543D5BD1"/>
    <w:rsid w:val="544E2759"/>
    <w:rsid w:val="546E65BE"/>
    <w:rsid w:val="548D1F04"/>
    <w:rsid w:val="54CC5154"/>
    <w:rsid w:val="54EB042E"/>
    <w:rsid w:val="550D12C8"/>
    <w:rsid w:val="5549611F"/>
    <w:rsid w:val="55516469"/>
    <w:rsid w:val="55B81234"/>
    <w:rsid w:val="55C53951"/>
    <w:rsid w:val="55E467BE"/>
    <w:rsid w:val="55F231C8"/>
    <w:rsid w:val="55FB1D55"/>
    <w:rsid w:val="560A5326"/>
    <w:rsid w:val="562B23C1"/>
    <w:rsid w:val="56D647F3"/>
    <w:rsid w:val="56DB69E5"/>
    <w:rsid w:val="573570DA"/>
    <w:rsid w:val="57387859"/>
    <w:rsid w:val="573B16C6"/>
    <w:rsid w:val="57413C2B"/>
    <w:rsid w:val="5748483A"/>
    <w:rsid w:val="57564F6D"/>
    <w:rsid w:val="575D16CB"/>
    <w:rsid w:val="57633899"/>
    <w:rsid w:val="57673C64"/>
    <w:rsid w:val="576B517C"/>
    <w:rsid w:val="57873FE7"/>
    <w:rsid w:val="578A157E"/>
    <w:rsid w:val="57936DA3"/>
    <w:rsid w:val="57A6419E"/>
    <w:rsid w:val="57BE118D"/>
    <w:rsid w:val="57BF6015"/>
    <w:rsid w:val="57DD5569"/>
    <w:rsid w:val="585F3CF0"/>
    <w:rsid w:val="58632387"/>
    <w:rsid w:val="58661ADC"/>
    <w:rsid w:val="586631C9"/>
    <w:rsid w:val="5866766D"/>
    <w:rsid w:val="58767185"/>
    <w:rsid w:val="587D0513"/>
    <w:rsid w:val="58906498"/>
    <w:rsid w:val="58A32DDA"/>
    <w:rsid w:val="58A46662"/>
    <w:rsid w:val="58B507D8"/>
    <w:rsid w:val="58B728FA"/>
    <w:rsid w:val="58BA78A7"/>
    <w:rsid w:val="58C919AA"/>
    <w:rsid w:val="58D42E4B"/>
    <w:rsid w:val="58D7685C"/>
    <w:rsid w:val="58D968E6"/>
    <w:rsid w:val="595F7513"/>
    <w:rsid w:val="59715F35"/>
    <w:rsid w:val="59721C82"/>
    <w:rsid w:val="597F67D0"/>
    <w:rsid w:val="5998142C"/>
    <w:rsid w:val="59A828DD"/>
    <w:rsid w:val="59C95F43"/>
    <w:rsid w:val="59CB5E11"/>
    <w:rsid w:val="59E829DF"/>
    <w:rsid w:val="5A125319"/>
    <w:rsid w:val="5A2E0C74"/>
    <w:rsid w:val="5A4A5B0E"/>
    <w:rsid w:val="5A6800BE"/>
    <w:rsid w:val="5AE50F31"/>
    <w:rsid w:val="5AF974BA"/>
    <w:rsid w:val="5B0606F5"/>
    <w:rsid w:val="5B2664E9"/>
    <w:rsid w:val="5B3042B1"/>
    <w:rsid w:val="5B3A4165"/>
    <w:rsid w:val="5B4E4C8F"/>
    <w:rsid w:val="5B560716"/>
    <w:rsid w:val="5B5C18E0"/>
    <w:rsid w:val="5B6828D4"/>
    <w:rsid w:val="5B6B0AF7"/>
    <w:rsid w:val="5B726329"/>
    <w:rsid w:val="5B8E1EF5"/>
    <w:rsid w:val="5B922D77"/>
    <w:rsid w:val="5BA76E07"/>
    <w:rsid w:val="5BCF2155"/>
    <w:rsid w:val="5BF209A9"/>
    <w:rsid w:val="5C1656B9"/>
    <w:rsid w:val="5C1E200D"/>
    <w:rsid w:val="5C761D86"/>
    <w:rsid w:val="5C8B1F5F"/>
    <w:rsid w:val="5C971F07"/>
    <w:rsid w:val="5C97309D"/>
    <w:rsid w:val="5CD1231E"/>
    <w:rsid w:val="5CDA0562"/>
    <w:rsid w:val="5CE2303B"/>
    <w:rsid w:val="5CE25D24"/>
    <w:rsid w:val="5CEE6043"/>
    <w:rsid w:val="5D0463DB"/>
    <w:rsid w:val="5D1C02FB"/>
    <w:rsid w:val="5D221689"/>
    <w:rsid w:val="5D531D54"/>
    <w:rsid w:val="5D5D73F9"/>
    <w:rsid w:val="5D5E475C"/>
    <w:rsid w:val="5D6710FF"/>
    <w:rsid w:val="5D6E5B45"/>
    <w:rsid w:val="5D9F4B68"/>
    <w:rsid w:val="5DA677A0"/>
    <w:rsid w:val="5DB163CC"/>
    <w:rsid w:val="5DC47B04"/>
    <w:rsid w:val="5DC72680"/>
    <w:rsid w:val="5DD02581"/>
    <w:rsid w:val="5DEB5C6C"/>
    <w:rsid w:val="5E1A2EF8"/>
    <w:rsid w:val="5E731B7B"/>
    <w:rsid w:val="5F035BE6"/>
    <w:rsid w:val="5F092B01"/>
    <w:rsid w:val="5F0C25F1"/>
    <w:rsid w:val="5F163791"/>
    <w:rsid w:val="5F2D2C93"/>
    <w:rsid w:val="5F2E467D"/>
    <w:rsid w:val="5F61293D"/>
    <w:rsid w:val="5F896FB8"/>
    <w:rsid w:val="5F9A31CC"/>
    <w:rsid w:val="5FAD5B82"/>
    <w:rsid w:val="5FC34136"/>
    <w:rsid w:val="5FCE3B4D"/>
    <w:rsid w:val="5FE021FD"/>
    <w:rsid w:val="5FE05C92"/>
    <w:rsid w:val="5FE42409"/>
    <w:rsid w:val="5FEA0B84"/>
    <w:rsid w:val="5FEB2206"/>
    <w:rsid w:val="60011BE0"/>
    <w:rsid w:val="6005776C"/>
    <w:rsid w:val="60093777"/>
    <w:rsid w:val="603D3FA5"/>
    <w:rsid w:val="607A66EF"/>
    <w:rsid w:val="607D3575"/>
    <w:rsid w:val="60940AF0"/>
    <w:rsid w:val="60945EC4"/>
    <w:rsid w:val="60AF5D12"/>
    <w:rsid w:val="611834CF"/>
    <w:rsid w:val="611D3EBB"/>
    <w:rsid w:val="612400C6"/>
    <w:rsid w:val="612C2AD6"/>
    <w:rsid w:val="61367528"/>
    <w:rsid w:val="614A7B68"/>
    <w:rsid w:val="6163458D"/>
    <w:rsid w:val="61693D2A"/>
    <w:rsid w:val="616F2610"/>
    <w:rsid w:val="61847F52"/>
    <w:rsid w:val="61A93C3F"/>
    <w:rsid w:val="61CA4FAD"/>
    <w:rsid w:val="61E71CF4"/>
    <w:rsid w:val="61EE0BB8"/>
    <w:rsid w:val="62281A72"/>
    <w:rsid w:val="622B1F67"/>
    <w:rsid w:val="624D71A8"/>
    <w:rsid w:val="62593D9F"/>
    <w:rsid w:val="62664FD7"/>
    <w:rsid w:val="62967684"/>
    <w:rsid w:val="62B7530D"/>
    <w:rsid w:val="62C544C2"/>
    <w:rsid w:val="62D376AD"/>
    <w:rsid w:val="62E24768"/>
    <w:rsid w:val="62EF025F"/>
    <w:rsid w:val="631927F3"/>
    <w:rsid w:val="63216F5D"/>
    <w:rsid w:val="632C50B9"/>
    <w:rsid w:val="63360A5D"/>
    <w:rsid w:val="634A33D7"/>
    <w:rsid w:val="63704744"/>
    <w:rsid w:val="638D09F2"/>
    <w:rsid w:val="63C75780"/>
    <w:rsid w:val="63C954F2"/>
    <w:rsid w:val="63D73EC6"/>
    <w:rsid w:val="63D9430D"/>
    <w:rsid w:val="63E049A0"/>
    <w:rsid w:val="63E26D2B"/>
    <w:rsid w:val="63FF2724"/>
    <w:rsid w:val="641A349E"/>
    <w:rsid w:val="64415958"/>
    <w:rsid w:val="644F465E"/>
    <w:rsid w:val="645B2050"/>
    <w:rsid w:val="64600BBC"/>
    <w:rsid w:val="64670342"/>
    <w:rsid w:val="647C1FA9"/>
    <w:rsid w:val="649525B7"/>
    <w:rsid w:val="649C6479"/>
    <w:rsid w:val="64AA7BD6"/>
    <w:rsid w:val="64DF3524"/>
    <w:rsid w:val="64E6294C"/>
    <w:rsid w:val="64EB2118"/>
    <w:rsid w:val="650636A7"/>
    <w:rsid w:val="65346B09"/>
    <w:rsid w:val="657F6F2B"/>
    <w:rsid w:val="65B06DF5"/>
    <w:rsid w:val="65BD4076"/>
    <w:rsid w:val="65BF27F1"/>
    <w:rsid w:val="65C4125C"/>
    <w:rsid w:val="65D93A7D"/>
    <w:rsid w:val="65F61D69"/>
    <w:rsid w:val="660B7819"/>
    <w:rsid w:val="662338F3"/>
    <w:rsid w:val="6657589B"/>
    <w:rsid w:val="66616CB2"/>
    <w:rsid w:val="667E4B8E"/>
    <w:rsid w:val="668313EA"/>
    <w:rsid w:val="6683556A"/>
    <w:rsid w:val="66866F99"/>
    <w:rsid w:val="66965F8D"/>
    <w:rsid w:val="66BD69BA"/>
    <w:rsid w:val="66CA526B"/>
    <w:rsid w:val="66CC7D32"/>
    <w:rsid w:val="66CF06D8"/>
    <w:rsid w:val="66E20E10"/>
    <w:rsid w:val="66FF63A4"/>
    <w:rsid w:val="67041FFA"/>
    <w:rsid w:val="671B24CE"/>
    <w:rsid w:val="6745076C"/>
    <w:rsid w:val="674F2E2B"/>
    <w:rsid w:val="67566AFF"/>
    <w:rsid w:val="6759039D"/>
    <w:rsid w:val="676E7275"/>
    <w:rsid w:val="6779070E"/>
    <w:rsid w:val="67A415ED"/>
    <w:rsid w:val="67AF0F40"/>
    <w:rsid w:val="67BD2037"/>
    <w:rsid w:val="68022FFC"/>
    <w:rsid w:val="680E1118"/>
    <w:rsid w:val="686778FA"/>
    <w:rsid w:val="686A3ACE"/>
    <w:rsid w:val="68982E1F"/>
    <w:rsid w:val="68AC1B42"/>
    <w:rsid w:val="68B2391E"/>
    <w:rsid w:val="68CB7DB4"/>
    <w:rsid w:val="69005149"/>
    <w:rsid w:val="69052FE9"/>
    <w:rsid w:val="691F55E8"/>
    <w:rsid w:val="692D1AE1"/>
    <w:rsid w:val="69304543"/>
    <w:rsid w:val="69311E3D"/>
    <w:rsid w:val="693834BA"/>
    <w:rsid w:val="69401443"/>
    <w:rsid w:val="694A5BD7"/>
    <w:rsid w:val="69586974"/>
    <w:rsid w:val="69977775"/>
    <w:rsid w:val="699D6C67"/>
    <w:rsid w:val="699F4FBC"/>
    <w:rsid w:val="69B95123"/>
    <w:rsid w:val="69DD457F"/>
    <w:rsid w:val="69F87B45"/>
    <w:rsid w:val="6A2C58BD"/>
    <w:rsid w:val="6A412CB2"/>
    <w:rsid w:val="6A49660B"/>
    <w:rsid w:val="6A846E2D"/>
    <w:rsid w:val="6ABE0C43"/>
    <w:rsid w:val="6AD948F6"/>
    <w:rsid w:val="6AF95DD2"/>
    <w:rsid w:val="6B940C8E"/>
    <w:rsid w:val="6BB73EE1"/>
    <w:rsid w:val="6BC6618A"/>
    <w:rsid w:val="6BCB4C8D"/>
    <w:rsid w:val="6BCE135A"/>
    <w:rsid w:val="6C1E7CDD"/>
    <w:rsid w:val="6C247352"/>
    <w:rsid w:val="6C2A0809"/>
    <w:rsid w:val="6C3F1437"/>
    <w:rsid w:val="6C7D3150"/>
    <w:rsid w:val="6CA018A3"/>
    <w:rsid w:val="6CF26845"/>
    <w:rsid w:val="6CF834A9"/>
    <w:rsid w:val="6CFE1845"/>
    <w:rsid w:val="6D0F39D8"/>
    <w:rsid w:val="6D386486"/>
    <w:rsid w:val="6D3F4E71"/>
    <w:rsid w:val="6D4F7F27"/>
    <w:rsid w:val="6D641504"/>
    <w:rsid w:val="6D644B45"/>
    <w:rsid w:val="6D6C0914"/>
    <w:rsid w:val="6DA037D7"/>
    <w:rsid w:val="6DBC0D2B"/>
    <w:rsid w:val="6DC4477D"/>
    <w:rsid w:val="6DC9627D"/>
    <w:rsid w:val="6E003712"/>
    <w:rsid w:val="6E052F9E"/>
    <w:rsid w:val="6E073B29"/>
    <w:rsid w:val="6E957C1D"/>
    <w:rsid w:val="6EF431A6"/>
    <w:rsid w:val="6F176B74"/>
    <w:rsid w:val="6F3F4442"/>
    <w:rsid w:val="6F535AF3"/>
    <w:rsid w:val="6F5D07E4"/>
    <w:rsid w:val="6F675D4D"/>
    <w:rsid w:val="6F7901A2"/>
    <w:rsid w:val="6FAC3E9F"/>
    <w:rsid w:val="6FB10D76"/>
    <w:rsid w:val="6FCA68FA"/>
    <w:rsid w:val="701D780E"/>
    <w:rsid w:val="70300893"/>
    <w:rsid w:val="705B5186"/>
    <w:rsid w:val="706C017D"/>
    <w:rsid w:val="70765B1C"/>
    <w:rsid w:val="708741CD"/>
    <w:rsid w:val="70AB3EC8"/>
    <w:rsid w:val="70F53893"/>
    <w:rsid w:val="70F77A85"/>
    <w:rsid w:val="711B3FB1"/>
    <w:rsid w:val="711C2B67"/>
    <w:rsid w:val="713A40D0"/>
    <w:rsid w:val="715167B2"/>
    <w:rsid w:val="715B6225"/>
    <w:rsid w:val="71625A61"/>
    <w:rsid w:val="71745B04"/>
    <w:rsid w:val="71A77FA4"/>
    <w:rsid w:val="71BD6200"/>
    <w:rsid w:val="71EB6440"/>
    <w:rsid w:val="72047000"/>
    <w:rsid w:val="722241AD"/>
    <w:rsid w:val="722B6247"/>
    <w:rsid w:val="722E5A56"/>
    <w:rsid w:val="723236A9"/>
    <w:rsid w:val="7258372B"/>
    <w:rsid w:val="726C35BE"/>
    <w:rsid w:val="727E36DE"/>
    <w:rsid w:val="72867026"/>
    <w:rsid w:val="72A834E0"/>
    <w:rsid w:val="72C2298E"/>
    <w:rsid w:val="72C64758"/>
    <w:rsid w:val="730C7E04"/>
    <w:rsid w:val="735008A6"/>
    <w:rsid w:val="73590534"/>
    <w:rsid w:val="736A45ED"/>
    <w:rsid w:val="73A42362"/>
    <w:rsid w:val="73D34BD6"/>
    <w:rsid w:val="73EA3AD4"/>
    <w:rsid w:val="73FF0897"/>
    <w:rsid w:val="73FF45DE"/>
    <w:rsid w:val="740718AD"/>
    <w:rsid w:val="740C6BF4"/>
    <w:rsid w:val="742C6114"/>
    <w:rsid w:val="74510C64"/>
    <w:rsid w:val="745E16A1"/>
    <w:rsid w:val="746C771A"/>
    <w:rsid w:val="749E5FFB"/>
    <w:rsid w:val="74C40DF7"/>
    <w:rsid w:val="74D03AE2"/>
    <w:rsid w:val="74F23382"/>
    <w:rsid w:val="74F71921"/>
    <w:rsid w:val="75042DB3"/>
    <w:rsid w:val="7524647A"/>
    <w:rsid w:val="7578190E"/>
    <w:rsid w:val="757C5B2C"/>
    <w:rsid w:val="759506CE"/>
    <w:rsid w:val="75B55B67"/>
    <w:rsid w:val="762436BA"/>
    <w:rsid w:val="763340A2"/>
    <w:rsid w:val="764B2D3A"/>
    <w:rsid w:val="76514C65"/>
    <w:rsid w:val="76650C94"/>
    <w:rsid w:val="766E2B6E"/>
    <w:rsid w:val="76740D5F"/>
    <w:rsid w:val="7676105F"/>
    <w:rsid w:val="767A5F2F"/>
    <w:rsid w:val="767A6354"/>
    <w:rsid w:val="76892C7B"/>
    <w:rsid w:val="76A70784"/>
    <w:rsid w:val="76AB62C9"/>
    <w:rsid w:val="76D0495A"/>
    <w:rsid w:val="76F34713"/>
    <w:rsid w:val="77000835"/>
    <w:rsid w:val="77297B2F"/>
    <w:rsid w:val="77445096"/>
    <w:rsid w:val="775670F7"/>
    <w:rsid w:val="776E4EDE"/>
    <w:rsid w:val="779F6C93"/>
    <w:rsid w:val="77A75651"/>
    <w:rsid w:val="77E77FBB"/>
    <w:rsid w:val="78372364"/>
    <w:rsid w:val="783D328B"/>
    <w:rsid w:val="785D0BC5"/>
    <w:rsid w:val="78664C16"/>
    <w:rsid w:val="78896BD9"/>
    <w:rsid w:val="788B37D6"/>
    <w:rsid w:val="78947243"/>
    <w:rsid w:val="78A90AFD"/>
    <w:rsid w:val="78B53349"/>
    <w:rsid w:val="78BF69D0"/>
    <w:rsid w:val="78CC6E13"/>
    <w:rsid w:val="78F91C54"/>
    <w:rsid w:val="790B6F94"/>
    <w:rsid w:val="79164E49"/>
    <w:rsid w:val="792D2967"/>
    <w:rsid w:val="79732AD9"/>
    <w:rsid w:val="79D64DB0"/>
    <w:rsid w:val="79F91C98"/>
    <w:rsid w:val="7A152B3C"/>
    <w:rsid w:val="7A266580"/>
    <w:rsid w:val="7A3905F2"/>
    <w:rsid w:val="7A393676"/>
    <w:rsid w:val="7A3F5C1C"/>
    <w:rsid w:val="7A406AC8"/>
    <w:rsid w:val="7A855CF7"/>
    <w:rsid w:val="7A880E35"/>
    <w:rsid w:val="7A9F4E9E"/>
    <w:rsid w:val="7AB30394"/>
    <w:rsid w:val="7ABA3349"/>
    <w:rsid w:val="7AC86474"/>
    <w:rsid w:val="7AD1625E"/>
    <w:rsid w:val="7ADD5E05"/>
    <w:rsid w:val="7B03460A"/>
    <w:rsid w:val="7B09483F"/>
    <w:rsid w:val="7B105C00"/>
    <w:rsid w:val="7B3945FB"/>
    <w:rsid w:val="7B446F42"/>
    <w:rsid w:val="7B4B72DA"/>
    <w:rsid w:val="7B4F617A"/>
    <w:rsid w:val="7B5008C8"/>
    <w:rsid w:val="7B5178B1"/>
    <w:rsid w:val="7B710055"/>
    <w:rsid w:val="7B780E43"/>
    <w:rsid w:val="7BCC5788"/>
    <w:rsid w:val="7C0171AF"/>
    <w:rsid w:val="7C255429"/>
    <w:rsid w:val="7C653C9A"/>
    <w:rsid w:val="7C7A30B1"/>
    <w:rsid w:val="7CA04FB2"/>
    <w:rsid w:val="7CCC36D9"/>
    <w:rsid w:val="7CEC669C"/>
    <w:rsid w:val="7CF44361"/>
    <w:rsid w:val="7D0F532E"/>
    <w:rsid w:val="7D330D1C"/>
    <w:rsid w:val="7D374AE1"/>
    <w:rsid w:val="7D3D10BA"/>
    <w:rsid w:val="7D51507C"/>
    <w:rsid w:val="7D6358E1"/>
    <w:rsid w:val="7D6760A1"/>
    <w:rsid w:val="7DB06B92"/>
    <w:rsid w:val="7DB36CDB"/>
    <w:rsid w:val="7DB66F3C"/>
    <w:rsid w:val="7DC53A9B"/>
    <w:rsid w:val="7DDD54B5"/>
    <w:rsid w:val="7DFB02A1"/>
    <w:rsid w:val="7E0B0099"/>
    <w:rsid w:val="7E1075B0"/>
    <w:rsid w:val="7E116888"/>
    <w:rsid w:val="7E1F60EB"/>
    <w:rsid w:val="7E220A6C"/>
    <w:rsid w:val="7E315209"/>
    <w:rsid w:val="7E470AF8"/>
    <w:rsid w:val="7E52260E"/>
    <w:rsid w:val="7E666075"/>
    <w:rsid w:val="7E751313"/>
    <w:rsid w:val="7E9C7095"/>
    <w:rsid w:val="7EA21277"/>
    <w:rsid w:val="7EAE2078"/>
    <w:rsid w:val="7EF02C9E"/>
    <w:rsid w:val="7EF3557B"/>
    <w:rsid w:val="7F0F33BE"/>
    <w:rsid w:val="7F1C1F84"/>
    <w:rsid w:val="7F2D737F"/>
    <w:rsid w:val="7F4171A7"/>
    <w:rsid w:val="7F59339D"/>
    <w:rsid w:val="7FC92F6E"/>
    <w:rsid w:val="7FDF548C"/>
    <w:rsid w:val="7FF802FC"/>
    <w:rsid w:val="7FFF0D6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name="index heading"/>
    <w:lsdException w:qFormat="1" w:unhideWhenUsed="0" w:uiPriority="0" w:semiHidden="0" w:name="caption"/>
    <w:lsdException w:qFormat="1" w:unhideWhenUsed="0" w:uiPriority="0" w:name="table of figures"/>
    <w:lsdException w:unhideWhenUsed="0" w:uiPriority="0" w:semiHidden="0" w:name="envelope address"/>
    <w:lsdException w:unhideWhenUsed="0" w:uiPriority="0" w:semiHidden="0" w:name="envelope return"/>
    <w:lsdException w:qFormat="1" w:unhideWhenUsed="0" w:uiPriority="0" w:name="footnote reference"/>
    <w:lsdException w:qFormat="1" w:unhideWhenUsed="0" w:uiPriority="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qFormat="1"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4">
    <w:name w:val="heading 1"/>
    <w:basedOn w:val="1"/>
    <w:next w:val="1"/>
    <w:link w:val="76"/>
    <w:qFormat/>
    <w:uiPriority w:val="0"/>
    <w:pPr>
      <w:keepNext/>
      <w:keepLines/>
      <w:numPr>
        <w:ilvl w:val="0"/>
        <w:numId w:val="1"/>
      </w:numPr>
      <w:spacing w:before="340" w:after="330" w:line="500" w:lineRule="exact"/>
      <w:jc w:val="center"/>
      <w:outlineLvl w:val="0"/>
    </w:pPr>
    <w:rPr>
      <w:rFonts w:ascii="仿宋_GB2312" w:eastAsia="仿宋_GB2312"/>
      <w:b/>
      <w:kern w:val="44"/>
      <w:sz w:val="44"/>
      <w:szCs w:val="20"/>
    </w:rPr>
  </w:style>
  <w:style w:type="paragraph" w:styleId="5">
    <w:name w:val="heading 2"/>
    <w:basedOn w:val="1"/>
    <w:next w:val="1"/>
    <w:qFormat/>
    <w:uiPriority w:val="0"/>
    <w:pPr>
      <w:keepNext/>
      <w:keepLines/>
      <w:numPr>
        <w:ilvl w:val="1"/>
        <w:numId w:val="1"/>
      </w:numPr>
      <w:spacing w:before="260" w:after="260" w:line="500" w:lineRule="exact"/>
      <w:outlineLvl w:val="1"/>
    </w:pPr>
    <w:rPr>
      <w:rFonts w:ascii="黑体" w:hAnsi="宋体" w:cs="Arial Unicode MS"/>
      <w:b/>
      <w:sz w:val="32"/>
      <w:szCs w:val="20"/>
    </w:rPr>
  </w:style>
  <w:style w:type="paragraph" w:styleId="6">
    <w:name w:val="heading 3"/>
    <w:basedOn w:val="1"/>
    <w:next w:val="1"/>
    <w:link w:val="77"/>
    <w:qFormat/>
    <w:uiPriority w:val="0"/>
    <w:pPr>
      <w:keepNext/>
      <w:keepLines/>
      <w:numPr>
        <w:ilvl w:val="2"/>
        <w:numId w:val="1"/>
      </w:numPr>
      <w:adjustRightInd w:val="0"/>
      <w:snapToGrid w:val="0"/>
      <w:spacing w:before="50" w:beforeLines="50" w:line="360" w:lineRule="auto"/>
      <w:ind w:left="0" w:firstLine="0" w:firstLineChars="0"/>
      <w:outlineLvl w:val="2"/>
    </w:pPr>
    <w:rPr>
      <w:rFonts w:ascii="Times New Roman" w:hAnsi="Times New Roman" w:eastAsia="宋体"/>
      <w:b/>
      <w:bCs/>
      <w:sz w:val="24"/>
      <w:szCs w:val="32"/>
    </w:rPr>
  </w:style>
  <w:style w:type="paragraph" w:styleId="7">
    <w:name w:val="heading 4"/>
    <w:basedOn w:val="1"/>
    <w:next w:val="1"/>
    <w:qFormat/>
    <w:uiPriority w:val="0"/>
    <w:pPr>
      <w:keepNext/>
      <w:keepLines/>
      <w:numPr>
        <w:ilvl w:val="3"/>
        <w:numId w:val="1"/>
      </w:numPr>
      <w:spacing w:before="280" w:after="290" w:line="376" w:lineRule="auto"/>
      <w:outlineLvl w:val="3"/>
    </w:pPr>
    <w:rPr>
      <w:rFonts w:ascii="Arial" w:hAnsi="Arial" w:eastAsia="黑体"/>
      <w:b/>
      <w:bCs/>
      <w:sz w:val="24"/>
      <w:szCs w:val="28"/>
    </w:rPr>
  </w:style>
  <w:style w:type="paragraph" w:styleId="8">
    <w:name w:val="heading 5"/>
    <w:basedOn w:val="1"/>
    <w:next w:val="1"/>
    <w:qFormat/>
    <w:uiPriority w:val="0"/>
    <w:pPr>
      <w:keepNext/>
      <w:keepLines/>
      <w:widowControl/>
      <w:numPr>
        <w:ilvl w:val="4"/>
        <w:numId w:val="1"/>
      </w:numPr>
      <w:spacing w:before="280" w:after="290" w:line="376" w:lineRule="auto"/>
      <w:jc w:val="left"/>
      <w:outlineLvl w:val="4"/>
    </w:pPr>
    <w:rPr>
      <w:rFonts w:ascii="宋体" w:hAnsi="宋体" w:cs="宋体"/>
      <w:b/>
      <w:bCs/>
      <w:kern w:val="0"/>
      <w:sz w:val="24"/>
      <w:szCs w:val="28"/>
    </w:rPr>
  </w:style>
  <w:style w:type="paragraph" w:styleId="9">
    <w:name w:val="heading 6"/>
    <w:basedOn w:val="1"/>
    <w:next w:val="1"/>
    <w:qFormat/>
    <w:uiPriority w:val="0"/>
    <w:pPr>
      <w:keepNext/>
      <w:keepLines/>
      <w:widowControl/>
      <w:numPr>
        <w:ilvl w:val="5"/>
        <w:numId w:val="1"/>
      </w:numPr>
      <w:spacing w:before="240" w:after="64" w:line="320" w:lineRule="auto"/>
      <w:jc w:val="left"/>
      <w:outlineLvl w:val="5"/>
    </w:pPr>
    <w:rPr>
      <w:rFonts w:ascii="Arial" w:hAnsi="Arial" w:eastAsia="黑体" w:cs="宋体"/>
      <w:b/>
      <w:bCs/>
      <w:kern w:val="0"/>
      <w:sz w:val="24"/>
    </w:rPr>
  </w:style>
  <w:style w:type="paragraph" w:styleId="10">
    <w:name w:val="heading 7"/>
    <w:basedOn w:val="1"/>
    <w:next w:val="1"/>
    <w:link w:val="78"/>
    <w:qFormat/>
    <w:uiPriority w:val="0"/>
    <w:pPr>
      <w:keepNext/>
      <w:keepLines/>
      <w:numPr>
        <w:ilvl w:val="6"/>
        <w:numId w:val="1"/>
      </w:numPr>
      <w:spacing w:before="240" w:after="64" w:line="320" w:lineRule="auto"/>
      <w:outlineLvl w:val="6"/>
    </w:pPr>
    <w:rPr>
      <w:b/>
      <w:bCs/>
      <w:sz w:val="24"/>
    </w:rPr>
  </w:style>
  <w:style w:type="paragraph" w:styleId="11">
    <w:name w:val="heading 8"/>
    <w:basedOn w:val="1"/>
    <w:next w:val="1"/>
    <w:qFormat/>
    <w:uiPriority w:val="0"/>
    <w:pPr>
      <w:keepNext/>
      <w:keepLines/>
      <w:numPr>
        <w:ilvl w:val="7"/>
        <w:numId w:val="1"/>
      </w:numPr>
      <w:spacing w:before="240" w:after="64" w:line="320" w:lineRule="auto"/>
      <w:outlineLvl w:val="7"/>
    </w:pPr>
    <w:rPr>
      <w:rFonts w:ascii="Arial" w:hAnsi="Arial" w:eastAsia="黑体"/>
      <w:sz w:val="24"/>
    </w:rPr>
  </w:style>
  <w:style w:type="paragraph" w:styleId="12">
    <w:name w:val="heading 9"/>
    <w:basedOn w:val="1"/>
    <w:next w:val="1"/>
    <w:qFormat/>
    <w:uiPriority w:val="0"/>
    <w:pPr>
      <w:keepNext/>
      <w:keepLines/>
      <w:numPr>
        <w:ilvl w:val="8"/>
        <w:numId w:val="1"/>
      </w:numPr>
      <w:spacing w:before="240" w:after="64" w:line="320" w:lineRule="auto"/>
      <w:outlineLvl w:val="8"/>
    </w:pPr>
    <w:rPr>
      <w:rFonts w:ascii="Arial" w:hAnsi="Arial" w:eastAsia="黑体"/>
      <w:szCs w:val="21"/>
    </w:rPr>
  </w:style>
  <w:style w:type="character" w:default="1" w:styleId="61">
    <w:name w:val="Default Paragraph Font"/>
    <w:semiHidden/>
    <w:qFormat/>
    <w:uiPriority w:val="0"/>
  </w:style>
  <w:style w:type="table" w:default="1" w:styleId="58">
    <w:name w:val="Normal Table"/>
    <w:semiHidden/>
    <w:qFormat/>
    <w:uiPriority w:val="0"/>
    <w:tblPr>
      <w:tblCellMar>
        <w:top w:w="0" w:type="dxa"/>
        <w:left w:w="108" w:type="dxa"/>
        <w:bottom w:w="0" w:type="dxa"/>
        <w:right w:w="108" w:type="dxa"/>
      </w:tblCellMar>
    </w:tblPr>
  </w:style>
  <w:style w:type="paragraph" w:customStyle="1" w:styleId="2">
    <w:name w:val="Default"/>
    <w:basedOn w:val="3"/>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
    <w:name w:val="纯文本1"/>
    <w:basedOn w:val="1"/>
    <w:qFormat/>
    <w:uiPriority w:val="99"/>
    <w:rPr>
      <w:rFonts w:ascii="宋体" w:hAnsi="Courier New" w:cs="Courier New"/>
      <w:szCs w:val="21"/>
    </w:rPr>
  </w:style>
  <w:style w:type="paragraph" w:styleId="13">
    <w:name w:val="List 3"/>
    <w:basedOn w:val="1"/>
    <w:qFormat/>
    <w:uiPriority w:val="0"/>
    <w:pPr>
      <w:ind w:left="100" w:leftChars="400" w:hanging="200" w:hangingChars="200"/>
    </w:pPr>
  </w:style>
  <w:style w:type="paragraph" w:styleId="14">
    <w:name w:val="toc 7"/>
    <w:basedOn w:val="1"/>
    <w:next w:val="1"/>
    <w:qFormat/>
    <w:uiPriority w:val="39"/>
    <w:pPr>
      <w:ind w:left="1260"/>
      <w:jc w:val="left"/>
    </w:pPr>
    <w:rPr>
      <w:sz w:val="18"/>
      <w:szCs w:val="18"/>
    </w:rPr>
  </w:style>
  <w:style w:type="paragraph" w:styleId="15">
    <w:name w:val="Note Heading"/>
    <w:basedOn w:val="1"/>
    <w:next w:val="1"/>
    <w:qFormat/>
    <w:uiPriority w:val="0"/>
    <w:pPr>
      <w:jc w:val="center"/>
    </w:pPr>
    <w:rPr>
      <w:szCs w:val="20"/>
    </w:rPr>
  </w:style>
  <w:style w:type="paragraph" w:styleId="16">
    <w:name w:val="index 8"/>
    <w:basedOn w:val="1"/>
    <w:next w:val="1"/>
    <w:semiHidden/>
    <w:qFormat/>
    <w:uiPriority w:val="0"/>
    <w:pPr>
      <w:ind w:left="2560" w:hanging="320"/>
      <w:jc w:val="left"/>
    </w:pPr>
    <w:rPr>
      <w:rFonts w:eastAsia="仿宋_GB2312"/>
      <w:sz w:val="20"/>
    </w:rPr>
  </w:style>
  <w:style w:type="paragraph" w:styleId="17">
    <w:name w:val="Normal Indent"/>
    <w:basedOn w:val="1"/>
    <w:next w:val="7"/>
    <w:link w:val="79"/>
    <w:qFormat/>
    <w:uiPriority w:val="0"/>
    <w:pPr>
      <w:ind w:firstLine="420" w:firstLineChars="200"/>
    </w:pPr>
  </w:style>
  <w:style w:type="paragraph" w:styleId="18">
    <w:name w:val="caption"/>
    <w:basedOn w:val="1"/>
    <w:next w:val="1"/>
    <w:link w:val="80"/>
    <w:qFormat/>
    <w:uiPriority w:val="0"/>
    <w:pPr>
      <w:spacing w:before="152" w:after="160"/>
      <w:jc w:val="center"/>
    </w:pPr>
    <w:rPr>
      <w:rFonts w:ascii="Arial" w:hAnsi="Arial" w:eastAsia="黑体"/>
      <w:sz w:val="28"/>
      <w:lang w:val="en-US" w:eastAsia="zh-CN" w:bidi="ar-SA"/>
    </w:rPr>
  </w:style>
  <w:style w:type="paragraph" w:styleId="19">
    <w:name w:val="index 5"/>
    <w:basedOn w:val="1"/>
    <w:next w:val="1"/>
    <w:semiHidden/>
    <w:qFormat/>
    <w:uiPriority w:val="0"/>
    <w:pPr>
      <w:ind w:left="1600" w:hanging="320"/>
      <w:jc w:val="left"/>
    </w:pPr>
    <w:rPr>
      <w:rFonts w:eastAsia="仿宋_GB2312"/>
      <w:sz w:val="20"/>
    </w:rPr>
  </w:style>
  <w:style w:type="paragraph" w:styleId="20">
    <w:name w:val="Document Map"/>
    <w:basedOn w:val="1"/>
    <w:semiHidden/>
    <w:qFormat/>
    <w:uiPriority w:val="0"/>
    <w:pPr>
      <w:shd w:val="clear" w:color="auto" w:fill="000080"/>
    </w:pPr>
  </w:style>
  <w:style w:type="paragraph" w:styleId="21">
    <w:name w:val="annotation text"/>
    <w:basedOn w:val="1"/>
    <w:link w:val="81"/>
    <w:semiHidden/>
    <w:qFormat/>
    <w:uiPriority w:val="0"/>
    <w:pPr>
      <w:jc w:val="left"/>
    </w:pPr>
  </w:style>
  <w:style w:type="paragraph" w:styleId="22">
    <w:name w:val="index 6"/>
    <w:basedOn w:val="1"/>
    <w:next w:val="1"/>
    <w:semiHidden/>
    <w:qFormat/>
    <w:uiPriority w:val="0"/>
    <w:pPr>
      <w:ind w:left="1920" w:hanging="320"/>
      <w:jc w:val="left"/>
    </w:pPr>
    <w:rPr>
      <w:rFonts w:eastAsia="仿宋_GB2312"/>
      <w:sz w:val="20"/>
    </w:rPr>
  </w:style>
  <w:style w:type="paragraph" w:styleId="23">
    <w:name w:val="Body Text"/>
    <w:basedOn w:val="1"/>
    <w:qFormat/>
    <w:uiPriority w:val="0"/>
    <w:pPr>
      <w:spacing w:after="120"/>
    </w:pPr>
  </w:style>
  <w:style w:type="paragraph" w:styleId="24">
    <w:name w:val="Body Text Indent"/>
    <w:basedOn w:val="1"/>
    <w:link w:val="82"/>
    <w:qFormat/>
    <w:uiPriority w:val="0"/>
    <w:pPr>
      <w:spacing w:after="120"/>
      <w:ind w:left="420" w:leftChars="200"/>
    </w:pPr>
  </w:style>
  <w:style w:type="paragraph" w:styleId="25">
    <w:name w:val="index 4"/>
    <w:basedOn w:val="1"/>
    <w:next w:val="1"/>
    <w:semiHidden/>
    <w:qFormat/>
    <w:uiPriority w:val="0"/>
    <w:pPr>
      <w:ind w:left="1280" w:hanging="320"/>
      <w:jc w:val="left"/>
    </w:pPr>
    <w:rPr>
      <w:rFonts w:eastAsia="仿宋_GB2312"/>
      <w:sz w:val="20"/>
    </w:rPr>
  </w:style>
  <w:style w:type="paragraph" w:styleId="26">
    <w:name w:val="toc 5"/>
    <w:basedOn w:val="1"/>
    <w:next w:val="1"/>
    <w:qFormat/>
    <w:uiPriority w:val="39"/>
    <w:pPr>
      <w:ind w:left="840"/>
      <w:jc w:val="left"/>
    </w:pPr>
    <w:rPr>
      <w:sz w:val="18"/>
      <w:szCs w:val="18"/>
    </w:rPr>
  </w:style>
  <w:style w:type="paragraph" w:styleId="27">
    <w:name w:val="toc 3"/>
    <w:basedOn w:val="1"/>
    <w:next w:val="1"/>
    <w:qFormat/>
    <w:uiPriority w:val="39"/>
    <w:pPr>
      <w:ind w:left="840" w:leftChars="400"/>
    </w:pPr>
  </w:style>
  <w:style w:type="paragraph" w:styleId="28">
    <w:name w:val="Plain Text"/>
    <w:basedOn w:val="1"/>
    <w:link w:val="83"/>
    <w:qFormat/>
    <w:uiPriority w:val="99"/>
    <w:pPr>
      <w:ind w:left="900"/>
    </w:pPr>
    <w:rPr>
      <w:rFonts w:hint="eastAsia" w:ascii="仿宋_GB2312" w:hAnsi="Courier New" w:eastAsia="仿宋_GB2312"/>
      <w:spacing w:val="-20"/>
      <w:sz w:val="32"/>
      <w:szCs w:val="20"/>
    </w:rPr>
  </w:style>
  <w:style w:type="paragraph" w:styleId="29">
    <w:name w:val="List Bullet 5"/>
    <w:basedOn w:val="1"/>
    <w:qFormat/>
    <w:uiPriority w:val="0"/>
    <w:pPr>
      <w:numPr>
        <w:ilvl w:val="0"/>
        <w:numId w:val="2"/>
      </w:numPr>
    </w:pPr>
  </w:style>
  <w:style w:type="paragraph" w:styleId="30">
    <w:name w:val="toc 8"/>
    <w:basedOn w:val="1"/>
    <w:next w:val="1"/>
    <w:qFormat/>
    <w:uiPriority w:val="39"/>
    <w:pPr>
      <w:ind w:left="1470"/>
      <w:jc w:val="left"/>
    </w:pPr>
    <w:rPr>
      <w:sz w:val="18"/>
      <w:szCs w:val="18"/>
    </w:rPr>
  </w:style>
  <w:style w:type="paragraph" w:styleId="31">
    <w:name w:val="index 3"/>
    <w:basedOn w:val="1"/>
    <w:next w:val="1"/>
    <w:semiHidden/>
    <w:qFormat/>
    <w:uiPriority w:val="0"/>
    <w:pPr>
      <w:ind w:left="960" w:hanging="320"/>
      <w:jc w:val="left"/>
    </w:pPr>
    <w:rPr>
      <w:rFonts w:eastAsia="仿宋_GB2312"/>
      <w:sz w:val="20"/>
    </w:rPr>
  </w:style>
  <w:style w:type="paragraph" w:styleId="32">
    <w:name w:val="Date"/>
    <w:basedOn w:val="1"/>
    <w:next w:val="1"/>
    <w:qFormat/>
    <w:uiPriority w:val="0"/>
    <w:rPr>
      <w:rFonts w:eastAsia="楷体_GB2312"/>
      <w:sz w:val="32"/>
      <w:szCs w:val="20"/>
    </w:rPr>
  </w:style>
  <w:style w:type="paragraph" w:styleId="33">
    <w:name w:val="Body Text Indent 2"/>
    <w:basedOn w:val="1"/>
    <w:qFormat/>
    <w:uiPriority w:val="0"/>
    <w:pPr>
      <w:spacing w:after="120" w:line="480" w:lineRule="auto"/>
      <w:ind w:left="420" w:leftChars="200"/>
    </w:pPr>
  </w:style>
  <w:style w:type="paragraph" w:styleId="34">
    <w:name w:val="Balloon Text"/>
    <w:basedOn w:val="1"/>
    <w:semiHidden/>
    <w:qFormat/>
    <w:uiPriority w:val="0"/>
    <w:rPr>
      <w:sz w:val="18"/>
      <w:szCs w:val="18"/>
    </w:rPr>
  </w:style>
  <w:style w:type="paragraph" w:styleId="35">
    <w:name w:val="footer"/>
    <w:basedOn w:val="1"/>
    <w:qFormat/>
    <w:uiPriority w:val="0"/>
    <w:pPr>
      <w:pBdr>
        <w:top w:val="single" w:color="auto" w:sz="4" w:space="1"/>
      </w:pBdr>
      <w:tabs>
        <w:tab w:val="center" w:pos="4153"/>
        <w:tab w:val="right" w:pos="8306"/>
      </w:tabs>
      <w:snapToGrid w:val="0"/>
      <w:jc w:val="left"/>
    </w:pPr>
    <w:rPr>
      <w:sz w:val="18"/>
      <w:szCs w:val="18"/>
    </w:rPr>
  </w:style>
  <w:style w:type="paragraph" w:styleId="3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37">
    <w:name w:val="toc 1"/>
    <w:basedOn w:val="1"/>
    <w:next w:val="1"/>
    <w:qFormat/>
    <w:uiPriority w:val="39"/>
    <w:pPr>
      <w:tabs>
        <w:tab w:val="left" w:pos="1050"/>
        <w:tab w:val="right" w:leader="dot" w:pos="8296"/>
      </w:tabs>
    </w:pPr>
    <w:rPr>
      <w:b/>
    </w:rPr>
  </w:style>
  <w:style w:type="paragraph" w:styleId="38">
    <w:name w:val="toc 4"/>
    <w:basedOn w:val="1"/>
    <w:next w:val="1"/>
    <w:qFormat/>
    <w:uiPriority w:val="39"/>
    <w:pPr>
      <w:ind w:left="630"/>
      <w:jc w:val="left"/>
    </w:pPr>
    <w:rPr>
      <w:sz w:val="18"/>
      <w:szCs w:val="18"/>
    </w:rPr>
  </w:style>
  <w:style w:type="paragraph" w:styleId="39">
    <w:name w:val="index heading"/>
    <w:basedOn w:val="1"/>
    <w:next w:val="40"/>
    <w:semiHidden/>
    <w:qFormat/>
    <w:uiPriority w:val="0"/>
    <w:pPr>
      <w:spacing w:before="120" w:after="120"/>
      <w:jc w:val="left"/>
    </w:pPr>
    <w:rPr>
      <w:rFonts w:eastAsia="仿宋_GB2312"/>
      <w:b/>
      <w:bCs/>
      <w:i/>
      <w:iCs/>
      <w:sz w:val="20"/>
    </w:rPr>
  </w:style>
  <w:style w:type="paragraph" w:styleId="40">
    <w:name w:val="index 1"/>
    <w:basedOn w:val="1"/>
    <w:next w:val="1"/>
    <w:semiHidden/>
    <w:qFormat/>
    <w:uiPriority w:val="0"/>
    <w:pPr>
      <w:ind w:left="320" w:hanging="320"/>
      <w:jc w:val="left"/>
    </w:pPr>
    <w:rPr>
      <w:rFonts w:eastAsia="仿宋_GB2312"/>
      <w:sz w:val="20"/>
    </w:rPr>
  </w:style>
  <w:style w:type="paragraph" w:styleId="41">
    <w:name w:val="Subtitle"/>
    <w:basedOn w:val="1"/>
    <w:qFormat/>
    <w:uiPriority w:val="0"/>
    <w:pPr>
      <w:spacing w:before="240" w:after="60" w:line="312" w:lineRule="auto"/>
      <w:jc w:val="center"/>
      <w:outlineLvl w:val="1"/>
    </w:pPr>
    <w:rPr>
      <w:rFonts w:ascii="Arial" w:hAnsi="Arial" w:cs="Arial"/>
      <w:b/>
      <w:bCs/>
      <w:kern w:val="28"/>
      <w:sz w:val="32"/>
      <w:szCs w:val="32"/>
    </w:rPr>
  </w:style>
  <w:style w:type="paragraph" w:styleId="42">
    <w:name w:val="List"/>
    <w:basedOn w:val="1"/>
    <w:qFormat/>
    <w:uiPriority w:val="0"/>
    <w:pPr>
      <w:adjustRightInd w:val="0"/>
      <w:spacing w:line="312" w:lineRule="atLeast"/>
      <w:ind w:left="420" w:hanging="420"/>
      <w:textAlignment w:val="baseline"/>
    </w:pPr>
    <w:rPr>
      <w:kern w:val="0"/>
      <w:szCs w:val="20"/>
    </w:rPr>
  </w:style>
  <w:style w:type="paragraph" w:styleId="43">
    <w:name w:val="footnote text"/>
    <w:basedOn w:val="1"/>
    <w:semiHidden/>
    <w:qFormat/>
    <w:uiPriority w:val="0"/>
    <w:pPr>
      <w:snapToGrid w:val="0"/>
      <w:jc w:val="left"/>
    </w:pPr>
    <w:rPr>
      <w:rFonts w:eastAsia="仿宋_GB2312"/>
      <w:sz w:val="18"/>
      <w:szCs w:val="18"/>
    </w:rPr>
  </w:style>
  <w:style w:type="paragraph" w:styleId="44">
    <w:name w:val="toc 6"/>
    <w:basedOn w:val="1"/>
    <w:next w:val="1"/>
    <w:qFormat/>
    <w:uiPriority w:val="39"/>
    <w:pPr>
      <w:ind w:left="1050"/>
      <w:jc w:val="left"/>
    </w:pPr>
    <w:rPr>
      <w:sz w:val="18"/>
      <w:szCs w:val="18"/>
    </w:rPr>
  </w:style>
  <w:style w:type="paragraph" w:styleId="45">
    <w:name w:val="Body Text Indent 3"/>
    <w:basedOn w:val="1"/>
    <w:qFormat/>
    <w:uiPriority w:val="0"/>
    <w:pPr>
      <w:spacing w:after="120"/>
      <w:ind w:left="420" w:leftChars="200"/>
    </w:pPr>
    <w:rPr>
      <w:sz w:val="16"/>
      <w:szCs w:val="16"/>
    </w:rPr>
  </w:style>
  <w:style w:type="paragraph" w:styleId="46">
    <w:name w:val="index 7"/>
    <w:basedOn w:val="1"/>
    <w:next w:val="1"/>
    <w:semiHidden/>
    <w:qFormat/>
    <w:uiPriority w:val="0"/>
    <w:pPr>
      <w:ind w:left="2240" w:hanging="320"/>
      <w:jc w:val="left"/>
    </w:pPr>
    <w:rPr>
      <w:rFonts w:eastAsia="仿宋_GB2312"/>
      <w:sz w:val="20"/>
    </w:rPr>
  </w:style>
  <w:style w:type="paragraph" w:styleId="47">
    <w:name w:val="index 9"/>
    <w:basedOn w:val="1"/>
    <w:next w:val="1"/>
    <w:semiHidden/>
    <w:qFormat/>
    <w:uiPriority w:val="0"/>
    <w:pPr>
      <w:ind w:left="2880" w:hanging="320"/>
      <w:jc w:val="left"/>
    </w:pPr>
    <w:rPr>
      <w:rFonts w:eastAsia="仿宋_GB2312"/>
      <w:sz w:val="20"/>
    </w:rPr>
  </w:style>
  <w:style w:type="paragraph" w:styleId="48">
    <w:name w:val="table of figures"/>
    <w:basedOn w:val="1"/>
    <w:next w:val="1"/>
    <w:semiHidden/>
    <w:qFormat/>
    <w:uiPriority w:val="0"/>
    <w:pPr>
      <w:ind w:left="840" w:hanging="420"/>
    </w:pPr>
    <w:rPr>
      <w:szCs w:val="21"/>
    </w:rPr>
  </w:style>
  <w:style w:type="paragraph" w:styleId="49">
    <w:name w:val="toc 2"/>
    <w:basedOn w:val="1"/>
    <w:next w:val="1"/>
    <w:qFormat/>
    <w:uiPriority w:val="39"/>
    <w:pPr>
      <w:ind w:left="420" w:leftChars="200"/>
    </w:pPr>
  </w:style>
  <w:style w:type="paragraph" w:styleId="50">
    <w:name w:val="toc 9"/>
    <w:basedOn w:val="1"/>
    <w:next w:val="1"/>
    <w:qFormat/>
    <w:uiPriority w:val="39"/>
    <w:pPr>
      <w:ind w:left="1680"/>
      <w:jc w:val="left"/>
    </w:pPr>
    <w:rPr>
      <w:sz w:val="18"/>
      <w:szCs w:val="18"/>
    </w:rPr>
  </w:style>
  <w:style w:type="paragraph" w:styleId="51">
    <w:name w:val="Body Text 2"/>
    <w:basedOn w:val="1"/>
    <w:qFormat/>
    <w:uiPriority w:val="0"/>
    <w:pPr>
      <w:spacing w:after="120" w:line="480" w:lineRule="auto"/>
    </w:pPr>
  </w:style>
  <w:style w:type="paragraph" w:styleId="52">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color w:val="000000"/>
      <w:kern w:val="0"/>
      <w:szCs w:val="21"/>
    </w:rPr>
  </w:style>
  <w:style w:type="paragraph" w:styleId="53">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54">
    <w:name w:val="index 2"/>
    <w:basedOn w:val="1"/>
    <w:next w:val="1"/>
    <w:semiHidden/>
    <w:qFormat/>
    <w:uiPriority w:val="0"/>
    <w:pPr>
      <w:ind w:left="640" w:hanging="320"/>
      <w:jc w:val="left"/>
    </w:pPr>
    <w:rPr>
      <w:rFonts w:eastAsia="仿宋_GB2312"/>
      <w:sz w:val="20"/>
    </w:rPr>
  </w:style>
  <w:style w:type="paragraph" w:styleId="55">
    <w:name w:val="annotation subject"/>
    <w:basedOn w:val="21"/>
    <w:next w:val="21"/>
    <w:semiHidden/>
    <w:qFormat/>
    <w:uiPriority w:val="0"/>
    <w:rPr>
      <w:b/>
      <w:bCs/>
    </w:rPr>
  </w:style>
  <w:style w:type="paragraph" w:styleId="56">
    <w:name w:val="Body Text First Indent"/>
    <w:basedOn w:val="23"/>
    <w:qFormat/>
    <w:uiPriority w:val="0"/>
    <w:pPr>
      <w:ind w:firstLine="420" w:firstLineChars="100"/>
    </w:pPr>
  </w:style>
  <w:style w:type="paragraph" w:styleId="57">
    <w:name w:val="Body Text First Indent 2"/>
    <w:basedOn w:val="24"/>
    <w:link w:val="84"/>
    <w:qFormat/>
    <w:uiPriority w:val="0"/>
    <w:pPr>
      <w:spacing w:line="600" w:lineRule="exact"/>
      <w:ind w:firstLine="420" w:firstLineChars="200"/>
    </w:pPr>
    <w:rPr>
      <w:rFonts w:ascii="Calibri" w:hAnsi="Calibri" w:eastAsia="仿宋_GB2312"/>
      <w:sz w:val="28"/>
    </w:rPr>
  </w:style>
  <w:style w:type="table" w:styleId="59">
    <w:name w:val="Table Grid"/>
    <w:basedOn w:val="58"/>
    <w:qFormat/>
    <w:uiPriority w:val="0"/>
    <w:pPr>
      <w:widowControl w:val="0"/>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bottom"/>
    </w:tcPr>
  </w:style>
  <w:style w:type="table" w:styleId="60">
    <w:name w:val="Table Simple 1"/>
    <w:basedOn w:val="58"/>
    <w:qFormat/>
    <w:uiPriority w:val="0"/>
    <w:pPr>
      <w:widowControl w:val="0"/>
      <w:jc w:val="both"/>
    </w:pPr>
    <w:tblPr>
      <w:tblBorders>
        <w:top w:val="single" w:color="008000" w:sz="12" w:space="0"/>
        <w:left w:val="single" w:color="auto" w:sz="6" w:space="0"/>
        <w:bottom w:val="single" w:color="008000" w:sz="12" w:space="0"/>
        <w:right w:val="single" w:color="auto" w:sz="6" w:space="0"/>
        <w:insideH w:val="single" w:color="auto" w:sz="6" w:space="0"/>
        <w:insideV w:val="single" w:color="auto" w:sz="6" w:space="0"/>
      </w:tblBorders>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character" w:customStyle="1" w:styleId="62">
    <w:name w:val="中等深浅网格 3 - 强调文字颜色 2 CharProp"/>
    <w:qFormat/>
    <w:uiPriority w:val="69"/>
  </w:style>
  <w:style w:type="character" w:styleId="63">
    <w:name w:val="Strong"/>
    <w:qFormat/>
    <w:uiPriority w:val="0"/>
    <w:rPr>
      <w:b/>
      <w:bCs/>
    </w:rPr>
  </w:style>
  <w:style w:type="character" w:styleId="64">
    <w:name w:val="page number"/>
    <w:basedOn w:val="61"/>
    <w:qFormat/>
    <w:uiPriority w:val="99"/>
  </w:style>
  <w:style w:type="character" w:styleId="65">
    <w:name w:val="FollowedHyperlink"/>
    <w:basedOn w:val="61"/>
    <w:qFormat/>
    <w:uiPriority w:val="0"/>
    <w:rPr>
      <w:color w:val="333333"/>
      <w:u w:val="none"/>
    </w:rPr>
  </w:style>
  <w:style w:type="character" w:styleId="66">
    <w:name w:val="Emphasis"/>
    <w:basedOn w:val="61"/>
    <w:qFormat/>
    <w:uiPriority w:val="0"/>
    <w:rPr>
      <w:b/>
      <w:sz w:val="21"/>
      <w:szCs w:val="21"/>
    </w:rPr>
  </w:style>
  <w:style w:type="character" w:styleId="67">
    <w:name w:val="Hyperlink"/>
    <w:basedOn w:val="61"/>
    <w:qFormat/>
    <w:uiPriority w:val="99"/>
    <w:rPr>
      <w:color w:val="333333"/>
      <w:u w:val="none"/>
    </w:rPr>
  </w:style>
  <w:style w:type="character" w:styleId="68">
    <w:name w:val="annotation reference"/>
    <w:semiHidden/>
    <w:qFormat/>
    <w:uiPriority w:val="0"/>
    <w:rPr>
      <w:sz w:val="21"/>
      <w:szCs w:val="21"/>
    </w:rPr>
  </w:style>
  <w:style w:type="character" w:styleId="69">
    <w:name w:val="footnote reference"/>
    <w:semiHidden/>
    <w:qFormat/>
    <w:uiPriority w:val="0"/>
    <w:rPr>
      <w:vertAlign w:val="superscript"/>
    </w:rPr>
  </w:style>
  <w:style w:type="paragraph" w:customStyle="1" w:styleId="70">
    <w:name w:val="xl27"/>
    <w:basedOn w:val="1"/>
    <w:next w:val="7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4"/>
    </w:rPr>
  </w:style>
  <w:style w:type="paragraph" w:customStyle="1" w:styleId="71">
    <w:name w:val="A正文"/>
    <w:basedOn w:val="1"/>
    <w:qFormat/>
    <w:uiPriority w:val="0"/>
    <w:pPr>
      <w:widowControl/>
      <w:ind w:firstLine="480"/>
      <w:jc w:val="left"/>
    </w:pPr>
    <w:rPr>
      <w:rFonts w:ascii="宋体" w:hAnsi="宋体"/>
      <w:kern w:val="0"/>
      <w:szCs w:val="22"/>
    </w:rPr>
  </w:style>
  <w:style w:type="paragraph" w:customStyle="1" w:styleId="72">
    <w:name w:val="样式 样式 样式 四号 左侧:  1.53 厘米 + 首行缩进:  2 字符 + 居中 左侧:  2 字符 首行缩进:  2..."/>
    <w:basedOn w:val="73"/>
    <w:qFormat/>
    <w:uiPriority w:val="0"/>
    <w:pPr>
      <w:ind w:firstLine="0" w:firstLineChars="0"/>
      <w:jc w:val="center"/>
    </w:pPr>
  </w:style>
  <w:style w:type="paragraph" w:customStyle="1" w:styleId="73">
    <w:name w:val="样式 样式 四号 左侧:  1.53 厘米 + 首行缩进:  2 字符"/>
    <w:basedOn w:val="74"/>
    <w:qFormat/>
    <w:uiPriority w:val="0"/>
    <w:pPr>
      <w:ind w:left="200" w:leftChars="200"/>
    </w:pPr>
    <w:rPr>
      <w:szCs w:val="20"/>
    </w:rPr>
  </w:style>
  <w:style w:type="paragraph" w:customStyle="1" w:styleId="74">
    <w:name w:val="样式 四号 左侧:  1.53 厘米"/>
    <w:basedOn w:val="1"/>
    <w:qFormat/>
    <w:uiPriority w:val="0"/>
    <w:pPr>
      <w:adjustRightInd w:val="0"/>
    </w:pPr>
    <w:rPr>
      <w:w w:val="90"/>
      <w:sz w:val="28"/>
      <w:szCs w:val="28"/>
    </w:rPr>
  </w:style>
  <w:style w:type="paragraph" w:customStyle="1" w:styleId="75">
    <w:name w:val="样式 正文文本 + 首行缩进:  2 字符"/>
    <w:basedOn w:val="23"/>
    <w:qFormat/>
    <w:uiPriority w:val="0"/>
    <w:pPr>
      <w:spacing w:line="288" w:lineRule="auto"/>
      <w:ind w:firstLine="504"/>
    </w:pPr>
    <w:rPr>
      <w:rFonts w:hAnsi="宋体"/>
      <w:color w:val="0000FF"/>
      <w:w w:val="101"/>
      <w:kern w:val="0"/>
      <w:sz w:val="25"/>
    </w:rPr>
  </w:style>
  <w:style w:type="character" w:customStyle="1" w:styleId="76">
    <w:name w:val="标题 1 字符"/>
    <w:link w:val="4"/>
    <w:qFormat/>
    <w:uiPriority w:val="0"/>
    <w:rPr>
      <w:rFonts w:ascii="仿宋_GB2312" w:eastAsia="仿宋_GB2312"/>
      <w:b/>
      <w:kern w:val="44"/>
      <w:sz w:val="44"/>
    </w:rPr>
  </w:style>
  <w:style w:type="character" w:customStyle="1" w:styleId="77">
    <w:name w:val="标题 3 字符"/>
    <w:link w:val="6"/>
    <w:qFormat/>
    <w:uiPriority w:val="0"/>
    <w:rPr>
      <w:rFonts w:ascii="Times New Roman" w:hAnsi="Times New Roman" w:eastAsia="宋体"/>
      <w:b/>
      <w:bCs/>
      <w:kern w:val="2"/>
      <w:sz w:val="24"/>
      <w:szCs w:val="32"/>
    </w:rPr>
  </w:style>
  <w:style w:type="character" w:customStyle="1" w:styleId="78">
    <w:name w:val="标题 7 字符"/>
    <w:link w:val="10"/>
    <w:qFormat/>
    <w:uiPriority w:val="0"/>
    <w:rPr>
      <w:b/>
      <w:bCs/>
      <w:kern w:val="2"/>
      <w:sz w:val="24"/>
      <w:szCs w:val="24"/>
    </w:rPr>
  </w:style>
  <w:style w:type="character" w:customStyle="1" w:styleId="79">
    <w:name w:val="正文缩进 Char"/>
    <w:link w:val="17"/>
    <w:qFormat/>
    <w:uiPriority w:val="0"/>
    <w:rPr>
      <w:kern w:val="2"/>
      <w:sz w:val="21"/>
      <w:szCs w:val="24"/>
    </w:rPr>
  </w:style>
  <w:style w:type="character" w:customStyle="1" w:styleId="80">
    <w:name w:val="题注 字符"/>
    <w:link w:val="18"/>
    <w:qFormat/>
    <w:uiPriority w:val="0"/>
    <w:rPr>
      <w:rFonts w:ascii="Arial" w:hAnsi="Arial" w:eastAsia="黑体"/>
      <w:sz w:val="28"/>
      <w:lang w:bidi="ar-SA"/>
    </w:rPr>
  </w:style>
  <w:style w:type="character" w:customStyle="1" w:styleId="81">
    <w:name w:val="批注文字 字符"/>
    <w:link w:val="21"/>
    <w:qFormat/>
    <w:uiPriority w:val="0"/>
    <w:rPr>
      <w:kern w:val="2"/>
      <w:sz w:val="21"/>
      <w:szCs w:val="24"/>
    </w:rPr>
  </w:style>
  <w:style w:type="character" w:customStyle="1" w:styleId="82">
    <w:name w:val="正文文本缩进 字符"/>
    <w:link w:val="24"/>
    <w:qFormat/>
    <w:uiPriority w:val="0"/>
    <w:rPr>
      <w:rFonts w:eastAsia="宋体"/>
      <w:kern w:val="2"/>
      <w:sz w:val="21"/>
      <w:szCs w:val="24"/>
      <w:lang w:val="en-US" w:eastAsia="zh-CN" w:bidi="ar-SA"/>
    </w:rPr>
  </w:style>
  <w:style w:type="character" w:customStyle="1" w:styleId="83">
    <w:name w:val="纯文本 字符"/>
    <w:link w:val="28"/>
    <w:qFormat/>
    <w:uiPriority w:val="99"/>
    <w:rPr>
      <w:rFonts w:ascii="仿宋_GB2312" w:hAnsi="Courier New" w:eastAsia="仿宋_GB2312"/>
      <w:spacing w:val="-20"/>
      <w:kern w:val="2"/>
      <w:sz w:val="32"/>
      <w:lang w:val="en-US" w:eastAsia="zh-CN" w:bidi="ar-SA"/>
    </w:rPr>
  </w:style>
  <w:style w:type="character" w:customStyle="1" w:styleId="84">
    <w:name w:val="正文首行缩进 2 字符"/>
    <w:link w:val="57"/>
    <w:qFormat/>
    <w:uiPriority w:val="0"/>
    <w:rPr>
      <w:rFonts w:ascii="Calibri" w:hAnsi="Calibri" w:eastAsia="仿宋_GB2312"/>
      <w:kern w:val="2"/>
      <w:sz w:val="28"/>
      <w:szCs w:val="24"/>
      <w:lang w:val="en-US" w:eastAsia="zh-CN" w:bidi="ar-SA"/>
    </w:rPr>
  </w:style>
  <w:style w:type="character" w:customStyle="1" w:styleId="85">
    <w:name w:val="read1"/>
    <w:qFormat/>
    <w:uiPriority w:val="0"/>
    <w:rPr>
      <w:rFonts w:hint="default" w:ascii="_x000B__x000C_" w:hAnsi="_x000B__x000C_"/>
      <w:color w:val="000000"/>
      <w:u w:val="none"/>
    </w:rPr>
  </w:style>
  <w:style w:type="character" w:customStyle="1" w:styleId="86">
    <w:name w:val="z1 Char Char"/>
    <w:qFormat/>
    <w:uiPriority w:val="0"/>
    <w:rPr>
      <w:rFonts w:eastAsia="宋体"/>
      <w:b/>
      <w:bCs/>
      <w:kern w:val="2"/>
      <w:sz w:val="30"/>
      <w:szCs w:val="30"/>
      <w:lang w:val="en-US" w:eastAsia="zh-CN" w:bidi="ar-SA"/>
    </w:rPr>
  </w:style>
  <w:style w:type="character" w:customStyle="1" w:styleId="87">
    <w:name w:val="text_edit"/>
    <w:basedOn w:val="61"/>
    <w:qFormat/>
    <w:uiPriority w:val="0"/>
  </w:style>
  <w:style w:type="character" w:customStyle="1" w:styleId="88">
    <w:name w:val="000序号（1） Char"/>
    <w:link w:val="89"/>
    <w:qFormat/>
    <w:uiPriority w:val="0"/>
  </w:style>
  <w:style w:type="paragraph" w:customStyle="1" w:styleId="89">
    <w:name w:val="000序号（1）"/>
    <w:basedOn w:val="1"/>
    <w:link w:val="88"/>
    <w:qFormat/>
    <w:uiPriority w:val="0"/>
    <w:pPr>
      <w:numPr>
        <w:ilvl w:val="3"/>
        <w:numId w:val="3"/>
      </w:numPr>
      <w:adjustRightInd w:val="0"/>
      <w:snapToGrid w:val="0"/>
      <w:spacing w:line="360" w:lineRule="auto"/>
      <w:ind w:left="0" w:firstLine="480" w:firstLineChars="200"/>
    </w:pPr>
    <w:rPr>
      <w:kern w:val="0"/>
      <w:sz w:val="20"/>
      <w:szCs w:val="20"/>
    </w:rPr>
  </w:style>
  <w:style w:type="character" w:customStyle="1" w:styleId="90">
    <w:name w:val="图表标题 字符"/>
    <w:link w:val="91"/>
    <w:qFormat/>
    <w:uiPriority w:val="0"/>
    <w:rPr>
      <w:rFonts w:ascii="宋体" w:hAnsi="宋体"/>
      <w:b/>
      <w:kern w:val="2"/>
      <w:sz w:val="24"/>
    </w:rPr>
  </w:style>
  <w:style w:type="paragraph" w:customStyle="1" w:styleId="91">
    <w:name w:val="图表标题"/>
    <w:basedOn w:val="1"/>
    <w:link w:val="90"/>
    <w:qFormat/>
    <w:uiPriority w:val="0"/>
    <w:pPr>
      <w:spacing w:line="360" w:lineRule="auto"/>
      <w:jc w:val="center"/>
    </w:pPr>
    <w:rPr>
      <w:rFonts w:ascii="宋体" w:hAnsi="宋体"/>
      <w:b/>
      <w:sz w:val="24"/>
      <w:szCs w:val="20"/>
    </w:rPr>
  </w:style>
  <w:style w:type="character" w:customStyle="1" w:styleId="92">
    <w:name w:val="lable"/>
    <w:basedOn w:val="61"/>
    <w:qFormat/>
    <w:uiPriority w:val="0"/>
    <w:rPr>
      <w:sz w:val="12"/>
      <w:szCs w:val="12"/>
    </w:rPr>
  </w:style>
  <w:style w:type="character" w:customStyle="1" w:styleId="93">
    <w:name w:val="图标题 Char Char"/>
    <w:link w:val="94"/>
    <w:qFormat/>
    <w:uiPriority w:val="0"/>
    <w:rPr>
      <w:rFonts w:ascii="宋体" w:hAnsi="宋体" w:cs="宋体"/>
      <w:sz w:val="24"/>
      <w:szCs w:val="21"/>
      <w:shd w:val="clear" w:color="auto" w:fill="C0C0C0"/>
    </w:rPr>
  </w:style>
  <w:style w:type="paragraph" w:customStyle="1" w:styleId="94">
    <w:name w:val="图标题"/>
    <w:basedOn w:val="1"/>
    <w:next w:val="51"/>
    <w:link w:val="93"/>
    <w:qFormat/>
    <w:uiPriority w:val="0"/>
    <w:pPr>
      <w:widowControl/>
      <w:numPr>
        <w:ilvl w:val="0"/>
        <w:numId w:val="4"/>
      </w:numPr>
      <w:shd w:val="clear" w:color="auto" w:fill="C0C0C0"/>
      <w:spacing w:line="360" w:lineRule="exact"/>
      <w:jc w:val="center"/>
    </w:pPr>
    <w:rPr>
      <w:rFonts w:ascii="宋体" w:hAnsi="宋体" w:cs="宋体"/>
      <w:kern w:val="0"/>
      <w:sz w:val="24"/>
      <w:szCs w:val="21"/>
    </w:rPr>
  </w:style>
  <w:style w:type="character" w:customStyle="1" w:styleId="95">
    <w:name w:val="标题 1 Char"/>
    <w:qFormat/>
    <w:uiPriority w:val="0"/>
    <w:rPr>
      <w:rFonts w:eastAsia="宋体"/>
      <w:b/>
      <w:bCs/>
      <w:kern w:val="44"/>
      <w:sz w:val="44"/>
      <w:szCs w:val="44"/>
      <w:lang w:val="en-US" w:eastAsia="zh-CN" w:bidi="ar-SA"/>
    </w:rPr>
  </w:style>
  <w:style w:type="character" w:customStyle="1" w:styleId="96">
    <w:name w:val="font21"/>
    <w:basedOn w:val="61"/>
    <w:qFormat/>
    <w:uiPriority w:val="0"/>
    <w:rPr>
      <w:rFonts w:hint="eastAsia" w:ascii="宋体" w:hAnsi="宋体" w:eastAsia="宋体" w:cs="宋体"/>
      <w:b/>
      <w:color w:val="000000"/>
      <w:sz w:val="21"/>
      <w:szCs w:val="21"/>
      <w:u w:val="none"/>
    </w:rPr>
  </w:style>
  <w:style w:type="character" w:customStyle="1" w:styleId="97">
    <w:name w:val="纯文本 Char1"/>
    <w:qFormat/>
    <w:uiPriority w:val="0"/>
    <w:rPr>
      <w:rFonts w:ascii="宋体" w:hAnsi="Courier New" w:eastAsia="宋体"/>
      <w:spacing w:val="5"/>
      <w:kern w:val="2"/>
      <w:sz w:val="25"/>
      <w:szCs w:val="25"/>
      <w:lang w:val="en-US" w:eastAsia="zh-CN" w:bidi="ar-SA"/>
    </w:rPr>
  </w:style>
  <w:style w:type="character" w:customStyle="1" w:styleId="98">
    <w:name w:val="_Style 4"/>
    <w:qFormat/>
    <w:uiPriority w:val="19"/>
    <w:rPr>
      <w:b/>
      <w:color w:val="000000"/>
      <w:kern w:val="0"/>
      <w:sz w:val="21"/>
      <w:szCs w:val="24"/>
    </w:rPr>
  </w:style>
  <w:style w:type="character" w:customStyle="1" w:styleId="99">
    <w:name w:val="z3 Char"/>
    <w:qFormat/>
    <w:uiPriority w:val="0"/>
    <w:rPr>
      <w:rFonts w:eastAsia="宋体"/>
      <w:b/>
      <w:bCs/>
      <w:kern w:val="2"/>
      <w:sz w:val="28"/>
      <w:szCs w:val="28"/>
      <w:lang w:val="en-US" w:eastAsia="zh-CN" w:bidi="ar-SA"/>
    </w:rPr>
  </w:style>
  <w:style w:type="character" w:customStyle="1" w:styleId="100">
    <w:name w:val="news_line"/>
    <w:basedOn w:val="61"/>
    <w:qFormat/>
    <w:uiPriority w:val="0"/>
  </w:style>
  <w:style w:type="character" w:customStyle="1" w:styleId="101">
    <w:name w:val="oblog_text"/>
    <w:basedOn w:val="61"/>
    <w:qFormat/>
    <w:uiPriority w:val="0"/>
  </w:style>
  <w:style w:type="character" w:customStyle="1" w:styleId="102">
    <w:name w:val="synopsis"/>
    <w:basedOn w:val="61"/>
    <w:qFormat/>
    <w:uiPriority w:val="0"/>
  </w:style>
  <w:style w:type="character" w:customStyle="1" w:styleId="103">
    <w:name w:val="font11"/>
    <w:basedOn w:val="61"/>
    <w:qFormat/>
    <w:uiPriority w:val="0"/>
    <w:rPr>
      <w:rFonts w:hint="eastAsia" w:ascii="宋体" w:hAnsi="宋体" w:eastAsia="宋体" w:cs="宋体"/>
      <w:b/>
      <w:color w:val="000000"/>
      <w:sz w:val="21"/>
      <w:szCs w:val="21"/>
      <w:u w:val="none"/>
    </w:rPr>
  </w:style>
  <w:style w:type="character" w:customStyle="1" w:styleId="104">
    <w:name w:val="zt1"/>
    <w:qFormat/>
    <w:uiPriority w:val="0"/>
  </w:style>
  <w:style w:type="character" w:customStyle="1" w:styleId="105">
    <w:name w:val="0序号（1） Char"/>
    <w:link w:val="106"/>
    <w:qFormat/>
    <w:uiPriority w:val="0"/>
  </w:style>
  <w:style w:type="paragraph" w:customStyle="1" w:styleId="106">
    <w:name w:val="0序号（1）"/>
    <w:basedOn w:val="1"/>
    <w:next w:val="1"/>
    <w:link w:val="105"/>
    <w:qFormat/>
    <w:uiPriority w:val="0"/>
    <w:pPr>
      <w:tabs>
        <w:tab w:val="left" w:pos="0"/>
        <w:tab w:val="left" w:pos="420"/>
        <w:tab w:val="left" w:pos="846"/>
      </w:tabs>
      <w:adjustRightInd w:val="0"/>
      <w:snapToGrid w:val="0"/>
      <w:spacing w:line="360" w:lineRule="auto"/>
      <w:ind w:left="426"/>
    </w:pPr>
    <w:rPr>
      <w:kern w:val="0"/>
      <w:sz w:val="20"/>
      <w:szCs w:val="20"/>
    </w:rPr>
  </w:style>
  <w:style w:type="character" w:customStyle="1" w:styleId="107">
    <w:name w:val="报告正文 Char1"/>
    <w:qFormat/>
    <w:uiPriority w:val="0"/>
    <w:rPr>
      <w:rFonts w:ascii="宋体" w:eastAsia="宋体"/>
      <w:kern w:val="2"/>
      <w:sz w:val="28"/>
      <w:lang w:val="en-US" w:eastAsia="zh-CN" w:bidi="ar-SA"/>
    </w:rPr>
  </w:style>
  <w:style w:type="character" w:customStyle="1" w:styleId="108">
    <w:name w:val="font01"/>
    <w:basedOn w:val="61"/>
    <w:qFormat/>
    <w:uiPriority w:val="0"/>
    <w:rPr>
      <w:rFonts w:hint="default" w:ascii="Times New Roman" w:hAnsi="Times New Roman" w:cs="Times New Roman"/>
      <w:b/>
      <w:color w:val="000000"/>
      <w:sz w:val="21"/>
      <w:szCs w:val="21"/>
      <w:u w:val="none"/>
    </w:rPr>
  </w:style>
  <w:style w:type="character" w:customStyle="1" w:styleId="109">
    <w:name w:val="样式 样式 样式 Arial 小四 行距: 1.5 倍行距 + 首行缩进:  2 字符 + 首行缩进:  2 字符 Char"/>
    <w:link w:val="110"/>
    <w:qFormat/>
    <w:uiPriority w:val="0"/>
    <w:rPr>
      <w:rFonts w:ascii="Arial" w:hAnsi="Arial" w:eastAsia="宋体" w:cs="宋体"/>
      <w:kern w:val="2"/>
      <w:sz w:val="24"/>
      <w:lang w:val="en-US" w:eastAsia="zh-CN" w:bidi="ar-SA"/>
    </w:rPr>
  </w:style>
  <w:style w:type="paragraph" w:customStyle="1" w:styleId="110">
    <w:name w:val="样式 样式 样式 Arial 小四 行距: 1.5 倍行距 + 首行缩进:  2 字符 + 首行缩进:  2 字符"/>
    <w:basedOn w:val="1"/>
    <w:link w:val="109"/>
    <w:qFormat/>
    <w:uiPriority w:val="0"/>
    <w:pPr>
      <w:spacing w:line="440" w:lineRule="exact"/>
      <w:ind w:firstLine="200" w:firstLineChars="200"/>
    </w:pPr>
    <w:rPr>
      <w:rFonts w:ascii="Arial" w:hAnsi="Arial" w:cs="宋体"/>
      <w:sz w:val="24"/>
      <w:szCs w:val="20"/>
    </w:rPr>
  </w:style>
  <w:style w:type="character" w:customStyle="1" w:styleId="111">
    <w:name w:val="样式 标题 4 + Times New Roman 小三 Char"/>
    <w:qFormat/>
    <w:uiPriority w:val="0"/>
    <w:rPr>
      <w:rFonts w:ascii="Arial" w:hAnsi="Arial" w:eastAsia="宋体"/>
      <w:b/>
      <w:bCs/>
      <w:kern w:val="2"/>
      <w:sz w:val="28"/>
      <w:szCs w:val="28"/>
      <w:lang w:val="en-US" w:eastAsia="zh-CN" w:bidi="ar-SA"/>
    </w:rPr>
  </w:style>
  <w:style w:type="character" w:customStyle="1" w:styleId="112">
    <w:name w:val="font91"/>
    <w:qFormat/>
    <w:uiPriority w:val="0"/>
    <w:rPr>
      <w:rFonts w:hint="eastAsia" w:ascii="宋体" w:hAnsi="宋体" w:eastAsia="宋体" w:cs="宋体"/>
      <w:color w:val="000000"/>
      <w:sz w:val="22"/>
      <w:szCs w:val="22"/>
      <w:u w:val="none"/>
    </w:rPr>
  </w:style>
  <w:style w:type="character" w:customStyle="1" w:styleId="113">
    <w:name w:val="铧丰报告正文 + 宋体 Char Char"/>
    <w:link w:val="114"/>
    <w:qFormat/>
    <w:uiPriority w:val="0"/>
    <w:rPr>
      <w:rFonts w:ascii="宋体" w:hAnsi="宋体" w:eastAsia="仿宋_GB2312" w:cs="Courier New"/>
      <w:spacing w:val="-4"/>
      <w:sz w:val="28"/>
      <w:szCs w:val="21"/>
    </w:rPr>
  </w:style>
  <w:style w:type="paragraph" w:customStyle="1" w:styleId="114">
    <w:name w:val="铧丰报告正文 + 宋体"/>
    <w:basedOn w:val="1"/>
    <w:link w:val="113"/>
    <w:qFormat/>
    <w:uiPriority w:val="0"/>
    <w:pPr>
      <w:spacing w:line="600" w:lineRule="exact"/>
      <w:ind w:firstLine="200" w:firstLineChars="200"/>
    </w:pPr>
    <w:rPr>
      <w:rFonts w:ascii="宋体" w:hAnsi="宋体" w:eastAsia="仿宋_GB2312" w:cs="Courier New"/>
      <w:spacing w:val="-4"/>
      <w:kern w:val="0"/>
      <w:sz w:val="28"/>
      <w:szCs w:val="21"/>
    </w:rPr>
  </w:style>
  <w:style w:type="character" w:customStyle="1" w:styleId="115">
    <w:name w:val="报告表标题 Char"/>
    <w:link w:val="116"/>
    <w:qFormat/>
    <w:uiPriority w:val="0"/>
    <w:rPr>
      <w:rFonts w:ascii="宋体" w:hAnsi="宋体" w:cs="宋体"/>
      <w:sz w:val="24"/>
      <w:szCs w:val="24"/>
    </w:rPr>
  </w:style>
  <w:style w:type="paragraph" w:customStyle="1" w:styleId="116">
    <w:name w:val="报告表标题"/>
    <w:basedOn w:val="1"/>
    <w:link w:val="115"/>
    <w:qFormat/>
    <w:uiPriority w:val="0"/>
    <w:pPr>
      <w:widowControl/>
      <w:numPr>
        <w:ilvl w:val="0"/>
        <w:numId w:val="5"/>
      </w:numPr>
      <w:jc w:val="center"/>
    </w:pPr>
    <w:rPr>
      <w:rFonts w:ascii="宋体" w:hAnsi="宋体" w:cs="宋体"/>
      <w:kern w:val="0"/>
      <w:sz w:val="24"/>
    </w:rPr>
  </w:style>
  <w:style w:type="character" w:customStyle="1" w:styleId="117">
    <w:name w:val="纯文本 Char"/>
    <w:qFormat/>
    <w:uiPriority w:val="99"/>
    <w:rPr>
      <w:rFonts w:ascii="宋体" w:hAnsi="Courier New"/>
      <w:kern w:val="2"/>
      <w:sz w:val="24"/>
      <w:szCs w:val="21"/>
    </w:rPr>
  </w:style>
  <w:style w:type="character" w:customStyle="1" w:styleId="118">
    <w:name w:val="radio-btn2"/>
    <w:basedOn w:val="61"/>
    <w:qFormat/>
    <w:uiPriority w:val="0"/>
    <w:rPr>
      <w:sz w:val="12"/>
      <w:szCs w:val="12"/>
    </w:rPr>
  </w:style>
  <w:style w:type="character" w:customStyle="1" w:styleId="119">
    <w:name w:val="表内容 Char Char"/>
    <w:link w:val="120"/>
    <w:qFormat/>
    <w:uiPriority w:val="9"/>
    <w:rPr>
      <w:sz w:val="21"/>
    </w:rPr>
  </w:style>
  <w:style w:type="paragraph" w:customStyle="1" w:styleId="120">
    <w:name w:val="表内容"/>
    <w:link w:val="119"/>
    <w:qFormat/>
    <w:uiPriority w:val="9"/>
    <w:pPr>
      <w:jc w:val="center"/>
    </w:pPr>
    <w:rPr>
      <w:rFonts w:ascii="Times New Roman" w:hAnsi="Times New Roman" w:eastAsia="宋体" w:cs="Times New Roman"/>
      <w:sz w:val="21"/>
      <w:lang w:val="en-US" w:eastAsia="zh-CN" w:bidi="ar-SA"/>
    </w:rPr>
  </w:style>
  <w:style w:type="character" w:customStyle="1" w:styleId="121">
    <w:name w:val="hover7"/>
    <w:basedOn w:val="61"/>
    <w:qFormat/>
    <w:uiPriority w:val="0"/>
    <w:rPr>
      <w:shd w:val="clear" w:color="auto" w:fill="5982B8"/>
    </w:rPr>
  </w:style>
  <w:style w:type="character" w:customStyle="1" w:styleId="122">
    <w:name w:val="表文字 Char1"/>
    <w:qFormat/>
    <w:uiPriority w:val="0"/>
    <w:rPr>
      <w:sz w:val="21"/>
      <w:lang w:val="en-US" w:eastAsia="zh-CN" w:bidi="ar-SA"/>
    </w:rPr>
  </w:style>
  <w:style w:type="character" w:customStyle="1" w:styleId="123">
    <w:name w:val="标题4 Char"/>
    <w:link w:val="124"/>
    <w:qFormat/>
    <w:uiPriority w:val="0"/>
    <w:rPr>
      <w:b/>
      <w:sz w:val="24"/>
    </w:rPr>
  </w:style>
  <w:style w:type="paragraph" w:customStyle="1" w:styleId="124">
    <w:name w:val="标题4"/>
    <w:next w:val="1"/>
    <w:link w:val="123"/>
    <w:qFormat/>
    <w:uiPriority w:val="0"/>
    <w:pPr>
      <w:tabs>
        <w:tab w:val="left" w:pos="420"/>
      </w:tabs>
      <w:adjustRightInd w:val="0"/>
      <w:snapToGrid w:val="0"/>
      <w:spacing w:line="360" w:lineRule="auto"/>
    </w:pPr>
    <w:rPr>
      <w:rFonts w:ascii="Times New Roman" w:hAnsi="Times New Roman" w:eastAsia="宋体" w:cs="Times New Roman"/>
      <w:b/>
      <w:sz w:val="24"/>
      <w:lang w:val="en-US" w:eastAsia="zh-CN" w:bidi="ar-SA"/>
    </w:rPr>
  </w:style>
  <w:style w:type="character" w:customStyle="1" w:styleId="125">
    <w:name w:val="表格正文 Char"/>
    <w:link w:val="126"/>
    <w:qFormat/>
    <w:locked/>
    <w:uiPriority w:val="0"/>
    <w:rPr>
      <w:rFonts w:ascii="宋体" w:hAnsi="宋体" w:eastAsia="仿宋_GB2312"/>
      <w:kern w:val="2"/>
      <w:sz w:val="28"/>
    </w:rPr>
  </w:style>
  <w:style w:type="paragraph" w:customStyle="1" w:styleId="126">
    <w:name w:val="表格正文"/>
    <w:basedOn w:val="1"/>
    <w:link w:val="125"/>
    <w:qFormat/>
    <w:uiPriority w:val="0"/>
    <w:pPr>
      <w:jc w:val="center"/>
    </w:pPr>
    <w:rPr>
      <w:rFonts w:ascii="宋体" w:hAnsi="宋体" w:eastAsia="仿宋_GB2312"/>
      <w:sz w:val="28"/>
      <w:szCs w:val="20"/>
    </w:rPr>
  </w:style>
  <w:style w:type="character" w:customStyle="1" w:styleId="127">
    <w:name w:val="main style4"/>
    <w:basedOn w:val="61"/>
    <w:qFormat/>
    <w:uiPriority w:val="0"/>
  </w:style>
  <w:style w:type="character" w:customStyle="1" w:styleId="128">
    <w:name w:val="z1 Char"/>
    <w:qFormat/>
    <w:uiPriority w:val="0"/>
    <w:rPr>
      <w:rFonts w:eastAsia="宋体"/>
      <w:b/>
      <w:bCs/>
      <w:kern w:val="2"/>
      <w:sz w:val="30"/>
      <w:szCs w:val="30"/>
      <w:lang w:val="en-US" w:eastAsia="zh-CN" w:bidi="ar-SA"/>
    </w:rPr>
  </w:style>
  <w:style w:type="character" w:customStyle="1" w:styleId="129">
    <w:name w:val="radio-btn1"/>
    <w:basedOn w:val="61"/>
    <w:qFormat/>
    <w:uiPriority w:val="0"/>
    <w:rPr>
      <w:sz w:val="10"/>
      <w:szCs w:val="10"/>
    </w:rPr>
  </w:style>
  <w:style w:type="character" w:customStyle="1" w:styleId="130">
    <w:name w:val="06院内正文 Char"/>
    <w:link w:val="131"/>
    <w:qFormat/>
    <w:uiPriority w:val="0"/>
    <w:rPr>
      <w:rFonts w:eastAsia="宋体" w:cs="宋体"/>
      <w:kern w:val="2"/>
      <w:sz w:val="28"/>
      <w:szCs w:val="36"/>
      <w:lang w:val="en-US" w:eastAsia="zh-CN" w:bidi="ar-SA"/>
    </w:rPr>
  </w:style>
  <w:style w:type="paragraph" w:customStyle="1" w:styleId="131">
    <w:name w:val="06院内正文"/>
    <w:basedOn w:val="1"/>
    <w:link w:val="130"/>
    <w:qFormat/>
    <w:uiPriority w:val="0"/>
    <w:pPr>
      <w:spacing w:line="324" w:lineRule="auto"/>
      <w:ind w:firstLine="560" w:firstLineChars="200"/>
    </w:pPr>
    <w:rPr>
      <w:rFonts w:cs="宋体"/>
      <w:sz w:val="28"/>
      <w:szCs w:val="36"/>
    </w:rPr>
  </w:style>
  <w:style w:type="character" w:customStyle="1" w:styleId="132">
    <w:name w:val="cur1"/>
    <w:basedOn w:val="61"/>
    <w:qFormat/>
    <w:uiPriority w:val="0"/>
    <w:rPr>
      <w:color w:val="FFFFFF"/>
      <w:shd w:val="clear" w:color="auto" w:fill="2F6B98"/>
    </w:rPr>
  </w:style>
  <w:style w:type="character" w:customStyle="1" w:styleId="133">
    <w:name w:val="font31"/>
    <w:qFormat/>
    <w:uiPriority w:val="0"/>
    <w:rPr>
      <w:rFonts w:hint="eastAsia" w:ascii="宋体" w:hAnsi="宋体" w:eastAsia="宋体" w:cs="宋体"/>
      <w:color w:val="000000"/>
      <w:sz w:val="20"/>
      <w:szCs w:val="20"/>
      <w:u w:val="none"/>
    </w:rPr>
  </w:style>
  <w:style w:type="character" w:customStyle="1" w:styleId="134">
    <w:name w:val="lishishuju"/>
    <w:basedOn w:val="61"/>
    <w:qFormat/>
    <w:uiPriority w:val="0"/>
    <w:rPr>
      <w:b/>
      <w:color w:val="000052"/>
      <w:sz w:val="12"/>
      <w:szCs w:val="12"/>
      <w:bdr w:val="single" w:color="E3E3E3" w:sz="2" w:space="0"/>
    </w:rPr>
  </w:style>
  <w:style w:type="character" w:customStyle="1" w:styleId="135">
    <w:name w:val="headline-content2"/>
    <w:basedOn w:val="61"/>
    <w:qFormat/>
    <w:uiPriority w:val="0"/>
  </w:style>
  <w:style w:type="character" w:customStyle="1" w:styleId="136">
    <w:name w:val="apple-style-span"/>
    <w:basedOn w:val="61"/>
    <w:qFormat/>
    <w:uiPriority w:val="0"/>
  </w:style>
  <w:style w:type="character" w:customStyle="1" w:styleId="137">
    <w:name w:val="a5"/>
    <w:basedOn w:val="61"/>
    <w:qFormat/>
    <w:uiPriority w:val="0"/>
  </w:style>
  <w:style w:type="character" w:customStyle="1" w:styleId="138">
    <w:name w:val="我的正文 Char"/>
    <w:qFormat/>
    <w:uiPriority w:val="0"/>
    <w:rPr>
      <w:rFonts w:ascii="宋体" w:hAnsi="宋体" w:eastAsia="宋体"/>
      <w:kern w:val="10"/>
      <w:sz w:val="24"/>
      <w:szCs w:val="24"/>
      <w:lang w:val="en-US" w:eastAsia="zh-CN" w:bidi="ar-SA"/>
    </w:rPr>
  </w:style>
  <w:style w:type="character" w:customStyle="1" w:styleId="139">
    <w:name w:val="正文缩进 字符"/>
    <w:qFormat/>
    <w:uiPriority w:val="0"/>
    <w:rPr>
      <w:rFonts w:eastAsia="仿宋_GB2312"/>
      <w:kern w:val="2"/>
      <w:sz w:val="28"/>
      <w:lang w:val="en-US" w:eastAsia="zh-CN" w:bidi="ar-SA"/>
    </w:rPr>
  </w:style>
  <w:style w:type="character" w:customStyle="1" w:styleId="140">
    <w:name w:val="普通(网站) Char"/>
    <w:qFormat/>
    <w:uiPriority w:val="0"/>
    <w:rPr>
      <w:rFonts w:hint="eastAsia" w:ascii="宋体" w:hAnsi="宋体" w:eastAsia="宋体" w:cs="宋体"/>
      <w:sz w:val="24"/>
      <w:szCs w:val="24"/>
      <w:lang w:val="en-US" w:eastAsia="zh-CN" w:bidi="ar-SA"/>
    </w:rPr>
  </w:style>
  <w:style w:type="character" w:customStyle="1" w:styleId="141">
    <w:name w:val="jj1"/>
    <w:basedOn w:val="61"/>
    <w:qFormat/>
    <w:uiPriority w:val="0"/>
  </w:style>
  <w:style w:type="character" w:customStyle="1" w:styleId="142">
    <w:name w:val="headline-content4"/>
    <w:basedOn w:val="61"/>
    <w:qFormat/>
    <w:uiPriority w:val="0"/>
  </w:style>
  <w:style w:type="character" w:customStyle="1" w:styleId="143">
    <w:name w:val="表标题 Char"/>
    <w:link w:val="144"/>
    <w:qFormat/>
    <w:uiPriority w:val="0"/>
    <w:rPr>
      <w:kern w:val="2"/>
      <w:sz w:val="24"/>
      <w:szCs w:val="21"/>
    </w:rPr>
  </w:style>
  <w:style w:type="paragraph" w:customStyle="1" w:styleId="144">
    <w:name w:val="表标题"/>
    <w:basedOn w:val="1"/>
    <w:link w:val="143"/>
    <w:qFormat/>
    <w:uiPriority w:val="0"/>
    <w:pPr>
      <w:numPr>
        <w:ilvl w:val="0"/>
        <w:numId w:val="6"/>
      </w:numPr>
      <w:spacing w:line="400" w:lineRule="exact"/>
      <w:jc w:val="center"/>
    </w:pPr>
    <w:rPr>
      <w:sz w:val="24"/>
      <w:szCs w:val="21"/>
    </w:rPr>
  </w:style>
  <w:style w:type="character" w:customStyle="1" w:styleId="145">
    <w:name w:val="_Style 2"/>
    <w:qFormat/>
    <w:uiPriority w:val="19"/>
    <w:rPr>
      <w:b/>
      <w:color w:val="000000"/>
      <w:kern w:val="0"/>
      <w:sz w:val="21"/>
      <w:szCs w:val="24"/>
    </w:rPr>
  </w:style>
  <w:style w:type="character" w:customStyle="1" w:styleId="146">
    <w:name w:val="报告正文 Char"/>
    <w:link w:val="147"/>
    <w:qFormat/>
    <w:uiPriority w:val="0"/>
    <w:rPr>
      <w:rFonts w:ascii="宋体" w:hAnsi="宋体" w:eastAsia="宋体" w:cs="宋体"/>
      <w:sz w:val="24"/>
      <w:szCs w:val="24"/>
      <w:lang w:val="en-US" w:eastAsia="zh-CN" w:bidi="ar-SA"/>
    </w:rPr>
  </w:style>
  <w:style w:type="paragraph" w:customStyle="1" w:styleId="147">
    <w:name w:val="报告正文"/>
    <w:basedOn w:val="1"/>
    <w:link w:val="146"/>
    <w:qFormat/>
    <w:uiPriority w:val="0"/>
    <w:pPr>
      <w:widowControl/>
      <w:spacing w:line="360" w:lineRule="auto"/>
      <w:ind w:firstLine="200" w:firstLineChars="200"/>
      <w:jc w:val="left"/>
    </w:pPr>
    <w:rPr>
      <w:rFonts w:ascii="宋体" w:hAnsi="宋体" w:cs="宋体"/>
      <w:kern w:val="0"/>
      <w:sz w:val="24"/>
    </w:rPr>
  </w:style>
  <w:style w:type="character" w:customStyle="1" w:styleId="148">
    <w:name w:val="表格 Char"/>
    <w:link w:val="149"/>
    <w:qFormat/>
    <w:uiPriority w:val="0"/>
    <w:rPr>
      <w:sz w:val="24"/>
    </w:rPr>
  </w:style>
  <w:style w:type="paragraph" w:customStyle="1" w:styleId="149">
    <w:name w:val="表格"/>
    <w:basedOn w:val="150"/>
    <w:link w:val="148"/>
    <w:qFormat/>
    <w:uiPriority w:val="0"/>
    <w:pPr>
      <w:keepNext/>
      <w:widowControl w:val="0"/>
      <w:tabs>
        <w:tab w:val="left" w:pos="540"/>
        <w:tab w:val="left" w:pos="1080"/>
        <w:tab w:val="left" w:pos="1260"/>
        <w:tab w:val="left" w:pos="1440"/>
      </w:tabs>
      <w:autoSpaceDE w:val="0"/>
      <w:autoSpaceDN w:val="0"/>
      <w:adjustRightInd w:val="0"/>
      <w:jc w:val="center"/>
      <w:textAlignment w:val="baseline"/>
    </w:pPr>
    <w:rPr>
      <w:sz w:val="24"/>
      <w:lang w:val="en-US" w:eastAsia="zh-CN" w:bidi="ar-SA"/>
    </w:rPr>
  </w:style>
  <w:style w:type="paragraph" w:customStyle="1" w:styleId="150">
    <w:name w:val="表格文字"/>
    <w:basedOn w:val="1"/>
    <w:next w:val="1"/>
    <w:qFormat/>
    <w:uiPriority w:val="0"/>
    <w:pPr>
      <w:tabs>
        <w:tab w:val="left" w:pos="540"/>
        <w:tab w:val="left" w:pos="1080"/>
        <w:tab w:val="left" w:pos="1260"/>
        <w:tab w:val="left" w:pos="1440"/>
      </w:tabs>
      <w:snapToGrid w:val="0"/>
      <w:jc w:val="center"/>
    </w:pPr>
    <w:rPr>
      <w:color w:val="000000"/>
      <w:kern w:val="0"/>
      <w:sz w:val="24"/>
    </w:rPr>
  </w:style>
  <w:style w:type="character" w:customStyle="1" w:styleId="151">
    <w:name w:val="fontstyle01"/>
    <w:qFormat/>
    <w:uiPriority w:val="0"/>
    <w:rPr>
      <w:rFonts w:hint="eastAsia" w:ascii="仿宋_GB2312" w:eastAsia="仿宋_GB2312"/>
      <w:color w:val="000000"/>
      <w:sz w:val="32"/>
      <w:szCs w:val="32"/>
    </w:rPr>
  </w:style>
  <w:style w:type="character" w:customStyle="1" w:styleId="152">
    <w:name w:val="无格式表格 31"/>
    <w:qFormat/>
    <w:uiPriority w:val="19"/>
    <w:rPr>
      <w:b/>
      <w:color w:val="000000"/>
      <w:kern w:val="0"/>
      <w:sz w:val="21"/>
      <w:szCs w:val="24"/>
    </w:rPr>
  </w:style>
  <w:style w:type="character" w:customStyle="1" w:styleId="153">
    <w:name w:val="text_edit editable-title"/>
    <w:basedOn w:val="61"/>
    <w:qFormat/>
    <w:uiPriority w:val="0"/>
  </w:style>
  <w:style w:type="character" w:customStyle="1" w:styleId="154">
    <w:name w:val="样式 样式 样式 样式 Arial 小四 行距: 1.5 倍行距 + 首行缩进:  2 字符 + 首行缩进:  2 字符 + 宋体 Char"/>
    <w:link w:val="155"/>
    <w:qFormat/>
    <w:uiPriority w:val="0"/>
    <w:rPr>
      <w:rFonts w:ascii="Arial" w:hAnsi="Arial" w:eastAsia="宋体" w:cs="宋体"/>
      <w:kern w:val="2"/>
      <w:sz w:val="24"/>
      <w:szCs w:val="24"/>
      <w:lang w:val="en-US" w:eastAsia="zh-CN" w:bidi="ar-SA"/>
    </w:rPr>
  </w:style>
  <w:style w:type="paragraph" w:customStyle="1" w:styleId="155">
    <w:name w:val="样式 样式 样式 样式 Arial 小四 行距: 1.5 倍行距 + 首行缩进:  2 字符 + 首行缩进:  2 字符 + 宋体"/>
    <w:basedOn w:val="110"/>
    <w:link w:val="154"/>
    <w:qFormat/>
    <w:uiPriority w:val="0"/>
    <w:rPr>
      <w:szCs w:val="24"/>
    </w:rPr>
  </w:style>
  <w:style w:type="character" w:customStyle="1" w:styleId="156">
    <w:name w:val="15"/>
    <w:basedOn w:val="61"/>
    <w:qFormat/>
    <w:uiPriority w:val="0"/>
  </w:style>
  <w:style w:type="character" w:customStyle="1" w:styleId="157">
    <w:name w:val="apple-converted-space"/>
    <w:basedOn w:val="61"/>
    <w:qFormat/>
    <w:uiPriority w:val="0"/>
  </w:style>
  <w:style w:type="character" w:customStyle="1" w:styleId="158">
    <w:name w:val="书四级标题 Char"/>
    <w:link w:val="159"/>
    <w:qFormat/>
    <w:uiPriority w:val="0"/>
    <w:rPr>
      <w:rFonts w:eastAsia="黑体"/>
      <w:b/>
      <w:kern w:val="2"/>
      <w:sz w:val="24"/>
      <w:szCs w:val="24"/>
    </w:rPr>
  </w:style>
  <w:style w:type="paragraph" w:customStyle="1" w:styleId="159">
    <w:name w:val="书四级标题"/>
    <w:basedOn w:val="6"/>
    <w:link w:val="158"/>
    <w:qFormat/>
    <w:uiPriority w:val="0"/>
    <w:pPr>
      <w:numPr>
        <w:ilvl w:val="0"/>
        <w:numId w:val="0"/>
      </w:numPr>
      <w:tabs>
        <w:tab w:val="clear" w:pos="720"/>
      </w:tabs>
      <w:spacing w:before="0" w:after="0" w:line="360" w:lineRule="auto"/>
      <w:jc w:val="left"/>
      <w:outlineLvl w:val="3"/>
    </w:pPr>
    <w:rPr>
      <w:rFonts w:eastAsia="黑体"/>
      <w:bCs w:val="0"/>
      <w:szCs w:val="24"/>
    </w:rPr>
  </w:style>
  <w:style w:type="character" w:customStyle="1" w:styleId="160">
    <w:name w:val="书表格内 Char"/>
    <w:link w:val="161"/>
    <w:qFormat/>
    <w:uiPriority w:val="0"/>
    <w:rPr>
      <w:kern w:val="2"/>
      <w:sz w:val="21"/>
      <w:szCs w:val="21"/>
    </w:rPr>
  </w:style>
  <w:style w:type="paragraph" w:customStyle="1" w:styleId="161">
    <w:name w:val="书表格内"/>
    <w:basedOn w:val="1"/>
    <w:link w:val="160"/>
    <w:qFormat/>
    <w:uiPriority w:val="0"/>
    <w:pPr>
      <w:spacing w:line="0" w:lineRule="atLeast"/>
      <w:jc w:val="center"/>
    </w:pPr>
    <w:rPr>
      <w:szCs w:val="21"/>
    </w:rPr>
  </w:style>
  <w:style w:type="character" w:customStyle="1" w:styleId="162">
    <w:name w:val="font81"/>
    <w:qFormat/>
    <w:uiPriority w:val="0"/>
    <w:rPr>
      <w:rFonts w:hint="default" w:ascii="Times New Roman" w:hAnsi="Times New Roman" w:cs="Times New Roman"/>
      <w:color w:val="000000"/>
      <w:sz w:val="22"/>
      <w:szCs w:val="22"/>
      <w:u w:val="none"/>
    </w:rPr>
  </w:style>
  <w:style w:type="character" w:customStyle="1" w:styleId="163">
    <w:name w:val="普通文字 Char1"/>
    <w:qFormat/>
    <w:uiPriority w:val="0"/>
    <w:rPr>
      <w:rFonts w:ascii="宋体" w:hAnsi="Courier New" w:eastAsia="宋体"/>
      <w:kern w:val="2"/>
      <w:sz w:val="21"/>
      <w:lang w:val="en-US" w:eastAsia="zh-CN" w:bidi="ar-SA"/>
    </w:rPr>
  </w:style>
  <w:style w:type="character" w:customStyle="1" w:styleId="164">
    <w:name w:val="px14"/>
    <w:basedOn w:val="61"/>
    <w:qFormat/>
    <w:uiPriority w:val="0"/>
  </w:style>
  <w:style w:type="character" w:customStyle="1" w:styleId="165">
    <w:name w:val="style51"/>
    <w:qFormat/>
    <w:uiPriority w:val="0"/>
    <w:rPr>
      <w:color w:val="D90000"/>
    </w:rPr>
  </w:style>
  <w:style w:type="character" w:customStyle="1" w:styleId="166">
    <w:name w:val="正文001 Char"/>
    <w:link w:val="167"/>
    <w:qFormat/>
    <w:uiPriority w:val="0"/>
    <w:rPr>
      <w:rFonts w:ascii="宋体" w:hAnsi="宋体"/>
      <w:kern w:val="21"/>
      <w:sz w:val="28"/>
      <w:szCs w:val="28"/>
    </w:rPr>
  </w:style>
  <w:style w:type="paragraph" w:customStyle="1" w:styleId="167">
    <w:name w:val="正文001"/>
    <w:basedOn w:val="1"/>
    <w:link w:val="166"/>
    <w:qFormat/>
    <w:uiPriority w:val="0"/>
    <w:pPr>
      <w:adjustRightInd w:val="0"/>
      <w:spacing w:before="120" w:after="120" w:line="540" w:lineRule="exact"/>
      <w:ind w:firstLine="567"/>
      <w:textAlignment w:val="baseline"/>
    </w:pPr>
    <w:rPr>
      <w:rFonts w:ascii="宋体" w:hAnsi="宋体"/>
      <w:kern w:val="21"/>
      <w:sz w:val="28"/>
      <w:szCs w:val="28"/>
    </w:rPr>
  </w:style>
  <w:style w:type="character" w:customStyle="1" w:styleId="168">
    <w:name w:val="jj"/>
    <w:basedOn w:val="61"/>
    <w:qFormat/>
    <w:uiPriority w:val="0"/>
  </w:style>
  <w:style w:type="character" w:customStyle="1" w:styleId="169">
    <w:name w:val="0表-序号 Char"/>
    <w:link w:val="170"/>
    <w:qFormat/>
    <w:uiPriority w:val="0"/>
    <w:rPr>
      <w:rFonts w:eastAsia="黑体"/>
      <w:sz w:val="21"/>
    </w:rPr>
  </w:style>
  <w:style w:type="paragraph" w:customStyle="1" w:styleId="170">
    <w:name w:val="0表-序号"/>
    <w:next w:val="171"/>
    <w:link w:val="169"/>
    <w:qFormat/>
    <w:uiPriority w:val="0"/>
    <w:pPr>
      <w:tabs>
        <w:tab w:val="left" w:pos="0"/>
      </w:tabs>
      <w:adjustRightInd w:val="0"/>
      <w:snapToGrid w:val="0"/>
      <w:jc w:val="center"/>
    </w:pPr>
    <w:rPr>
      <w:rFonts w:ascii="Times New Roman" w:hAnsi="Times New Roman" w:eastAsia="黑体" w:cs="Times New Roman"/>
      <w:sz w:val="21"/>
      <w:lang w:val="en-US" w:eastAsia="zh-CN" w:bidi="ar-SA"/>
    </w:rPr>
  </w:style>
  <w:style w:type="paragraph" w:customStyle="1" w:styleId="171">
    <w:name w:val="000表格正文"/>
    <w:basedOn w:val="1"/>
    <w:next w:val="1"/>
    <w:qFormat/>
    <w:uiPriority w:val="0"/>
    <w:pPr>
      <w:pBdr>
        <w:top w:val="none" w:color="auto" w:sz="0" w:space="1"/>
        <w:left w:val="none" w:color="auto" w:sz="0" w:space="4"/>
        <w:bottom w:val="none" w:color="auto" w:sz="0" w:space="1"/>
        <w:right w:val="none" w:color="auto" w:sz="0" w:space="4"/>
      </w:pBdr>
      <w:spacing w:line="240" w:lineRule="auto"/>
      <w:ind w:firstLine="0" w:firstLineChars="0"/>
      <w:jc w:val="center"/>
    </w:pPr>
    <w:rPr>
      <w:rFonts w:ascii="Times New Roman" w:hAnsi="Times New Roman"/>
      <w:sz w:val="21"/>
    </w:rPr>
  </w:style>
  <w:style w:type="character" w:customStyle="1" w:styleId="172">
    <w:name w:val="znspantitle"/>
    <w:basedOn w:val="61"/>
    <w:qFormat/>
    <w:uiPriority w:val="0"/>
    <w:rPr>
      <w:b/>
      <w:color w:val="333333"/>
    </w:rPr>
  </w:style>
  <w:style w:type="character" w:customStyle="1" w:styleId="173">
    <w:name w:val="radio-btn"/>
    <w:basedOn w:val="61"/>
    <w:qFormat/>
    <w:uiPriority w:val="0"/>
    <w:rPr>
      <w:sz w:val="12"/>
      <w:szCs w:val="12"/>
    </w:rPr>
  </w:style>
  <w:style w:type="paragraph" w:customStyle="1" w:styleId="174">
    <w:name w:val="0表格正文"/>
    <w:basedOn w:val="1"/>
    <w:next w:val="1"/>
    <w:qFormat/>
    <w:uiPriority w:val="0"/>
    <w:pPr>
      <w:pBdr>
        <w:top w:val="none" w:color="auto" w:sz="0" w:space="1"/>
        <w:left w:val="none" w:color="auto" w:sz="0" w:space="4"/>
        <w:bottom w:val="none" w:color="auto" w:sz="0" w:space="1"/>
        <w:right w:val="none" w:color="auto" w:sz="0" w:space="4"/>
      </w:pBdr>
      <w:adjustRightInd w:val="0"/>
      <w:snapToGrid w:val="0"/>
      <w:jc w:val="center"/>
    </w:pPr>
  </w:style>
  <w:style w:type="paragraph" w:customStyle="1" w:styleId="175">
    <w:name w:val="样式 图标题 +"/>
    <w:basedOn w:val="94"/>
    <w:qFormat/>
    <w:uiPriority w:val="0"/>
  </w:style>
  <w:style w:type="paragraph" w:customStyle="1" w:styleId="176">
    <w:name w:val="四号字的正文"/>
    <w:basedOn w:val="1"/>
    <w:qFormat/>
    <w:uiPriority w:val="0"/>
    <w:pPr>
      <w:spacing w:line="300" w:lineRule="auto"/>
      <w:ind w:firstLine="200" w:firstLineChars="200"/>
    </w:pPr>
    <w:rPr>
      <w:rFonts w:ascii="宋体" w:hAnsi="宋体"/>
      <w:sz w:val="28"/>
      <w:szCs w:val="28"/>
    </w:rPr>
  </w:style>
  <w:style w:type="paragraph" w:customStyle="1" w:styleId="177">
    <w:name w:val="xl40"/>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178">
    <w:name w:val="正文样式"/>
    <w:basedOn w:val="1"/>
    <w:qFormat/>
    <w:uiPriority w:val="0"/>
    <w:pPr>
      <w:adjustRightInd w:val="0"/>
      <w:spacing w:line="400" w:lineRule="atLeast"/>
      <w:ind w:firstLine="570" w:firstLineChars="203"/>
      <w:textAlignment w:val="baseline"/>
    </w:pPr>
    <w:rPr>
      <w:kern w:val="0"/>
      <w:sz w:val="28"/>
      <w:szCs w:val="20"/>
    </w:rPr>
  </w:style>
  <w:style w:type="paragraph" w:customStyle="1" w:styleId="179">
    <w:name w:val="样式 报告正文 + 左侧:  2 字符 段前: 1 行"/>
    <w:basedOn w:val="1"/>
    <w:qFormat/>
    <w:uiPriority w:val="0"/>
    <w:pPr>
      <w:widowControl/>
      <w:spacing w:before="100" w:beforeLines="100" w:line="360" w:lineRule="auto"/>
      <w:ind w:firstLine="200" w:firstLineChars="200"/>
      <w:jc w:val="left"/>
    </w:pPr>
    <w:rPr>
      <w:rFonts w:ascii="宋体" w:hAnsi="宋体" w:cs="宋体"/>
      <w:kern w:val="0"/>
      <w:sz w:val="24"/>
      <w:szCs w:val="20"/>
    </w:rPr>
  </w:style>
  <w:style w:type="paragraph" w:customStyle="1" w:styleId="180">
    <w:name w:val="z1"/>
    <w:basedOn w:val="1"/>
    <w:qFormat/>
    <w:uiPriority w:val="0"/>
    <w:pPr>
      <w:spacing w:line="360" w:lineRule="auto"/>
      <w:jc w:val="center"/>
      <w:outlineLvl w:val="0"/>
    </w:pPr>
    <w:rPr>
      <w:b/>
      <w:bCs/>
      <w:sz w:val="30"/>
      <w:szCs w:val="30"/>
    </w:rPr>
  </w:style>
  <w:style w:type="paragraph" w:customStyle="1" w:styleId="181">
    <w:name w:val="1111"/>
    <w:basedOn w:val="1"/>
    <w:qFormat/>
    <w:uiPriority w:val="0"/>
    <w:pPr>
      <w:spacing w:line="500" w:lineRule="exact"/>
      <w:ind w:firstLine="200" w:firstLineChars="200"/>
    </w:pPr>
    <w:rPr>
      <w:rFonts w:cs="宋体"/>
      <w:sz w:val="28"/>
      <w:szCs w:val="20"/>
    </w:rPr>
  </w:style>
  <w:style w:type="paragraph" w:customStyle="1" w:styleId="182">
    <w:name w:val="样式1"/>
    <w:basedOn w:val="4"/>
    <w:qFormat/>
    <w:uiPriority w:val="0"/>
    <w:pPr>
      <w:numPr>
        <w:ilvl w:val="0"/>
        <w:numId w:val="7"/>
      </w:numPr>
    </w:pPr>
    <w:rPr>
      <w:rFonts w:ascii="宋体" w:hAnsi="宋体" w:eastAsia="宋体"/>
      <w:sz w:val="36"/>
    </w:rPr>
  </w:style>
  <w:style w:type="paragraph" w:customStyle="1" w:styleId="183">
    <w:name w:val="1"/>
    <w:basedOn w:val="1"/>
    <w:next w:val="45"/>
    <w:qFormat/>
    <w:uiPriority w:val="0"/>
    <w:pPr>
      <w:spacing w:line="500" w:lineRule="exact"/>
      <w:ind w:firstLine="629"/>
    </w:pPr>
    <w:rPr>
      <w:rFonts w:ascii="仿宋_GB2312" w:eastAsia="仿宋_GB2312"/>
      <w:sz w:val="32"/>
      <w:szCs w:val="32"/>
    </w:rPr>
  </w:style>
  <w:style w:type="paragraph" w:customStyle="1" w:styleId="184">
    <w:name w:val="样式 样式 样式 标题 2 + 首行缩进:  1.13 厘米 + 首行缩进:  1.13 厘米 段前: 3 磅 段后: 3 磅 ..."/>
    <w:basedOn w:val="1"/>
    <w:qFormat/>
    <w:uiPriority w:val="0"/>
    <w:pPr>
      <w:keepNext/>
      <w:keepLines/>
      <w:spacing w:before="60" w:after="60" w:line="640" w:lineRule="atLeast"/>
      <w:outlineLvl w:val="1"/>
    </w:pPr>
    <w:rPr>
      <w:rFonts w:eastAsia="黑体" w:cs="宋体"/>
      <w:color w:val="000000"/>
      <w:sz w:val="28"/>
      <w:szCs w:val="20"/>
    </w:rPr>
  </w:style>
  <w:style w:type="paragraph" w:customStyle="1" w:styleId="185">
    <w:name w:val="p17"/>
    <w:basedOn w:val="1"/>
    <w:qFormat/>
    <w:uiPriority w:val="0"/>
    <w:pPr>
      <w:widowControl/>
    </w:pPr>
    <w:rPr>
      <w:rFonts w:ascii="宋体" w:hAnsi="宋体"/>
      <w:kern w:val="0"/>
      <w:szCs w:val="20"/>
    </w:rPr>
  </w:style>
  <w:style w:type="paragraph" w:customStyle="1" w:styleId="186">
    <w:name w:val="z2"/>
    <w:basedOn w:val="1"/>
    <w:qFormat/>
    <w:uiPriority w:val="0"/>
    <w:pPr>
      <w:spacing w:line="360" w:lineRule="auto"/>
      <w:jc w:val="left"/>
      <w:outlineLvl w:val="1"/>
    </w:pPr>
    <w:rPr>
      <w:b/>
      <w:bCs/>
      <w:sz w:val="28"/>
      <w:szCs w:val="28"/>
    </w:rPr>
  </w:style>
  <w:style w:type="paragraph" w:customStyle="1" w:styleId="187">
    <w:name w:val="样式 标题 1 + 宋体"/>
    <w:basedOn w:val="4"/>
    <w:qFormat/>
    <w:uiPriority w:val="0"/>
    <w:rPr>
      <w:rFonts w:ascii="宋体" w:hAnsi="宋体" w:eastAsia="宋体"/>
      <w:bCs/>
      <w:sz w:val="36"/>
    </w:rPr>
  </w:style>
  <w:style w:type="paragraph" w:customStyle="1" w:styleId="188">
    <w:name w:val="font6"/>
    <w:basedOn w:val="1"/>
    <w:qFormat/>
    <w:uiPriority w:val="0"/>
    <w:pPr>
      <w:widowControl/>
      <w:spacing w:before="100" w:beforeAutospacing="1" w:after="100" w:afterAutospacing="1"/>
      <w:jc w:val="left"/>
    </w:pPr>
    <w:rPr>
      <w:rFonts w:hint="eastAsia" w:ascii="宋体" w:hAnsi="宋体"/>
      <w:b/>
      <w:bCs/>
      <w:color w:val="000000"/>
      <w:kern w:val="0"/>
      <w:sz w:val="18"/>
      <w:szCs w:val="18"/>
    </w:rPr>
  </w:style>
  <w:style w:type="paragraph" w:customStyle="1" w:styleId="189">
    <w:name w:val="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90">
    <w:name w:val="00报告正文"/>
    <w:basedOn w:val="28"/>
    <w:qFormat/>
    <w:uiPriority w:val="0"/>
    <w:pPr>
      <w:spacing w:line="600" w:lineRule="exact"/>
      <w:ind w:left="0" w:firstLine="200" w:firstLineChars="200"/>
    </w:pPr>
    <w:rPr>
      <w:rFonts w:hint="default" w:cs="Courier New"/>
      <w:spacing w:val="0"/>
      <w:sz w:val="28"/>
      <w:szCs w:val="21"/>
    </w:rPr>
  </w:style>
  <w:style w:type="paragraph" w:customStyle="1" w:styleId="191">
    <w:name w:val="默认段落字体 Para Char Char Char Char"/>
    <w:basedOn w:val="1"/>
    <w:qFormat/>
    <w:uiPriority w:val="0"/>
  </w:style>
  <w:style w:type="paragraph" w:customStyle="1" w:styleId="192">
    <w:name w:val="j3"/>
    <w:basedOn w:val="1"/>
    <w:qFormat/>
    <w:uiPriority w:val="0"/>
    <w:pPr>
      <w:spacing w:line="360" w:lineRule="auto"/>
      <w:ind w:left="-147"/>
    </w:pPr>
    <w:rPr>
      <w:b/>
      <w:bCs/>
      <w:sz w:val="28"/>
    </w:rPr>
  </w:style>
  <w:style w:type="paragraph" w:customStyle="1" w:styleId="193">
    <w:name w:val="表"/>
    <w:next w:val="1"/>
    <w:qFormat/>
    <w:uiPriority w:val="0"/>
    <w:pPr>
      <w:numPr>
        <w:ilvl w:val="0"/>
        <w:numId w:val="7"/>
      </w:numPr>
      <w:tabs>
        <w:tab w:val="left" w:pos="146"/>
        <w:tab w:val="clear" w:pos="1080"/>
      </w:tabs>
      <w:adjustRightInd w:val="0"/>
      <w:snapToGrid w:val="0"/>
      <w:ind w:left="-34" w:leftChars="-16" w:firstLine="0"/>
      <w:jc w:val="center"/>
      <w:textAlignment w:val="center"/>
    </w:pPr>
    <w:rPr>
      <w:rFonts w:ascii="华文细黑" w:hAnsi="华文细黑" w:eastAsia="华文细黑" w:cs="Times New Roman"/>
      <w:sz w:val="21"/>
      <w:lang w:val="en-US" w:eastAsia="zh-CN" w:bidi="ar-SA"/>
    </w:rPr>
  </w:style>
  <w:style w:type="paragraph" w:customStyle="1" w:styleId="194">
    <w:name w:val=".66l.66l"/>
    <w:basedOn w:val="1"/>
    <w:qFormat/>
    <w:uiPriority w:val="0"/>
    <w:pPr>
      <w:autoSpaceDE w:val="0"/>
      <w:autoSpaceDN w:val="0"/>
      <w:adjustRightInd w:val="0"/>
      <w:spacing w:line="312" w:lineRule="atLeast"/>
      <w:ind w:firstLine="570"/>
      <w:textAlignment w:val="baseline"/>
    </w:pPr>
    <w:rPr>
      <w:rFonts w:ascii="宋体"/>
      <w:kern w:val="0"/>
      <w:sz w:val="28"/>
      <w:szCs w:val="20"/>
    </w:rPr>
  </w:style>
  <w:style w:type="paragraph" w:customStyle="1" w:styleId="195">
    <w:name w:val="xl36"/>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kern w:val="0"/>
      <w:sz w:val="24"/>
    </w:rPr>
  </w:style>
  <w:style w:type="paragraph" w:customStyle="1" w:styleId="196">
    <w:name w:val="样式 正文缩进 + 宋体 首行缩进:  2 字符"/>
    <w:basedOn w:val="17"/>
    <w:qFormat/>
    <w:uiPriority w:val="0"/>
    <w:pPr>
      <w:autoSpaceDE w:val="0"/>
      <w:autoSpaceDN w:val="0"/>
      <w:adjustRightInd w:val="0"/>
      <w:spacing w:line="360" w:lineRule="auto"/>
      <w:ind w:firstLine="480"/>
      <w:textAlignment w:val="baseline"/>
    </w:pPr>
    <w:rPr>
      <w:rFonts w:ascii="宋体" w:hAnsi="宋体"/>
      <w:snapToGrid w:val="0"/>
      <w:sz w:val="24"/>
      <w:szCs w:val="21"/>
    </w:rPr>
  </w:style>
  <w:style w:type="paragraph" w:customStyle="1" w:styleId="197">
    <w:name w:val="as1"/>
    <w:basedOn w:val="1"/>
    <w:qFormat/>
    <w:uiPriority w:val="0"/>
    <w:pPr>
      <w:widowControl/>
      <w:spacing w:before="100" w:beforeAutospacing="1" w:after="100" w:afterAutospacing="1" w:line="360" w:lineRule="atLeast"/>
      <w:jc w:val="left"/>
    </w:pPr>
    <w:rPr>
      <w:rFonts w:ascii="ˎ̥" w:hAnsi="ˎ̥" w:cs="宋体"/>
      <w:color w:val="000000"/>
      <w:kern w:val="0"/>
      <w:sz w:val="18"/>
      <w:szCs w:val="18"/>
    </w:rPr>
  </w:style>
  <w:style w:type="paragraph" w:customStyle="1" w:styleId="198">
    <w:name w:val="条题"/>
    <w:basedOn w:val="1"/>
    <w:qFormat/>
    <w:uiPriority w:val="0"/>
    <w:pPr>
      <w:tabs>
        <w:tab w:val="left" w:pos="1560"/>
      </w:tabs>
      <w:spacing w:line="420" w:lineRule="exact"/>
      <w:ind w:firstLine="200" w:firstLineChars="200"/>
    </w:pPr>
    <w:rPr>
      <w:rFonts w:eastAsia="黑体"/>
      <w:b/>
      <w:sz w:val="24"/>
    </w:rPr>
  </w:style>
  <w:style w:type="paragraph" w:customStyle="1" w:styleId="199">
    <w:name w:val="样式 标题 3标题 3 Char Char标题 3 Char Char Char标题 3 Char Char Char C..."/>
    <w:basedOn w:val="6"/>
    <w:qFormat/>
    <w:uiPriority w:val="0"/>
    <w:pPr>
      <w:keepNext w:val="0"/>
      <w:keepLines w:val="0"/>
      <w:widowControl/>
      <w:numPr>
        <w:ilvl w:val="2"/>
        <w:numId w:val="7"/>
      </w:numPr>
      <w:spacing w:before="156" w:after="120" w:line="240" w:lineRule="auto"/>
    </w:pPr>
    <w:rPr>
      <w:rFonts w:ascii="宋体" w:hAnsi="宋体" w:eastAsia="Arial" w:cs="宋体"/>
      <w:bCs w:val="0"/>
      <w:kern w:val="0"/>
      <w:sz w:val="28"/>
      <w:szCs w:val="20"/>
    </w:rPr>
  </w:style>
  <w:style w:type="paragraph" w:customStyle="1" w:styleId="200">
    <w:name w:val="xl4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01">
    <w:name w:val="6z"/>
    <w:basedOn w:val="1"/>
    <w:qFormat/>
    <w:uiPriority w:val="0"/>
    <w:pPr>
      <w:spacing w:line="360" w:lineRule="auto"/>
      <w:ind w:firstLine="200" w:firstLineChars="200"/>
    </w:pPr>
    <w:rPr>
      <w:rFonts w:ascii="宋体" w:hAnsi="宋体"/>
      <w:bCs/>
      <w:sz w:val="24"/>
    </w:rPr>
  </w:style>
  <w:style w:type="paragraph" w:customStyle="1" w:styleId="202">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203">
    <w:name w:val="xl39"/>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04">
    <w:name w:val="font8"/>
    <w:basedOn w:val="1"/>
    <w:qFormat/>
    <w:uiPriority w:val="0"/>
    <w:pPr>
      <w:widowControl/>
      <w:spacing w:before="100" w:beforeAutospacing="1" w:after="100" w:afterAutospacing="1"/>
      <w:jc w:val="left"/>
    </w:pPr>
    <w:rPr>
      <w:rFonts w:hint="eastAsia" w:ascii="宋体" w:hAnsi="宋体"/>
      <w:kern w:val="0"/>
      <w:sz w:val="20"/>
      <w:szCs w:val="20"/>
    </w:rPr>
  </w:style>
  <w:style w:type="paragraph" w:customStyle="1" w:styleId="205">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06">
    <w:name w:val="zz"/>
    <w:basedOn w:val="1"/>
    <w:qFormat/>
    <w:uiPriority w:val="0"/>
    <w:pPr>
      <w:spacing w:line="360" w:lineRule="auto"/>
      <w:ind w:firstLine="480" w:firstLineChars="200"/>
      <w:jc w:val="left"/>
    </w:pPr>
    <w:rPr>
      <w:rFonts w:ascii="宋体" w:hAnsi="宋体"/>
      <w:sz w:val="24"/>
    </w:rPr>
  </w:style>
  <w:style w:type="paragraph" w:customStyle="1" w:styleId="207">
    <w:name w:val="xl4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08">
    <w:name w:val="0图-序号"/>
    <w:basedOn w:val="1"/>
    <w:next w:val="1"/>
    <w:qFormat/>
    <w:uiPriority w:val="0"/>
    <w:pPr>
      <w:numPr>
        <w:ilvl w:val="5"/>
        <w:numId w:val="1"/>
      </w:numPr>
      <w:jc w:val="center"/>
    </w:pPr>
    <w:rPr>
      <w:rFonts w:eastAsia="黑体"/>
    </w:rPr>
  </w:style>
  <w:style w:type="paragraph" w:customStyle="1" w:styleId="209">
    <w:name w:val="第一章"/>
    <w:basedOn w:val="1"/>
    <w:qFormat/>
    <w:uiPriority w:val="0"/>
    <w:pPr>
      <w:adjustRightInd w:val="0"/>
      <w:spacing w:line="400" w:lineRule="atLeast"/>
      <w:jc w:val="center"/>
      <w:textAlignment w:val="baseline"/>
    </w:pPr>
    <w:rPr>
      <w:rFonts w:eastAsia="黑体"/>
      <w:kern w:val="0"/>
      <w:sz w:val="36"/>
      <w:szCs w:val="20"/>
    </w:rPr>
  </w:style>
  <w:style w:type="paragraph" w:customStyle="1" w:styleId="210">
    <w:name w:val="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11">
    <w:name w:val="表文字"/>
    <w:basedOn w:val="1"/>
    <w:qFormat/>
    <w:uiPriority w:val="0"/>
    <w:pPr>
      <w:tabs>
        <w:tab w:val="left" w:pos="945"/>
        <w:tab w:val="right" w:leader="dot" w:pos="1155"/>
        <w:tab w:val="left" w:leader="dot" w:pos="8715"/>
      </w:tabs>
      <w:adjustRightInd w:val="0"/>
      <w:snapToGrid w:val="0"/>
      <w:spacing w:beforeLines="15" w:line="500" w:lineRule="exact"/>
      <w:ind w:firstLine="200" w:firstLineChars="200"/>
      <w:jc w:val="center"/>
    </w:pPr>
    <w:rPr>
      <w:rFonts w:hint="eastAsia" w:ascii="宋体"/>
      <w:color w:val="000000"/>
      <w:kern w:val="0"/>
      <w:szCs w:val="9"/>
    </w:rPr>
  </w:style>
  <w:style w:type="paragraph" w:customStyle="1" w:styleId="212">
    <w:name w:val="样式 报告表标题 + 居中"/>
    <w:basedOn w:val="116"/>
    <w:qFormat/>
    <w:uiPriority w:val="0"/>
    <w:pPr>
      <w:numPr>
        <w:ilvl w:val="0"/>
        <w:numId w:val="0"/>
      </w:numPr>
      <w:ind w:left="540" w:hanging="360"/>
    </w:pPr>
    <w:rPr>
      <w:szCs w:val="20"/>
    </w:rPr>
  </w:style>
  <w:style w:type="paragraph" w:customStyle="1" w:styleId="213">
    <w:name w:val="样式 正文缩进 + 宋体 小三 加粗"/>
    <w:basedOn w:val="17"/>
    <w:qFormat/>
    <w:uiPriority w:val="0"/>
    <w:pPr>
      <w:ind w:firstLine="0" w:firstLineChars="0"/>
    </w:pPr>
    <w:rPr>
      <w:rFonts w:ascii="宋体" w:hAnsi="宋体" w:cs="宋体"/>
      <w:b/>
      <w:bCs/>
      <w:sz w:val="28"/>
      <w:szCs w:val="20"/>
    </w:rPr>
  </w:style>
  <w:style w:type="paragraph" w:customStyle="1" w:styleId="214">
    <w:name w:val="xl4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15">
    <w:name w:val="样式3"/>
    <w:basedOn w:val="5"/>
    <w:next w:val="216"/>
    <w:qFormat/>
    <w:uiPriority w:val="0"/>
    <w:pPr>
      <w:keepLines w:val="0"/>
      <w:numPr>
        <w:ilvl w:val="0"/>
        <w:numId w:val="0"/>
      </w:numPr>
      <w:spacing w:before="50" w:beforeLines="50" w:after="50" w:afterLines="50" w:line="240" w:lineRule="auto"/>
    </w:pPr>
    <w:rPr>
      <w:rFonts w:ascii="Arial" w:hAnsi="Arial" w:cs="Arial"/>
      <w:bCs/>
      <w:color w:val="000000"/>
      <w:sz w:val="24"/>
      <w:szCs w:val="24"/>
    </w:rPr>
  </w:style>
  <w:style w:type="paragraph" w:customStyle="1" w:styleId="216">
    <w:name w:val="样式2"/>
    <w:basedOn w:val="4"/>
    <w:qFormat/>
    <w:uiPriority w:val="0"/>
    <w:pPr>
      <w:numPr>
        <w:ilvl w:val="0"/>
        <w:numId w:val="7"/>
      </w:numPr>
    </w:pPr>
    <w:rPr>
      <w:rFonts w:ascii="宋体" w:hAnsi="宋体" w:eastAsia="宋体"/>
      <w:sz w:val="36"/>
    </w:rPr>
  </w:style>
  <w:style w:type="paragraph" w:customStyle="1" w:styleId="217">
    <w:name w:val="默认段落字体 Para Char Char Char Char Char Char Char"/>
    <w:basedOn w:val="1"/>
    <w:qFormat/>
    <w:uiPriority w:val="0"/>
    <w:pPr>
      <w:adjustRightInd w:val="0"/>
      <w:spacing w:line="360" w:lineRule="auto"/>
      <w:textAlignment w:val="baseline"/>
    </w:pPr>
    <w:rPr>
      <w:color w:val="000000"/>
      <w:kern w:val="0"/>
      <w:sz w:val="24"/>
      <w:lang w:eastAsia="en-US"/>
    </w:rPr>
  </w:style>
  <w:style w:type="paragraph" w:customStyle="1" w:styleId="218">
    <w:name w:val="xl22"/>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219">
    <w:name w:val="节标题"/>
    <w:qFormat/>
    <w:uiPriority w:val="0"/>
    <w:pPr>
      <w:numPr>
        <w:ilvl w:val="0"/>
        <w:numId w:val="8"/>
      </w:numPr>
      <w:spacing w:line="360" w:lineRule="auto"/>
    </w:pPr>
    <w:rPr>
      <w:rFonts w:ascii="Times New Roman" w:hAnsi="Times New Roman" w:eastAsia="黑体" w:cs="Times New Roman"/>
      <w:bCs/>
      <w:sz w:val="30"/>
      <w:szCs w:val="30"/>
      <w:lang w:val="en-US" w:eastAsia="zh-CN" w:bidi="ar-SA"/>
    </w:rPr>
  </w:style>
  <w:style w:type="paragraph" w:customStyle="1" w:styleId="220">
    <w:name w:val="xl4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b/>
      <w:bCs/>
      <w:kern w:val="0"/>
      <w:sz w:val="20"/>
      <w:szCs w:val="20"/>
    </w:rPr>
  </w:style>
  <w:style w:type="paragraph" w:customStyle="1" w:styleId="221">
    <w:name w:val="样式5"/>
    <w:basedOn w:val="1"/>
    <w:qFormat/>
    <w:uiPriority w:val="0"/>
    <w:pPr>
      <w:spacing w:line="540" w:lineRule="exact"/>
      <w:ind w:firstLine="560" w:firstLineChars="200"/>
    </w:pPr>
    <w:rPr>
      <w:rFonts w:ascii="仿宋_GB2312" w:eastAsia="仿宋_GB2312"/>
      <w:sz w:val="28"/>
      <w:szCs w:val="28"/>
    </w:rPr>
  </w:style>
  <w:style w:type="paragraph" w:customStyle="1" w:styleId="222">
    <w:name w:val="正文1"/>
    <w:basedOn w:val="1"/>
    <w:qFormat/>
    <w:uiPriority w:val="0"/>
    <w:pPr>
      <w:adjustRightInd w:val="0"/>
    </w:pPr>
    <w:rPr>
      <w:rFonts w:eastAsia="楷体_GB2312"/>
      <w:sz w:val="24"/>
      <w:szCs w:val="20"/>
    </w:rPr>
  </w:style>
  <w:style w:type="paragraph" w:customStyle="1" w:styleId="223">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224">
    <w:name w:val="TOC 标题1"/>
    <w:basedOn w:val="4"/>
    <w:next w:val="1"/>
    <w:qFormat/>
    <w:uiPriority w:val="39"/>
    <w:pPr>
      <w:widowControl/>
      <w:numPr>
        <w:ilvl w:val="0"/>
        <w:numId w:val="0"/>
      </w:numPr>
      <w:tabs>
        <w:tab w:val="clear" w:pos="432"/>
      </w:tabs>
      <w:spacing w:before="480" w:after="0" w:line="276" w:lineRule="auto"/>
      <w:jc w:val="left"/>
      <w:outlineLvl w:val="9"/>
    </w:pPr>
    <w:rPr>
      <w:rFonts w:ascii="Cambria" w:hAnsi="Cambria" w:eastAsia="宋体"/>
      <w:bCs/>
      <w:color w:val="365F91"/>
      <w:kern w:val="0"/>
      <w:sz w:val="28"/>
      <w:szCs w:val="28"/>
    </w:rPr>
  </w:style>
  <w:style w:type="paragraph" w:customStyle="1" w:styleId="225">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226">
    <w:name w:val="默认段落字体 Para Char Char Char Char Char Char Char Char Char1 Char Char Char Char Char Char Char Char Char Char"/>
    <w:basedOn w:val="20"/>
    <w:qFormat/>
    <w:uiPriority w:val="0"/>
    <w:rPr>
      <w:rFonts w:ascii="Tahoma" w:hAnsi="Tahoma"/>
      <w:sz w:val="24"/>
    </w:rPr>
  </w:style>
  <w:style w:type="paragraph" w:customStyle="1" w:styleId="227">
    <w:name w:val="Table Paragraph"/>
    <w:basedOn w:val="1"/>
    <w:qFormat/>
    <w:uiPriority w:val="1"/>
    <w:pPr>
      <w:autoSpaceDE w:val="0"/>
      <w:autoSpaceDN w:val="0"/>
      <w:adjustRightInd w:val="0"/>
      <w:jc w:val="left"/>
    </w:pPr>
    <w:rPr>
      <w:rFonts w:eastAsia="等线"/>
      <w:kern w:val="0"/>
      <w:sz w:val="24"/>
    </w:rPr>
  </w:style>
  <w:style w:type="paragraph" w:customStyle="1" w:styleId="228">
    <w:name w:val="_Style 3"/>
    <w:basedOn w:val="1"/>
    <w:qFormat/>
    <w:uiPriority w:val="1"/>
    <w:pPr>
      <w:tabs>
        <w:tab w:val="left" w:pos="0"/>
      </w:tabs>
      <w:spacing w:line="240" w:lineRule="atLeast"/>
      <w:jc w:val="center"/>
    </w:pPr>
    <w:rPr>
      <w:bCs/>
      <w:kern w:val="0"/>
      <w:szCs w:val="21"/>
    </w:rPr>
  </w:style>
  <w:style w:type="paragraph" w:customStyle="1" w:styleId="229">
    <w:name w:val="标准"/>
    <w:basedOn w:val="1"/>
    <w:qFormat/>
    <w:uiPriority w:val="0"/>
    <w:pPr>
      <w:adjustRightInd w:val="0"/>
      <w:spacing w:line="360" w:lineRule="auto"/>
      <w:textAlignment w:val="baseline"/>
    </w:pPr>
    <w:rPr>
      <w:rFonts w:ascii="楷体_GB2312" w:eastAsia="楷体_GB2312"/>
      <w:kern w:val="0"/>
      <w:sz w:val="28"/>
      <w:szCs w:val="20"/>
    </w:rPr>
  </w:style>
  <w:style w:type="paragraph" w:customStyle="1" w:styleId="230">
    <w:name w:val="样式 报告正文 + (西文) 黑体"/>
    <w:basedOn w:val="147"/>
    <w:qFormat/>
    <w:uiPriority w:val="0"/>
    <w:pPr>
      <w:widowControl w:val="0"/>
    </w:pPr>
    <w:rPr>
      <w:rFonts w:ascii="Times New Roman" w:hAnsi="Times New Roman" w:cs="Times New Roman"/>
      <w:kern w:val="2"/>
    </w:rPr>
  </w:style>
  <w:style w:type="paragraph" w:customStyle="1" w:styleId="231">
    <w:name w:val="样式 四号 首行缩进:  2 字符"/>
    <w:basedOn w:val="1"/>
    <w:qFormat/>
    <w:uiPriority w:val="0"/>
    <w:pPr>
      <w:spacing w:line="480" w:lineRule="atLeast"/>
      <w:ind w:firstLine="480" w:firstLineChars="200"/>
    </w:pPr>
    <w:rPr>
      <w:sz w:val="24"/>
      <w:szCs w:val="20"/>
    </w:rPr>
  </w:style>
  <w:style w:type="paragraph" w:customStyle="1" w:styleId="232">
    <w:name w:val="6.1.1"/>
    <w:basedOn w:val="1"/>
    <w:qFormat/>
    <w:uiPriority w:val="0"/>
    <w:pPr>
      <w:spacing w:line="360" w:lineRule="auto"/>
      <w:jc w:val="left"/>
      <w:outlineLvl w:val="2"/>
    </w:pPr>
    <w:rPr>
      <w:rFonts w:ascii="宋体" w:hAnsi="宋体"/>
      <w:b/>
      <w:bCs/>
      <w:sz w:val="24"/>
      <w:szCs w:val="28"/>
    </w:rPr>
  </w:style>
  <w:style w:type="paragraph" w:customStyle="1" w:styleId="233">
    <w:name w:val="xl3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kern w:val="0"/>
      <w:sz w:val="24"/>
    </w:rPr>
  </w:style>
  <w:style w:type="paragraph" w:customStyle="1" w:styleId="234">
    <w:name w:val="表格2"/>
    <w:basedOn w:val="1"/>
    <w:qFormat/>
    <w:uiPriority w:val="0"/>
    <w:pPr>
      <w:spacing w:line="320" w:lineRule="exact"/>
      <w:jc w:val="center"/>
    </w:pPr>
    <w:rPr>
      <w:kern w:val="0"/>
      <w:sz w:val="24"/>
      <w:szCs w:val="28"/>
    </w:rPr>
  </w:style>
  <w:style w:type="paragraph" w:customStyle="1" w:styleId="235">
    <w:name w:val="font5"/>
    <w:basedOn w:val="1"/>
    <w:qFormat/>
    <w:uiPriority w:val="0"/>
    <w:pPr>
      <w:widowControl/>
      <w:spacing w:before="100" w:beforeAutospacing="1" w:after="100" w:afterAutospacing="1"/>
      <w:jc w:val="left"/>
    </w:pPr>
    <w:rPr>
      <w:rFonts w:hint="eastAsia" w:ascii="宋体" w:hAnsi="宋体"/>
      <w:kern w:val="0"/>
      <w:szCs w:val="21"/>
    </w:rPr>
  </w:style>
  <w:style w:type="paragraph" w:customStyle="1" w:styleId="236">
    <w:name w:val="1．"/>
    <w:basedOn w:val="237"/>
    <w:qFormat/>
    <w:uiPriority w:val="0"/>
    <w:pPr>
      <w:ind w:firstLine="568" w:firstLineChars="203"/>
    </w:pPr>
    <w:rPr>
      <w:b w:val="0"/>
    </w:rPr>
  </w:style>
  <w:style w:type="paragraph" w:customStyle="1" w:styleId="237">
    <w:name w:val="一、"/>
    <w:basedOn w:val="1"/>
    <w:qFormat/>
    <w:uiPriority w:val="0"/>
    <w:pPr>
      <w:adjustRightInd w:val="0"/>
      <w:spacing w:line="400" w:lineRule="atLeast"/>
      <w:textAlignment w:val="baseline"/>
    </w:pPr>
    <w:rPr>
      <w:b/>
      <w:kern w:val="0"/>
      <w:sz w:val="28"/>
      <w:szCs w:val="20"/>
    </w:rPr>
  </w:style>
  <w:style w:type="paragraph" w:customStyle="1" w:styleId="238">
    <w:name w:val="一级正文"/>
    <w:basedOn w:val="1"/>
    <w:qFormat/>
    <w:uiPriority w:val="0"/>
    <w:pPr>
      <w:tabs>
        <w:tab w:val="left" w:pos="900"/>
      </w:tabs>
      <w:ind w:left="-2" w:leftChars="-100" w:right="210" w:hanging="208" w:hangingChars="65"/>
    </w:pPr>
    <w:rPr>
      <w:rFonts w:ascii="仿宋_GB2312" w:eastAsia="仿宋_GB2312"/>
      <w:sz w:val="32"/>
      <w:szCs w:val="32"/>
    </w:rPr>
  </w:style>
  <w:style w:type="paragraph" w:customStyle="1" w:styleId="239">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Cs w:val="21"/>
    </w:rPr>
  </w:style>
  <w:style w:type="paragraph" w:customStyle="1" w:styleId="240">
    <w:name w:val="lm style4"/>
    <w:basedOn w:val="1"/>
    <w:qFormat/>
    <w:uiPriority w:val="0"/>
    <w:pPr>
      <w:widowControl/>
      <w:spacing w:before="100" w:beforeAutospacing="1" w:after="100" w:afterAutospacing="1"/>
      <w:jc w:val="left"/>
    </w:pPr>
    <w:rPr>
      <w:rFonts w:ascii="宋体" w:hAnsi="宋体" w:cs="宋体"/>
      <w:kern w:val="0"/>
      <w:sz w:val="24"/>
    </w:rPr>
  </w:style>
  <w:style w:type="paragraph" w:customStyle="1" w:styleId="241">
    <w:name w:val="xl3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4"/>
    </w:rPr>
  </w:style>
  <w:style w:type="paragraph" w:customStyle="1" w:styleId="242">
    <w:name w:val="封皮2"/>
    <w:basedOn w:val="1"/>
    <w:qFormat/>
    <w:uiPriority w:val="0"/>
    <w:pPr>
      <w:jc w:val="center"/>
    </w:pPr>
    <w:rPr>
      <w:rFonts w:ascii="黑体" w:eastAsia="黑体"/>
      <w:b/>
      <w:bCs/>
      <w:sz w:val="84"/>
    </w:rPr>
  </w:style>
  <w:style w:type="paragraph" w:customStyle="1" w:styleId="243">
    <w:name w:val="xl33"/>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kern w:val="0"/>
      <w:sz w:val="24"/>
    </w:rPr>
  </w:style>
  <w:style w:type="paragraph" w:customStyle="1" w:styleId="244">
    <w:name w:val="Char"/>
    <w:basedOn w:val="1"/>
    <w:qFormat/>
    <w:uiPriority w:val="0"/>
  </w:style>
  <w:style w:type="paragraph" w:customStyle="1" w:styleId="245">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246">
    <w:name w:val="xl4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47">
    <w:name w:val="封皮3"/>
    <w:basedOn w:val="1"/>
    <w:qFormat/>
    <w:uiPriority w:val="0"/>
    <w:pPr>
      <w:jc w:val="center"/>
    </w:pPr>
    <w:rPr>
      <w:rFonts w:ascii="仿宋_GB2312"/>
      <w:b/>
      <w:bCs/>
      <w:sz w:val="36"/>
    </w:rPr>
  </w:style>
  <w:style w:type="paragraph" w:customStyle="1" w:styleId="248">
    <w:name w:val="居中"/>
    <w:basedOn w:val="5"/>
    <w:next w:val="147"/>
    <w:qFormat/>
    <w:uiPriority w:val="0"/>
    <w:pPr>
      <w:widowControl/>
      <w:numPr>
        <w:ilvl w:val="1"/>
        <w:numId w:val="7"/>
      </w:numPr>
      <w:spacing w:line="360" w:lineRule="auto"/>
      <w:jc w:val="center"/>
    </w:pPr>
    <w:rPr>
      <w:rFonts w:ascii="Arial" w:hAnsi="Arial" w:cs="宋体"/>
      <w:bCs/>
      <w:kern w:val="0"/>
      <w:sz w:val="28"/>
      <w:szCs w:val="32"/>
    </w:rPr>
  </w:style>
  <w:style w:type="paragraph" w:customStyle="1" w:styleId="249">
    <w:name w:val="表头"/>
    <w:basedOn w:val="13"/>
    <w:next w:val="1"/>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paragraph" w:customStyle="1" w:styleId="250">
    <w:name w:val="表题"/>
    <w:next w:val="149"/>
    <w:qFormat/>
    <w:uiPriority w:val="0"/>
    <w:pPr>
      <w:spacing w:before="20" w:beforeLines="20" w:line="420" w:lineRule="exact"/>
      <w:jc w:val="center"/>
    </w:pPr>
    <w:rPr>
      <w:rFonts w:ascii="Times New Roman" w:hAnsi="Times New Roman" w:eastAsia="黑体" w:cs="Times New Roman"/>
      <w:sz w:val="24"/>
      <w:lang w:val="en-US" w:eastAsia="zh-CN" w:bidi="ar-SA"/>
    </w:rPr>
  </w:style>
  <w:style w:type="paragraph" w:customStyle="1" w:styleId="251">
    <w:name w:val="报告正文（北泰）"/>
    <w:basedOn w:val="24"/>
    <w:qFormat/>
    <w:uiPriority w:val="0"/>
    <w:pPr>
      <w:snapToGrid w:val="0"/>
      <w:spacing w:after="100" w:afterAutospacing="1" w:line="360" w:lineRule="auto"/>
      <w:ind w:left="200" w:firstLine="200" w:firstLineChars="200"/>
    </w:pPr>
    <w:rPr>
      <w:rFonts w:ascii="宋体" w:hAnsi="宋体"/>
      <w:sz w:val="24"/>
    </w:rPr>
  </w:style>
  <w:style w:type="paragraph" w:customStyle="1" w:styleId="252">
    <w:name w:val="正文中图名"/>
    <w:basedOn w:val="48"/>
    <w:next w:val="1"/>
    <w:qFormat/>
    <w:uiPriority w:val="0"/>
    <w:pPr>
      <w:numPr>
        <w:ilvl w:val="0"/>
        <w:numId w:val="1"/>
      </w:numPr>
      <w:jc w:val="center"/>
    </w:pPr>
    <w:rPr>
      <w:rFonts w:ascii="宋体"/>
      <w:b/>
      <w:sz w:val="24"/>
    </w:rPr>
  </w:style>
  <w:style w:type="paragraph" w:customStyle="1" w:styleId="253">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54">
    <w:name w:val="地理段落"/>
    <w:basedOn w:val="1"/>
    <w:qFormat/>
    <w:uiPriority w:val="0"/>
    <w:pPr>
      <w:adjustRightInd w:val="0"/>
      <w:snapToGrid w:val="0"/>
      <w:spacing w:line="360" w:lineRule="auto"/>
      <w:ind w:firstLine="200" w:firstLineChars="200"/>
    </w:pPr>
    <w:rPr>
      <w:rFonts w:ascii="仿宋_GB2312" w:eastAsia="仿宋_GB2312"/>
      <w:sz w:val="28"/>
      <w:szCs w:val="28"/>
    </w:rPr>
  </w:style>
  <w:style w:type="paragraph" w:customStyle="1" w:styleId="255">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56">
    <w:name w:val="我的表格文字"/>
    <w:basedOn w:val="1"/>
    <w:qFormat/>
    <w:uiPriority w:val="0"/>
    <w:pPr>
      <w:widowControl/>
      <w:adjustRightInd w:val="0"/>
      <w:snapToGrid w:val="0"/>
      <w:jc w:val="center"/>
      <w:textAlignment w:val="center"/>
    </w:pPr>
    <w:rPr>
      <w:color w:val="FF0000"/>
      <w:kern w:val="0"/>
      <w:sz w:val="24"/>
      <w:szCs w:val="21"/>
    </w:rPr>
  </w:style>
  <w:style w:type="paragraph" w:customStyle="1" w:styleId="257">
    <w:name w:val="xl3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24"/>
    </w:rPr>
  </w:style>
  <w:style w:type="paragraph" w:customStyle="1" w:styleId="258">
    <w:name w:val="文"/>
    <w:basedOn w:val="1"/>
    <w:qFormat/>
    <w:uiPriority w:val="0"/>
    <w:pPr>
      <w:spacing w:line="360" w:lineRule="auto"/>
      <w:ind w:firstLine="480" w:firstLineChars="200"/>
    </w:pPr>
    <w:rPr>
      <w:sz w:val="24"/>
    </w:rPr>
  </w:style>
  <w:style w:type="paragraph" w:customStyle="1" w:styleId="259">
    <w:name w:val="摘要"/>
    <w:basedOn w:val="1"/>
    <w:qFormat/>
    <w:uiPriority w:val="0"/>
    <w:pPr>
      <w:widowControl/>
      <w:tabs>
        <w:tab w:val="left" w:pos="1560"/>
      </w:tabs>
      <w:adjustRightInd w:val="0"/>
      <w:snapToGrid w:val="0"/>
      <w:spacing w:before="312" w:beforeLines="100" w:after="312" w:afterLines="100" w:line="500" w:lineRule="atLeast"/>
      <w:ind w:left="840" w:leftChars="400" w:firstLine="420" w:firstLineChars="200"/>
      <w:jc w:val="left"/>
    </w:pPr>
    <w:rPr>
      <w:rFonts w:ascii="新宋体" w:hAnsi="宋体" w:eastAsia="新宋体" w:cs="宋体"/>
      <w:kern w:val="0"/>
      <w:sz w:val="24"/>
      <w:szCs w:val="20"/>
    </w:rPr>
  </w:style>
  <w:style w:type="paragraph" w:customStyle="1" w:styleId="260">
    <w:name w:val="font9"/>
    <w:basedOn w:val="1"/>
    <w:qFormat/>
    <w:uiPriority w:val="0"/>
    <w:pPr>
      <w:widowControl/>
      <w:spacing w:before="100" w:beforeAutospacing="1" w:after="100" w:afterAutospacing="1"/>
      <w:jc w:val="left"/>
    </w:pPr>
    <w:rPr>
      <w:rFonts w:hint="eastAsia" w:ascii="宋体" w:hAnsi="宋体"/>
      <w:kern w:val="0"/>
      <w:sz w:val="20"/>
      <w:szCs w:val="20"/>
    </w:rPr>
  </w:style>
  <w:style w:type="paragraph" w:customStyle="1" w:styleId="261">
    <w:name w:val="本文正文"/>
    <w:basedOn w:val="1"/>
    <w:qFormat/>
    <w:uiPriority w:val="0"/>
    <w:pPr>
      <w:spacing w:line="360" w:lineRule="auto"/>
      <w:ind w:firstLine="480" w:firstLineChars="200"/>
    </w:pPr>
    <w:rPr>
      <w:sz w:val="24"/>
    </w:rPr>
  </w:style>
  <w:style w:type="paragraph" w:customStyle="1" w:styleId="262">
    <w:name w:val="图表"/>
    <w:basedOn w:val="178"/>
    <w:qFormat/>
    <w:uiPriority w:val="0"/>
    <w:pPr>
      <w:ind w:firstLine="0" w:firstLineChars="0"/>
      <w:jc w:val="center"/>
    </w:pPr>
    <w:rPr>
      <w:b/>
    </w:rPr>
  </w:style>
  <w:style w:type="paragraph" w:customStyle="1" w:styleId="263">
    <w:name w:val="附录"/>
    <w:basedOn w:val="6"/>
    <w:next w:val="1"/>
    <w:qFormat/>
    <w:uiPriority w:val="0"/>
    <w:pPr>
      <w:widowControl/>
      <w:numPr>
        <w:ilvl w:val="2"/>
        <w:numId w:val="7"/>
      </w:numPr>
      <w:tabs>
        <w:tab w:val="left" w:pos="1720"/>
      </w:tabs>
      <w:spacing w:line="360" w:lineRule="auto"/>
      <w:ind w:left="1720"/>
      <w:jc w:val="left"/>
    </w:pPr>
    <w:rPr>
      <w:rFonts w:ascii="宋体" w:hAnsi="宋体" w:eastAsia="华文中宋" w:cs="宋体"/>
      <w:kern w:val="0"/>
      <w:sz w:val="28"/>
    </w:rPr>
  </w:style>
  <w:style w:type="paragraph" w:customStyle="1" w:styleId="264">
    <w:name w:val="样式 标题 2 + 段后: 2 行"/>
    <w:basedOn w:val="5"/>
    <w:qFormat/>
    <w:uiPriority w:val="0"/>
    <w:pPr>
      <w:keepNext w:val="0"/>
      <w:keepLines w:val="0"/>
      <w:numPr>
        <w:ilvl w:val="0"/>
        <w:numId w:val="0"/>
      </w:numPr>
      <w:autoSpaceDE w:val="0"/>
      <w:autoSpaceDN w:val="0"/>
      <w:adjustRightInd w:val="0"/>
      <w:snapToGrid w:val="0"/>
      <w:spacing w:before="100" w:after="0" w:line="360" w:lineRule="auto"/>
      <w:ind w:right="-57"/>
      <w:jc w:val="left"/>
      <w:textAlignment w:val="baseline"/>
    </w:pPr>
    <w:rPr>
      <w:rFonts w:ascii="Times New Roman" w:hAnsi="Times New Roman" w:cs="Times New Roman"/>
      <w:bCs/>
      <w:snapToGrid w:val="0"/>
      <w:kern w:val="0"/>
    </w:rPr>
  </w:style>
  <w:style w:type="paragraph" w:customStyle="1" w:styleId="265">
    <w:name w:val="（1）"/>
    <w:basedOn w:val="1"/>
    <w:qFormat/>
    <w:uiPriority w:val="0"/>
    <w:pPr>
      <w:spacing w:line="360" w:lineRule="auto"/>
      <w:ind w:firstLine="560"/>
      <w:outlineLvl w:val="0"/>
    </w:pPr>
    <w:rPr>
      <w:rFonts w:ascii="宋体"/>
      <w:sz w:val="28"/>
      <w:szCs w:val="20"/>
    </w:rPr>
  </w:style>
  <w:style w:type="paragraph" w:customStyle="1" w:styleId="266">
    <w:name w:val="样式 揭大林正文 + 首行缩进:  2 字符"/>
    <w:basedOn w:val="1"/>
    <w:qFormat/>
    <w:uiPriority w:val="0"/>
    <w:pPr>
      <w:widowControl/>
      <w:spacing w:line="480" w:lineRule="exact"/>
      <w:ind w:firstLine="480" w:firstLineChars="200"/>
    </w:pPr>
    <w:rPr>
      <w:rFonts w:ascii="宋体" w:hAnsi="宋体" w:cs="宋体"/>
      <w:kern w:val="0"/>
      <w:sz w:val="24"/>
      <w:szCs w:val="20"/>
    </w:rPr>
  </w:style>
  <w:style w:type="paragraph" w:customStyle="1" w:styleId="267">
    <w:name w:val="ztt"/>
    <w:basedOn w:val="1"/>
    <w:qFormat/>
    <w:uiPriority w:val="0"/>
    <w:pPr>
      <w:spacing w:before="50" w:beforeLines="50" w:after="50" w:afterLines="50"/>
      <w:jc w:val="center"/>
    </w:pPr>
    <w:rPr>
      <w:rFonts w:ascii="宋体" w:hAnsi="宋体"/>
      <w:b/>
      <w:bCs/>
      <w:sz w:val="24"/>
    </w:rPr>
  </w:style>
  <w:style w:type="paragraph" w:customStyle="1" w:styleId="268">
    <w:name w:val="0序号①"/>
    <w:basedOn w:val="1"/>
    <w:next w:val="1"/>
    <w:qFormat/>
    <w:uiPriority w:val="0"/>
    <w:pPr>
      <w:tabs>
        <w:tab w:val="left" w:pos="420"/>
      </w:tabs>
      <w:adjustRightInd w:val="0"/>
      <w:snapToGrid w:val="0"/>
      <w:spacing w:line="360" w:lineRule="auto"/>
      <w:ind w:firstLine="640" w:firstLineChars="200"/>
    </w:pPr>
    <w:rPr>
      <w:sz w:val="24"/>
    </w:rPr>
  </w:style>
  <w:style w:type="paragraph" w:customStyle="1" w:styleId="269">
    <w:name w:val=" Char1"/>
    <w:basedOn w:val="1"/>
    <w:semiHidden/>
    <w:qFormat/>
    <w:uiPriority w:val="0"/>
    <w:pPr>
      <w:widowControl/>
      <w:spacing w:after="160" w:line="240" w:lineRule="exact"/>
      <w:jc w:val="left"/>
    </w:pPr>
    <w:rPr>
      <w:rFonts w:ascii="Verdana" w:hAnsi="Verdana"/>
      <w:kern w:val="0"/>
      <w:sz w:val="20"/>
      <w:szCs w:val="20"/>
      <w:lang w:eastAsia="en-US"/>
    </w:rPr>
  </w:style>
  <w:style w:type="paragraph" w:customStyle="1" w:styleId="270">
    <w:name w:val="图框中文字格式"/>
    <w:basedOn w:val="28"/>
    <w:next w:val="28"/>
    <w:qFormat/>
    <w:uiPriority w:val="0"/>
    <w:pPr>
      <w:adjustRightInd w:val="0"/>
      <w:snapToGrid w:val="0"/>
      <w:ind w:left="0"/>
      <w:jc w:val="center"/>
      <w:textAlignment w:val="center"/>
    </w:pPr>
    <w:rPr>
      <w:rFonts w:hint="default" w:ascii="宋体" w:eastAsia="宋体"/>
      <w:spacing w:val="0"/>
      <w:kern w:val="0"/>
      <w:sz w:val="21"/>
      <w:szCs w:val="21"/>
    </w:rPr>
  </w:style>
  <w:style w:type="paragraph" w:customStyle="1" w:styleId="271">
    <w:name w:val="_Style 267"/>
    <w:basedOn w:val="1"/>
    <w:next w:val="1"/>
    <w:qFormat/>
    <w:uiPriority w:val="0"/>
    <w:pPr>
      <w:widowControl/>
      <w:pBdr>
        <w:top w:val="single" w:color="auto" w:sz="6" w:space="1"/>
      </w:pBdr>
      <w:jc w:val="center"/>
    </w:pPr>
    <w:rPr>
      <w:rFonts w:ascii="Arial" w:hAnsi="Arial" w:cs="Arial"/>
      <w:vanish/>
      <w:kern w:val="0"/>
      <w:sz w:val="16"/>
      <w:szCs w:val="16"/>
    </w:rPr>
  </w:style>
  <w:style w:type="paragraph" w:customStyle="1" w:styleId="272">
    <w:name w:val="3"/>
    <w:basedOn w:val="1"/>
    <w:next w:val="45"/>
    <w:qFormat/>
    <w:uiPriority w:val="0"/>
    <w:pPr>
      <w:spacing w:line="500" w:lineRule="exact"/>
      <w:ind w:firstLine="629"/>
    </w:pPr>
    <w:rPr>
      <w:rFonts w:ascii="仿宋_GB2312" w:eastAsia="仿宋_GB2312"/>
      <w:sz w:val="32"/>
      <w:szCs w:val="32"/>
    </w:rPr>
  </w:style>
  <w:style w:type="paragraph" w:customStyle="1" w:styleId="273">
    <w:name w:val="xl34"/>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kern w:val="0"/>
      <w:sz w:val="24"/>
    </w:rPr>
  </w:style>
  <w:style w:type="paragraph" w:customStyle="1" w:styleId="274">
    <w:name w:val="表格题目"/>
    <w:basedOn w:val="41"/>
    <w:qFormat/>
    <w:uiPriority w:val="0"/>
    <w:pPr>
      <w:snapToGrid w:val="0"/>
      <w:spacing w:before="0" w:after="0" w:line="360" w:lineRule="auto"/>
      <w:outlineLvl w:val="9"/>
    </w:pPr>
    <w:rPr>
      <w:rFonts w:eastAsia="仿宋_GB2312" w:cs="Times New Roman"/>
      <w:b w:val="0"/>
      <w:bCs w:val="0"/>
      <w:sz w:val="28"/>
      <w:szCs w:val="20"/>
    </w:rPr>
  </w:style>
  <w:style w:type="paragraph" w:customStyle="1" w:styleId="275">
    <w:name w:val="xl3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24"/>
    </w:rPr>
  </w:style>
  <w:style w:type="paragraph" w:customStyle="1" w:styleId="276">
    <w:name w:val="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77">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278">
    <w:name w:val="样式 报告表标题 + Times New Roman 五号 加粗 居中"/>
    <w:basedOn w:val="116"/>
    <w:qFormat/>
    <w:uiPriority w:val="0"/>
    <w:pPr>
      <w:spacing w:line="400" w:lineRule="exact"/>
    </w:pPr>
    <w:rPr>
      <w:rFonts w:ascii="Times New Roman"/>
      <w:bCs/>
      <w:color w:val="000000"/>
      <w:szCs w:val="20"/>
    </w:rPr>
  </w:style>
  <w:style w:type="paragraph" w:customStyle="1" w:styleId="279">
    <w:name w:val="表名"/>
    <w:basedOn w:val="1"/>
    <w:qFormat/>
    <w:uiPriority w:val="0"/>
    <w:pPr>
      <w:spacing w:line="360" w:lineRule="auto"/>
      <w:jc w:val="center"/>
    </w:pPr>
    <w:rPr>
      <w:rFonts w:ascii="黑体" w:hAnsi="宋体" w:eastAsia="黑体"/>
      <w:sz w:val="18"/>
      <w:szCs w:val="20"/>
    </w:rPr>
  </w:style>
  <w:style w:type="paragraph" w:customStyle="1" w:styleId="280">
    <w:name w:val="2"/>
    <w:basedOn w:val="1"/>
    <w:next w:val="45"/>
    <w:qFormat/>
    <w:uiPriority w:val="0"/>
    <w:pPr>
      <w:spacing w:line="500" w:lineRule="exact"/>
      <w:ind w:firstLine="629"/>
    </w:pPr>
    <w:rPr>
      <w:rFonts w:ascii="仿宋_GB2312" w:eastAsia="仿宋_GB2312"/>
      <w:sz w:val="32"/>
      <w:szCs w:val="32"/>
    </w:rPr>
  </w:style>
  <w:style w:type="paragraph" w:customStyle="1" w:styleId="281">
    <w:name w:val="标题2"/>
    <w:basedOn w:val="1"/>
    <w:qFormat/>
    <w:uiPriority w:val="0"/>
    <w:pPr>
      <w:tabs>
        <w:tab w:val="left" w:pos="540"/>
        <w:tab w:val="left" w:pos="720"/>
      </w:tabs>
      <w:spacing w:before="156" w:beforeLines="50" w:after="156" w:afterLines="50"/>
      <w:outlineLvl w:val="1"/>
    </w:pPr>
    <w:rPr>
      <w:rFonts w:ascii="宋体" w:hAnsi="宋体"/>
      <w:b/>
      <w:sz w:val="32"/>
      <w:szCs w:val="32"/>
    </w:rPr>
  </w:style>
  <w:style w:type="paragraph" w:customStyle="1" w:styleId="282">
    <w:name w:val="font7"/>
    <w:basedOn w:val="1"/>
    <w:qFormat/>
    <w:uiPriority w:val="0"/>
    <w:pPr>
      <w:widowControl/>
      <w:spacing w:before="100" w:beforeAutospacing="1" w:after="100" w:afterAutospacing="1"/>
      <w:jc w:val="left"/>
    </w:pPr>
    <w:rPr>
      <w:kern w:val="0"/>
      <w:sz w:val="20"/>
      <w:szCs w:val="20"/>
    </w:rPr>
  </w:style>
  <w:style w:type="paragraph" w:customStyle="1" w:styleId="283">
    <w:name w:val="封皮1"/>
    <w:basedOn w:val="23"/>
    <w:qFormat/>
    <w:uiPriority w:val="0"/>
    <w:pPr>
      <w:spacing w:after="0"/>
      <w:jc w:val="center"/>
    </w:pPr>
    <w:rPr>
      <w:rFonts w:ascii="仿宋_GB2312" w:eastAsia="仿宋_GB2312"/>
      <w:b/>
      <w:bCs/>
      <w:sz w:val="72"/>
      <w:szCs w:val="72"/>
    </w:rPr>
  </w:style>
  <w:style w:type="paragraph" w:customStyle="1" w:styleId="284">
    <w:name w:val="样式 标题 3 + 小四"/>
    <w:basedOn w:val="6"/>
    <w:qFormat/>
    <w:uiPriority w:val="0"/>
    <w:pPr>
      <w:numPr>
        <w:ilvl w:val="0"/>
        <w:numId w:val="0"/>
      </w:numPr>
      <w:spacing w:before="120" w:after="120" w:line="360" w:lineRule="auto"/>
    </w:pPr>
  </w:style>
  <w:style w:type="paragraph" w:customStyle="1" w:styleId="285">
    <w:name w:val="表格1"/>
    <w:basedOn w:val="1"/>
    <w:qFormat/>
    <w:uiPriority w:val="0"/>
    <w:pPr>
      <w:snapToGrid w:val="0"/>
      <w:spacing w:line="320" w:lineRule="atLeast"/>
      <w:jc w:val="center"/>
    </w:pPr>
    <w:rPr>
      <w:rFonts w:ascii="仿宋_GB2312" w:eastAsia="仿宋_GB2312"/>
      <w:szCs w:val="20"/>
    </w:rPr>
  </w:style>
  <w:style w:type="paragraph" w:customStyle="1" w:styleId="286">
    <w:name w:val="Char Char Char1 Char Char Char Char"/>
    <w:basedOn w:val="1"/>
    <w:qFormat/>
    <w:uiPriority w:val="0"/>
    <w:rPr>
      <w:rFonts w:ascii="Tahoma" w:hAnsi="Tahoma"/>
      <w:sz w:val="24"/>
      <w:szCs w:val="20"/>
    </w:rPr>
  </w:style>
  <w:style w:type="paragraph" w:customStyle="1" w:styleId="287">
    <w:name w:val="xl35"/>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kern w:val="0"/>
      <w:sz w:val="24"/>
    </w:rPr>
  </w:style>
  <w:style w:type="paragraph" w:customStyle="1" w:styleId="288">
    <w:name w:val="aritclecontent"/>
    <w:basedOn w:val="1"/>
    <w:qFormat/>
    <w:uiPriority w:val="0"/>
    <w:pPr>
      <w:widowControl/>
      <w:spacing w:before="100" w:beforeAutospacing="1" w:after="100" w:afterAutospacing="1"/>
    </w:pPr>
    <w:rPr>
      <w:rFonts w:ascii="Tahoma" w:hAnsi="Tahoma" w:cs="Tahoma"/>
      <w:color w:val="515151"/>
      <w:spacing w:val="20"/>
      <w:kern w:val="0"/>
      <w:szCs w:val="21"/>
    </w:rPr>
  </w:style>
  <w:style w:type="paragraph" w:customStyle="1" w:styleId="289">
    <w:name w:val="_Style 285"/>
    <w:basedOn w:val="1"/>
    <w:next w:val="1"/>
    <w:qFormat/>
    <w:uiPriority w:val="0"/>
    <w:pPr>
      <w:widowControl/>
      <w:pBdr>
        <w:bottom w:val="single" w:color="auto" w:sz="6" w:space="1"/>
      </w:pBdr>
      <w:jc w:val="center"/>
    </w:pPr>
    <w:rPr>
      <w:rFonts w:ascii="Arial" w:hAnsi="Arial" w:cs="Arial"/>
      <w:vanish/>
      <w:kern w:val="0"/>
      <w:sz w:val="16"/>
      <w:szCs w:val="16"/>
    </w:rPr>
  </w:style>
  <w:style w:type="paragraph" w:customStyle="1" w:styleId="290">
    <w:name w:val="默认段落字体 Para Char"/>
    <w:basedOn w:val="1"/>
    <w:next w:val="1"/>
    <w:qFormat/>
    <w:uiPriority w:val="0"/>
    <w:pPr>
      <w:spacing w:line="360" w:lineRule="auto"/>
      <w:ind w:firstLine="200" w:firstLineChars="200"/>
    </w:pPr>
    <w:rPr>
      <w:rFonts w:ascii="宋体" w:hAnsi="宋体" w:cs="宋体"/>
      <w:sz w:val="24"/>
    </w:rPr>
  </w:style>
  <w:style w:type="paragraph" w:customStyle="1" w:styleId="291">
    <w:name w:val="XX方案"/>
    <w:basedOn w:val="1"/>
    <w:qFormat/>
    <w:uiPriority w:val="0"/>
    <w:pPr>
      <w:spacing w:line="600" w:lineRule="exact"/>
      <w:ind w:firstLine="640" w:firstLineChars="200"/>
    </w:pPr>
    <w:rPr>
      <w:rFonts w:ascii="仿宋_GB2312" w:hAnsi="Calibri" w:eastAsia="仿宋_GB2312"/>
      <w:sz w:val="28"/>
      <w:szCs w:val="28"/>
    </w:rPr>
  </w:style>
  <w:style w:type="paragraph" w:customStyle="1" w:styleId="292">
    <w:name w:val="info2"/>
    <w:basedOn w:val="1"/>
    <w:qFormat/>
    <w:uiPriority w:val="0"/>
    <w:pPr>
      <w:widowControl/>
      <w:spacing w:before="75" w:after="75" w:line="360" w:lineRule="atLeast"/>
      <w:jc w:val="left"/>
    </w:pPr>
    <w:rPr>
      <w:rFonts w:ascii="宋体" w:hAnsi="宋体" w:cs="宋体"/>
      <w:kern w:val="0"/>
      <w:sz w:val="24"/>
    </w:rPr>
  </w:style>
  <w:style w:type="paragraph" w:customStyle="1" w:styleId="293">
    <w:name w:val="表格标题"/>
    <w:basedOn w:val="1"/>
    <w:qFormat/>
    <w:uiPriority w:val="0"/>
    <w:pPr>
      <w:spacing w:before="312" w:beforeLines="100" w:after="156" w:afterLines="50"/>
      <w:jc w:val="center"/>
    </w:pPr>
    <w:rPr>
      <w:rFonts w:ascii="仿宋_GB2312" w:eastAsia="仿宋_GB2312"/>
      <w:b/>
      <w:bCs/>
      <w:sz w:val="32"/>
      <w:szCs w:val="32"/>
      <w:lang w:val="zh-CN"/>
    </w:rPr>
  </w:style>
  <w:style w:type="paragraph" w:customStyle="1" w:styleId="294">
    <w:name w:val="我的正文"/>
    <w:basedOn w:val="1"/>
    <w:qFormat/>
    <w:uiPriority w:val="0"/>
    <w:pPr>
      <w:adjustRightInd w:val="0"/>
      <w:snapToGrid w:val="0"/>
      <w:spacing w:line="360" w:lineRule="auto"/>
      <w:ind w:firstLine="200" w:firstLineChars="200"/>
    </w:pPr>
    <w:rPr>
      <w:rFonts w:ascii="宋体" w:hAnsi="宋体"/>
      <w:kern w:val="10"/>
      <w:sz w:val="24"/>
    </w:rPr>
  </w:style>
  <w:style w:type="paragraph" w:customStyle="1" w:styleId="295">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96">
    <w:name w:val="样式 z1 宋体"/>
    <w:basedOn w:val="1"/>
    <w:qFormat/>
    <w:uiPriority w:val="0"/>
    <w:pPr>
      <w:spacing w:line="360" w:lineRule="auto"/>
      <w:jc w:val="center"/>
      <w:outlineLvl w:val="0"/>
    </w:pPr>
    <w:rPr>
      <w:rFonts w:ascii="宋体" w:hAnsi="宋体"/>
      <w:b/>
      <w:bCs/>
      <w:sz w:val="30"/>
      <w:szCs w:val="30"/>
    </w:rPr>
  </w:style>
  <w:style w:type="paragraph" w:customStyle="1" w:styleId="297">
    <w:name w:val="武正文"/>
    <w:basedOn w:val="1"/>
    <w:qFormat/>
    <w:uiPriority w:val="0"/>
    <w:pPr>
      <w:spacing w:line="360" w:lineRule="auto"/>
      <w:ind w:firstLine="200" w:firstLineChars="200"/>
    </w:pPr>
    <w:rPr>
      <w:color w:val="000000"/>
      <w:kern w:val="0"/>
      <w:sz w:val="24"/>
    </w:rPr>
  </w:style>
  <w:style w:type="paragraph" w:customStyle="1" w:styleId="298">
    <w:name w:val="彩色列表 - 着色 1"/>
    <w:basedOn w:val="1"/>
    <w:qFormat/>
    <w:uiPriority w:val="34"/>
    <w:pPr>
      <w:ind w:firstLine="420" w:firstLineChars="200"/>
    </w:pPr>
    <w:rPr>
      <w:rFonts w:ascii="Calibri" w:hAnsi="Calibri"/>
      <w:szCs w:val="22"/>
    </w:rPr>
  </w:style>
  <w:style w:type="paragraph" w:customStyle="1" w:styleId="299">
    <w:name w:val="文字"/>
    <w:basedOn w:val="1"/>
    <w:qFormat/>
    <w:uiPriority w:val="0"/>
    <w:pPr>
      <w:spacing w:line="360" w:lineRule="auto"/>
    </w:pPr>
    <w:rPr>
      <w:sz w:val="24"/>
    </w:rPr>
  </w:style>
  <w:style w:type="paragraph" w:customStyle="1" w:styleId="300">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4"/>
    </w:rPr>
  </w:style>
  <w:style w:type="paragraph" w:customStyle="1" w:styleId="301">
    <w:name w:val="z3"/>
    <w:basedOn w:val="1"/>
    <w:qFormat/>
    <w:uiPriority w:val="0"/>
    <w:pPr>
      <w:spacing w:line="360" w:lineRule="auto"/>
      <w:jc w:val="left"/>
      <w:outlineLvl w:val="2"/>
    </w:pPr>
    <w:rPr>
      <w:b/>
      <w:bCs/>
      <w:sz w:val="28"/>
      <w:szCs w:val="28"/>
    </w:rPr>
  </w:style>
  <w:style w:type="paragraph" w:customStyle="1" w:styleId="302">
    <w:name w:val="xl24"/>
    <w:basedOn w:val="1"/>
    <w:qFormat/>
    <w:uiPriority w:val="0"/>
    <w:pPr>
      <w:widowControl/>
      <w:spacing w:before="100" w:beforeAutospacing="1" w:after="100" w:afterAutospacing="1"/>
      <w:jc w:val="left"/>
    </w:pPr>
    <w:rPr>
      <w:rFonts w:ascii="宋体" w:hAnsi="宋体"/>
      <w:kern w:val="0"/>
      <w:sz w:val="20"/>
      <w:szCs w:val="20"/>
    </w:rPr>
  </w:style>
  <w:style w:type="paragraph" w:customStyle="1" w:styleId="303">
    <w:name w:val="style4"/>
    <w:basedOn w:val="1"/>
    <w:qFormat/>
    <w:uiPriority w:val="0"/>
    <w:pPr>
      <w:widowControl/>
      <w:spacing w:before="100" w:beforeAutospacing="1" w:after="100" w:afterAutospacing="1"/>
      <w:jc w:val="left"/>
    </w:pPr>
    <w:rPr>
      <w:rFonts w:ascii="宋体" w:hAnsi="宋体" w:cs="宋体"/>
      <w:kern w:val="0"/>
      <w:sz w:val="28"/>
      <w:szCs w:val="28"/>
    </w:rPr>
  </w:style>
  <w:style w:type="paragraph" w:customStyle="1" w:styleId="304">
    <w:name w:val="cucd-0"/>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305">
    <w:name w:val=" Char Char1 Char Char Char Char Char Char Char Char Char1 Char"/>
    <w:basedOn w:val="1"/>
    <w:qFormat/>
    <w:uiPriority w:val="0"/>
  </w:style>
  <w:style w:type="paragraph" w:customStyle="1" w:styleId="306">
    <w:name w:val="样式 标题 3 + 首行缩进:  0 字符"/>
    <w:basedOn w:val="6"/>
    <w:qFormat/>
    <w:uiPriority w:val="0"/>
    <w:pPr>
      <w:keepNext w:val="0"/>
      <w:keepLines w:val="0"/>
      <w:numPr>
        <w:ilvl w:val="0"/>
        <w:numId w:val="0"/>
      </w:numPr>
      <w:autoSpaceDE w:val="0"/>
      <w:autoSpaceDN w:val="0"/>
      <w:adjustRightInd w:val="0"/>
      <w:spacing w:before="0" w:after="0" w:line="360" w:lineRule="auto"/>
      <w:ind w:right="-57"/>
      <w:jc w:val="left"/>
      <w:textAlignment w:val="baseline"/>
    </w:pPr>
    <w:rPr>
      <w:rFonts w:ascii="宋体" w:hAnsi="宋体"/>
      <w:kern w:val="0"/>
      <w:sz w:val="28"/>
      <w:szCs w:val="20"/>
    </w:rPr>
  </w:style>
  <w:style w:type="paragraph" w:customStyle="1" w:styleId="307">
    <w:name w:val="xl32"/>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rPr>
  </w:style>
  <w:style w:type="paragraph" w:customStyle="1" w:styleId="308">
    <w:name w:val="Default Paragraph Font Para Char"/>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09">
    <w:name w:val=" Char1 Char Char Char"/>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10">
    <w:name w:val="中等深浅网格 21"/>
    <w:basedOn w:val="1"/>
    <w:qFormat/>
    <w:uiPriority w:val="1"/>
    <w:pPr>
      <w:tabs>
        <w:tab w:val="left" w:pos="0"/>
      </w:tabs>
      <w:spacing w:line="240" w:lineRule="atLeast"/>
      <w:jc w:val="center"/>
    </w:pPr>
    <w:rPr>
      <w:bCs/>
      <w:kern w:val="0"/>
      <w:szCs w:val="21"/>
    </w:rPr>
  </w:style>
  <w:style w:type="paragraph" w:customStyle="1" w:styleId="311">
    <w:name w:val="xwz段后零距"/>
    <w:basedOn w:val="1"/>
    <w:qFormat/>
    <w:uiPriority w:val="0"/>
    <w:pPr>
      <w:spacing w:line="520" w:lineRule="exact"/>
      <w:ind w:firstLine="560" w:firstLineChars="200"/>
    </w:pPr>
    <w:rPr>
      <w:rFonts w:ascii="宋体" w:hAnsi="宋体"/>
      <w:sz w:val="28"/>
      <w:szCs w:val="28"/>
    </w:rPr>
  </w:style>
  <w:style w:type="paragraph" w:customStyle="1" w:styleId="312">
    <w:name w:val="p0"/>
    <w:basedOn w:val="1"/>
    <w:qFormat/>
    <w:uiPriority w:val="0"/>
    <w:pPr>
      <w:widowControl/>
      <w:spacing w:before="100" w:beforeAutospacing="1" w:after="100" w:afterAutospacing="1"/>
      <w:jc w:val="left"/>
    </w:pPr>
    <w:rPr>
      <w:rFonts w:ascii="宋体" w:hAnsi="宋体" w:cs="宋体"/>
      <w:kern w:val="0"/>
      <w:sz w:val="24"/>
    </w:rPr>
  </w:style>
  <w:style w:type="paragraph" w:customStyle="1" w:styleId="313">
    <w:name w:val="IDC A-Head (2nd Line)"/>
    <w:basedOn w:val="1"/>
    <w:next w:val="1"/>
    <w:qFormat/>
    <w:uiPriority w:val="0"/>
    <w:pPr>
      <w:widowControl/>
      <w:jc w:val="center"/>
    </w:pPr>
    <w:rPr>
      <w:caps/>
      <w:kern w:val="0"/>
      <w:sz w:val="24"/>
      <w:szCs w:val="20"/>
    </w:rPr>
  </w:style>
  <w:style w:type="paragraph" w:customStyle="1" w:styleId="314">
    <w:name w:val="xl4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315">
    <w:name w:val="图格式"/>
    <w:basedOn w:val="1"/>
    <w:qFormat/>
    <w:uiPriority w:val="0"/>
    <w:pPr>
      <w:adjustRightInd w:val="0"/>
      <w:spacing w:before="120" w:after="120" w:line="240" w:lineRule="atLeast"/>
      <w:jc w:val="center"/>
      <w:textAlignment w:val="baseline"/>
    </w:pPr>
    <w:rPr>
      <w:rFonts w:cs="宋体"/>
      <w:kern w:val="0"/>
      <w:szCs w:val="20"/>
    </w:rPr>
  </w:style>
  <w:style w:type="table" w:customStyle="1" w:styleId="316">
    <w:name w:val="表格样式1"/>
    <w:basedOn w:val="59"/>
    <w:qFormat/>
    <w:uiPriority w:val="0"/>
    <w:pPr>
      <w:widowControl/>
      <w:jc w:val="right"/>
    </w:pPr>
    <w:rPr>
      <w:sz w:val="18"/>
    </w:rPr>
    <w:tcPr>
      <w:vAlign w:val="center"/>
    </w:tcPr>
    <w:tblStylePr w:type="firstRow">
      <w:pPr>
        <w:jc w:val="center"/>
      </w:pPr>
      <w:rPr>
        <w:b/>
      </w:rPr>
      <w:tcPr>
        <w:tcBorders>
          <w:top w:val="single" w:color="auto" w:sz="4" w:space="0"/>
          <w:left w:val="single" w:color="auto" w:sz="4" w:space="0"/>
          <w:bottom w:val="single" w:color="auto" w:sz="4" w:space="0"/>
          <w:right w:val="single" w:color="auto" w:sz="4" w:space="0"/>
          <w:insideH w:val="nil"/>
          <w:insideV w:val="single" w:sz="4" w:space="0"/>
          <w:tl2br w:val="nil"/>
          <w:tr2bl w:val="nil"/>
        </w:tcBorders>
        <w:shd w:val="clear" w:color="auto" w:fill="D9D9D9"/>
      </w:tcPr>
    </w:tblStylePr>
    <w:tblStylePr w:type="firstCol">
      <w:pPr>
        <w:jc w:val="center"/>
      </w:pPr>
      <w:tcPr>
        <w:vAlign w:val="bottom"/>
      </w:tcPr>
    </w:tblStylePr>
  </w:style>
  <w:style w:type="table" w:customStyle="1" w:styleId="317">
    <w:name w:val="Table Normal"/>
    <w:unhideWhenUsed/>
    <w:qFormat/>
    <w:uiPriority w:val="2"/>
    <w:pPr>
      <w:widowControl w:val="0"/>
    </w:pPr>
    <w:rPr>
      <w:rFonts w:ascii="Calibri" w:hAnsi="Calibri"/>
      <w:sz w:val="22"/>
      <w:szCs w:val="22"/>
      <w:lang w:val="en-US" w:eastAsia="en-US" w:bidi="ar-SA"/>
    </w:rPr>
    <w:tblPr>
      <w:tblCellMar>
        <w:top w:w="0" w:type="dxa"/>
        <w:left w:w="0" w:type="dxa"/>
        <w:bottom w:w="0" w:type="dxa"/>
        <w:right w:w="0" w:type="dxa"/>
      </w:tblCellMar>
    </w:tblPr>
  </w:style>
  <w:style w:type="table" w:customStyle="1" w:styleId="318">
    <w:name w:val="hlsf"/>
    <w:basedOn w:val="60"/>
    <w:qFormat/>
    <w:uiPriority w:val="0"/>
    <w:tblPr>
      <w:tblBorders>
        <w:top w:val="single" w:color="008000" w:sz="12" w:space="0"/>
        <w:bottom w:val="single" w:color="008000" w:sz="12" w:space="0"/>
        <w:insideH w:val="single" w:color="auto" w:sz="2" w:space="0"/>
        <w:insideV w:val="single" w:color="auto" w:sz="2" w:space="0"/>
      </w:tblBorders>
    </w:tbl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19">
    <w:name w:val="hl"/>
    <w:basedOn w:val="60"/>
    <w:qFormat/>
    <w:uiPriority w:val="0"/>
    <w:rPr>
      <w:sz w:val="24"/>
    </w:rPr>
    <w:tblPr>
      <w:tblBorders>
        <w:top w:val="single" w:color="008000" w:sz="12" w:space="0"/>
        <w:bottom w:val="single" w:color="008000" w:sz="12" w:space="0"/>
        <w:insideH w:val="single" w:color="auto" w:sz="2" w:space="0"/>
        <w:insideV w:val="single" w:color="auto" w:sz="2" w:space="0"/>
      </w:tblBorders>
    </w:tbl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paragraph" w:customStyle="1" w:styleId="320">
    <w:name w:val="样式 小一 加粗 居中"/>
    <w:basedOn w:val="1"/>
    <w:qFormat/>
    <w:uiPriority w:val="0"/>
    <w:pPr>
      <w:jc w:val="center"/>
    </w:pPr>
    <w:rPr>
      <w:rFonts w:cs="宋体"/>
      <w:b/>
      <w:bCs/>
      <w:sz w:val="52"/>
      <w:szCs w:val="20"/>
    </w:rPr>
  </w:style>
  <w:style w:type="paragraph" w:customStyle="1" w:styleId="321">
    <w:name w:val="WPSOffice手动目录 1"/>
    <w:qFormat/>
    <w:uiPriority w:val="0"/>
    <w:pPr>
      <w:ind w:leftChars="0"/>
    </w:pPr>
    <w:rPr>
      <w:rFonts w:ascii="Times New Roman" w:hAnsi="Times New Roman" w:eastAsia="宋体" w:cs="Times New Roman"/>
      <w:sz w:val="20"/>
      <w:szCs w:val="20"/>
    </w:rPr>
  </w:style>
  <w:style w:type="paragraph" w:customStyle="1" w:styleId="322">
    <w:name w:val="WPSOffice手动目录 2"/>
    <w:qFormat/>
    <w:uiPriority w:val="0"/>
    <w:pPr>
      <w:ind w:leftChars="200"/>
    </w:pPr>
    <w:rPr>
      <w:rFonts w:ascii="Times New Roman" w:hAnsi="Times New Roman" w:eastAsia="宋体" w:cs="Times New Roman"/>
      <w:sz w:val="20"/>
      <w:szCs w:val="20"/>
    </w:rPr>
  </w:style>
  <w:style w:type="paragraph" w:customStyle="1" w:styleId="323">
    <w:name w:val="List Paragraph"/>
    <w:basedOn w:val="1"/>
    <w:qFormat/>
    <w:uiPriority w:val="99"/>
    <w:pPr>
      <w:ind w:firstLine="420"/>
    </w:pPr>
  </w:style>
  <w:style w:type="paragraph" w:customStyle="1" w:styleId="324">
    <w:name w:val="内表头"/>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before="156" w:beforeLines="50" w:after="156" w:afterLines="50" w:line="240" w:lineRule="auto"/>
      <w:ind w:firstLine="0" w:firstLineChars="0"/>
      <w:jc w:val="center"/>
    </w:pPr>
    <w:rPr>
      <w:b/>
      <w:bCs/>
      <w:kern w:val="0"/>
      <w:sz w:val="21"/>
      <w:szCs w:val="21"/>
    </w:rPr>
  </w:style>
  <w:style w:type="paragraph" w:customStyle="1" w:styleId="325">
    <w:name w:val="000正文"/>
    <w:basedOn w:val="1"/>
    <w:qFormat/>
    <w:uiPriority w:val="0"/>
    <w:pPr>
      <w:spacing w:line="360" w:lineRule="auto"/>
      <w:ind w:firstLine="420" w:firstLineChars="200"/>
    </w:pPr>
    <w:rPr>
      <w:rFonts w:ascii="Times New Roman"/>
      <w:sz w:val="24"/>
    </w:rPr>
  </w:style>
  <w:style w:type="table" w:customStyle="1" w:styleId="326">
    <w:name w:val="网格型2"/>
    <w:basedOn w:val="5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7">
    <w:name w:val="Char5"/>
    <w:basedOn w:val="1"/>
    <w:qFormat/>
    <w:uiPriority w:val="0"/>
    <w:pPr>
      <w:spacing w:line="360" w:lineRule="auto"/>
    </w:pPr>
    <w:rPr>
      <w:rFonts w:ascii="宋体" w:hAnsi="宋体" w:cs="宋体"/>
      <w:szCs w:val="24"/>
    </w:rPr>
  </w:style>
  <w:style w:type="paragraph" w:customStyle="1" w:styleId="328">
    <w:name w:val="000序号①"/>
    <w:basedOn w:val="89"/>
    <w:next w:val="1"/>
    <w:qFormat/>
    <w:uiPriority w:val="0"/>
    <w:pPr>
      <w:numPr>
        <w:ilvl w:val="7"/>
        <w:numId w:val="9"/>
      </w:numPr>
      <w:ind w:firstLine="560"/>
    </w:pPr>
  </w:style>
  <w:style w:type="character" w:customStyle="1" w:styleId="329">
    <w:name w:val="font41"/>
    <w:basedOn w:val="61"/>
    <w:qFormat/>
    <w:uiPriority w:val="0"/>
    <w:rPr>
      <w:rFonts w:hint="eastAsia" w:ascii="宋体" w:hAnsi="宋体" w:eastAsia="宋体" w:cs="宋体"/>
      <w:color w:val="000000"/>
      <w:sz w:val="22"/>
      <w:szCs w:val="22"/>
      <w:u w:val="none"/>
    </w:rPr>
  </w:style>
  <w:style w:type="character" w:customStyle="1" w:styleId="330">
    <w:name w:val="font51"/>
    <w:basedOn w:val="61"/>
    <w:qFormat/>
    <w:uiPriority w:val="0"/>
    <w:rPr>
      <w:rFonts w:hint="eastAsia" w:ascii="宋体" w:hAnsi="宋体" w:eastAsia="宋体" w:cs="宋体"/>
      <w:color w:val="000000"/>
      <w:sz w:val="22"/>
      <w:szCs w:val="22"/>
      <w:u w:val="none"/>
    </w:rPr>
  </w:style>
  <w:style w:type="paragraph" w:customStyle="1" w:styleId="331">
    <w:name w:val="列表段落3"/>
    <w:basedOn w:val="1"/>
    <w:qFormat/>
    <w:uiPriority w:val="99"/>
    <w:pPr>
      <w:spacing w:line="500" w:lineRule="exact"/>
      <w:ind w:firstLine="420"/>
    </w:pPr>
  </w:style>
  <w:style w:type="paragraph" w:customStyle="1" w:styleId="332">
    <w:name w:val="表中文字"/>
    <w:basedOn w:val="1"/>
    <w:qFormat/>
    <w:uiPriority w:val="0"/>
    <w:pPr>
      <w:adjustRightInd w:val="0"/>
      <w:snapToGrid w:val="0"/>
      <w:spacing w:line="240" w:lineRule="atLeast"/>
      <w:jc w:val="center"/>
    </w:pPr>
    <w:rPr>
      <w:lang w:val="zh-CN"/>
    </w:rPr>
  </w:style>
  <w:style w:type="paragraph" w:customStyle="1" w:styleId="333">
    <w:name w:val="0正文缩进2ty"/>
    <w:qFormat/>
    <w:uiPriority w:val="0"/>
    <w:pPr>
      <w:widowControl w:val="0"/>
      <w:snapToGrid/>
      <w:spacing w:line="240" w:lineRule="auto"/>
      <w:ind w:firstLine="602" w:firstLineChars="200"/>
      <w:jc w:val="both"/>
      <w:textAlignment w:val="center"/>
    </w:pPr>
    <w:rPr>
      <w:rFonts w:ascii="Times New Roman" w:hAnsi="Times New Roman" w:eastAsia="宋体" w:cs="Times New Roman"/>
      <w:color w:val="auto"/>
      <w:kern w:val="2"/>
      <w:sz w:val="28"/>
      <w:szCs w:val="21"/>
      <w:lang w:val="en-US" w:eastAsia="zh-CN" w:bidi="ar-SA"/>
    </w:rPr>
  </w:style>
  <w:style w:type="paragraph" w:customStyle="1" w:styleId="334">
    <w:name w:val="Table Text"/>
    <w:basedOn w:val="1"/>
    <w:semiHidden/>
    <w:qFormat/>
    <w:uiPriority w:val="0"/>
    <w:rPr>
      <w:rFonts w:ascii="宋体" w:hAnsi="宋体" w:eastAsia="宋体" w:cs="宋体"/>
      <w:sz w:val="24"/>
      <w:szCs w:val="24"/>
      <w:lang w:val="en-US" w:eastAsia="en-US" w:bidi="ar-SA"/>
    </w:rPr>
  </w:style>
  <w:style w:type="paragraph" w:customStyle="1" w:styleId="335">
    <w:name w:val="书正"/>
    <w:basedOn w:val="1"/>
    <w:qFormat/>
    <w:uiPriority w:val="0"/>
    <w:pPr>
      <w:ind w:firstLine="480"/>
    </w:pPr>
    <w:rPr>
      <w:snapToGrid w:val="0"/>
      <w:kern w:val="0"/>
      <w:szCs w:val="24"/>
      <w:lang w:val="zh-CN"/>
    </w:rPr>
  </w:style>
  <w:style w:type="paragraph" w:customStyle="1" w:styleId="336">
    <w:name w:val="0表格ty"/>
    <w:qFormat/>
    <w:uiPriority w:val="0"/>
    <w:pPr>
      <w:widowControl w:val="0"/>
      <w:overflowPunct w:val="0"/>
      <w:autoSpaceDE w:val="0"/>
      <w:autoSpaceDN w:val="0"/>
      <w:adjustRightInd w:val="0"/>
      <w:snapToGrid w:val="0"/>
      <w:ind w:firstLine="0" w:firstLineChars="0"/>
      <w:jc w:val="center"/>
      <w:textAlignment w:val="center"/>
    </w:pPr>
    <w:rPr>
      <w:rFonts w:ascii="Times New Roman" w:hAnsi="Times New Roman" w:eastAsia="宋体" w:cs="Times New Roman"/>
      <w:color w:val="000000"/>
      <w:kern w:val="2"/>
      <w:sz w:val="21"/>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footer" Target="footer4.xml"/><Relationship Id="rId79" Type="http://schemas.openxmlformats.org/officeDocument/2006/relationships/customXml" Target="../customXml/item1.xml"/><Relationship Id="rId78" Type="http://schemas.openxmlformats.org/officeDocument/2006/relationships/image" Target="media/image63.png"/><Relationship Id="rId77" Type="http://schemas.openxmlformats.org/officeDocument/2006/relationships/image" Target="media/image62.jpeg"/><Relationship Id="rId76" Type="http://schemas.openxmlformats.org/officeDocument/2006/relationships/image" Target="media/image61.png"/><Relationship Id="rId75" Type="http://schemas.openxmlformats.org/officeDocument/2006/relationships/image" Target="media/image60.jpe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footer" Target="footer3.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wmf"/><Relationship Id="rId54" Type="http://schemas.openxmlformats.org/officeDocument/2006/relationships/image" Target="media/image39.wmf"/><Relationship Id="rId53" Type="http://schemas.openxmlformats.org/officeDocument/2006/relationships/image" Target="media/image38.wmf"/><Relationship Id="rId52" Type="http://schemas.openxmlformats.org/officeDocument/2006/relationships/image" Target="media/image37.wmf"/><Relationship Id="rId51" Type="http://schemas.openxmlformats.org/officeDocument/2006/relationships/image" Target="media/image36.wmf"/><Relationship Id="rId50" Type="http://schemas.openxmlformats.org/officeDocument/2006/relationships/image" Target="media/image35.wmf"/><Relationship Id="rId5" Type="http://schemas.openxmlformats.org/officeDocument/2006/relationships/header" Target="header2.xml"/><Relationship Id="rId49" Type="http://schemas.openxmlformats.org/officeDocument/2006/relationships/image" Target="media/image34.wmf"/><Relationship Id="rId48" Type="http://schemas.openxmlformats.org/officeDocument/2006/relationships/image" Target="media/image33.wmf"/><Relationship Id="rId47" Type="http://schemas.openxmlformats.org/officeDocument/2006/relationships/image" Target="media/image32.wmf"/><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1.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wmf"/><Relationship Id="rId36" Type="http://schemas.openxmlformats.org/officeDocument/2006/relationships/oleObject" Target="embeddings/oleObject4.bin"/><Relationship Id="rId35" Type="http://schemas.openxmlformats.org/officeDocument/2006/relationships/image" Target="media/image21.wmf"/><Relationship Id="rId34" Type="http://schemas.openxmlformats.org/officeDocument/2006/relationships/oleObject" Target="embeddings/oleObject3.bin"/><Relationship Id="rId33" Type="http://schemas.openxmlformats.org/officeDocument/2006/relationships/image" Target="media/image20.wmf"/><Relationship Id="rId32" Type="http://schemas.openxmlformats.org/officeDocument/2006/relationships/image" Target="media/image19.wmf"/><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oleObject" Target="embeddings/oleObject2.bin"/><Relationship Id="rId27" Type="http://schemas.openxmlformats.org/officeDocument/2006/relationships/image" Target="media/image15.wmf"/><Relationship Id="rId26" Type="http://schemas.openxmlformats.org/officeDocument/2006/relationships/image" Target="media/image14.wmf"/><Relationship Id="rId25" Type="http://schemas.openxmlformats.org/officeDocument/2006/relationships/image" Target="media/image13.wmf"/><Relationship Id="rId24" Type="http://schemas.openxmlformats.org/officeDocument/2006/relationships/image" Target="media/image12.wmf"/><Relationship Id="rId23" Type="http://schemas.openxmlformats.org/officeDocument/2006/relationships/image" Target="media/image11.wmf"/><Relationship Id="rId22" Type="http://schemas.openxmlformats.org/officeDocument/2006/relationships/oleObject" Target="embeddings/oleObject1.bin"/><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jpe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183</Pages>
  <Words>6306</Words>
  <Characters>7165</Characters>
  <Lines>1428</Lines>
  <Paragraphs>402</Paragraphs>
  <TotalTime>9</TotalTime>
  <ScaleCrop>false</ScaleCrop>
  <LinksUpToDate>false</LinksUpToDate>
  <CharactersWithSpaces>7329</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2019-04-10T06:33:00Z</dcterms:created>
  <dc:creator>WHN</dc:creator>
  <cp:lastModifiedBy>L</cp:lastModifiedBy>
  <cp:lastPrinted>2022-07-27T00:56:00Z</cp:lastPrinted>
  <dcterms:modified xsi:type="dcterms:W3CDTF">2025-05-08T07:31:03Z</dcterms:modified>
  <dc:title>天脊集团应用化工有限公司</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E0410D0256634930A5B62C76F593D1B8</vt:lpwstr>
  </property>
  <property fmtid="{D5CDD505-2E9C-101B-9397-08002B2CF9AE}" pid="4" name="KSOTemplateDocerSaveRecord">
    <vt:lpwstr>eyJoZGlkIjoiMjhmODI3YTYxODY1MzJjZjA3NzM3M2M2NDA4NTgzNjMiLCJ1c2VySWQiOiIzMTg4NjI5MzcifQ==</vt:lpwstr>
  </property>
</Properties>
</file>