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B28D86">
      <w:pPr>
        <w:rPr>
          <w:rFonts w:hint="eastAsia" w:ascii="仿宋_GB2312" w:hAnsi="仿宋_GB2312" w:eastAsia="仿宋_GB2312" w:cs="仿宋_GB2312"/>
          <w:sz w:val="36"/>
          <w:szCs w:val="36"/>
        </w:rPr>
      </w:pPr>
    </w:p>
    <w:p w14:paraId="2DEC0175">
      <w:pPr>
        <w:ind w:firstLine="0" w:firstLineChars="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5200ACAF">
      <w:pPr>
        <w:spacing w:before="192" w:beforeLines="80"/>
        <w:ind w:firstLine="0" w:firstLineChars="0"/>
        <w:jc w:val="center"/>
        <w:rPr>
          <w:rFonts w:ascii="楷体_GB2312" w:eastAsia="楷体_GB2312"/>
          <w:bCs/>
          <w:sz w:val="48"/>
          <w:szCs w:val="48"/>
        </w:rPr>
      </w:pPr>
      <w:r>
        <w:rPr>
          <w:rFonts w:hint="eastAsia" w:ascii="楷体_GB2312" w:eastAsia="楷体_GB2312"/>
          <w:bCs/>
          <w:sz w:val="48"/>
          <w:szCs w:val="48"/>
        </w:rPr>
        <w:t>（污染影响类）</w:t>
      </w:r>
    </w:p>
    <w:p w14:paraId="7EEDA4D7">
      <w:pPr>
        <w:ind w:firstLine="1040"/>
        <w:jc w:val="center"/>
        <w:rPr>
          <w:rFonts w:eastAsia="仿宋"/>
          <w:sz w:val="52"/>
          <w:szCs w:val="52"/>
        </w:rPr>
      </w:pPr>
    </w:p>
    <w:p w14:paraId="7DD9C230">
      <w:pPr>
        <w:ind w:firstLine="880"/>
        <w:rPr>
          <w:rFonts w:eastAsia="仿宋"/>
          <w:sz w:val="44"/>
          <w:szCs w:val="44"/>
        </w:rPr>
      </w:pPr>
    </w:p>
    <w:p w14:paraId="25FBB5D5">
      <w:pPr>
        <w:ind w:firstLine="0" w:firstLineChars="0"/>
        <w:rPr>
          <w:rFonts w:eastAsia="仿宋"/>
          <w:sz w:val="44"/>
          <w:szCs w:val="44"/>
        </w:rPr>
      </w:pPr>
    </w:p>
    <w:p w14:paraId="447B72BD">
      <w:pPr>
        <w:ind w:firstLine="480"/>
      </w:pPr>
    </w:p>
    <w:p w14:paraId="4EED85A4">
      <w:pPr>
        <w:ind w:firstLine="880"/>
        <w:rPr>
          <w:rFonts w:eastAsia="仿宋"/>
          <w:sz w:val="44"/>
          <w:szCs w:val="44"/>
        </w:rPr>
      </w:pPr>
    </w:p>
    <w:p w14:paraId="092CBB46">
      <w:pPr>
        <w:spacing w:line="288" w:lineRule="auto"/>
        <w:ind w:left="1440" w:leftChars="300" w:hanging="720" w:hangingChars="200"/>
        <w:rPr>
          <w:rFonts w:ascii="仿宋_GB2312" w:eastAsia="仿宋_GB2312"/>
          <w:sz w:val="36"/>
          <w:szCs w:val="36"/>
          <w:u w:val="single"/>
        </w:rPr>
      </w:pPr>
      <w:r>
        <w:rPr>
          <w:rFonts w:hint="eastAsia" w:ascii="仿宋_GB2312" w:eastAsia="仿宋_GB2312"/>
          <w:sz w:val="36"/>
          <w:szCs w:val="36"/>
        </w:rPr>
        <w:t>项目名称：</w:t>
      </w:r>
      <w:r>
        <w:rPr>
          <w:rFonts w:hint="eastAsia" w:ascii="仿宋_GB2312" w:eastAsia="仿宋_GB2312"/>
          <w:sz w:val="36"/>
          <w:szCs w:val="36"/>
          <w:u w:val="single"/>
        </w:rPr>
        <w:t xml:space="preserve">       承德豪福新型建材有限公司     </w:t>
      </w:r>
    </w:p>
    <w:p w14:paraId="141925FA">
      <w:pPr>
        <w:spacing w:line="288" w:lineRule="auto"/>
        <w:ind w:firstLine="2520" w:firstLineChars="700"/>
        <w:rPr>
          <w:rFonts w:ascii="仿宋_GB2312" w:eastAsia="仿宋_GB2312"/>
          <w:sz w:val="36"/>
          <w:szCs w:val="36"/>
          <w:u w:val="single"/>
        </w:rPr>
      </w:pPr>
      <w:r>
        <w:rPr>
          <w:rFonts w:hint="eastAsia" w:ascii="仿宋_GB2312" w:eastAsia="仿宋_GB2312"/>
          <w:sz w:val="36"/>
          <w:szCs w:val="36"/>
          <w:u w:val="single"/>
        </w:rPr>
        <w:t xml:space="preserve">           集成构件建设项目         </w:t>
      </w:r>
    </w:p>
    <w:p w14:paraId="23D2AE7B">
      <w:pPr>
        <w:spacing w:line="288" w:lineRule="auto"/>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承德豪福新型建材有限公司    </w:t>
      </w:r>
    </w:p>
    <w:p w14:paraId="647C632C">
      <w:pPr>
        <w:spacing w:line="288" w:lineRule="auto"/>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2024年1</w:t>
      </w:r>
      <w:r>
        <w:rPr>
          <w:rFonts w:hint="eastAsia" w:ascii="仿宋_GB2312" w:eastAsia="仿宋_GB2312"/>
          <w:sz w:val="36"/>
          <w:szCs w:val="36"/>
          <w:u w:val="single"/>
          <w:lang w:val="en-US" w:eastAsia="zh-CN"/>
        </w:rPr>
        <w:t>1</w:t>
      </w:r>
      <w:r>
        <w:rPr>
          <w:rFonts w:hint="eastAsia" w:ascii="仿宋_GB2312" w:eastAsia="仿宋_GB2312"/>
          <w:sz w:val="36"/>
          <w:szCs w:val="36"/>
          <w:u w:val="single"/>
        </w:rPr>
        <w:t xml:space="preserve">月            </w:t>
      </w:r>
    </w:p>
    <w:p w14:paraId="12F57B8F">
      <w:pPr>
        <w:spacing w:line="288" w:lineRule="auto"/>
        <w:rPr>
          <w:rFonts w:ascii="仿宋_GB2312" w:eastAsia="仿宋_GB2312"/>
          <w:sz w:val="36"/>
          <w:szCs w:val="36"/>
          <w:u w:val="single"/>
        </w:rPr>
      </w:pPr>
      <w:bookmarkStart w:id="0" w:name="_Hlk57884087"/>
    </w:p>
    <w:p w14:paraId="6E91D7FD">
      <w:pPr>
        <w:spacing w:line="288" w:lineRule="auto"/>
        <w:rPr>
          <w:rFonts w:ascii="仿宋_GB2312" w:eastAsia="仿宋_GB2312"/>
          <w:sz w:val="36"/>
          <w:szCs w:val="36"/>
        </w:rPr>
      </w:pPr>
    </w:p>
    <w:p w14:paraId="6C180A35">
      <w:pPr>
        <w:rPr>
          <w:rFonts w:ascii="仿宋_GB2312" w:eastAsia="仿宋_GB2312"/>
          <w:sz w:val="36"/>
          <w:szCs w:val="36"/>
        </w:rPr>
      </w:pPr>
    </w:p>
    <w:p w14:paraId="714C727C">
      <w:pPr>
        <w:spacing w:line="288" w:lineRule="auto"/>
        <w:ind w:firstLine="0" w:firstLineChars="0"/>
        <w:rPr>
          <w:rFonts w:ascii="仿宋_GB2312" w:eastAsia="仿宋_GB2312"/>
          <w:sz w:val="36"/>
          <w:szCs w:val="36"/>
        </w:rPr>
      </w:pPr>
    </w:p>
    <w:bookmarkEnd w:id="0"/>
    <w:p w14:paraId="1CD0FA28">
      <w:pPr>
        <w:spacing w:line="288" w:lineRule="auto"/>
        <w:ind w:left="0" w:leftChars="0" w:firstLine="0" w:firstLineChars="0"/>
        <w:jc w:val="center"/>
        <w:rPr>
          <w:rFonts w:ascii="楷体_GB2312" w:eastAsia="楷体_GB2312"/>
          <w:sz w:val="36"/>
          <w:szCs w:val="36"/>
        </w:rPr>
      </w:pPr>
      <w:r>
        <w:rPr>
          <w:rFonts w:hint="eastAsia" w:ascii="楷体_GB2312" w:eastAsia="楷体_GB2312"/>
          <w:sz w:val="36"/>
          <w:szCs w:val="36"/>
        </w:rPr>
        <w:t>中华人民共和国生态环境部制</w:t>
      </w:r>
    </w:p>
    <w:p w14:paraId="247098DD">
      <w:pPr>
        <w:spacing w:line="288" w:lineRule="auto"/>
        <w:rPr>
          <w:rFonts w:ascii="仿宋_GB2312" w:eastAsia="仿宋_GB2312"/>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NumType w:start="3"/>
          <w:cols w:space="720" w:num="1"/>
          <w:docGrid w:linePitch="312" w:charSpace="0"/>
        </w:sectPr>
      </w:pPr>
    </w:p>
    <w:p w14:paraId="21C8E912">
      <w:pPr>
        <w:pStyle w:val="2"/>
      </w:pPr>
      <w:r>
        <w:rPr>
          <w:rFonts w:hint="eastAsia"/>
        </w:rPr>
        <w:t>建设项目基本情况</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38"/>
        <w:gridCol w:w="1709"/>
        <w:gridCol w:w="1772"/>
        <w:gridCol w:w="2212"/>
        <w:gridCol w:w="2639"/>
      </w:tblGrid>
      <w:tr w14:paraId="7716C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247" w:type="dxa"/>
            <w:gridSpan w:val="2"/>
            <w:tcMar>
              <w:top w:w="16" w:type="dxa"/>
              <w:left w:w="16" w:type="dxa"/>
              <w:right w:w="16" w:type="dxa"/>
            </w:tcMar>
            <w:vAlign w:val="center"/>
          </w:tcPr>
          <w:p w14:paraId="33A21CB3">
            <w:pPr>
              <w:pStyle w:val="42"/>
              <w:keepNext w:val="0"/>
              <w:keepLines w:val="0"/>
              <w:widowControl/>
              <w:suppressLineNumbers w:val="0"/>
              <w:spacing w:before="0" w:beforeAutospacing="0" w:after="0" w:afterAutospacing="0"/>
              <w:ind w:left="0" w:right="0"/>
              <w:rPr>
                <w:rFonts w:hint="default"/>
                <w:sz w:val="24"/>
                <w:szCs w:val="24"/>
              </w:rPr>
            </w:pPr>
            <w:r>
              <w:rPr>
                <w:sz w:val="24"/>
                <w:szCs w:val="24"/>
              </w:rPr>
              <w:t>建设项目名称</w:t>
            </w:r>
          </w:p>
        </w:tc>
        <w:tc>
          <w:tcPr>
            <w:tcW w:w="6623" w:type="dxa"/>
            <w:gridSpan w:val="3"/>
            <w:vAlign w:val="center"/>
          </w:tcPr>
          <w:p w14:paraId="6D33CB9A">
            <w:pPr>
              <w:pStyle w:val="42"/>
              <w:keepNext w:val="0"/>
              <w:keepLines w:val="0"/>
              <w:widowControl/>
              <w:suppressLineNumbers w:val="0"/>
              <w:spacing w:before="0" w:beforeAutospacing="0" w:after="0" w:afterAutospacing="0"/>
              <w:ind w:left="0" w:right="0"/>
              <w:rPr>
                <w:rFonts w:hint="default"/>
                <w:color w:val="FF0000"/>
                <w:sz w:val="24"/>
                <w:szCs w:val="24"/>
              </w:rPr>
            </w:pPr>
            <w:r>
              <w:rPr>
                <w:sz w:val="24"/>
                <w:szCs w:val="24"/>
              </w:rPr>
              <w:t>承德豪福新型建材有限公司集成构件建设项目</w:t>
            </w:r>
          </w:p>
        </w:tc>
      </w:tr>
      <w:tr w14:paraId="57BE0F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247" w:type="dxa"/>
            <w:gridSpan w:val="2"/>
            <w:tcMar>
              <w:top w:w="16" w:type="dxa"/>
              <w:left w:w="16" w:type="dxa"/>
              <w:right w:w="16" w:type="dxa"/>
            </w:tcMar>
            <w:vAlign w:val="center"/>
          </w:tcPr>
          <w:p w14:paraId="3F98829B">
            <w:pPr>
              <w:pStyle w:val="42"/>
              <w:keepNext w:val="0"/>
              <w:keepLines w:val="0"/>
              <w:widowControl/>
              <w:suppressLineNumbers w:val="0"/>
              <w:spacing w:before="0" w:beforeAutospacing="0" w:after="0" w:afterAutospacing="0"/>
              <w:ind w:left="0" w:right="0"/>
              <w:rPr>
                <w:rFonts w:hint="default"/>
                <w:sz w:val="24"/>
                <w:szCs w:val="24"/>
              </w:rPr>
            </w:pPr>
            <w:r>
              <w:rPr>
                <w:sz w:val="24"/>
                <w:szCs w:val="24"/>
              </w:rPr>
              <w:t>项目代码</w:t>
            </w:r>
          </w:p>
        </w:tc>
        <w:tc>
          <w:tcPr>
            <w:tcW w:w="6623" w:type="dxa"/>
            <w:gridSpan w:val="3"/>
            <w:vAlign w:val="center"/>
          </w:tcPr>
          <w:p w14:paraId="58D753FE">
            <w:pPr>
              <w:pStyle w:val="42"/>
              <w:keepNext w:val="0"/>
              <w:keepLines w:val="0"/>
              <w:widowControl/>
              <w:suppressLineNumbers w:val="0"/>
              <w:spacing w:before="0" w:beforeAutospacing="0" w:after="0" w:afterAutospacing="0"/>
              <w:ind w:left="0" w:right="0"/>
              <w:rPr>
                <w:rFonts w:hint="default"/>
                <w:color w:val="FF0000"/>
                <w:sz w:val="24"/>
                <w:szCs w:val="24"/>
              </w:rPr>
            </w:pPr>
            <w:r>
              <w:rPr>
                <w:sz w:val="24"/>
                <w:szCs w:val="24"/>
              </w:rPr>
              <w:t>2306-130827-89-01-422976</w:t>
            </w:r>
          </w:p>
        </w:tc>
      </w:tr>
      <w:tr w14:paraId="2A6BF5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247" w:type="dxa"/>
            <w:gridSpan w:val="2"/>
            <w:tcMar>
              <w:top w:w="16" w:type="dxa"/>
              <w:left w:w="16" w:type="dxa"/>
              <w:right w:w="16" w:type="dxa"/>
            </w:tcMar>
            <w:vAlign w:val="center"/>
          </w:tcPr>
          <w:p w14:paraId="31613A2F">
            <w:pPr>
              <w:pStyle w:val="42"/>
              <w:keepNext w:val="0"/>
              <w:keepLines w:val="0"/>
              <w:widowControl/>
              <w:suppressLineNumbers w:val="0"/>
              <w:spacing w:before="0" w:beforeAutospacing="0" w:after="0" w:afterAutospacing="0"/>
              <w:ind w:left="0" w:right="0"/>
              <w:rPr>
                <w:rFonts w:hint="default"/>
                <w:sz w:val="24"/>
                <w:szCs w:val="24"/>
              </w:rPr>
            </w:pPr>
            <w:r>
              <w:rPr>
                <w:sz w:val="24"/>
                <w:szCs w:val="24"/>
              </w:rPr>
              <w:t>建设单位联系人</w:t>
            </w:r>
          </w:p>
        </w:tc>
        <w:tc>
          <w:tcPr>
            <w:tcW w:w="1772" w:type="dxa"/>
            <w:vAlign w:val="center"/>
          </w:tcPr>
          <w:p w14:paraId="7A01E228">
            <w:pPr>
              <w:pStyle w:val="42"/>
              <w:keepNext w:val="0"/>
              <w:keepLines w:val="0"/>
              <w:widowControl/>
              <w:suppressLineNumbers w:val="0"/>
              <w:spacing w:before="0" w:beforeAutospacing="0" w:after="0" w:afterAutospacing="0"/>
              <w:ind w:left="0" w:right="0"/>
              <w:rPr>
                <w:rFonts w:hint="default"/>
                <w:sz w:val="24"/>
                <w:szCs w:val="24"/>
              </w:rPr>
            </w:pPr>
            <w:r>
              <w:rPr>
                <w:sz w:val="24"/>
                <w:szCs w:val="24"/>
              </w:rPr>
              <w:t>刘勇</w:t>
            </w:r>
          </w:p>
        </w:tc>
        <w:tc>
          <w:tcPr>
            <w:tcW w:w="2212" w:type="dxa"/>
            <w:vAlign w:val="center"/>
          </w:tcPr>
          <w:p w14:paraId="354E0481">
            <w:pPr>
              <w:pStyle w:val="42"/>
              <w:keepNext w:val="0"/>
              <w:keepLines w:val="0"/>
              <w:widowControl/>
              <w:suppressLineNumbers w:val="0"/>
              <w:spacing w:before="0" w:beforeAutospacing="0" w:after="0" w:afterAutospacing="0"/>
              <w:ind w:left="0" w:right="0"/>
              <w:rPr>
                <w:rFonts w:hint="default"/>
                <w:sz w:val="24"/>
                <w:szCs w:val="24"/>
              </w:rPr>
            </w:pPr>
            <w:r>
              <w:rPr>
                <w:sz w:val="24"/>
                <w:szCs w:val="24"/>
              </w:rPr>
              <w:t>联系方式</w:t>
            </w:r>
          </w:p>
        </w:tc>
        <w:tc>
          <w:tcPr>
            <w:tcW w:w="2639" w:type="dxa"/>
            <w:vAlign w:val="center"/>
          </w:tcPr>
          <w:p w14:paraId="0D0F98F7">
            <w:pPr>
              <w:pStyle w:val="42"/>
              <w:keepNext w:val="0"/>
              <w:keepLines w:val="0"/>
              <w:widowControl/>
              <w:suppressLineNumbers w:val="0"/>
              <w:spacing w:before="0" w:beforeAutospacing="0" w:after="0" w:afterAutospacing="0"/>
              <w:ind w:left="0" w:right="0"/>
              <w:rPr>
                <w:rFonts w:hint="default"/>
                <w:sz w:val="24"/>
                <w:szCs w:val="24"/>
              </w:rPr>
            </w:pPr>
            <w:r>
              <w:rPr>
                <w:sz w:val="24"/>
                <w:szCs w:val="24"/>
              </w:rPr>
              <w:t>13718558618</w:t>
            </w:r>
          </w:p>
        </w:tc>
      </w:tr>
      <w:tr w14:paraId="476131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247" w:type="dxa"/>
            <w:gridSpan w:val="2"/>
            <w:tcMar>
              <w:top w:w="16" w:type="dxa"/>
              <w:left w:w="16" w:type="dxa"/>
              <w:right w:w="16" w:type="dxa"/>
            </w:tcMar>
            <w:vAlign w:val="center"/>
          </w:tcPr>
          <w:p w14:paraId="0AC46A6B">
            <w:pPr>
              <w:pStyle w:val="42"/>
              <w:keepNext w:val="0"/>
              <w:keepLines w:val="0"/>
              <w:widowControl/>
              <w:suppressLineNumbers w:val="0"/>
              <w:spacing w:before="0" w:beforeAutospacing="0" w:after="0" w:afterAutospacing="0"/>
              <w:ind w:left="0" w:right="0"/>
              <w:rPr>
                <w:rFonts w:hint="default"/>
                <w:sz w:val="24"/>
                <w:szCs w:val="24"/>
              </w:rPr>
            </w:pPr>
            <w:r>
              <w:rPr>
                <w:sz w:val="24"/>
                <w:szCs w:val="24"/>
              </w:rPr>
              <w:t>建设地点</w:t>
            </w:r>
          </w:p>
        </w:tc>
        <w:tc>
          <w:tcPr>
            <w:tcW w:w="6623" w:type="dxa"/>
            <w:gridSpan w:val="3"/>
            <w:vAlign w:val="center"/>
          </w:tcPr>
          <w:p w14:paraId="2C334EC2">
            <w:pPr>
              <w:pStyle w:val="42"/>
              <w:keepNext w:val="0"/>
              <w:keepLines w:val="0"/>
              <w:widowControl/>
              <w:suppressLineNumbers w:val="0"/>
              <w:spacing w:before="0" w:beforeAutospacing="0" w:after="0" w:afterAutospacing="0"/>
              <w:ind w:left="0" w:right="0"/>
              <w:rPr>
                <w:rFonts w:hint="default"/>
                <w:sz w:val="24"/>
                <w:szCs w:val="24"/>
              </w:rPr>
            </w:pPr>
            <w:r>
              <w:rPr>
                <w:sz w:val="24"/>
                <w:szCs w:val="24"/>
              </w:rPr>
              <w:t>河北省承德市宽城满族自治县宽城经济开发区</w:t>
            </w:r>
          </w:p>
        </w:tc>
      </w:tr>
      <w:tr w14:paraId="4F7842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247" w:type="dxa"/>
            <w:gridSpan w:val="2"/>
            <w:tcMar>
              <w:top w:w="16" w:type="dxa"/>
              <w:left w:w="16" w:type="dxa"/>
              <w:right w:w="16" w:type="dxa"/>
            </w:tcMar>
            <w:vAlign w:val="center"/>
          </w:tcPr>
          <w:p w14:paraId="76BBCBCE">
            <w:pPr>
              <w:pStyle w:val="42"/>
              <w:keepNext w:val="0"/>
              <w:keepLines w:val="0"/>
              <w:widowControl/>
              <w:suppressLineNumbers w:val="0"/>
              <w:spacing w:before="0" w:beforeAutospacing="0" w:after="0" w:afterAutospacing="0"/>
              <w:ind w:left="0" w:right="0"/>
              <w:rPr>
                <w:rFonts w:hint="default"/>
                <w:sz w:val="24"/>
                <w:szCs w:val="24"/>
              </w:rPr>
            </w:pPr>
            <w:r>
              <w:rPr>
                <w:sz w:val="24"/>
                <w:szCs w:val="24"/>
              </w:rPr>
              <w:t>地理坐标</w:t>
            </w:r>
          </w:p>
        </w:tc>
        <w:tc>
          <w:tcPr>
            <w:tcW w:w="6623" w:type="dxa"/>
            <w:gridSpan w:val="3"/>
            <w:vAlign w:val="center"/>
          </w:tcPr>
          <w:p w14:paraId="1D8697BF">
            <w:pPr>
              <w:pStyle w:val="42"/>
              <w:keepNext w:val="0"/>
              <w:keepLines w:val="0"/>
              <w:widowControl/>
              <w:suppressLineNumbers w:val="0"/>
              <w:spacing w:before="0" w:beforeAutospacing="0" w:after="0" w:afterAutospacing="0"/>
              <w:ind w:left="0" w:right="0"/>
              <w:rPr>
                <w:rFonts w:hint="default"/>
                <w:sz w:val="24"/>
                <w:szCs w:val="24"/>
              </w:rPr>
            </w:pPr>
            <w:r>
              <w:rPr>
                <w:sz w:val="24"/>
                <w:szCs w:val="24"/>
              </w:rPr>
              <w:t>（118度33分41.770秒，40度39分7.906秒）</w:t>
            </w:r>
          </w:p>
        </w:tc>
      </w:tr>
      <w:tr w14:paraId="776148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247" w:type="dxa"/>
            <w:gridSpan w:val="2"/>
            <w:tcMar>
              <w:top w:w="16" w:type="dxa"/>
              <w:left w:w="16" w:type="dxa"/>
              <w:right w:w="16" w:type="dxa"/>
            </w:tcMar>
            <w:vAlign w:val="center"/>
          </w:tcPr>
          <w:p w14:paraId="539225C8">
            <w:pPr>
              <w:pStyle w:val="42"/>
              <w:keepNext w:val="0"/>
              <w:keepLines w:val="0"/>
              <w:widowControl/>
              <w:suppressLineNumbers w:val="0"/>
              <w:spacing w:before="0" w:beforeAutospacing="0" w:after="0" w:afterAutospacing="0"/>
              <w:ind w:left="0" w:right="0"/>
              <w:rPr>
                <w:rFonts w:hint="default"/>
                <w:sz w:val="24"/>
                <w:szCs w:val="24"/>
              </w:rPr>
            </w:pPr>
            <w:r>
              <w:rPr>
                <w:sz w:val="24"/>
                <w:szCs w:val="24"/>
              </w:rPr>
              <w:t>国民经济</w:t>
            </w:r>
          </w:p>
          <w:p w14:paraId="28C03AA8">
            <w:pPr>
              <w:pStyle w:val="42"/>
              <w:keepNext w:val="0"/>
              <w:keepLines w:val="0"/>
              <w:widowControl/>
              <w:suppressLineNumbers w:val="0"/>
              <w:spacing w:before="0" w:beforeAutospacing="0" w:after="0" w:afterAutospacing="0"/>
              <w:ind w:left="0" w:right="0"/>
              <w:rPr>
                <w:rFonts w:hint="default"/>
                <w:sz w:val="24"/>
                <w:szCs w:val="24"/>
              </w:rPr>
            </w:pPr>
            <w:r>
              <w:rPr>
                <w:sz w:val="24"/>
                <w:szCs w:val="24"/>
              </w:rPr>
              <w:t>行业类别</w:t>
            </w:r>
          </w:p>
        </w:tc>
        <w:tc>
          <w:tcPr>
            <w:tcW w:w="1772" w:type="dxa"/>
            <w:vAlign w:val="center"/>
          </w:tcPr>
          <w:p w14:paraId="71970011">
            <w:pPr>
              <w:pStyle w:val="42"/>
              <w:keepNext w:val="0"/>
              <w:keepLines w:val="0"/>
              <w:widowControl/>
              <w:suppressLineNumbers w:val="0"/>
              <w:spacing w:before="0" w:beforeAutospacing="0" w:after="0" w:afterAutospacing="0"/>
              <w:ind w:left="0" w:right="0"/>
              <w:rPr>
                <w:rFonts w:hint="default"/>
                <w:sz w:val="24"/>
                <w:szCs w:val="24"/>
              </w:rPr>
            </w:pPr>
            <w:r>
              <w:rPr>
                <w:sz w:val="24"/>
                <w:szCs w:val="24"/>
              </w:rPr>
              <w:t>水泥制品制造C3021</w:t>
            </w:r>
          </w:p>
        </w:tc>
        <w:tc>
          <w:tcPr>
            <w:tcW w:w="2212" w:type="dxa"/>
            <w:vAlign w:val="center"/>
          </w:tcPr>
          <w:p w14:paraId="48EA7F7D">
            <w:pPr>
              <w:pStyle w:val="42"/>
              <w:keepNext w:val="0"/>
              <w:keepLines w:val="0"/>
              <w:widowControl/>
              <w:suppressLineNumbers w:val="0"/>
              <w:spacing w:before="0" w:beforeAutospacing="0" w:after="0" w:afterAutospacing="0"/>
              <w:ind w:left="0" w:right="0"/>
              <w:rPr>
                <w:rFonts w:hint="default"/>
                <w:sz w:val="24"/>
                <w:szCs w:val="24"/>
              </w:rPr>
            </w:pPr>
            <w:bookmarkStart w:id="1" w:name="_Hlk49843745"/>
            <w:r>
              <w:rPr>
                <w:sz w:val="24"/>
                <w:szCs w:val="24"/>
              </w:rPr>
              <w:t>建设项目</w:t>
            </w:r>
          </w:p>
          <w:p w14:paraId="6729CD3A">
            <w:pPr>
              <w:pStyle w:val="42"/>
              <w:keepNext w:val="0"/>
              <w:keepLines w:val="0"/>
              <w:widowControl/>
              <w:suppressLineNumbers w:val="0"/>
              <w:spacing w:before="0" w:beforeAutospacing="0" w:after="0" w:afterAutospacing="0"/>
              <w:ind w:left="0" w:right="0"/>
              <w:rPr>
                <w:rFonts w:hint="default"/>
                <w:sz w:val="24"/>
                <w:szCs w:val="24"/>
              </w:rPr>
            </w:pPr>
            <w:r>
              <w:rPr>
                <w:sz w:val="24"/>
                <w:szCs w:val="24"/>
              </w:rPr>
              <w:t>行业类别</w:t>
            </w:r>
            <w:bookmarkEnd w:id="1"/>
          </w:p>
        </w:tc>
        <w:tc>
          <w:tcPr>
            <w:tcW w:w="2639" w:type="dxa"/>
            <w:vAlign w:val="center"/>
          </w:tcPr>
          <w:p w14:paraId="49B31CB6">
            <w:pPr>
              <w:pStyle w:val="42"/>
              <w:keepNext w:val="0"/>
              <w:keepLines w:val="0"/>
              <w:widowControl/>
              <w:suppressLineNumbers w:val="0"/>
              <w:spacing w:before="0" w:beforeAutospacing="0" w:after="0" w:afterAutospacing="0"/>
              <w:ind w:left="0" w:right="0"/>
              <w:rPr>
                <w:rFonts w:hint="default"/>
                <w:sz w:val="24"/>
                <w:szCs w:val="24"/>
              </w:rPr>
            </w:pPr>
            <w:r>
              <w:rPr>
                <w:sz w:val="24"/>
                <w:szCs w:val="24"/>
              </w:rPr>
              <w:t>55石膏、水泥制品及类似制品制造302</w:t>
            </w:r>
          </w:p>
        </w:tc>
      </w:tr>
      <w:tr w14:paraId="42013B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247" w:type="dxa"/>
            <w:gridSpan w:val="2"/>
            <w:tcMar>
              <w:top w:w="16" w:type="dxa"/>
              <w:left w:w="16" w:type="dxa"/>
              <w:right w:w="16" w:type="dxa"/>
            </w:tcMar>
            <w:vAlign w:val="center"/>
          </w:tcPr>
          <w:p w14:paraId="6A278D9F">
            <w:pPr>
              <w:pStyle w:val="42"/>
              <w:keepNext w:val="0"/>
              <w:keepLines w:val="0"/>
              <w:widowControl/>
              <w:suppressLineNumbers w:val="0"/>
              <w:spacing w:before="0" w:beforeAutospacing="0" w:after="0" w:afterAutospacing="0"/>
              <w:ind w:left="0" w:right="0"/>
              <w:rPr>
                <w:rFonts w:hint="default"/>
                <w:sz w:val="24"/>
                <w:szCs w:val="24"/>
              </w:rPr>
            </w:pPr>
            <w:r>
              <w:rPr>
                <w:sz w:val="24"/>
                <w:szCs w:val="24"/>
              </w:rPr>
              <w:t>建设性质</w:t>
            </w:r>
          </w:p>
        </w:tc>
        <w:tc>
          <w:tcPr>
            <w:tcW w:w="1772" w:type="dxa"/>
            <w:vAlign w:val="center"/>
          </w:tcPr>
          <w:p w14:paraId="0A710A45">
            <w:pPr>
              <w:pStyle w:val="42"/>
              <w:keepNext w:val="0"/>
              <w:keepLines w:val="0"/>
              <w:widowControl/>
              <w:suppressLineNumbers w:val="0"/>
              <w:spacing w:before="0" w:beforeAutospacing="0" w:after="0" w:afterAutospacing="0"/>
              <w:ind w:left="0" w:right="0"/>
              <w:jc w:val="both"/>
              <w:rPr>
                <w:rFonts w:hint="default"/>
                <w:sz w:val="24"/>
                <w:szCs w:val="24"/>
              </w:rPr>
            </w:pPr>
            <w:r>
              <w:rPr>
                <w:sz w:val="24"/>
                <w:szCs w:val="24"/>
              </w:rPr>
              <w:t>☑新建（迁建）</w:t>
            </w:r>
          </w:p>
          <w:p w14:paraId="2DA3B60F">
            <w:pPr>
              <w:pStyle w:val="42"/>
              <w:keepNext w:val="0"/>
              <w:keepLines w:val="0"/>
              <w:widowControl/>
              <w:suppressLineNumbers w:val="0"/>
              <w:spacing w:before="0" w:beforeAutospacing="0" w:after="0" w:afterAutospacing="0"/>
              <w:ind w:left="0" w:right="0"/>
              <w:jc w:val="both"/>
              <w:rPr>
                <w:rFonts w:hint="default"/>
                <w:sz w:val="24"/>
                <w:szCs w:val="24"/>
              </w:rPr>
            </w:pPr>
            <w:r>
              <w:rPr>
                <w:sz w:val="24"/>
                <w:szCs w:val="24"/>
              </w:rPr>
              <w:t>□改建</w:t>
            </w:r>
          </w:p>
          <w:p w14:paraId="7C8C31BD">
            <w:pPr>
              <w:pStyle w:val="42"/>
              <w:keepNext w:val="0"/>
              <w:keepLines w:val="0"/>
              <w:widowControl/>
              <w:suppressLineNumbers w:val="0"/>
              <w:spacing w:before="0" w:beforeAutospacing="0" w:after="0" w:afterAutospacing="0"/>
              <w:ind w:left="0" w:right="0"/>
              <w:jc w:val="both"/>
              <w:rPr>
                <w:rFonts w:hint="default"/>
                <w:sz w:val="24"/>
                <w:szCs w:val="24"/>
              </w:rPr>
            </w:pPr>
            <w:r>
              <w:rPr>
                <w:sz w:val="24"/>
                <w:szCs w:val="24"/>
              </w:rPr>
              <w:t>□扩建</w:t>
            </w:r>
          </w:p>
          <w:p w14:paraId="295D2D20">
            <w:pPr>
              <w:pStyle w:val="42"/>
              <w:keepNext w:val="0"/>
              <w:keepLines w:val="0"/>
              <w:widowControl/>
              <w:suppressLineNumbers w:val="0"/>
              <w:spacing w:before="0" w:beforeAutospacing="0" w:after="0" w:afterAutospacing="0"/>
              <w:ind w:left="0" w:right="0"/>
              <w:jc w:val="both"/>
              <w:rPr>
                <w:rFonts w:hint="default"/>
                <w:sz w:val="24"/>
                <w:szCs w:val="24"/>
              </w:rPr>
            </w:pPr>
            <w:r>
              <w:rPr>
                <w:sz w:val="24"/>
                <w:szCs w:val="24"/>
              </w:rPr>
              <w:t>□技术改造</w:t>
            </w:r>
          </w:p>
        </w:tc>
        <w:tc>
          <w:tcPr>
            <w:tcW w:w="2212" w:type="dxa"/>
            <w:vAlign w:val="center"/>
          </w:tcPr>
          <w:p w14:paraId="7698FC10">
            <w:pPr>
              <w:pStyle w:val="42"/>
              <w:keepNext w:val="0"/>
              <w:keepLines w:val="0"/>
              <w:widowControl/>
              <w:suppressLineNumbers w:val="0"/>
              <w:spacing w:before="0" w:beforeAutospacing="0" w:after="0" w:afterAutospacing="0"/>
              <w:ind w:left="0" w:right="0"/>
              <w:rPr>
                <w:rFonts w:hint="default"/>
                <w:sz w:val="24"/>
                <w:szCs w:val="24"/>
              </w:rPr>
            </w:pPr>
            <w:r>
              <w:rPr>
                <w:sz w:val="24"/>
                <w:szCs w:val="24"/>
              </w:rPr>
              <w:t>建设项目</w:t>
            </w:r>
          </w:p>
          <w:p w14:paraId="660AF10A">
            <w:pPr>
              <w:pStyle w:val="42"/>
              <w:keepNext w:val="0"/>
              <w:keepLines w:val="0"/>
              <w:widowControl/>
              <w:suppressLineNumbers w:val="0"/>
              <w:spacing w:before="0" w:beforeAutospacing="0" w:after="0" w:afterAutospacing="0"/>
              <w:ind w:left="0" w:right="0"/>
              <w:rPr>
                <w:rFonts w:hint="default"/>
                <w:sz w:val="24"/>
                <w:szCs w:val="24"/>
              </w:rPr>
            </w:pPr>
            <w:r>
              <w:rPr>
                <w:sz w:val="24"/>
                <w:szCs w:val="24"/>
              </w:rPr>
              <w:t>申报情形</w:t>
            </w:r>
          </w:p>
        </w:tc>
        <w:tc>
          <w:tcPr>
            <w:tcW w:w="2639" w:type="dxa"/>
            <w:vAlign w:val="center"/>
          </w:tcPr>
          <w:p w14:paraId="4CCDF6F5">
            <w:pPr>
              <w:pStyle w:val="42"/>
              <w:keepNext w:val="0"/>
              <w:keepLines w:val="0"/>
              <w:widowControl/>
              <w:suppressLineNumbers w:val="0"/>
              <w:spacing w:before="0" w:beforeAutospacing="0" w:after="0" w:afterAutospacing="0"/>
              <w:ind w:left="0" w:right="0"/>
              <w:jc w:val="both"/>
              <w:rPr>
                <w:rFonts w:hint="default"/>
                <w:sz w:val="24"/>
                <w:szCs w:val="24"/>
              </w:rPr>
            </w:pPr>
            <w:r>
              <w:rPr>
                <w:sz w:val="24"/>
                <w:szCs w:val="24"/>
              </w:rPr>
              <w:sym w:font="Wingdings 2" w:char="0052"/>
            </w:r>
            <w:r>
              <w:rPr>
                <w:sz w:val="24"/>
                <w:szCs w:val="24"/>
              </w:rPr>
              <w:t>首次申报项目</w:t>
            </w:r>
          </w:p>
          <w:p w14:paraId="1487E52E">
            <w:pPr>
              <w:pStyle w:val="42"/>
              <w:keepNext w:val="0"/>
              <w:keepLines w:val="0"/>
              <w:widowControl/>
              <w:suppressLineNumbers w:val="0"/>
              <w:spacing w:before="0" w:beforeAutospacing="0" w:after="0" w:afterAutospacing="0"/>
              <w:ind w:left="0" w:right="0"/>
              <w:jc w:val="both"/>
              <w:rPr>
                <w:rFonts w:hint="default"/>
                <w:sz w:val="24"/>
                <w:szCs w:val="24"/>
              </w:rPr>
            </w:pPr>
            <w:r>
              <w:rPr>
                <w:sz w:val="24"/>
                <w:szCs w:val="24"/>
              </w:rPr>
              <w:t>□不予批准后再次申报项目</w:t>
            </w:r>
          </w:p>
          <w:p w14:paraId="3C6FD6D3">
            <w:pPr>
              <w:pStyle w:val="42"/>
              <w:keepNext w:val="0"/>
              <w:keepLines w:val="0"/>
              <w:widowControl/>
              <w:suppressLineNumbers w:val="0"/>
              <w:spacing w:before="0" w:beforeAutospacing="0" w:after="0" w:afterAutospacing="0"/>
              <w:ind w:left="0" w:right="0"/>
              <w:jc w:val="both"/>
              <w:rPr>
                <w:rFonts w:hint="default"/>
                <w:sz w:val="24"/>
                <w:szCs w:val="24"/>
              </w:rPr>
            </w:pPr>
            <w:r>
              <w:rPr>
                <w:sz w:val="24"/>
                <w:szCs w:val="24"/>
              </w:rPr>
              <w:sym w:font="Wingdings 2" w:char="00A3"/>
            </w:r>
            <w:r>
              <w:rPr>
                <w:sz w:val="24"/>
                <w:szCs w:val="24"/>
              </w:rPr>
              <w:t>超五年重新审核项目</w:t>
            </w:r>
          </w:p>
          <w:p w14:paraId="29913093">
            <w:pPr>
              <w:pStyle w:val="42"/>
              <w:keepNext w:val="0"/>
              <w:keepLines w:val="0"/>
              <w:widowControl/>
              <w:suppressLineNumbers w:val="0"/>
              <w:spacing w:before="0" w:beforeAutospacing="0" w:after="0" w:afterAutospacing="0"/>
              <w:ind w:left="0" w:right="0"/>
              <w:jc w:val="both"/>
              <w:rPr>
                <w:rFonts w:hint="default"/>
                <w:sz w:val="24"/>
                <w:szCs w:val="24"/>
              </w:rPr>
            </w:pPr>
            <w:r>
              <w:rPr>
                <w:sz w:val="24"/>
                <w:szCs w:val="24"/>
              </w:rPr>
              <w:t>□重大变动重新报批项目</w:t>
            </w:r>
          </w:p>
        </w:tc>
      </w:tr>
      <w:tr w14:paraId="477B6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247" w:type="dxa"/>
            <w:gridSpan w:val="2"/>
            <w:tcMar>
              <w:top w:w="16" w:type="dxa"/>
              <w:left w:w="16" w:type="dxa"/>
              <w:right w:w="16" w:type="dxa"/>
            </w:tcMar>
            <w:vAlign w:val="center"/>
          </w:tcPr>
          <w:p w14:paraId="445AAE71">
            <w:pPr>
              <w:pStyle w:val="42"/>
              <w:keepNext w:val="0"/>
              <w:keepLines w:val="0"/>
              <w:widowControl/>
              <w:suppressLineNumbers w:val="0"/>
              <w:spacing w:before="0" w:beforeAutospacing="0" w:after="0" w:afterAutospacing="0"/>
              <w:ind w:left="0" w:right="0"/>
              <w:rPr>
                <w:rFonts w:hint="default"/>
                <w:sz w:val="24"/>
                <w:szCs w:val="24"/>
              </w:rPr>
            </w:pPr>
            <w:r>
              <w:rPr>
                <w:sz w:val="24"/>
                <w:szCs w:val="24"/>
              </w:rPr>
              <w:t>项目审批（核准/</w:t>
            </w:r>
          </w:p>
          <w:p w14:paraId="65E2FC0A">
            <w:pPr>
              <w:pStyle w:val="42"/>
              <w:keepNext w:val="0"/>
              <w:keepLines w:val="0"/>
              <w:widowControl/>
              <w:suppressLineNumbers w:val="0"/>
              <w:spacing w:before="0" w:beforeAutospacing="0" w:after="0" w:afterAutospacing="0"/>
              <w:ind w:left="0" w:right="0"/>
              <w:rPr>
                <w:rFonts w:hint="default"/>
                <w:sz w:val="24"/>
                <w:szCs w:val="24"/>
              </w:rPr>
            </w:pPr>
            <w:r>
              <w:rPr>
                <w:sz w:val="24"/>
                <w:szCs w:val="24"/>
              </w:rPr>
              <w:t>备案）部门（选填）</w:t>
            </w:r>
          </w:p>
        </w:tc>
        <w:tc>
          <w:tcPr>
            <w:tcW w:w="1772" w:type="dxa"/>
            <w:vAlign w:val="center"/>
          </w:tcPr>
          <w:p w14:paraId="4FEC076A">
            <w:pPr>
              <w:pStyle w:val="42"/>
              <w:keepNext w:val="0"/>
              <w:keepLines w:val="0"/>
              <w:widowControl/>
              <w:suppressLineNumbers w:val="0"/>
              <w:spacing w:before="0" w:beforeAutospacing="0" w:after="0" w:afterAutospacing="0"/>
              <w:ind w:left="0" w:right="0"/>
              <w:rPr>
                <w:rFonts w:hint="default"/>
                <w:sz w:val="24"/>
                <w:szCs w:val="24"/>
              </w:rPr>
            </w:pPr>
            <w:r>
              <w:rPr>
                <w:sz w:val="24"/>
                <w:szCs w:val="24"/>
              </w:rPr>
              <w:t>宽城满族自治县行政审批局</w:t>
            </w:r>
          </w:p>
        </w:tc>
        <w:tc>
          <w:tcPr>
            <w:tcW w:w="2212" w:type="dxa"/>
            <w:vAlign w:val="center"/>
          </w:tcPr>
          <w:p w14:paraId="2CE54A0C">
            <w:pPr>
              <w:pStyle w:val="42"/>
              <w:keepNext w:val="0"/>
              <w:keepLines w:val="0"/>
              <w:widowControl/>
              <w:suppressLineNumbers w:val="0"/>
              <w:spacing w:before="0" w:beforeAutospacing="0" w:after="0" w:afterAutospacing="0"/>
              <w:ind w:left="0" w:right="0"/>
              <w:rPr>
                <w:rFonts w:hint="default"/>
                <w:sz w:val="24"/>
                <w:szCs w:val="24"/>
              </w:rPr>
            </w:pPr>
            <w:r>
              <w:rPr>
                <w:sz w:val="24"/>
                <w:szCs w:val="24"/>
              </w:rPr>
              <w:t>项目审批（核准/</w:t>
            </w:r>
          </w:p>
          <w:p w14:paraId="73566E58">
            <w:pPr>
              <w:pStyle w:val="42"/>
              <w:keepNext w:val="0"/>
              <w:keepLines w:val="0"/>
              <w:widowControl/>
              <w:suppressLineNumbers w:val="0"/>
              <w:spacing w:before="0" w:beforeAutospacing="0" w:after="0" w:afterAutospacing="0"/>
              <w:ind w:left="0" w:right="0"/>
              <w:rPr>
                <w:rFonts w:hint="default"/>
                <w:sz w:val="24"/>
                <w:szCs w:val="24"/>
              </w:rPr>
            </w:pPr>
            <w:r>
              <w:rPr>
                <w:sz w:val="24"/>
                <w:szCs w:val="24"/>
              </w:rPr>
              <w:t>备案）文号（选填）</w:t>
            </w:r>
          </w:p>
        </w:tc>
        <w:tc>
          <w:tcPr>
            <w:tcW w:w="2639" w:type="dxa"/>
            <w:vAlign w:val="center"/>
          </w:tcPr>
          <w:p w14:paraId="55D42AD1">
            <w:pPr>
              <w:pStyle w:val="42"/>
              <w:keepNext w:val="0"/>
              <w:keepLines w:val="0"/>
              <w:widowControl/>
              <w:suppressLineNumbers w:val="0"/>
              <w:spacing w:before="0" w:beforeAutospacing="0" w:after="0" w:afterAutospacing="0"/>
              <w:ind w:left="0" w:right="0"/>
              <w:rPr>
                <w:rFonts w:hint="default"/>
                <w:sz w:val="24"/>
                <w:szCs w:val="24"/>
              </w:rPr>
            </w:pPr>
            <w:r>
              <w:rPr>
                <w:sz w:val="24"/>
                <w:szCs w:val="24"/>
              </w:rPr>
              <w:t>宽审批投备字〔2023〕038号</w:t>
            </w:r>
          </w:p>
        </w:tc>
      </w:tr>
      <w:tr w14:paraId="68D766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247" w:type="dxa"/>
            <w:gridSpan w:val="2"/>
            <w:tcMar>
              <w:top w:w="16" w:type="dxa"/>
              <w:left w:w="16" w:type="dxa"/>
              <w:right w:w="16" w:type="dxa"/>
            </w:tcMar>
            <w:vAlign w:val="center"/>
          </w:tcPr>
          <w:p w14:paraId="65798683">
            <w:pPr>
              <w:pStyle w:val="42"/>
              <w:keepNext w:val="0"/>
              <w:keepLines w:val="0"/>
              <w:widowControl/>
              <w:suppressLineNumbers w:val="0"/>
              <w:spacing w:before="0" w:beforeAutospacing="0" w:after="0" w:afterAutospacing="0"/>
              <w:ind w:left="0" w:right="0"/>
              <w:rPr>
                <w:rFonts w:hint="default"/>
                <w:sz w:val="24"/>
                <w:szCs w:val="24"/>
              </w:rPr>
            </w:pPr>
            <w:r>
              <w:rPr>
                <w:sz w:val="24"/>
                <w:szCs w:val="24"/>
              </w:rPr>
              <w:t>总投资（万元）</w:t>
            </w:r>
          </w:p>
        </w:tc>
        <w:tc>
          <w:tcPr>
            <w:tcW w:w="1772" w:type="dxa"/>
            <w:vAlign w:val="center"/>
          </w:tcPr>
          <w:p w14:paraId="022A30ED">
            <w:pPr>
              <w:pStyle w:val="42"/>
              <w:keepNext w:val="0"/>
              <w:keepLines w:val="0"/>
              <w:widowControl/>
              <w:suppressLineNumbers w:val="0"/>
              <w:spacing w:before="0" w:beforeAutospacing="0" w:after="0" w:afterAutospacing="0"/>
              <w:ind w:left="0" w:right="0"/>
              <w:rPr>
                <w:rFonts w:hint="default"/>
                <w:sz w:val="24"/>
                <w:szCs w:val="24"/>
              </w:rPr>
            </w:pPr>
            <w:r>
              <w:rPr>
                <w:sz w:val="24"/>
                <w:szCs w:val="24"/>
              </w:rPr>
              <w:t>1000.00</w:t>
            </w:r>
          </w:p>
        </w:tc>
        <w:tc>
          <w:tcPr>
            <w:tcW w:w="2212" w:type="dxa"/>
            <w:tcMar>
              <w:top w:w="16" w:type="dxa"/>
              <w:left w:w="16" w:type="dxa"/>
              <w:right w:w="16" w:type="dxa"/>
            </w:tcMar>
            <w:vAlign w:val="center"/>
          </w:tcPr>
          <w:p w14:paraId="27A3A5B4">
            <w:pPr>
              <w:pStyle w:val="42"/>
              <w:keepNext w:val="0"/>
              <w:keepLines w:val="0"/>
              <w:widowControl/>
              <w:suppressLineNumbers w:val="0"/>
              <w:spacing w:before="0" w:beforeAutospacing="0" w:after="0" w:afterAutospacing="0"/>
              <w:ind w:left="0" w:right="0"/>
              <w:rPr>
                <w:rFonts w:hint="default"/>
                <w:sz w:val="24"/>
                <w:szCs w:val="24"/>
              </w:rPr>
            </w:pPr>
            <w:r>
              <w:rPr>
                <w:sz w:val="24"/>
                <w:szCs w:val="24"/>
              </w:rPr>
              <w:t>环保投资（万元）</w:t>
            </w:r>
          </w:p>
        </w:tc>
        <w:tc>
          <w:tcPr>
            <w:tcW w:w="2639" w:type="dxa"/>
            <w:vAlign w:val="center"/>
          </w:tcPr>
          <w:p w14:paraId="4C18A74F">
            <w:pPr>
              <w:pStyle w:val="42"/>
              <w:keepNext w:val="0"/>
              <w:keepLines w:val="0"/>
              <w:widowControl/>
              <w:suppressLineNumbers w:val="0"/>
              <w:spacing w:before="0" w:beforeAutospacing="0" w:after="0" w:afterAutospacing="0"/>
              <w:ind w:left="0" w:right="0"/>
              <w:rPr>
                <w:rFonts w:hint="default"/>
                <w:sz w:val="24"/>
                <w:szCs w:val="24"/>
              </w:rPr>
            </w:pPr>
            <w:r>
              <w:rPr>
                <w:sz w:val="24"/>
                <w:szCs w:val="24"/>
              </w:rPr>
              <w:t>120</w:t>
            </w:r>
          </w:p>
        </w:tc>
      </w:tr>
      <w:tr w14:paraId="6DADA2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247" w:type="dxa"/>
            <w:gridSpan w:val="2"/>
            <w:tcMar>
              <w:top w:w="16" w:type="dxa"/>
              <w:left w:w="16" w:type="dxa"/>
              <w:right w:w="16" w:type="dxa"/>
            </w:tcMar>
            <w:vAlign w:val="center"/>
          </w:tcPr>
          <w:p w14:paraId="2A71FCB3">
            <w:pPr>
              <w:pStyle w:val="42"/>
              <w:keepNext w:val="0"/>
              <w:keepLines w:val="0"/>
              <w:widowControl/>
              <w:suppressLineNumbers w:val="0"/>
              <w:spacing w:before="0" w:beforeAutospacing="0" w:after="0" w:afterAutospacing="0"/>
              <w:ind w:left="0" w:right="0"/>
              <w:rPr>
                <w:rFonts w:hint="default"/>
                <w:sz w:val="24"/>
                <w:szCs w:val="24"/>
              </w:rPr>
            </w:pPr>
            <w:r>
              <w:rPr>
                <w:sz w:val="24"/>
                <w:szCs w:val="24"/>
              </w:rPr>
              <w:t>环保投资占比（%）</w:t>
            </w:r>
          </w:p>
        </w:tc>
        <w:tc>
          <w:tcPr>
            <w:tcW w:w="1772" w:type="dxa"/>
            <w:vAlign w:val="center"/>
          </w:tcPr>
          <w:p w14:paraId="71F836EA">
            <w:pPr>
              <w:pStyle w:val="42"/>
              <w:keepNext w:val="0"/>
              <w:keepLines w:val="0"/>
              <w:widowControl/>
              <w:suppressLineNumbers w:val="0"/>
              <w:spacing w:before="0" w:beforeAutospacing="0" w:after="0" w:afterAutospacing="0"/>
              <w:ind w:left="0" w:right="0"/>
              <w:rPr>
                <w:rFonts w:hint="default"/>
                <w:sz w:val="24"/>
                <w:szCs w:val="24"/>
              </w:rPr>
            </w:pPr>
            <w:r>
              <w:rPr>
                <w:sz w:val="24"/>
                <w:szCs w:val="24"/>
              </w:rPr>
              <w:t>12.0</w:t>
            </w:r>
          </w:p>
        </w:tc>
        <w:tc>
          <w:tcPr>
            <w:tcW w:w="2212" w:type="dxa"/>
            <w:tcMar>
              <w:top w:w="16" w:type="dxa"/>
              <w:left w:w="16" w:type="dxa"/>
              <w:right w:w="16" w:type="dxa"/>
            </w:tcMar>
            <w:vAlign w:val="center"/>
          </w:tcPr>
          <w:p w14:paraId="5A5FB1AE">
            <w:pPr>
              <w:pStyle w:val="42"/>
              <w:keepNext w:val="0"/>
              <w:keepLines w:val="0"/>
              <w:widowControl/>
              <w:suppressLineNumbers w:val="0"/>
              <w:spacing w:before="0" w:beforeAutospacing="0" w:after="0" w:afterAutospacing="0"/>
              <w:ind w:left="0" w:right="0"/>
              <w:rPr>
                <w:rFonts w:hint="default"/>
                <w:sz w:val="24"/>
                <w:szCs w:val="24"/>
              </w:rPr>
            </w:pPr>
            <w:r>
              <w:rPr>
                <w:sz w:val="24"/>
                <w:szCs w:val="24"/>
              </w:rPr>
              <w:t>施工工期</w:t>
            </w:r>
          </w:p>
        </w:tc>
        <w:tc>
          <w:tcPr>
            <w:tcW w:w="2639" w:type="dxa"/>
            <w:vAlign w:val="center"/>
          </w:tcPr>
          <w:p w14:paraId="24305806">
            <w:pPr>
              <w:pStyle w:val="42"/>
              <w:keepNext w:val="0"/>
              <w:keepLines w:val="0"/>
              <w:widowControl/>
              <w:suppressLineNumbers w:val="0"/>
              <w:spacing w:before="0" w:beforeAutospacing="0" w:after="0" w:afterAutospacing="0"/>
              <w:ind w:left="0" w:right="0"/>
              <w:rPr>
                <w:rFonts w:hint="default"/>
                <w:sz w:val="24"/>
                <w:szCs w:val="24"/>
              </w:rPr>
            </w:pPr>
            <w:r>
              <w:rPr>
                <w:sz w:val="24"/>
                <w:szCs w:val="24"/>
              </w:rPr>
              <w:t>2个月，2024年12月-2025年1月</w:t>
            </w:r>
          </w:p>
        </w:tc>
      </w:tr>
      <w:tr w14:paraId="6AB2FA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247" w:type="dxa"/>
            <w:gridSpan w:val="2"/>
            <w:tcMar>
              <w:top w:w="16" w:type="dxa"/>
              <w:left w:w="16" w:type="dxa"/>
              <w:right w:w="16" w:type="dxa"/>
            </w:tcMar>
            <w:vAlign w:val="center"/>
          </w:tcPr>
          <w:p w14:paraId="39462E59">
            <w:pPr>
              <w:pStyle w:val="42"/>
              <w:keepNext w:val="0"/>
              <w:keepLines w:val="0"/>
              <w:widowControl/>
              <w:suppressLineNumbers w:val="0"/>
              <w:spacing w:before="0" w:beforeAutospacing="0" w:after="0" w:afterAutospacing="0"/>
              <w:ind w:left="0" w:right="0"/>
              <w:rPr>
                <w:rFonts w:hint="default"/>
                <w:sz w:val="24"/>
                <w:szCs w:val="24"/>
              </w:rPr>
            </w:pPr>
            <w:r>
              <w:rPr>
                <w:sz w:val="24"/>
                <w:szCs w:val="24"/>
              </w:rPr>
              <w:t>是否开工建设</w:t>
            </w:r>
          </w:p>
        </w:tc>
        <w:tc>
          <w:tcPr>
            <w:tcW w:w="1772" w:type="dxa"/>
            <w:vAlign w:val="center"/>
          </w:tcPr>
          <w:p w14:paraId="546CD709">
            <w:pPr>
              <w:pStyle w:val="42"/>
              <w:keepNext w:val="0"/>
              <w:keepLines w:val="0"/>
              <w:widowControl/>
              <w:suppressLineNumbers w:val="0"/>
              <w:spacing w:before="0" w:beforeAutospacing="0" w:after="0" w:afterAutospacing="0"/>
              <w:ind w:left="0" w:right="0"/>
              <w:jc w:val="both"/>
              <w:rPr>
                <w:rFonts w:hint="default"/>
                <w:sz w:val="24"/>
                <w:szCs w:val="24"/>
              </w:rPr>
            </w:pPr>
            <w:r>
              <w:rPr>
                <w:sz w:val="24"/>
                <w:szCs w:val="24"/>
              </w:rPr>
              <w:sym w:font="Wingdings 2" w:char="0052"/>
            </w:r>
            <w:r>
              <w:rPr>
                <w:sz w:val="24"/>
                <w:szCs w:val="24"/>
              </w:rPr>
              <w:t>否</w:t>
            </w:r>
          </w:p>
          <w:p w14:paraId="6E8251C7">
            <w:pPr>
              <w:pStyle w:val="42"/>
              <w:keepNext w:val="0"/>
              <w:keepLines w:val="0"/>
              <w:widowControl/>
              <w:suppressLineNumbers w:val="0"/>
              <w:spacing w:before="0" w:beforeAutospacing="0" w:after="0" w:afterAutospacing="0"/>
              <w:ind w:left="0" w:right="0"/>
              <w:jc w:val="both"/>
              <w:rPr>
                <w:rFonts w:hint="default"/>
                <w:sz w:val="24"/>
                <w:szCs w:val="24"/>
              </w:rPr>
            </w:pPr>
            <w:r>
              <w:rPr>
                <w:sz w:val="24"/>
                <w:szCs w:val="24"/>
              </w:rPr>
              <w:sym w:font="Wingdings 2" w:char="00A3"/>
            </w:r>
            <w:r>
              <w:rPr>
                <w:sz w:val="24"/>
                <w:szCs w:val="24"/>
              </w:rPr>
              <w:t>是：存在“未批先建”违法行为的，填写已建设内容、处罚及执行情况。</w:t>
            </w:r>
          </w:p>
        </w:tc>
        <w:tc>
          <w:tcPr>
            <w:tcW w:w="2212" w:type="dxa"/>
            <w:tcMar>
              <w:top w:w="16" w:type="dxa"/>
              <w:left w:w="16" w:type="dxa"/>
              <w:right w:w="16" w:type="dxa"/>
            </w:tcMar>
            <w:vAlign w:val="center"/>
          </w:tcPr>
          <w:p w14:paraId="18883382">
            <w:pPr>
              <w:pStyle w:val="42"/>
              <w:keepNext w:val="0"/>
              <w:keepLines w:val="0"/>
              <w:widowControl/>
              <w:suppressLineNumbers w:val="0"/>
              <w:spacing w:before="0" w:beforeAutospacing="0" w:after="0" w:afterAutospacing="0"/>
              <w:ind w:left="0" w:right="0"/>
              <w:rPr>
                <w:rFonts w:hint="default"/>
                <w:sz w:val="24"/>
                <w:szCs w:val="24"/>
              </w:rPr>
            </w:pPr>
            <w:r>
              <w:rPr>
                <w:sz w:val="24"/>
                <w:szCs w:val="24"/>
              </w:rPr>
              <w:t>用地（用海）</w:t>
            </w:r>
          </w:p>
          <w:p w14:paraId="3C2CD194">
            <w:pPr>
              <w:pStyle w:val="42"/>
              <w:keepNext w:val="0"/>
              <w:keepLines w:val="0"/>
              <w:widowControl/>
              <w:suppressLineNumbers w:val="0"/>
              <w:spacing w:before="0" w:beforeAutospacing="0" w:after="0" w:afterAutospacing="0"/>
              <w:ind w:left="0" w:right="0"/>
              <w:rPr>
                <w:rFonts w:hint="default"/>
                <w:sz w:val="24"/>
                <w:szCs w:val="24"/>
              </w:rPr>
            </w:pPr>
            <w:r>
              <w:rPr>
                <w:sz w:val="24"/>
                <w:szCs w:val="24"/>
              </w:rPr>
              <w:t>面积（m</w:t>
            </w:r>
            <w:r>
              <w:rPr>
                <w:sz w:val="24"/>
                <w:szCs w:val="24"/>
                <w:vertAlign w:val="superscript"/>
              </w:rPr>
              <w:t>2</w:t>
            </w:r>
            <w:r>
              <w:rPr>
                <w:sz w:val="24"/>
                <w:szCs w:val="24"/>
              </w:rPr>
              <w:t>）</w:t>
            </w:r>
          </w:p>
        </w:tc>
        <w:tc>
          <w:tcPr>
            <w:tcW w:w="2639" w:type="dxa"/>
            <w:vAlign w:val="center"/>
          </w:tcPr>
          <w:p w14:paraId="1E70DBF5">
            <w:pPr>
              <w:pStyle w:val="42"/>
              <w:keepNext w:val="0"/>
              <w:keepLines w:val="0"/>
              <w:widowControl/>
              <w:suppressLineNumbers w:val="0"/>
              <w:spacing w:before="0" w:beforeAutospacing="0" w:after="0" w:afterAutospacing="0"/>
              <w:ind w:left="0" w:right="0"/>
              <w:rPr>
                <w:rFonts w:hint="eastAsia" w:eastAsia="宋体"/>
                <w:sz w:val="24"/>
                <w:szCs w:val="24"/>
                <w:lang w:val="en-US" w:eastAsia="zh-CN"/>
              </w:rPr>
            </w:pPr>
            <w:r>
              <w:rPr>
                <w:sz w:val="24"/>
                <w:szCs w:val="24"/>
              </w:rPr>
              <w:t>20010</w:t>
            </w:r>
          </w:p>
        </w:tc>
      </w:tr>
      <w:tr w14:paraId="512195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247" w:type="dxa"/>
            <w:gridSpan w:val="2"/>
            <w:vAlign w:val="center"/>
          </w:tcPr>
          <w:p w14:paraId="6F41F38B">
            <w:pPr>
              <w:pStyle w:val="42"/>
              <w:keepNext w:val="0"/>
              <w:keepLines w:val="0"/>
              <w:widowControl/>
              <w:suppressLineNumbers w:val="0"/>
              <w:spacing w:before="0" w:beforeAutospacing="0" w:after="0" w:afterAutospacing="0"/>
              <w:ind w:left="0" w:right="0"/>
              <w:rPr>
                <w:rFonts w:hint="default"/>
                <w:sz w:val="24"/>
                <w:szCs w:val="24"/>
              </w:rPr>
            </w:pPr>
            <w:r>
              <w:rPr>
                <w:sz w:val="24"/>
                <w:szCs w:val="24"/>
              </w:rPr>
              <w:t>专项评价设置情况</w:t>
            </w:r>
          </w:p>
        </w:tc>
        <w:tc>
          <w:tcPr>
            <w:tcW w:w="6623" w:type="dxa"/>
            <w:gridSpan w:val="3"/>
            <w:vAlign w:val="center"/>
          </w:tcPr>
          <w:p w14:paraId="502907EB">
            <w:pPr>
              <w:pStyle w:val="42"/>
              <w:keepNext w:val="0"/>
              <w:keepLines w:val="0"/>
              <w:widowControl/>
              <w:suppressLineNumbers w:val="0"/>
              <w:spacing w:before="0" w:beforeAutospacing="0" w:after="0" w:afterAutospacing="0"/>
              <w:ind w:left="0" w:right="0"/>
              <w:rPr>
                <w:rFonts w:hint="default"/>
                <w:sz w:val="24"/>
                <w:szCs w:val="24"/>
              </w:rPr>
            </w:pPr>
            <w:r>
              <w:rPr>
                <w:sz w:val="24"/>
                <w:szCs w:val="24"/>
              </w:rPr>
              <w:t>无</w:t>
            </w:r>
          </w:p>
        </w:tc>
      </w:tr>
      <w:tr w14:paraId="34461C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247" w:type="dxa"/>
            <w:gridSpan w:val="2"/>
            <w:vAlign w:val="center"/>
          </w:tcPr>
          <w:p w14:paraId="10812028">
            <w:pPr>
              <w:pStyle w:val="42"/>
              <w:keepNext w:val="0"/>
              <w:keepLines w:val="0"/>
              <w:widowControl/>
              <w:suppressLineNumbers w:val="0"/>
              <w:spacing w:before="0" w:beforeAutospacing="0" w:after="0" w:afterAutospacing="0"/>
              <w:ind w:left="0" w:right="0"/>
              <w:rPr>
                <w:rFonts w:hint="default"/>
                <w:sz w:val="24"/>
                <w:szCs w:val="24"/>
              </w:rPr>
            </w:pPr>
            <w:r>
              <w:rPr>
                <w:sz w:val="24"/>
                <w:szCs w:val="24"/>
              </w:rPr>
              <w:t>规划情况</w:t>
            </w:r>
          </w:p>
        </w:tc>
        <w:tc>
          <w:tcPr>
            <w:tcW w:w="6623" w:type="dxa"/>
            <w:gridSpan w:val="3"/>
            <w:vAlign w:val="center"/>
          </w:tcPr>
          <w:p w14:paraId="44BB5275">
            <w:pPr>
              <w:pStyle w:val="42"/>
              <w:keepNext w:val="0"/>
              <w:keepLines w:val="0"/>
              <w:widowControl/>
              <w:suppressLineNumbers w:val="0"/>
              <w:spacing w:before="0" w:beforeAutospacing="0" w:after="0" w:afterAutospacing="0"/>
              <w:ind w:left="0" w:right="0"/>
              <w:jc w:val="both"/>
              <w:rPr>
                <w:rFonts w:hint="default"/>
                <w:sz w:val="24"/>
                <w:szCs w:val="24"/>
              </w:rPr>
            </w:pPr>
            <w:r>
              <w:rPr>
                <w:b/>
                <w:bCs/>
                <w:sz w:val="24"/>
                <w:szCs w:val="24"/>
              </w:rPr>
              <w:t>规划文件名称：</w:t>
            </w:r>
            <w:r>
              <w:rPr>
                <w:sz w:val="24"/>
                <w:szCs w:val="24"/>
              </w:rPr>
              <w:t>《河北宽城经济开发区总体规划（2022-2035年）》</w:t>
            </w:r>
          </w:p>
          <w:p w14:paraId="6157279F">
            <w:pPr>
              <w:pStyle w:val="42"/>
              <w:keepNext w:val="0"/>
              <w:keepLines w:val="0"/>
              <w:widowControl/>
              <w:suppressLineNumbers w:val="0"/>
              <w:spacing w:before="0" w:beforeAutospacing="0" w:after="0" w:afterAutospacing="0"/>
              <w:ind w:left="0" w:right="0"/>
              <w:jc w:val="both"/>
              <w:rPr>
                <w:rFonts w:hint="default"/>
                <w:b/>
                <w:bCs/>
                <w:sz w:val="24"/>
                <w:szCs w:val="24"/>
              </w:rPr>
            </w:pPr>
            <w:r>
              <w:rPr>
                <w:b/>
                <w:bCs/>
                <w:sz w:val="24"/>
                <w:szCs w:val="24"/>
              </w:rPr>
              <w:t>审查机关：</w:t>
            </w:r>
            <w:r>
              <w:rPr>
                <w:sz w:val="24"/>
                <w:szCs w:val="24"/>
              </w:rPr>
              <w:t>河北省人民政府办公厅</w:t>
            </w:r>
          </w:p>
          <w:p w14:paraId="6797E5C9">
            <w:pPr>
              <w:pStyle w:val="42"/>
              <w:keepNext w:val="0"/>
              <w:keepLines w:val="0"/>
              <w:widowControl/>
              <w:suppressLineNumbers w:val="0"/>
              <w:spacing w:before="0" w:beforeAutospacing="0" w:after="0" w:afterAutospacing="0"/>
              <w:ind w:left="0" w:right="0"/>
              <w:jc w:val="both"/>
              <w:rPr>
                <w:rFonts w:hint="default"/>
                <w:b/>
                <w:bCs/>
                <w:sz w:val="24"/>
                <w:szCs w:val="24"/>
              </w:rPr>
            </w:pPr>
            <w:r>
              <w:rPr>
                <w:b/>
                <w:bCs/>
                <w:sz w:val="24"/>
                <w:szCs w:val="24"/>
              </w:rPr>
              <w:t>审查文件名称：</w:t>
            </w:r>
            <w:r>
              <w:rPr>
                <w:sz w:val="24"/>
                <w:szCs w:val="24"/>
              </w:rPr>
              <w:t>《河北省人民政府办公厅关于确定全省规范整合并更名为省级经济开发区(第二批)规划面积的通知》</w:t>
            </w:r>
          </w:p>
          <w:p w14:paraId="495746DB">
            <w:pPr>
              <w:pStyle w:val="42"/>
              <w:keepNext w:val="0"/>
              <w:keepLines w:val="0"/>
              <w:widowControl/>
              <w:suppressLineNumbers w:val="0"/>
              <w:spacing w:before="0" w:beforeAutospacing="0" w:after="0" w:afterAutospacing="0"/>
              <w:ind w:left="0" w:right="0"/>
              <w:jc w:val="both"/>
              <w:rPr>
                <w:rFonts w:hint="default"/>
                <w:sz w:val="24"/>
                <w:szCs w:val="24"/>
              </w:rPr>
            </w:pPr>
            <w:r>
              <w:rPr>
                <w:b/>
                <w:bCs/>
                <w:sz w:val="24"/>
                <w:szCs w:val="24"/>
              </w:rPr>
              <w:t>文号：</w:t>
            </w:r>
            <w:r>
              <w:rPr>
                <w:sz w:val="24"/>
                <w:szCs w:val="24"/>
              </w:rPr>
              <w:t>冀政办字〔2016〕94号</w:t>
            </w:r>
          </w:p>
        </w:tc>
      </w:tr>
      <w:tr w14:paraId="05EDD7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247" w:type="dxa"/>
            <w:gridSpan w:val="2"/>
            <w:vAlign w:val="center"/>
          </w:tcPr>
          <w:p w14:paraId="00C1EA4D">
            <w:pPr>
              <w:pStyle w:val="42"/>
              <w:keepNext w:val="0"/>
              <w:keepLines w:val="0"/>
              <w:widowControl/>
              <w:suppressLineNumbers w:val="0"/>
              <w:spacing w:before="0" w:beforeAutospacing="0" w:after="0" w:afterAutospacing="0"/>
              <w:ind w:left="0" w:right="0"/>
              <w:rPr>
                <w:rFonts w:hint="default"/>
                <w:sz w:val="24"/>
                <w:szCs w:val="24"/>
              </w:rPr>
            </w:pPr>
            <w:r>
              <w:rPr>
                <w:sz w:val="24"/>
                <w:szCs w:val="24"/>
              </w:rPr>
              <w:t>规划环境影响</w:t>
            </w:r>
          </w:p>
          <w:p w14:paraId="2A462B5F">
            <w:pPr>
              <w:pStyle w:val="42"/>
              <w:keepNext w:val="0"/>
              <w:keepLines w:val="0"/>
              <w:widowControl/>
              <w:suppressLineNumbers w:val="0"/>
              <w:spacing w:before="0" w:beforeAutospacing="0" w:after="0" w:afterAutospacing="0"/>
              <w:ind w:left="0" w:right="0"/>
              <w:rPr>
                <w:rFonts w:ascii="宋体" w:hAnsi="宋体"/>
                <w:sz w:val="24"/>
                <w:szCs w:val="24"/>
              </w:rPr>
            </w:pPr>
            <w:r>
              <w:rPr>
                <w:sz w:val="24"/>
                <w:szCs w:val="24"/>
              </w:rPr>
              <w:t>评价情况</w:t>
            </w:r>
          </w:p>
        </w:tc>
        <w:tc>
          <w:tcPr>
            <w:tcW w:w="6623" w:type="dxa"/>
            <w:gridSpan w:val="3"/>
            <w:vAlign w:val="center"/>
          </w:tcPr>
          <w:p w14:paraId="60FA931C">
            <w:pPr>
              <w:pStyle w:val="42"/>
              <w:keepNext w:val="0"/>
              <w:keepLines w:val="0"/>
              <w:widowControl/>
              <w:suppressLineNumbers w:val="0"/>
              <w:spacing w:before="0" w:beforeAutospacing="0" w:after="0" w:afterAutospacing="0"/>
              <w:ind w:left="0" w:right="0"/>
              <w:jc w:val="both"/>
              <w:rPr>
                <w:rFonts w:hint="default"/>
                <w:b/>
                <w:bCs/>
                <w:sz w:val="24"/>
                <w:szCs w:val="24"/>
              </w:rPr>
            </w:pPr>
            <w:r>
              <w:rPr>
                <w:b/>
                <w:bCs/>
                <w:sz w:val="24"/>
                <w:szCs w:val="24"/>
              </w:rPr>
              <w:t>规划环境影响评价文件名称：</w:t>
            </w:r>
            <w:r>
              <w:rPr>
                <w:sz w:val="24"/>
                <w:szCs w:val="24"/>
              </w:rPr>
              <w:t>《河北宽城经济开发区总体规划（2022-2035年）环境影响报告书》</w:t>
            </w:r>
          </w:p>
          <w:p w14:paraId="07EA75F9">
            <w:pPr>
              <w:pStyle w:val="42"/>
              <w:keepNext w:val="0"/>
              <w:keepLines w:val="0"/>
              <w:widowControl/>
              <w:suppressLineNumbers w:val="0"/>
              <w:spacing w:before="0" w:beforeAutospacing="0" w:after="0" w:afterAutospacing="0"/>
              <w:ind w:left="0" w:right="0"/>
              <w:jc w:val="both"/>
              <w:rPr>
                <w:rFonts w:hint="default"/>
                <w:sz w:val="24"/>
                <w:szCs w:val="24"/>
              </w:rPr>
            </w:pPr>
            <w:r>
              <w:rPr>
                <w:b/>
                <w:bCs/>
                <w:sz w:val="24"/>
                <w:szCs w:val="24"/>
              </w:rPr>
              <w:t>审查机关：</w:t>
            </w:r>
            <w:r>
              <w:rPr>
                <w:sz w:val="24"/>
                <w:szCs w:val="24"/>
              </w:rPr>
              <w:t>河北省生态环境厅</w:t>
            </w:r>
          </w:p>
          <w:p w14:paraId="48BC96B1">
            <w:pPr>
              <w:pStyle w:val="42"/>
              <w:keepNext w:val="0"/>
              <w:keepLines w:val="0"/>
              <w:widowControl/>
              <w:suppressLineNumbers w:val="0"/>
              <w:spacing w:before="0" w:beforeAutospacing="0" w:after="0" w:afterAutospacing="0"/>
              <w:ind w:left="0" w:right="0"/>
              <w:jc w:val="both"/>
              <w:rPr>
                <w:rFonts w:ascii="宋体" w:hAnsi="宋体"/>
                <w:color w:val="FF0000"/>
                <w:sz w:val="24"/>
                <w:szCs w:val="24"/>
              </w:rPr>
            </w:pPr>
            <w:r>
              <w:rPr>
                <w:b/>
                <w:bCs/>
                <w:sz w:val="24"/>
                <w:szCs w:val="24"/>
              </w:rPr>
              <w:t>审查文件名称：</w:t>
            </w:r>
            <w:r>
              <w:rPr>
                <w:sz w:val="24"/>
                <w:szCs w:val="24"/>
              </w:rPr>
              <w:t>关于《河北宽城经济开发区总体规划（2022-2035年）环境影响报告书》的审查意见</w:t>
            </w:r>
          </w:p>
        </w:tc>
      </w:tr>
      <w:tr w14:paraId="4BAA2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7" w:type="dxa"/>
            <w:gridSpan w:val="2"/>
            <w:vAlign w:val="center"/>
          </w:tcPr>
          <w:p w14:paraId="107E679E">
            <w:pPr>
              <w:pStyle w:val="42"/>
              <w:keepNext w:val="0"/>
              <w:keepLines w:val="0"/>
              <w:widowControl/>
              <w:suppressLineNumbers w:val="0"/>
              <w:spacing w:before="0" w:beforeAutospacing="0" w:after="0" w:afterAutospacing="0"/>
              <w:ind w:left="0" w:right="0"/>
              <w:rPr>
                <w:rFonts w:hint="default"/>
                <w:sz w:val="24"/>
                <w:szCs w:val="24"/>
              </w:rPr>
            </w:pPr>
            <w:r>
              <w:rPr>
                <w:sz w:val="24"/>
                <w:szCs w:val="24"/>
              </w:rPr>
              <w:t>规划及规划环境</w:t>
            </w:r>
          </w:p>
          <w:p w14:paraId="5C59CC53">
            <w:pPr>
              <w:pStyle w:val="42"/>
              <w:keepNext w:val="0"/>
              <w:keepLines w:val="0"/>
              <w:widowControl/>
              <w:suppressLineNumbers w:val="0"/>
              <w:spacing w:before="0" w:beforeAutospacing="0" w:after="0" w:afterAutospacing="0"/>
              <w:ind w:left="0" w:right="0"/>
              <w:rPr>
                <w:rFonts w:ascii="宋体" w:hAnsi="宋体"/>
                <w:sz w:val="24"/>
                <w:szCs w:val="24"/>
              </w:rPr>
            </w:pPr>
            <w:r>
              <w:rPr>
                <w:sz w:val="24"/>
                <w:szCs w:val="24"/>
              </w:rPr>
              <w:t>影响评价符合性分析</w:t>
            </w:r>
          </w:p>
        </w:tc>
        <w:tc>
          <w:tcPr>
            <w:tcW w:w="6623" w:type="dxa"/>
            <w:gridSpan w:val="3"/>
            <w:vAlign w:val="center"/>
          </w:tcPr>
          <w:p w14:paraId="7C006144">
            <w:pPr>
              <w:keepNext w:val="0"/>
              <w:keepLines w:val="0"/>
              <w:suppressLineNumbers w:val="0"/>
              <w:autoSpaceDE w:val="0"/>
              <w:autoSpaceDN w:val="0"/>
              <w:spacing w:before="0" w:beforeAutospacing="0" w:after="0" w:afterAutospacing="0"/>
              <w:ind w:left="0" w:right="0" w:firstLine="0" w:firstLineChars="0"/>
              <w:jc w:val="both"/>
              <w:rPr>
                <w:rFonts w:hint="default" w:cs="宋体"/>
                <w:b/>
                <w:bCs/>
                <w:color w:val="FF0000"/>
                <w:kern w:val="0"/>
                <w:lang w:bidi="ar"/>
              </w:rPr>
            </w:pPr>
            <w:r>
              <w:rPr>
                <w:rFonts w:hint="eastAsia" w:cs="宋体"/>
                <w:b/>
                <w:bCs/>
                <w:color w:val="000000"/>
                <w:kern w:val="0"/>
                <w:lang w:bidi="ar"/>
              </w:rPr>
              <w:t>规划及规划环评符合性：</w:t>
            </w:r>
          </w:p>
          <w:p w14:paraId="35A07B18">
            <w:pPr>
              <w:keepNext w:val="0"/>
              <w:keepLines w:val="0"/>
              <w:numPr>
                <w:ilvl w:val="0"/>
                <w:numId w:val="3"/>
              </w:numPr>
              <w:suppressLineNumbers w:val="0"/>
              <w:spacing w:before="0" w:beforeAutospacing="0" w:after="0" w:afterAutospacing="0"/>
              <w:ind w:left="0" w:right="0" w:firstLine="480"/>
              <w:rPr>
                <w:rFonts w:hint="default" w:cs="宋体"/>
                <w:kern w:val="0"/>
                <w:lang w:bidi="ar"/>
              </w:rPr>
            </w:pPr>
            <w:r>
              <w:rPr>
                <w:rFonts w:hint="eastAsia"/>
              </w:rPr>
              <w:t>规划符合性分析</w:t>
            </w:r>
          </w:p>
          <w:p w14:paraId="689F1844">
            <w:pPr>
              <w:pStyle w:val="5"/>
              <w:keepNext w:val="0"/>
              <w:keepLines w:val="0"/>
              <w:suppressLineNumbers w:val="0"/>
              <w:spacing w:before="0" w:beforeAutospacing="0" w:after="0" w:afterAutospacing="0"/>
              <w:ind w:right="0" w:firstLine="480" w:firstLineChars="200"/>
              <w:rPr>
                <w:rFonts w:hint="default"/>
              </w:rPr>
            </w:pPr>
            <w:r>
              <w:rPr>
                <w:rFonts w:hint="default"/>
              </w:rPr>
              <w:t>产业定位符合性</w:t>
            </w:r>
          </w:p>
          <w:p w14:paraId="3A72CCA8">
            <w:pPr>
              <w:keepNext w:val="0"/>
              <w:keepLines w:val="0"/>
              <w:suppressLineNumbers w:val="0"/>
              <w:spacing w:before="0" w:beforeAutospacing="0" w:after="0" w:afterAutospacing="0"/>
              <w:ind w:left="0" w:right="0" w:firstLine="480"/>
              <w:rPr>
                <w:rFonts w:hint="default"/>
              </w:rPr>
            </w:pPr>
            <w:r>
              <w:rPr>
                <w:rFonts w:hint="eastAsia"/>
              </w:rPr>
              <w:t>根据《河北宽城经济开发区总体规划（2022-2035年）》，项目位于龙须门片区，龙须门片区内产业发展方向为新能源产业聚集区、装备制造产业聚集区、新型建材产业聚集区。项目位于新型建材产业聚集区，新型建材产业聚集区的主要发展方向为(1)资源综合利用产业：充分利用宽城满族自治县白云石矿产资源优势，发展白云石综合利用相关产业项目，使矿石中镁元素得到充分利用，在不违反国家和省产业政策的前提下，适时发展镁冶炼和综合利用产业，延长产业链条。(2)装配式建材：发展建筑结构部件、钢结构产品等建筑用材；发展水性涂料、新型防水材料、高性能绝热节能材料、墙纸墙布等保温密封材料；发展PVC-U、PP、PE、PP-R等管道建材。(3)</w:t>
            </w:r>
            <w:bookmarkStart w:id="2" w:name="OLE_LINK3"/>
            <w:r>
              <w:rPr>
                <w:rFonts w:hint="eastAsia"/>
              </w:rPr>
              <w:t>发展混凝土、砖瓦等传统建材</w:t>
            </w:r>
            <w:bookmarkEnd w:id="2"/>
            <w:r>
              <w:rPr>
                <w:rFonts w:hint="eastAsia"/>
              </w:rPr>
              <w:t>。</w:t>
            </w:r>
          </w:p>
          <w:p w14:paraId="61222EB5">
            <w:pPr>
              <w:keepNext w:val="0"/>
              <w:keepLines w:val="0"/>
              <w:suppressLineNumbers w:val="0"/>
              <w:spacing w:before="0" w:beforeAutospacing="0" w:after="0" w:afterAutospacing="0"/>
              <w:ind w:left="0" w:right="0" w:firstLine="480"/>
              <w:rPr>
                <w:rFonts w:hint="default"/>
              </w:rPr>
            </w:pPr>
            <w:r>
              <w:rPr>
                <w:rFonts w:hint="eastAsia"/>
              </w:rPr>
              <w:t>项目为水泥制品制造项目，用水泥及砂石骨料生产混凝土，混凝土生产完成后生产集成构件，符合“发展混凝土、砖瓦等传统建材”这一产业发展方向，项目符合河北宽城经济开发区产业定位。</w:t>
            </w:r>
          </w:p>
          <w:p w14:paraId="7766C23F">
            <w:pPr>
              <w:pStyle w:val="5"/>
              <w:keepNext w:val="0"/>
              <w:keepLines w:val="0"/>
              <w:suppressLineNumbers w:val="0"/>
              <w:spacing w:before="0" w:beforeAutospacing="0" w:after="0" w:afterAutospacing="0"/>
              <w:ind w:right="0" w:firstLine="480" w:firstLineChars="200"/>
              <w:rPr>
                <w:rFonts w:hint="default"/>
              </w:rPr>
            </w:pPr>
            <w:r>
              <w:rPr>
                <w:rFonts w:hint="default"/>
              </w:rPr>
              <w:t>用地性质符合性</w:t>
            </w:r>
          </w:p>
          <w:p w14:paraId="3C36EBB0">
            <w:pPr>
              <w:keepNext w:val="0"/>
              <w:keepLines w:val="0"/>
              <w:suppressLineNumbers w:val="0"/>
              <w:spacing w:before="0" w:beforeAutospacing="0" w:after="0" w:afterAutospacing="0"/>
              <w:ind w:left="0" w:right="0" w:firstLine="480"/>
              <w:rPr>
                <w:rFonts w:hint="default"/>
              </w:rPr>
            </w:pPr>
            <w:r>
              <w:rPr>
                <w:rFonts w:hint="default"/>
              </w:rPr>
              <w:t>河北宽城经济开发区规划远期建设用地</w:t>
            </w:r>
            <w:r>
              <w:rPr>
                <w:rFonts w:hint="eastAsia"/>
              </w:rPr>
              <w:t>面积</w:t>
            </w:r>
            <w:r>
              <w:rPr>
                <w:rFonts w:hint="default"/>
              </w:rPr>
              <w:t>1526.14</w:t>
            </w:r>
            <w:r>
              <w:rPr>
                <w:rFonts w:hint="eastAsia"/>
              </w:rPr>
              <w:t>公顷</w:t>
            </w:r>
            <w:r>
              <w:rPr>
                <w:rFonts w:hint="default"/>
              </w:rPr>
              <w:t>，其中工业用地和仓储物流用地面积1000.01公顷，占建设用地面积的65.53%。</w:t>
            </w:r>
            <w:r>
              <w:rPr>
                <w:rFonts w:hint="eastAsia"/>
              </w:rPr>
              <w:t>项目所在位置用地性质为工业用地，项目符合河北宽城经济开发区用地规划。</w:t>
            </w:r>
          </w:p>
          <w:p w14:paraId="21FCA212">
            <w:pPr>
              <w:keepNext w:val="0"/>
              <w:keepLines w:val="0"/>
              <w:numPr>
                <w:ilvl w:val="0"/>
                <w:numId w:val="3"/>
              </w:numPr>
              <w:suppressLineNumbers w:val="0"/>
              <w:spacing w:before="0" w:beforeAutospacing="0" w:after="0" w:afterAutospacing="0"/>
              <w:ind w:left="0" w:right="0" w:firstLine="480"/>
              <w:rPr>
                <w:rFonts w:hint="default"/>
              </w:rPr>
            </w:pPr>
            <w:r>
              <w:rPr>
                <w:rFonts w:hint="default"/>
              </w:rPr>
              <w:t>规划环评符合性分析</w:t>
            </w:r>
          </w:p>
          <w:p w14:paraId="73E24BED">
            <w:pPr>
              <w:keepNext w:val="0"/>
              <w:keepLines w:val="0"/>
              <w:suppressLineNumbers w:val="0"/>
              <w:spacing w:before="0" w:beforeAutospacing="0" w:after="0" w:afterAutospacing="0"/>
              <w:ind w:left="0" w:right="0" w:firstLine="480"/>
              <w:rPr>
                <w:rFonts w:hint="default"/>
              </w:rPr>
            </w:pPr>
            <w:r>
              <w:rPr>
                <w:rFonts w:hint="eastAsia"/>
              </w:rPr>
              <w:t>根据《河北宽城经济开发区总体规划（2022-2035年）环境影响报告书》提出的河北宽城经济开发区总体生态环境准入清单，项目符合河北宽城经济开发区生态环境准入清单，项目与规划环评“生态环境准入清单”具体对比结果见下表。</w:t>
            </w:r>
          </w:p>
          <w:p w14:paraId="4B87B690">
            <w:pPr>
              <w:keepNext w:val="0"/>
              <w:keepLines w:val="0"/>
              <w:numPr>
                <w:ilvl w:val="0"/>
                <w:numId w:val="4"/>
              </w:numPr>
              <w:suppressLineNumbers w:val="0"/>
              <w:adjustRightInd/>
              <w:spacing w:before="0" w:beforeAutospacing="0" w:after="0" w:afterAutospacing="0"/>
              <w:ind w:left="0" w:right="0" w:firstLine="0" w:firstLineChars="0"/>
              <w:jc w:val="center"/>
              <w:rPr>
                <w:rFonts w:hint="default"/>
                <w:b/>
                <w:bCs/>
              </w:rPr>
            </w:pPr>
            <w:r>
              <w:rPr>
                <w:rFonts w:hint="eastAsia"/>
                <w:b/>
                <w:bCs/>
                <w:sz w:val="21"/>
                <w:szCs w:val="21"/>
              </w:rPr>
              <w:t>项目与规划环评“生态环境准入清单”对比结果一览表</w:t>
            </w:r>
          </w:p>
          <w:tbl>
            <w:tblPr>
              <w:tblStyle w:val="2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28"/>
              <w:gridCol w:w="490"/>
              <w:gridCol w:w="2708"/>
              <w:gridCol w:w="2222"/>
              <w:gridCol w:w="636"/>
            </w:tblGrid>
            <w:tr w14:paraId="3B86B8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1" w:type="pct"/>
                  <w:gridSpan w:val="2"/>
                  <w:vAlign w:val="center"/>
                </w:tcPr>
                <w:p w14:paraId="307388B5">
                  <w:pPr>
                    <w:pStyle w:val="42"/>
                    <w:keepNext w:val="0"/>
                    <w:keepLines w:val="0"/>
                    <w:widowControl/>
                    <w:suppressLineNumbers w:val="0"/>
                    <w:spacing w:before="0" w:beforeAutospacing="0" w:after="0" w:afterAutospacing="0"/>
                    <w:ind w:left="0" w:right="0"/>
                    <w:rPr>
                      <w:rFonts w:hint="default"/>
                    </w:rPr>
                  </w:pPr>
                  <w:r>
                    <w:t>清单类型</w:t>
                  </w:r>
                </w:p>
              </w:tc>
              <w:tc>
                <w:tcPr>
                  <w:tcW w:w="2120" w:type="pct"/>
                  <w:vAlign w:val="center"/>
                </w:tcPr>
                <w:p w14:paraId="5B504BCA">
                  <w:pPr>
                    <w:pStyle w:val="42"/>
                    <w:keepNext w:val="0"/>
                    <w:keepLines w:val="0"/>
                    <w:widowControl/>
                    <w:suppressLineNumbers w:val="0"/>
                    <w:spacing w:before="0" w:beforeAutospacing="0" w:after="0" w:afterAutospacing="0"/>
                    <w:ind w:left="0" w:right="0"/>
                    <w:rPr>
                      <w:rFonts w:hint="default"/>
                    </w:rPr>
                  </w:pPr>
                  <w:r>
                    <w:t>准入要求</w:t>
                  </w:r>
                </w:p>
              </w:tc>
              <w:tc>
                <w:tcPr>
                  <w:tcW w:w="1739" w:type="pct"/>
                  <w:vAlign w:val="center"/>
                </w:tcPr>
                <w:p w14:paraId="32785B87">
                  <w:pPr>
                    <w:pStyle w:val="42"/>
                    <w:keepNext w:val="0"/>
                    <w:keepLines w:val="0"/>
                    <w:widowControl/>
                    <w:suppressLineNumbers w:val="0"/>
                    <w:spacing w:before="0" w:beforeAutospacing="0" w:after="0" w:afterAutospacing="0"/>
                    <w:ind w:left="0" w:right="0"/>
                    <w:rPr>
                      <w:rFonts w:hint="default"/>
                    </w:rPr>
                  </w:pPr>
                  <w:r>
                    <w:t>本项目情况</w:t>
                  </w:r>
                </w:p>
              </w:tc>
              <w:tc>
                <w:tcPr>
                  <w:tcW w:w="498" w:type="pct"/>
                  <w:vAlign w:val="center"/>
                </w:tcPr>
                <w:p w14:paraId="4E5C0709">
                  <w:pPr>
                    <w:pStyle w:val="42"/>
                    <w:keepNext w:val="0"/>
                    <w:keepLines w:val="0"/>
                    <w:widowControl/>
                    <w:suppressLineNumbers w:val="0"/>
                    <w:spacing w:before="0" w:beforeAutospacing="0" w:after="0" w:afterAutospacing="0"/>
                    <w:ind w:left="0" w:right="0"/>
                    <w:rPr>
                      <w:rFonts w:hint="default"/>
                    </w:rPr>
                  </w:pPr>
                  <w:r>
                    <w:t>符合性</w:t>
                  </w:r>
                </w:p>
              </w:tc>
            </w:tr>
            <w:tr w14:paraId="522F2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41" w:type="pct"/>
                  <w:gridSpan w:val="2"/>
                  <w:vAlign w:val="center"/>
                </w:tcPr>
                <w:p w14:paraId="3A63536A">
                  <w:pPr>
                    <w:pStyle w:val="42"/>
                    <w:keepNext w:val="0"/>
                    <w:keepLines w:val="0"/>
                    <w:widowControl/>
                    <w:suppressLineNumbers w:val="0"/>
                    <w:spacing w:before="0" w:beforeAutospacing="0" w:after="0" w:afterAutospacing="0"/>
                    <w:ind w:left="0" w:right="0"/>
                    <w:rPr>
                      <w:rFonts w:hint="default"/>
                    </w:rPr>
                  </w:pPr>
                  <w:r>
                    <w:t>全市总体要求</w:t>
                  </w:r>
                </w:p>
              </w:tc>
              <w:tc>
                <w:tcPr>
                  <w:tcW w:w="2120" w:type="pct"/>
                  <w:vAlign w:val="center"/>
                </w:tcPr>
                <w:p w14:paraId="0F83E0F4">
                  <w:pPr>
                    <w:pStyle w:val="42"/>
                    <w:keepNext w:val="0"/>
                    <w:keepLines w:val="0"/>
                    <w:widowControl/>
                    <w:suppressLineNumbers w:val="0"/>
                    <w:spacing w:before="0" w:beforeAutospacing="0" w:after="0" w:afterAutospacing="0"/>
                    <w:ind w:left="0" w:right="0"/>
                    <w:rPr>
                      <w:rFonts w:hint="default"/>
                    </w:rPr>
                  </w:pPr>
                  <w:r>
                    <w:t>详见《承德市人民政府关于实施“三线一单”生态环境分区管控的意见》(承市政字[2021]17号)中全市总体准入要求，具体内容不再列出</w:t>
                  </w:r>
                </w:p>
              </w:tc>
              <w:tc>
                <w:tcPr>
                  <w:tcW w:w="1739" w:type="pct"/>
                  <w:vAlign w:val="center"/>
                </w:tcPr>
                <w:p w14:paraId="5159A324">
                  <w:pPr>
                    <w:pStyle w:val="42"/>
                    <w:keepNext w:val="0"/>
                    <w:keepLines w:val="0"/>
                    <w:widowControl/>
                    <w:suppressLineNumbers w:val="0"/>
                    <w:spacing w:before="0" w:beforeAutospacing="0" w:after="0" w:afterAutospacing="0"/>
                    <w:ind w:left="0" w:right="0"/>
                    <w:rPr>
                      <w:rFonts w:hint="default"/>
                    </w:rPr>
                  </w:pPr>
                  <w:r>
                    <w:t>“三线一单”现已更新至《承德市生态环境准入清单（2023版）》，本项目和《承德市生态环境准入清单（2023版）》符合性分析见三线一单符合性分析，此处不再列出。</w:t>
                  </w:r>
                </w:p>
              </w:tc>
              <w:tc>
                <w:tcPr>
                  <w:tcW w:w="498" w:type="pct"/>
                  <w:vAlign w:val="center"/>
                </w:tcPr>
                <w:p w14:paraId="76D48640">
                  <w:pPr>
                    <w:pStyle w:val="42"/>
                    <w:keepNext w:val="0"/>
                    <w:keepLines w:val="0"/>
                    <w:widowControl/>
                    <w:suppressLineNumbers w:val="0"/>
                    <w:spacing w:before="0" w:beforeAutospacing="0" w:after="0" w:afterAutospacing="0"/>
                    <w:ind w:left="0" w:right="0"/>
                    <w:rPr>
                      <w:rFonts w:hint="default"/>
                    </w:rPr>
                  </w:pPr>
                  <w:r>
                    <w:t>符合</w:t>
                  </w:r>
                </w:p>
              </w:tc>
            </w:tr>
            <w:tr w14:paraId="343900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7" w:type="pct"/>
                  <w:vAlign w:val="center"/>
                </w:tcPr>
                <w:p w14:paraId="76FECD8C">
                  <w:pPr>
                    <w:pStyle w:val="42"/>
                    <w:keepNext w:val="0"/>
                    <w:keepLines w:val="0"/>
                    <w:widowControl/>
                    <w:suppressLineNumbers w:val="0"/>
                    <w:spacing w:before="0" w:beforeAutospacing="0" w:after="0" w:afterAutospacing="0"/>
                    <w:ind w:left="0" w:right="0"/>
                    <w:rPr>
                      <w:rFonts w:hint="default"/>
                    </w:rPr>
                  </w:pPr>
                  <w:r>
                    <w:t>本评价补充要求</w:t>
                  </w:r>
                </w:p>
              </w:tc>
              <w:tc>
                <w:tcPr>
                  <w:tcW w:w="383" w:type="pct"/>
                  <w:vAlign w:val="center"/>
                </w:tcPr>
                <w:p w14:paraId="28206D65">
                  <w:pPr>
                    <w:pStyle w:val="42"/>
                    <w:keepNext w:val="0"/>
                    <w:keepLines w:val="0"/>
                    <w:widowControl/>
                    <w:suppressLineNumbers w:val="0"/>
                    <w:spacing w:before="0" w:beforeAutospacing="0" w:after="0" w:afterAutospacing="0"/>
                    <w:ind w:left="0" w:right="0"/>
                    <w:rPr>
                      <w:rFonts w:hint="default"/>
                    </w:rPr>
                  </w:pPr>
                  <w:r>
                    <w:t>产业及政策准入管理要求*</w:t>
                  </w:r>
                </w:p>
              </w:tc>
              <w:tc>
                <w:tcPr>
                  <w:tcW w:w="2120" w:type="pct"/>
                  <w:vAlign w:val="center"/>
                </w:tcPr>
                <w:p w14:paraId="7F118724">
                  <w:pPr>
                    <w:pStyle w:val="42"/>
                    <w:keepNext w:val="0"/>
                    <w:keepLines w:val="0"/>
                    <w:widowControl/>
                    <w:suppressLineNumbers w:val="0"/>
                    <w:spacing w:before="0" w:beforeAutospacing="0" w:after="0" w:afterAutospacing="0"/>
                    <w:ind w:left="0" w:right="0"/>
                    <w:rPr>
                      <w:rFonts w:hint="default"/>
                    </w:rPr>
                  </w:pPr>
                  <w:r>
                    <w:t>禁止新建《</w:t>
                  </w:r>
                  <w:bookmarkStart w:id="3" w:name="OLE_LINK2"/>
                  <w:r>
                    <w:t>产业结构调整指导目录</w:t>
                  </w:r>
                  <w:bookmarkEnd w:id="3"/>
                  <w:r>
                    <w:t>》及《</w:t>
                  </w:r>
                  <w:bookmarkStart w:id="4" w:name="OLE_LINK1"/>
                  <w:r>
                    <w:t>河北省新增限制和淘汰类产业目录</w:t>
                  </w:r>
                  <w:bookmarkEnd w:id="4"/>
                  <w:r>
                    <w:t>》中属于限制和淘汰类的建设项目及工艺设备；禁止建设《市场准入负面清单》中的禁止准入类项目。</w:t>
                  </w:r>
                </w:p>
              </w:tc>
              <w:tc>
                <w:tcPr>
                  <w:tcW w:w="1739" w:type="pct"/>
                  <w:vAlign w:val="center"/>
                </w:tcPr>
                <w:p w14:paraId="5E7A6CE8">
                  <w:pPr>
                    <w:pStyle w:val="42"/>
                    <w:keepNext w:val="0"/>
                    <w:keepLines w:val="0"/>
                    <w:widowControl/>
                    <w:suppressLineNumbers w:val="0"/>
                    <w:spacing w:before="0" w:beforeAutospacing="0" w:after="0" w:afterAutospacing="0"/>
                    <w:ind w:left="0" w:right="0"/>
                    <w:rPr>
                      <w:rFonts w:hint="default"/>
                    </w:rPr>
                  </w:pPr>
                  <w:r>
                    <w:t>项目为水泥制品制造项目，不属于《产业结构调整指导目录（2024年本）》中限制类和淘汰类项目，《河北省新增限制和淘汰类产业目录（2015年版）》已废止；项目不属于《市场准入负面清单（2022年版）》的禁止准入类项目。</w:t>
                  </w:r>
                </w:p>
              </w:tc>
              <w:tc>
                <w:tcPr>
                  <w:tcW w:w="498" w:type="pct"/>
                  <w:vAlign w:val="center"/>
                </w:tcPr>
                <w:p w14:paraId="19B0F1CD">
                  <w:pPr>
                    <w:pStyle w:val="42"/>
                    <w:keepNext w:val="0"/>
                    <w:keepLines w:val="0"/>
                    <w:widowControl/>
                    <w:suppressLineNumbers w:val="0"/>
                    <w:spacing w:before="0" w:beforeAutospacing="0" w:after="0" w:afterAutospacing="0"/>
                    <w:ind w:left="0" w:right="0"/>
                    <w:rPr>
                      <w:rFonts w:hint="default"/>
                    </w:rPr>
                  </w:pPr>
                  <w:r>
                    <w:t>符合</w:t>
                  </w:r>
                </w:p>
              </w:tc>
            </w:tr>
            <w:tr w14:paraId="774726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7" w:type="pct"/>
                  <w:vAlign w:val="center"/>
                </w:tcPr>
                <w:p w14:paraId="09C467AB">
                  <w:pPr>
                    <w:pStyle w:val="42"/>
                    <w:keepNext w:val="0"/>
                    <w:keepLines w:val="0"/>
                    <w:widowControl/>
                    <w:suppressLineNumbers w:val="0"/>
                    <w:spacing w:before="0" w:beforeAutospacing="0" w:after="0" w:afterAutospacing="0"/>
                    <w:ind w:left="0" w:right="0"/>
                    <w:rPr>
                      <w:rFonts w:hint="default"/>
                    </w:rPr>
                  </w:pPr>
                  <w:r>
                    <w:t>本评价补充要求</w:t>
                  </w:r>
                </w:p>
              </w:tc>
              <w:tc>
                <w:tcPr>
                  <w:tcW w:w="383" w:type="pct"/>
                  <w:vAlign w:val="center"/>
                </w:tcPr>
                <w:p w14:paraId="4EC9B647">
                  <w:pPr>
                    <w:pStyle w:val="42"/>
                    <w:keepNext w:val="0"/>
                    <w:keepLines w:val="0"/>
                    <w:widowControl/>
                    <w:suppressLineNumbers w:val="0"/>
                    <w:spacing w:before="0" w:beforeAutospacing="0" w:after="0" w:afterAutospacing="0"/>
                    <w:ind w:left="0" w:right="0"/>
                    <w:rPr>
                      <w:rFonts w:hint="default"/>
                    </w:rPr>
                  </w:pPr>
                  <w:r>
                    <w:t>空间布局约束</w:t>
                  </w:r>
                </w:p>
              </w:tc>
              <w:tc>
                <w:tcPr>
                  <w:tcW w:w="2120" w:type="pct"/>
                  <w:vAlign w:val="center"/>
                </w:tcPr>
                <w:p w14:paraId="2B62B39C">
                  <w:pPr>
                    <w:pStyle w:val="42"/>
                    <w:keepNext w:val="0"/>
                    <w:keepLines w:val="0"/>
                    <w:widowControl/>
                    <w:suppressLineNumbers w:val="0"/>
                    <w:spacing w:before="0" w:beforeAutospacing="0" w:after="0" w:afterAutospacing="0"/>
                    <w:ind w:left="0" w:right="0"/>
                    <w:rPr>
                      <w:rFonts w:hint="default"/>
                    </w:rPr>
                  </w:pPr>
                  <w:r>
                    <w:t>1.开发区规划实施过程中不得侵占周边生态保护红线；</w:t>
                  </w:r>
                </w:p>
                <w:p w14:paraId="04913E25">
                  <w:pPr>
                    <w:pStyle w:val="42"/>
                    <w:keepNext w:val="0"/>
                    <w:keepLines w:val="0"/>
                    <w:widowControl/>
                    <w:suppressLineNumbers w:val="0"/>
                    <w:spacing w:before="0" w:beforeAutospacing="0" w:after="0" w:afterAutospacing="0"/>
                    <w:ind w:left="0" w:right="0"/>
                    <w:rPr>
                      <w:rFonts w:hint="default"/>
                    </w:rPr>
                  </w:pPr>
                  <w:r>
                    <w:t>2.禁止在公园绿地、广场绿地等规划绿地范围内开展与绿地无关的建设活动，禁止占用河道范围，禁止占用公路、铁路用地红线；</w:t>
                  </w:r>
                </w:p>
                <w:p w14:paraId="5309B615">
                  <w:pPr>
                    <w:pStyle w:val="42"/>
                    <w:keepNext w:val="0"/>
                    <w:keepLines w:val="0"/>
                    <w:widowControl/>
                    <w:suppressLineNumbers w:val="0"/>
                    <w:spacing w:before="0" w:beforeAutospacing="0" w:after="0" w:afterAutospacing="0"/>
                    <w:ind w:left="0" w:right="0"/>
                    <w:rPr>
                      <w:rFonts w:hint="default"/>
                    </w:rPr>
                  </w:pPr>
                  <w:r>
                    <w:t>3.文物保护范围内不得建设污染文物保护单位及其环境的设施，不得进行可能影响文物保护单位安全及其环境的活动。规划实施过程中若发掘新的文物保护单位，应按照《中华人民共和国文物保护法》相关要求进行严格保护；</w:t>
                  </w:r>
                </w:p>
                <w:p w14:paraId="369B16A6">
                  <w:pPr>
                    <w:pStyle w:val="42"/>
                    <w:keepNext w:val="0"/>
                    <w:keepLines w:val="0"/>
                    <w:widowControl/>
                    <w:suppressLineNumbers w:val="0"/>
                    <w:spacing w:before="0" w:beforeAutospacing="0" w:after="0" w:afterAutospacing="0"/>
                    <w:ind w:left="0" w:right="0"/>
                    <w:rPr>
                      <w:rFonts w:hint="default"/>
                    </w:rPr>
                  </w:pPr>
                  <w:r>
                    <w:t>4.在公路两侧建筑控制线范围内，禁止建设除公路附属设施外的其他永久性建筑物、构筑物和设施；在铁路线路安全保护区内，除必要的铁路施工、作业、抢险活动外，任何单位和个人不得建造建筑物、构筑物，取土、挖砂、挖沟。</w:t>
                  </w:r>
                </w:p>
                <w:p w14:paraId="76C0C208">
                  <w:pPr>
                    <w:pStyle w:val="42"/>
                    <w:keepNext w:val="0"/>
                    <w:keepLines w:val="0"/>
                    <w:widowControl/>
                    <w:suppressLineNumbers w:val="0"/>
                    <w:spacing w:before="0" w:beforeAutospacing="0" w:after="0" w:afterAutospacing="0"/>
                    <w:ind w:left="0" w:right="0"/>
                    <w:rPr>
                      <w:rFonts w:hint="default"/>
                    </w:rPr>
                  </w:pPr>
                  <w:r>
                    <w:t>5.村庄及规划的居住区、教育科研用地及医疗卫生用地范围内禁止新建工业企业。在居住区与工业用地之间设置绿化隔离带，并控制居住区向工业用地方向发展。工业用地靠近居住区一侧在布置工业项目时应重点考虑对居住区的环境影响分析，建议对环境影响相对较重的项目应布置在居住区较远的位置。</w:t>
                  </w:r>
                </w:p>
                <w:p w14:paraId="5BE0A40A">
                  <w:pPr>
                    <w:pStyle w:val="42"/>
                    <w:keepNext w:val="0"/>
                    <w:keepLines w:val="0"/>
                    <w:widowControl/>
                    <w:suppressLineNumbers w:val="0"/>
                    <w:spacing w:before="0" w:beforeAutospacing="0" w:after="0" w:afterAutospacing="0"/>
                    <w:ind w:left="0" w:right="0"/>
                    <w:rPr>
                      <w:rFonts w:hint="default"/>
                    </w:rPr>
                  </w:pPr>
                  <w:r>
                    <w:t>6.严格按照产业布局进行项目准入，不符合产业布局的现有企业按照本评价提出的管控要求进一步加强管理。</w:t>
                  </w:r>
                </w:p>
              </w:tc>
              <w:tc>
                <w:tcPr>
                  <w:tcW w:w="1739" w:type="pct"/>
                  <w:vAlign w:val="center"/>
                </w:tcPr>
                <w:p w14:paraId="54020CA4">
                  <w:pPr>
                    <w:pStyle w:val="42"/>
                    <w:keepNext w:val="0"/>
                    <w:keepLines w:val="0"/>
                    <w:widowControl/>
                    <w:suppressLineNumbers w:val="0"/>
                    <w:spacing w:before="0" w:beforeAutospacing="0" w:after="0" w:afterAutospacing="0"/>
                    <w:ind w:left="0" w:right="0"/>
                    <w:rPr>
                      <w:rFonts w:hint="default"/>
                    </w:rPr>
                  </w:pPr>
                  <w:r>
                    <w:t>1.不涉及；</w:t>
                  </w:r>
                </w:p>
                <w:p w14:paraId="6DABD6D4">
                  <w:pPr>
                    <w:pStyle w:val="42"/>
                    <w:keepNext w:val="0"/>
                    <w:keepLines w:val="0"/>
                    <w:widowControl/>
                    <w:suppressLineNumbers w:val="0"/>
                    <w:spacing w:before="0" w:beforeAutospacing="0" w:after="0" w:afterAutospacing="0"/>
                    <w:ind w:left="0" w:right="0"/>
                    <w:rPr>
                      <w:rFonts w:hint="default"/>
                    </w:rPr>
                  </w:pPr>
                  <w:r>
                    <w:t>2.项目所在位置用地性质为工业用地，不在公园绿地、广场绿地等规划绿地范围内，项目不占用河道范围、公路、铁路用地红线；</w:t>
                  </w:r>
                </w:p>
                <w:p w14:paraId="745D6864">
                  <w:pPr>
                    <w:pStyle w:val="42"/>
                    <w:keepNext w:val="0"/>
                    <w:keepLines w:val="0"/>
                    <w:widowControl/>
                    <w:suppressLineNumbers w:val="0"/>
                    <w:spacing w:before="0" w:beforeAutospacing="0" w:after="0" w:afterAutospacing="0"/>
                    <w:ind w:left="0" w:right="0"/>
                    <w:rPr>
                      <w:rFonts w:hint="default"/>
                    </w:rPr>
                  </w:pPr>
                  <w:r>
                    <w:t>3.项目位于粱前院村北侧空地，不在文物保护范围内，不涉及相关要求；</w:t>
                  </w:r>
                </w:p>
                <w:p w14:paraId="3E7ABB64">
                  <w:pPr>
                    <w:pStyle w:val="42"/>
                    <w:keepNext w:val="0"/>
                    <w:keepLines w:val="0"/>
                    <w:widowControl/>
                    <w:suppressLineNumbers w:val="0"/>
                    <w:spacing w:before="0" w:beforeAutospacing="0" w:after="0" w:afterAutospacing="0"/>
                    <w:ind w:left="0" w:right="0"/>
                    <w:rPr>
                      <w:rFonts w:hint="default"/>
                    </w:rPr>
                  </w:pPr>
                  <w:r>
                    <w:t>4.项目所在位置不位于公路两侧建筑控制线范围内，不涉及相关要求；项目所在位置不位于铁路线路安全保护区内，不涉及相关要求；</w:t>
                  </w:r>
                </w:p>
                <w:p w14:paraId="0573B6EF">
                  <w:pPr>
                    <w:pStyle w:val="42"/>
                    <w:keepNext w:val="0"/>
                    <w:keepLines w:val="0"/>
                    <w:widowControl/>
                    <w:suppressLineNumbers w:val="0"/>
                    <w:spacing w:before="0" w:beforeAutospacing="0" w:after="0" w:afterAutospacing="0"/>
                    <w:ind w:left="0" w:right="0"/>
                    <w:rPr>
                      <w:rFonts w:hint="default"/>
                    </w:rPr>
                  </w:pPr>
                  <w:r>
                    <w:t>5.项目位于开发区规划的工业用地，不在村庄及规划的居住区、教育科研用地及医疗卫生用地范围内，项目在采取相应的环保措施后，对环境的影响相对较轻；</w:t>
                  </w:r>
                </w:p>
                <w:p w14:paraId="433DACDD">
                  <w:pPr>
                    <w:pStyle w:val="42"/>
                    <w:keepNext w:val="0"/>
                    <w:keepLines w:val="0"/>
                    <w:widowControl/>
                    <w:suppressLineNumbers w:val="0"/>
                    <w:spacing w:before="0" w:beforeAutospacing="0" w:after="0" w:afterAutospacing="0"/>
                    <w:ind w:left="0" w:right="0"/>
                    <w:rPr>
                      <w:rFonts w:hint="default"/>
                    </w:rPr>
                  </w:pPr>
                  <w:r>
                    <w:t>6.项目位于河北宽城经济开发区龙须门片区的新型建材产业聚集区，发展方向为发展混凝土、砖瓦等传统建材，项目为生产混凝土构件项目，符合经济开发区产业布局。</w:t>
                  </w:r>
                </w:p>
              </w:tc>
              <w:tc>
                <w:tcPr>
                  <w:tcW w:w="498" w:type="pct"/>
                  <w:vAlign w:val="center"/>
                </w:tcPr>
                <w:p w14:paraId="301D8369">
                  <w:pPr>
                    <w:pStyle w:val="42"/>
                    <w:keepNext w:val="0"/>
                    <w:keepLines w:val="0"/>
                    <w:widowControl/>
                    <w:suppressLineNumbers w:val="0"/>
                    <w:spacing w:before="0" w:beforeAutospacing="0" w:after="0" w:afterAutospacing="0"/>
                    <w:ind w:left="0" w:right="0"/>
                    <w:rPr>
                      <w:rFonts w:hint="default"/>
                    </w:rPr>
                  </w:pPr>
                  <w:r>
                    <w:t>符合</w:t>
                  </w:r>
                </w:p>
              </w:tc>
            </w:tr>
            <w:tr w14:paraId="24622F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7" w:type="pct"/>
                  <w:vMerge w:val="restart"/>
                  <w:vAlign w:val="center"/>
                </w:tcPr>
                <w:p w14:paraId="7FACBBB1">
                  <w:pPr>
                    <w:pStyle w:val="42"/>
                    <w:keepNext w:val="0"/>
                    <w:keepLines w:val="0"/>
                    <w:widowControl/>
                    <w:suppressLineNumbers w:val="0"/>
                    <w:spacing w:before="0" w:beforeAutospacing="0" w:after="0" w:afterAutospacing="0"/>
                    <w:ind w:left="0" w:right="0"/>
                    <w:rPr>
                      <w:rFonts w:hint="default"/>
                    </w:rPr>
                  </w:pPr>
                  <w:r>
                    <w:t>本评价补充要求</w:t>
                  </w:r>
                </w:p>
              </w:tc>
              <w:tc>
                <w:tcPr>
                  <w:tcW w:w="383" w:type="pct"/>
                  <w:vAlign w:val="center"/>
                </w:tcPr>
                <w:p w14:paraId="20A969AB">
                  <w:pPr>
                    <w:pStyle w:val="42"/>
                    <w:keepNext w:val="0"/>
                    <w:keepLines w:val="0"/>
                    <w:widowControl/>
                    <w:suppressLineNumbers w:val="0"/>
                    <w:spacing w:before="0" w:beforeAutospacing="0" w:after="0" w:afterAutospacing="0"/>
                    <w:ind w:left="0" w:right="0"/>
                    <w:rPr>
                      <w:rFonts w:hint="default"/>
                    </w:rPr>
                  </w:pPr>
                  <w:r>
                    <w:t>污染物排放管控</w:t>
                  </w:r>
                </w:p>
              </w:tc>
              <w:tc>
                <w:tcPr>
                  <w:tcW w:w="2120" w:type="pct"/>
                  <w:vAlign w:val="center"/>
                </w:tcPr>
                <w:p w14:paraId="1E477C0C">
                  <w:pPr>
                    <w:pStyle w:val="42"/>
                    <w:keepNext w:val="0"/>
                    <w:keepLines w:val="0"/>
                    <w:widowControl/>
                    <w:suppressLineNumbers w:val="0"/>
                    <w:spacing w:before="0" w:beforeAutospacing="0" w:after="0" w:afterAutospacing="0"/>
                    <w:ind w:left="0" w:right="0"/>
                    <w:rPr>
                      <w:rFonts w:hint="default"/>
                    </w:rPr>
                  </w:pPr>
                  <w:r>
                    <w:t>1.入区项目各污染物排放满足国家、河北省特别排放限值及地方特别要求，其中燃气锅炉需满足河北省地方标准《锅炉大气污染物排放标准》，球团执行《钢铁工业大气污染物超低排放标准》相关要求；</w:t>
                  </w:r>
                </w:p>
                <w:p w14:paraId="376E914E">
                  <w:pPr>
                    <w:pStyle w:val="42"/>
                    <w:keepNext w:val="0"/>
                    <w:keepLines w:val="0"/>
                    <w:widowControl/>
                    <w:suppressLineNumbers w:val="0"/>
                    <w:spacing w:before="0" w:beforeAutospacing="0" w:after="0" w:afterAutospacing="0"/>
                    <w:ind w:left="0" w:right="0"/>
                    <w:rPr>
                      <w:rFonts w:hint="default"/>
                    </w:rPr>
                  </w:pPr>
                  <w:r>
                    <w:t>2.重点行业建设项目应严格落实区域主要污染物削减方案；</w:t>
                  </w:r>
                </w:p>
                <w:p w14:paraId="27C938FA">
                  <w:pPr>
                    <w:pStyle w:val="42"/>
                    <w:keepNext w:val="0"/>
                    <w:keepLines w:val="0"/>
                    <w:widowControl/>
                    <w:suppressLineNumbers w:val="0"/>
                    <w:spacing w:before="0" w:beforeAutospacing="0" w:after="0" w:afterAutospacing="0"/>
                    <w:ind w:left="0" w:right="0"/>
                    <w:rPr>
                      <w:rFonts w:hint="default"/>
                    </w:rPr>
                  </w:pPr>
                  <w:r>
                    <w:t>3.入区项目污染物排放必须满足国家、河北省、承德市等规定的标准要求，排放指标必须满足清洁生产指标要求(如有)；</w:t>
                  </w:r>
                </w:p>
                <w:p w14:paraId="6D9B87EA">
                  <w:pPr>
                    <w:pStyle w:val="42"/>
                    <w:keepNext w:val="0"/>
                    <w:keepLines w:val="0"/>
                    <w:widowControl/>
                    <w:suppressLineNumbers w:val="0"/>
                    <w:spacing w:before="0" w:beforeAutospacing="0" w:after="0" w:afterAutospacing="0"/>
                    <w:ind w:left="0" w:right="0"/>
                    <w:rPr>
                      <w:rFonts w:hint="default"/>
                    </w:rPr>
                  </w:pPr>
                  <w:r>
                    <w:t>4.入区项目需满足建设项目污染物排放总量控制要求；</w:t>
                  </w:r>
                </w:p>
                <w:p w14:paraId="02BA0596">
                  <w:pPr>
                    <w:pStyle w:val="42"/>
                    <w:keepNext w:val="0"/>
                    <w:keepLines w:val="0"/>
                    <w:widowControl/>
                    <w:suppressLineNumbers w:val="0"/>
                    <w:spacing w:before="0" w:beforeAutospacing="0" w:after="0" w:afterAutospacing="0"/>
                    <w:ind w:left="0" w:right="0"/>
                    <w:rPr>
                      <w:rFonts w:hint="default"/>
                    </w:rPr>
                  </w:pPr>
                  <w:r>
                    <w:t>5.固体废物零排放，其中危险废物收集、贮存、运输、处置、利用等须满足《</w:t>
                  </w:r>
                  <w:r>
                    <w:rPr>
                      <w:rFonts w:hint="eastAsia"/>
                      <w:lang w:eastAsia="zh-CN"/>
                    </w:rPr>
                    <w:t>中华人民共和国固体废物污染环境防治法</w:t>
                  </w:r>
                  <w:r>
                    <w:t>》、《危险废物收集贮存运输技术规范》、《危险废物贮存污染控制标准》等国家、地方相关法律法规、技术规范、标准要求。</w:t>
                  </w:r>
                </w:p>
              </w:tc>
              <w:tc>
                <w:tcPr>
                  <w:tcW w:w="1739" w:type="pct"/>
                  <w:vAlign w:val="center"/>
                </w:tcPr>
                <w:p w14:paraId="3574FC6C">
                  <w:pPr>
                    <w:pStyle w:val="42"/>
                    <w:keepNext w:val="0"/>
                    <w:keepLines w:val="0"/>
                    <w:widowControl/>
                    <w:suppressLineNumbers w:val="0"/>
                    <w:spacing w:before="0" w:beforeAutospacing="0" w:after="0" w:afterAutospacing="0"/>
                    <w:ind w:left="0" w:right="0"/>
                    <w:rPr>
                      <w:rFonts w:hint="default"/>
                    </w:rPr>
                  </w:pPr>
                  <w:r>
                    <w:t>1.项目为水泥制品制造项目，主要排放的污染物为颗粒物，在采取环保措施后，颗粒物排放满足《大气污染物综合排放标准》（GB16297-1996）中颗粒物排放</w:t>
                  </w:r>
                  <w:bookmarkStart w:id="7" w:name="_GoBack"/>
                  <w:bookmarkEnd w:id="7"/>
                  <w:r>
                    <w:t>限值。项目无燃气锅炉；</w:t>
                  </w:r>
                </w:p>
                <w:p w14:paraId="6404862A">
                  <w:pPr>
                    <w:pStyle w:val="42"/>
                    <w:keepNext w:val="0"/>
                    <w:keepLines w:val="0"/>
                    <w:widowControl/>
                    <w:suppressLineNumbers w:val="0"/>
                    <w:spacing w:before="0" w:beforeAutospacing="0" w:after="0" w:afterAutospacing="0"/>
                    <w:ind w:left="0" w:right="0"/>
                    <w:rPr>
                      <w:rFonts w:hint="default"/>
                    </w:rPr>
                  </w:pPr>
                  <w:r>
                    <w:t>2.项目不属于重点行业，不涉及相关要求；</w:t>
                  </w:r>
                </w:p>
                <w:p w14:paraId="1C9BDC51">
                  <w:pPr>
                    <w:pStyle w:val="42"/>
                    <w:keepNext w:val="0"/>
                    <w:keepLines w:val="0"/>
                    <w:widowControl/>
                    <w:suppressLineNumbers w:val="0"/>
                    <w:spacing w:before="0" w:beforeAutospacing="0" w:after="0" w:afterAutospacing="0"/>
                    <w:ind w:left="0" w:right="0"/>
                    <w:rPr>
                      <w:rFonts w:hint="default"/>
                    </w:rPr>
                  </w:pPr>
                  <w:r>
                    <w:t>3.项目为水泥制品制造项目，主要排放的污染物为颗粒物，在采取环保措施后，颗粒物排放满足《大气污染物综合排放标准》（GB16297-1996）中颗粒物排放限值。项目所在行业无清洁生产指标要求；</w:t>
                  </w:r>
                </w:p>
                <w:p w14:paraId="225FC7D9">
                  <w:pPr>
                    <w:pStyle w:val="42"/>
                    <w:keepNext w:val="0"/>
                    <w:keepLines w:val="0"/>
                    <w:widowControl/>
                    <w:suppressLineNumbers w:val="0"/>
                    <w:spacing w:before="0" w:beforeAutospacing="0" w:after="0" w:afterAutospacing="0"/>
                    <w:ind w:left="0" w:right="0"/>
                    <w:rPr>
                      <w:rFonts w:hint="default"/>
                    </w:rPr>
                  </w:pPr>
                  <w:r>
                    <w:t>4.项目为水泥制品制造项目，不排放二氧化硫、氮氧化物，项目废水综合利用不外排，不排放化学需氧量和氨氮，满足污染物排放总量控制要求；</w:t>
                  </w:r>
                </w:p>
                <w:p w14:paraId="4F82A10E">
                  <w:pPr>
                    <w:pStyle w:val="42"/>
                    <w:keepNext w:val="0"/>
                    <w:keepLines w:val="0"/>
                    <w:widowControl/>
                    <w:suppressLineNumbers w:val="0"/>
                    <w:spacing w:before="0" w:beforeAutospacing="0" w:after="0" w:afterAutospacing="0"/>
                    <w:ind w:left="0" w:right="0"/>
                    <w:rPr>
                      <w:rFonts w:hint="default"/>
                    </w:rPr>
                  </w:pPr>
                  <w:r>
                    <w:t>5.项目产生的固体废物均能重复利用，不外排。危险废物暂存于危险废物贮存间内，其收集、贮存、运输、处置、利用等满足《</w:t>
                  </w:r>
                  <w:r>
                    <w:rPr>
                      <w:rFonts w:hint="eastAsia"/>
                      <w:lang w:eastAsia="zh-CN"/>
                    </w:rPr>
                    <w:t>中华人民共和国固体废物污染环境防治法</w:t>
                  </w:r>
                  <w:r>
                    <w:t>》、《危险废物收集贮存运输技术规范》、《危险废物贮存污染控制标准》等国家、地方相关法律法规、技术规范、标准要求。</w:t>
                  </w:r>
                </w:p>
              </w:tc>
              <w:tc>
                <w:tcPr>
                  <w:tcW w:w="498" w:type="pct"/>
                  <w:vAlign w:val="center"/>
                </w:tcPr>
                <w:p w14:paraId="61696C07">
                  <w:pPr>
                    <w:pStyle w:val="42"/>
                    <w:keepNext w:val="0"/>
                    <w:keepLines w:val="0"/>
                    <w:widowControl/>
                    <w:suppressLineNumbers w:val="0"/>
                    <w:spacing w:before="0" w:beforeAutospacing="0" w:after="0" w:afterAutospacing="0"/>
                    <w:ind w:left="0" w:right="0"/>
                    <w:rPr>
                      <w:rFonts w:hint="default"/>
                    </w:rPr>
                  </w:pPr>
                  <w:r>
                    <w:t>符合</w:t>
                  </w:r>
                </w:p>
              </w:tc>
            </w:tr>
            <w:tr w14:paraId="60F76A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7" w:type="pct"/>
                  <w:vMerge w:val="continue"/>
                  <w:vAlign w:val="center"/>
                </w:tcPr>
                <w:p w14:paraId="65C4E4A4">
                  <w:pPr>
                    <w:pStyle w:val="42"/>
                    <w:keepNext w:val="0"/>
                    <w:keepLines w:val="0"/>
                    <w:widowControl/>
                    <w:suppressLineNumbers w:val="0"/>
                    <w:spacing w:before="0" w:beforeAutospacing="0" w:after="0" w:afterAutospacing="0"/>
                    <w:ind w:left="0" w:right="0"/>
                    <w:rPr>
                      <w:rFonts w:hint="default"/>
                    </w:rPr>
                  </w:pPr>
                </w:p>
              </w:tc>
              <w:tc>
                <w:tcPr>
                  <w:tcW w:w="383" w:type="pct"/>
                  <w:vAlign w:val="center"/>
                </w:tcPr>
                <w:p w14:paraId="4D8448AF">
                  <w:pPr>
                    <w:pStyle w:val="42"/>
                    <w:keepNext w:val="0"/>
                    <w:keepLines w:val="0"/>
                    <w:widowControl/>
                    <w:suppressLineNumbers w:val="0"/>
                    <w:spacing w:before="0" w:beforeAutospacing="0" w:after="0" w:afterAutospacing="0"/>
                    <w:ind w:left="0" w:right="0"/>
                    <w:rPr>
                      <w:rFonts w:hint="default"/>
                    </w:rPr>
                  </w:pPr>
                  <w:r>
                    <w:t>环境风险防控</w:t>
                  </w:r>
                </w:p>
              </w:tc>
              <w:tc>
                <w:tcPr>
                  <w:tcW w:w="2120" w:type="pct"/>
                  <w:vAlign w:val="center"/>
                </w:tcPr>
                <w:p w14:paraId="66E54AFF">
                  <w:pPr>
                    <w:pStyle w:val="42"/>
                    <w:keepNext w:val="0"/>
                    <w:keepLines w:val="0"/>
                    <w:widowControl/>
                    <w:suppressLineNumbers w:val="0"/>
                    <w:spacing w:before="0" w:beforeAutospacing="0" w:after="0" w:afterAutospacing="0"/>
                    <w:ind w:left="0" w:right="0"/>
                    <w:rPr>
                      <w:rFonts w:hint="default"/>
                    </w:rPr>
                  </w:pPr>
                  <w:r>
                    <w:t>1.重点监管企业和工业园区周边土壤环境，定期开展监督性监测，重点监测重金属和持久性有机污染物；</w:t>
                  </w:r>
                </w:p>
                <w:p w14:paraId="057B0849">
                  <w:pPr>
                    <w:pStyle w:val="42"/>
                    <w:keepNext w:val="0"/>
                    <w:keepLines w:val="0"/>
                    <w:widowControl/>
                    <w:suppressLineNumbers w:val="0"/>
                    <w:spacing w:before="0" w:beforeAutospacing="0" w:after="0" w:afterAutospacing="0"/>
                    <w:ind w:left="0" w:right="0"/>
                    <w:rPr>
                      <w:rFonts w:hint="default"/>
                    </w:rPr>
                  </w:pPr>
                  <w:r>
                    <w:t>2.加强园区与周边敏感区生态防护设施建设；</w:t>
                  </w:r>
                </w:p>
                <w:p w14:paraId="5BF97E5B">
                  <w:pPr>
                    <w:pStyle w:val="42"/>
                    <w:keepNext w:val="0"/>
                    <w:keepLines w:val="0"/>
                    <w:widowControl/>
                    <w:suppressLineNumbers w:val="0"/>
                    <w:spacing w:before="0" w:beforeAutospacing="0" w:after="0" w:afterAutospacing="0"/>
                    <w:ind w:left="0" w:right="0"/>
                    <w:rPr>
                      <w:rFonts w:hint="default"/>
                    </w:rPr>
                  </w:pPr>
                  <w:r>
                    <w:t>3.制定园区化学品信息管理系统，加强危废处置及管控；</w:t>
                  </w:r>
                </w:p>
                <w:p w14:paraId="0D715ED9">
                  <w:pPr>
                    <w:pStyle w:val="42"/>
                    <w:keepNext w:val="0"/>
                    <w:keepLines w:val="0"/>
                    <w:widowControl/>
                    <w:suppressLineNumbers w:val="0"/>
                    <w:spacing w:before="0" w:beforeAutospacing="0" w:after="0" w:afterAutospacing="0"/>
                    <w:ind w:left="0" w:right="0"/>
                    <w:rPr>
                      <w:rFonts w:hint="default"/>
                    </w:rPr>
                  </w:pPr>
                  <w:r>
                    <w:t>4.对于易导致环境风险的有毒有害和易燃易爆物质的生产、使用、排放、贮运等新建、改扩建项目，风险防控措施应满足本评价提出的环境风险管理要求。</w:t>
                  </w:r>
                </w:p>
              </w:tc>
              <w:tc>
                <w:tcPr>
                  <w:tcW w:w="1739" w:type="pct"/>
                  <w:vAlign w:val="center"/>
                </w:tcPr>
                <w:p w14:paraId="515072FD">
                  <w:pPr>
                    <w:pStyle w:val="42"/>
                    <w:keepNext w:val="0"/>
                    <w:keepLines w:val="0"/>
                    <w:widowControl/>
                    <w:suppressLineNumbers w:val="0"/>
                    <w:spacing w:before="0" w:beforeAutospacing="0" w:after="0" w:afterAutospacing="0"/>
                    <w:ind w:left="0" w:right="0"/>
                    <w:rPr>
                      <w:rFonts w:hint="default"/>
                    </w:rPr>
                  </w:pPr>
                  <w:r>
                    <w:t>1.项目不属于重点监管企业，不涉及相关要求；</w:t>
                  </w:r>
                </w:p>
                <w:p w14:paraId="16582AAE">
                  <w:pPr>
                    <w:pStyle w:val="42"/>
                    <w:keepNext w:val="0"/>
                    <w:keepLines w:val="0"/>
                    <w:widowControl/>
                    <w:suppressLineNumbers w:val="0"/>
                    <w:spacing w:before="0" w:beforeAutospacing="0" w:after="0" w:afterAutospacing="0"/>
                    <w:ind w:left="0" w:right="0"/>
                    <w:rPr>
                      <w:rFonts w:hint="default"/>
                    </w:rPr>
                  </w:pPr>
                  <w:r>
                    <w:t>2.不涉及；</w:t>
                  </w:r>
                </w:p>
                <w:p w14:paraId="4F6A15B9">
                  <w:pPr>
                    <w:pStyle w:val="42"/>
                    <w:keepNext w:val="0"/>
                    <w:keepLines w:val="0"/>
                    <w:widowControl/>
                    <w:suppressLineNumbers w:val="0"/>
                    <w:spacing w:before="0" w:beforeAutospacing="0" w:after="0" w:afterAutospacing="0"/>
                    <w:ind w:left="0" w:right="0"/>
                    <w:rPr>
                      <w:rFonts w:hint="default"/>
                    </w:rPr>
                  </w:pPr>
                  <w:r>
                    <w:t>3.不涉及；</w:t>
                  </w:r>
                </w:p>
                <w:p w14:paraId="33D0431C">
                  <w:pPr>
                    <w:pStyle w:val="42"/>
                    <w:keepNext w:val="0"/>
                    <w:keepLines w:val="0"/>
                    <w:widowControl/>
                    <w:suppressLineNumbers w:val="0"/>
                    <w:spacing w:before="0" w:beforeAutospacing="0" w:after="0" w:afterAutospacing="0"/>
                    <w:ind w:left="0" w:right="0"/>
                    <w:rPr>
                      <w:rFonts w:hint="default"/>
                    </w:rPr>
                  </w:pPr>
                  <w:r>
                    <w:t>4.项目易导致环境风险的物质主要是废润滑油等危险废物，项目新建危险废物贮存间，危废废物于危险废物贮存间暂存，定期交由有资质的单位处置，项目风险防控措施满足《河北宽城经济开发区总体规划（2022-2035年）环境影响报告书》提出的环境风险管理要求。</w:t>
                  </w:r>
                </w:p>
              </w:tc>
              <w:tc>
                <w:tcPr>
                  <w:tcW w:w="498" w:type="pct"/>
                  <w:vAlign w:val="center"/>
                </w:tcPr>
                <w:p w14:paraId="57AB4809">
                  <w:pPr>
                    <w:pStyle w:val="42"/>
                    <w:keepNext w:val="0"/>
                    <w:keepLines w:val="0"/>
                    <w:widowControl/>
                    <w:suppressLineNumbers w:val="0"/>
                    <w:spacing w:before="0" w:beforeAutospacing="0" w:after="0" w:afterAutospacing="0"/>
                    <w:ind w:left="0" w:right="0"/>
                    <w:rPr>
                      <w:rFonts w:hint="default"/>
                    </w:rPr>
                  </w:pPr>
                  <w:r>
                    <w:t>符合</w:t>
                  </w:r>
                </w:p>
              </w:tc>
            </w:tr>
            <w:tr w14:paraId="30B75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54" w:hRule="atLeast"/>
                <w:jc w:val="center"/>
              </w:trPr>
              <w:tc>
                <w:tcPr>
                  <w:tcW w:w="257" w:type="pct"/>
                  <w:vMerge w:val="continue"/>
                  <w:vAlign w:val="center"/>
                </w:tcPr>
                <w:p w14:paraId="0EB69898">
                  <w:pPr>
                    <w:pStyle w:val="42"/>
                    <w:keepNext w:val="0"/>
                    <w:keepLines w:val="0"/>
                    <w:widowControl/>
                    <w:suppressLineNumbers w:val="0"/>
                    <w:spacing w:before="0" w:beforeAutospacing="0" w:after="0" w:afterAutospacing="0"/>
                    <w:ind w:left="0" w:right="0"/>
                    <w:rPr>
                      <w:rFonts w:hint="default"/>
                    </w:rPr>
                  </w:pPr>
                </w:p>
              </w:tc>
              <w:tc>
                <w:tcPr>
                  <w:tcW w:w="383" w:type="pct"/>
                  <w:vAlign w:val="center"/>
                </w:tcPr>
                <w:p w14:paraId="0E08B9AB">
                  <w:pPr>
                    <w:pStyle w:val="42"/>
                    <w:keepNext w:val="0"/>
                    <w:keepLines w:val="0"/>
                    <w:widowControl/>
                    <w:suppressLineNumbers w:val="0"/>
                    <w:spacing w:before="0" w:beforeAutospacing="0" w:after="0" w:afterAutospacing="0"/>
                    <w:ind w:left="0" w:right="0"/>
                    <w:rPr>
                      <w:rFonts w:hint="default"/>
                    </w:rPr>
                  </w:pPr>
                  <w:r>
                    <w:t>资源开发利用要求</w:t>
                  </w:r>
                </w:p>
              </w:tc>
              <w:tc>
                <w:tcPr>
                  <w:tcW w:w="2120" w:type="pct"/>
                  <w:vAlign w:val="center"/>
                </w:tcPr>
                <w:p w14:paraId="7FC77C4E">
                  <w:pPr>
                    <w:pStyle w:val="42"/>
                    <w:keepNext w:val="0"/>
                    <w:keepLines w:val="0"/>
                    <w:widowControl/>
                    <w:suppressLineNumbers w:val="0"/>
                    <w:spacing w:before="0" w:beforeAutospacing="0" w:after="0" w:afterAutospacing="0"/>
                    <w:ind w:left="0" w:right="0"/>
                    <w:rPr>
                      <w:rFonts w:hint="default"/>
                    </w:rPr>
                  </w:pPr>
                  <w:r>
                    <w:t>1.禁止新建、扩建采用非清洁燃料的项目和设施。</w:t>
                  </w:r>
                </w:p>
                <w:p w14:paraId="22F8BC77">
                  <w:pPr>
                    <w:pStyle w:val="42"/>
                    <w:keepNext w:val="0"/>
                    <w:keepLines w:val="0"/>
                    <w:widowControl/>
                    <w:suppressLineNumbers w:val="0"/>
                    <w:spacing w:before="0" w:beforeAutospacing="0" w:after="0" w:afterAutospacing="0"/>
                    <w:ind w:left="0" w:right="0"/>
                    <w:rPr>
                      <w:rFonts w:hint="default"/>
                    </w:rPr>
                  </w:pPr>
                  <w:r>
                    <w:t>2.满足区域“三线一单”设定的土地资源、水资源、能源利用上限。</w:t>
                  </w:r>
                </w:p>
                <w:p w14:paraId="3B62EC16">
                  <w:pPr>
                    <w:pStyle w:val="42"/>
                    <w:keepNext w:val="0"/>
                    <w:keepLines w:val="0"/>
                    <w:widowControl/>
                    <w:suppressLineNumbers w:val="0"/>
                    <w:spacing w:before="0" w:beforeAutospacing="0" w:after="0" w:afterAutospacing="0"/>
                    <w:ind w:left="0" w:right="0"/>
                    <w:rPr>
                      <w:rFonts w:hint="default"/>
                    </w:rPr>
                  </w:pPr>
                  <w:r>
                    <w:t>3.严格控制煤炭消费总量。对球团、清洁煤制气中心等新增耗煤项目实施等(减)量替代。</w:t>
                  </w:r>
                </w:p>
              </w:tc>
              <w:tc>
                <w:tcPr>
                  <w:tcW w:w="1739" w:type="pct"/>
                  <w:vAlign w:val="center"/>
                </w:tcPr>
                <w:p w14:paraId="5D07CD13">
                  <w:pPr>
                    <w:pStyle w:val="42"/>
                    <w:keepNext w:val="0"/>
                    <w:keepLines w:val="0"/>
                    <w:widowControl/>
                    <w:suppressLineNumbers w:val="0"/>
                    <w:spacing w:before="0" w:beforeAutospacing="0" w:after="0" w:afterAutospacing="0"/>
                    <w:ind w:left="0" w:right="0"/>
                    <w:rPr>
                      <w:rFonts w:hint="default"/>
                    </w:rPr>
                  </w:pPr>
                  <w:r>
                    <w:t>1.项目为水泥构件制造项目，不使用燃料；</w:t>
                  </w:r>
                </w:p>
                <w:p w14:paraId="0F533DE1">
                  <w:pPr>
                    <w:pStyle w:val="42"/>
                    <w:keepNext w:val="0"/>
                    <w:keepLines w:val="0"/>
                    <w:widowControl/>
                    <w:suppressLineNumbers w:val="0"/>
                    <w:spacing w:before="0" w:beforeAutospacing="0" w:after="0" w:afterAutospacing="0"/>
                    <w:ind w:left="0" w:right="0"/>
                    <w:rPr>
                      <w:rFonts w:hint="default"/>
                    </w:rPr>
                  </w:pPr>
                  <w:r>
                    <w:t>2.项目满足区域“三线一单”设定的土地资源、水资源、能源利用上限，具体分析见“三线一单”符合性分析内容；</w:t>
                  </w:r>
                </w:p>
                <w:p w14:paraId="07798A67">
                  <w:pPr>
                    <w:pStyle w:val="42"/>
                    <w:keepNext w:val="0"/>
                    <w:keepLines w:val="0"/>
                    <w:widowControl/>
                    <w:suppressLineNumbers w:val="0"/>
                    <w:spacing w:before="0" w:beforeAutospacing="0" w:after="0" w:afterAutospacing="0"/>
                    <w:ind w:left="0" w:right="0"/>
                    <w:rPr>
                      <w:rFonts w:hint="default"/>
                    </w:rPr>
                  </w:pPr>
                  <w:r>
                    <w:t>3.项目为水泥构件制造项目，不使用煤炭。</w:t>
                  </w:r>
                </w:p>
              </w:tc>
              <w:tc>
                <w:tcPr>
                  <w:tcW w:w="498" w:type="pct"/>
                  <w:vAlign w:val="center"/>
                </w:tcPr>
                <w:p w14:paraId="5CBF4498">
                  <w:pPr>
                    <w:pStyle w:val="42"/>
                    <w:keepNext w:val="0"/>
                    <w:keepLines w:val="0"/>
                    <w:widowControl/>
                    <w:suppressLineNumbers w:val="0"/>
                    <w:spacing w:before="0" w:beforeAutospacing="0" w:after="0" w:afterAutospacing="0"/>
                    <w:ind w:left="0" w:right="0"/>
                    <w:rPr>
                      <w:rFonts w:hint="default"/>
                    </w:rPr>
                  </w:pPr>
                  <w:r>
                    <w:t>符合</w:t>
                  </w:r>
                </w:p>
              </w:tc>
            </w:tr>
          </w:tbl>
          <w:p w14:paraId="04A00E1E">
            <w:pPr>
              <w:keepNext w:val="0"/>
              <w:keepLines w:val="0"/>
              <w:suppressLineNumbers w:val="0"/>
              <w:autoSpaceDE w:val="0"/>
              <w:autoSpaceDN w:val="0"/>
              <w:spacing w:before="0" w:beforeAutospacing="0" w:after="0" w:afterAutospacing="0"/>
              <w:ind w:left="0" w:right="0" w:firstLine="0" w:firstLineChars="0"/>
              <w:jc w:val="both"/>
              <w:rPr>
                <w:rFonts w:hint="default" w:cs="宋体"/>
                <w:color w:val="000000"/>
                <w:kern w:val="0"/>
                <w:sz w:val="21"/>
                <w:szCs w:val="21"/>
                <w:lang w:bidi="ar"/>
              </w:rPr>
            </w:pPr>
            <w:r>
              <w:rPr>
                <w:rFonts w:hint="eastAsia" w:cs="宋体"/>
                <w:color w:val="000000"/>
                <w:kern w:val="0"/>
                <w:sz w:val="21"/>
                <w:szCs w:val="21"/>
                <w:lang w:bidi="ar"/>
              </w:rPr>
              <w:t>注：“三线一单”及产业政策发生变化时，满足最新的要求。</w:t>
            </w:r>
          </w:p>
          <w:p w14:paraId="0B4A3B44">
            <w:pPr>
              <w:pStyle w:val="21"/>
              <w:keepNext w:val="0"/>
              <w:keepLines w:val="0"/>
              <w:suppressLineNumbers w:val="0"/>
              <w:spacing w:before="0" w:beforeAutospacing="0" w:after="0" w:afterAutospacing="0"/>
              <w:ind w:left="0" w:right="0" w:firstLine="480"/>
              <w:rPr>
                <w:rFonts w:hint="default"/>
              </w:rPr>
            </w:pPr>
            <w:r>
              <w:rPr>
                <w:rFonts w:hint="eastAsia"/>
              </w:rPr>
              <w:t>根据上表可知，项目符合规划环评“生态环境准入清单”相关要求，且项目符合河北宽城经济开发区龙须门片区的产业布局，故本项目符合《河北宽城经济开发区总体规划(2022-2035年)环境影响报告书》。</w:t>
            </w:r>
          </w:p>
          <w:p w14:paraId="39D0532E">
            <w:pPr>
              <w:keepNext w:val="0"/>
              <w:keepLines w:val="0"/>
              <w:suppressLineNumbers w:val="0"/>
              <w:autoSpaceDE w:val="0"/>
              <w:autoSpaceDN w:val="0"/>
              <w:spacing w:before="0" w:beforeAutospacing="0" w:after="0" w:afterAutospacing="0"/>
              <w:ind w:left="0" w:right="0" w:firstLine="0" w:firstLineChars="0"/>
              <w:jc w:val="both"/>
              <w:rPr>
                <w:rFonts w:hint="eastAsia" w:ascii="宋体" w:hAnsi="宋体" w:cs="宋体"/>
                <w:b/>
                <w:bCs/>
                <w:color w:val="FF0000"/>
                <w:kern w:val="21"/>
              </w:rPr>
            </w:pPr>
            <w:r>
              <w:rPr>
                <w:rFonts w:hint="eastAsia" w:cs="宋体"/>
                <w:b/>
                <w:bCs/>
                <w:color w:val="000000"/>
                <w:kern w:val="0"/>
                <w:lang w:bidi="ar"/>
              </w:rPr>
              <w:t>规划环评审查意见符合性：</w:t>
            </w:r>
          </w:p>
          <w:p w14:paraId="0813DD63">
            <w:pPr>
              <w:pStyle w:val="21"/>
              <w:keepNext w:val="0"/>
              <w:keepLines w:val="0"/>
              <w:suppressLineNumbers w:val="0"/>
              <w:spacing w:before="0" w:beforeAutospacing="0" w:after="0" w:afterAutospacing="0"/>
              <w:ind w:left="0" w:right="0" w:firstLine="480"/>
              <w:rPr>
                <w:rFonts w:hint="default"/>
              </w:rPr>
            </w:pPr>
            <w:r>
              <w:rPr>
                <w:rFonts w:hint="eastAsia"/>
              </w:rPr>
              <w:t>《河北宽城经济开发区总体规划(2022-2035年)环境影响报告书》于2022年9月16日通过河北省生态环境厅审查，本项目与规划环评审查意见符合性对照分析见下表。</w:t>
            </w:r>
          </w:p>
          <w:p w14:paraId="7D20D1FD">
            <w:pPr>
              <w:keepNext w:val="0"/>
              <w:keepLines w:val="0"/>
              <w:numPr>
                <w:ilvl w:val="0"/>
                <w:numId w:val="4"/>
              </w:numPr>
              <w:suppressLineNumbers w:val="0"/>
              <w:adjustRightInd/>
              <w:spacing w:before="0" w:beforeAutospacing="0" w:after="0" w:afterAutospacing="0"/>
              <w:ind w:left="0" w:right="0" w:firstLine="0" w:firstLineChars="0"/>
              <w:jc w:val="center"/>
              <w:rPr>
                <w:rFonts w:hint="default"/>
                <w:b/>
                <w:bCs/>
                <w:sz w:val="21"/>
                <w:szCs w:val="21"/>
              </w:rPr>
            </w:pPr>
            <w:r>
              <w:rPr>
                <w:rFonts w:hint="default"/>
                <w:b/>
                <w:bCs/>
                <w:sz w:val="21"/>
                <w:szCs w:val="21"/>
              </w:rPr>
              <w:t>拟建项目与园区规划环评审查意见符合性分析</w:t>
            </w:r>
          </w:p>
          <w:tbl>
            <w:tblPr>
              <w:tblStyle w:val="22"/>
              <w:tblW w:w="4992"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28" w:type="dxa"/>
                <w:bottom w:w="0" w:type="dxa"/>
                <w:right w:w="28" w:type="dxa"/>
              </w:tblCellMar>
            </w:tblPr>
            <w:tblGrid>
              <w:gridCol w:w="578"/>
              <w:gridCol w:w="3242"/>
              <w:gridCol w:w="1829"/>
              <w:gridCol w:w="728"/>
            </w:tblGrid>
            <w:tr w14:paraId="44FB7B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567" w:hRule="atLeast"/>
                <w:tblHeader/>
              </w:trPr>
              <w:tc>
                <w:tcPr>
                  <w:tcW w:w="453" w:type="pct"/>
                  <w:vAlign w:val="center"/>
                </w:tcPr>
                <w:p w14:paraId="6F24CB7F">
                  <w:pPr>
                    <w:pStyle w:val="42"/>
                    <w:keepNext w:val="0"/>
                    <w:keepLines w:val="0"/>
                    <w:widowControl/>
                    <w:suppressLineNumbers w:val="0"/>
                    <w:spacing w:before="0" w:beforeAutospacing="0" w:after="0" w:afterAutospacing="0"/>
                    <w:ind w:left="0" w:right="0"/>
                    <w:rPr>
                      <w:rFonts w:hint="default"/>
                      <w:b/>
                      <w:bCs/>
                    </w:rPr>
                  </w:pPr>
                  <w:r>
                    <w:rPr>
                      <w:b/>
                      <w:bCs/>
                    </w:rPr>
                    <w:t>序号</w:t>
                  </w:r>
                </w:p>
              </w:tc>
              <w:tc>
                <w:tcPr>
                  <w:tcW w:w="2540" w:type="pct"/>
                  <w:vAlign w:val="center"/>
                </w:tcPr>
                <w:p w14:paraId="719FB940">
                  <w:pPr>
                    <w:pStyle w:val="42"/>
                    <w:keepNext w:val="0"/>
                    <w:keepLines w:val="0"/>
                    <w:widowControl/>
                    <w:suppressLineNumbers w:val="0"/>
                    <w:spacing w:before="0" w:beforeAutospacing="0" w:after="0" w:afterAutospacing="0"/>
                    <w:ind w:left="0" w:right="0"/>
                    <w:rPr>
                      <w:rFonts w:hint="default"/>
                      <w:b/>
                      <w:bCs/>
                    </w:rPr>
                  </w:pPr>
                  <w:r>
                    <w:rPr>
                      <w:b/>
                      <w:bCs/>
                    </w:rPr>
                    <w:t>审查意见要求内容</w:t>
                  </w:r>
                </w:p>
              </w:tc>
              <w:tc>
                <w:tcPr>
                  <w:tcW w:w="1433" w:type="pct"/>
                  <w:vAlign w:val="center"/>
                </w:tcPr>
                <w:p w14:paraId="1792BEAB">
                  <w:pPr>
                    <w:pStyle w:val="42"/>
                    <w:keepNext w:val="0"/>
                    <w:keepLines w:val="0"/>
                    <w:widowControl/>
                    <w:suppressLineNumbers w:val="0"/>
                    <w:spacing w:before="0" w:beforeAutospacing="0" w:after="0" w:afterAutospacing="0"/>
                    <w:ind w:left="0" w:right="0"/>
                    <w:rPr>
                      <w:rFonts w:hint="default"/>
                      <w:b/>
                      <w:bCs/>
                    </w:rPr>
                  </w:pPr>
                  <w:r>
                    <w:rPr>
                      <w:b/>
                      <w:bCs/>
                    </w:rPr>
                    <w:t>本项目相关内容</w:t>
                  </w:r>
                </w:p>
              </w:tc>
              <w:tc>
                <w:tcPr>
                  <w:tcW w:w="571" w:type="pct"/>
                  <w:vAlign w:val="center"/>
                </w:tcPr>
                <w:p w14:paraId="73A967AE">
                  <w:pPr>
                    <w:pStyle w:val="42"/>
                    <w:keepNext w:val="0"/>
                    <w:keepLines w:val="0"/>
                    <w:widowControl/>
                    <w:suppressLineNumbers w:val="0"/>
                    <w:spacing w:before="0" w:beforeAutospacing="0" w:after="0" w:afterAutospacing="0"/>
                    <w:ind w:left="0" w:right="0"/>
                    <w:rPr>
                      <w:rFonts w:hint="default"/>
                      <w:b/>
                      <w:bCs/>
                    </w:rPr>
                  </w:pPr>
                  <w:r>
                    <w:rPr>
                      <w:b/>
                      <w:bCs/>
                    </w:rPr>
                    <w:t>对比结果</w:t>
                  </w:r>
                </w:p>
              </w:tc>
            </w:tr>
            <w:tr w14:paraId="55B1B7B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53" w:type="pct"/>
                  <w:vAlign w:val="center"/>
                </w:tcPr>
                <w:p w14:paraId="7ECE9E98">
                  <w:pPr>
                    <w:pStyle w:val="42"/>
                    <w:keepNext w:val="0"/>
                    <w:keepLines w:val="0"/>
                    <w:widowControl/>
                    <w:suppressLineNumbers w:val="0"/>
                    <w:spacing w:before="0" w:beforeAutospacing="0" w:after="0" w:afterAutospacing="0"/>
                    <w:ind w:left="0" w:right="0"/>
                    <w:rPr>
                      <w:rFonts w:hint="default"/>
                    </w:rPr>
                  </w:pPr>
                  <w:r>
                    <w:t>1</w:t>
                  </w:r>
                </w:p>
              </w:tc>
              <w:tc>
                <w:tcPr>
                  <w:tcW w:w="2540" w:type="pct"/>
                  <w:vAlign w:val="center"/>
                </w:tcPr>
                <w:p w14:paraId="57A72973">
                  <w:pPr>
                    <w:pStyle w:val="42"/>
                    <w:keepNext w:val="0"/>
                    <w:keepLines w:val="0"/>
                    <w:widowControl/>
                    <w:suppressLineNumbers w:val="0"/>
                    <w:spacing w:before="0" w:beforeAutospacing="0" w:after="0" w:afterAutospacing="0"/>
                    <w:ind w:left="0" w:right="0"/>
                    <w:rPr>
                      <w:rFonts w:hint="default"/>
                    </w:rPr>
                  </w:pPr>
                  <w:r>
                    <w:t>落实国家、区域发展战略，坚持生态优先、提质增效，以生态环境质量改善为核心，做好与各级国土空间规划和“三线一单”生态环境分区管控体系的协调衔接，进一步优化《规划》布局、产业定位和发展规模。</w:t>
                  </w:r>
                </w:p>
              </w:tc>
              <w:tc>
                <w:tcPr>
                  <w:tcW w:w="1433" w:type="pct"/>
                  <w:vAlign w:val="center"/>
                </w:tcPr>
                <w:p w14:paraId="42EE00E9">
                  <w:pPr>
                    <w:pStyle w:val="42"/>
                    <w:keepNext w:val="0"/>
                    <w:keepLines w:val="0"/>
                    <w:widowControl/>
                    <w:suppressLineNumbers w:val="0"/>
                    <w:spacing w:before="0" w:beforeAutospacing="0" w:after="0" w:afterAutospacing="0"/>
                    <w:ind w:left="0" w:right="0"/>
                    <w:rPr>
                      <w:rFonts w:hint="default"/>
                    </w:rPr>
                  </w:pPr>
                  <w:r>
                    <w:t>不涉及</w:t>
                  </w:r>
                </w:p>
              </w:tc>
              <w:tc>
                <w:tcPr>
                  <w:tcW w:w="571" w:type="pct"/>
                  <w:vAlign w:val="center"/>
                </w:tcPr>
                <w:p w14:paraId="3FA5C635">
                  <w:pPr>
                    <w:pStyle w:val="42"/>
                    <w:keepNext w:val="0"/>
                    <w:keepLines w:val="0"/>
                    <w:widowControl/>
                    <w:suppressLineNumbers w:val="0"/>
                    <w:spacing w:before="0" w:beforeAutospacing="0" w:after="0" w:afterAutospacing="0"/>
                    <w:ind w:left="0" w:right="0"/>
                    <w:rPr>
                      <w:rFonts w:hint="default"/>
                    </w:rPr>
                  </w:pPr>
                  <w:r>
                    <w:t>符合</w:t>
                  </w:r>
                </w:p>
              </w:tc>
            </w:tr>
            <w:tr w14:paraId="05F13BE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53" w:type="pct"/>
                  <w:vAlign w:val="center"/>
                </w:tcPr>
                <w:p w14:paraId="1DE2E1B9">
                  <w:pPr>
                    <w:pStyle w:val="42"/>
                    <w:keepNext w:val="0"/>
                    <w:keepLines w:val="0"/>
                    <w:widowControl/>
                    <w:suppressLineNumbers w:val="0"/>
                    <w:spacing w:before="0" w:beforeAutospacing="0" w:after="0" w:afterAutospacing="0"/>
                    <w:ind w:left="0" w:right="0"/>
                    <w:rPr>
                      <w:rFonts w:hint="default"/>
                    </w:rPr>
                  </w:pPr>
                  <w:r>
                    <w:t>2</w:t>
                  </w:r>
                </w:p>
              </w:tc>
              <w:tc>
                <w:tcPr>
                  <w:tcW w:w="2540" w:type="pct"/>
                  <w:vAlign w:val="center"/>
                </w:tcPr>
                <w:p w14:paraId="23FA26B0">
                  <w:pPr>
                    <w:pStyle w:val="42"/>
                    <w:keepNext w:val="0"/>
                    <w:keepLines w:val="0"/>
                    <w:widowControl/>
                    <w:suppressLineNumbers w:val="0"/>
                    <w:spacing w:before="0" w:beforeAutospacing="0" w:after="0" w:afterAutospacing="0"/>
                    <w:ind w:left="0" w:right="0"/>
                    <w:rPr>
                      <w:rFonts w:hint="default"/>
                    </w:rPr>
                  </w:pPr>
                  <w:r>
                    <w:t>推进绿色低碳发展，实现减污降碳协同增效目标。根据国家、地方碳减排和碳达峰行动方案及路径要求，进一步优化开发区产业结构、能源结构、交通运输方式等《规划》内容。</w:t>
                  </w:r>
                </w:p>
              </w:tc>
              <w:tc>
                <w:tcPr>
                  <w:tcW w:w="1433" w:type="pct"/>
                  <w:vAlign w:val="center"/>
                </w:tcPr>
                <w:p w14:paraId="4EAAF56B">
                  <w:pPr>
                    <w:pStyle w:val="42"/>
                    <w:keepNext w:val="0"/>
                    <w:keepLines w:val="0"/>
                    <w:widowControl/>
                    <w:suppressLineNumbers w:val="0"/>
                    <w:spacing w:before="0" w:beforeAutospacing="0" w:after="0" w:afterAutospacing="0"/>
                    <w:ind w:left="0" w:right="0"/>
                    <w:rPr>
                      <w:rFonts w:hint="default"/>
                    </w:rPr>
                  </w:pPr>
                  <w:r>
                    <w:rPr>
                      <w:rFonts w:hint="default"/>
                    </w:rPr>
                    <w:t>不涉及</w:t>
                  </w:r>
                </w:p>
              </w:tc>
              <w:tc>
                <w:tcPr>
                  <w:tcW w:w="571" w:type="pct"/>
                  <w:vAlign w:val="center"/>
                </w:tcPr>
                <w:p w14:paraId="0F95EEA7">
                  <w:pPr>
                    <w:pStyle w:val="42"/>
                    <w:keepNext w:val="0"/>
                    <w:keepLines w:val="0"/>
                    <w:widowControl/>
                    <w:suppressLineNumbers w:val="0"/>
                    <w:spacing w:before="0" w:beforeAutospacing="0" w:after="0" w:afterAutospacing="0"/>
                    <w:ind w:left="0" w:right="0"/>
                    <w:rPr>
                      <w:rFonts w:hint="default"/>
                    </w:rPr>
                  </w:pPr>
                  <w:r>
                    <w:t>符合</w:t>
                  </w:r>
                </w:p>
              </w:tc>
            </w:tr>
            <w:tr w14:paraId="01DDBB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53" w:type="pct"/>
                  <w:vAlign w:val="center"/>
                </w:tcPr>
                <w:p w14:paraId="129418D0">
                  <w:pPr>
                    <w:pStyle w:val="42"/>
                    <w:keepNext w:val="0"/>
                    <w:keepLines w:val="0"/>
                    <w:widowControl/>
                    <w:suppressLineNumbers w:val="0"/>
                    <w:spacing w:before="0" w:beforeAutospacing="0" w:after="0" w:afterAutospacing="0"/>
                    <w:ind w:left="0" w:right="0"/>
                    <w:rPr>
                      <w:rFonts w:hint="default"/>
                    </w:rPr>
                  </w:pPr>
                  <w:r>
                    <w:t>3</w:t>
                  </w:r>
                </w:p>
              </w:tc>
              <w:tc>
                <w:tcPr>
                  <w:tcW w:w="2540" w:type="pct"/>
                  <w:vAlign w:val="center"/>
                </w:tcPr>
                <w:p w14:paraId="56889BC2">
                  <w:pPr>
                    <w:pStyle w:val="42"/>
                    <w:keepNext w:val="0"/>
                    <w:keepLines w:val="0"/>
                    <w:widowControl/>
                    <w:suppressLineNumbers w:val="0"/>
                    <w:spacing w:before="0" w:beforeAutospacing="0" w:after="0" w:afterAutospacing="0"/>
                    <w:ind w:left="0" w:right="0"/>
                    <w:rPr>
                      <w:rFonts w:hint="default"/>
                    </w:rPr>
                  </w:pPr>
                  <w:r>
                    <w:rPr>
                      <w:rFonts w:hint="default"/>
                    </w:rPr>
                    <w:t>严格环境准入条件，推动产业结构调整和转型升级。落实《报告书》提出的开发区生态环境准入要求和与规划不符的现有企业环境管理要求，强化现有及入区企业污染物排放控制要求，禁止基础化学原料制造相关的项目入区。开发区现有企业断提高清洁生产水平，促进开发区产业转型升级与生态环境保护、人居环境安全相协调。</w:t>
                  </w:r>
                </w:p>
              </w:tc>
              <w:tc>
                <w:tcPr>
                  <w:tcW w:w="1433" w:type="pct"/>
                  <w:vAlign w:val="center"/>
                </w:tcPr>
                <w:p w14:paraId="51CC4428">
                  <w:pPr>
                    <w:pStyle w:val="42"/>
                    <w:keepNext w:val="0"/>
                    <w:keepLines w:val="0"/>
                    <w:widowControl/>
                    <w:suppressLineNumbers w:val="0"/>
                    <w:spacing w:before="0" w:beforeAutospacing="0" w:after="0" w:afterAutospacing="0"/>
                    <w:ind w:left="0" w:right="0"/>
                    <w:rPr>
                      <w:rFonts w:hint="default"/>
                    </w:rPr>
                  </w:pPr>
                  <w:r>
                    <w:t>项目符合《河北宽城经济开发区总体规划（2022-2035年）环境影响报告书》提出的河北宽城经济开发区总体生态环境准入清单，具体分析见表1-1。项目为水泥制品制造项目，不属于基础化学原料制造项目。</w:t>
                  </w:r>
                </w:p>
              </w:tc>
              <w:tc>
                <w:tcPr>
                  <w:tcW w:w="571" w:type="pct"/>
                  <w:vAlign w:val="center"/>
                </w:tcPr>
                <w:p w14:paraId="245F94D7">
                  <w:pPr>
                    <w:pStyle w:val="42"/>
                    <w:keepNext w:val="0"/>
                    <w:keepLines w:val="0"/>
                    <w:widowControl/>
                    <w:suppressLineNumbers w:val="0"/>
                    <w:spacing w:before="0" w:beforeAutospacing="0" w:after="0" w:afterAutospacing="0"/>
                    <w:ind w:left="0" w:right="0"/>
                    <w:rPr>
                      <w:rFonts w:hint="default"/>
                    </w:rPr>
                  </w:pPr>
                  <w:r>
                    <w:t>符合</w:t>
                  </w:r>
                </w:p>
              </w:tc>
            </w:tr>
            <w:tr w14:paraId="0F29BB6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53" w:type="pct"/>
                  <w:vAlign w:val="center"/>
                </w:tcPr>
                <w:p w14:paraId="3271A41C">
                  <w:pPr>
                    <w:pStyle w:val="42"/>
                    <w:keepNext w:val="0"/>
                    <w:keepLines w:val="0"/>
                    <w:widowControl/>
                    <w:suppressLineNumbers w:val="0"/>
                    <w:spacing w:before="0" w:beforeAutospacing="0" w:after="0" w:afterAutospacing="0"/>
                    <w:ind w:left="0" w:right="0"/>
                    <w:rPr>
                      <w:rFonts w:hint="default"/>
                    </w:rPr>
                  </w:pPr>
                  <w:r>
                    <w:t>4</w:t>
                  </w:r>
                </w:p>
              </w:tc>
              <w:tc>
                <w:tcPr>
                  <w:tcW w:w="2540" w:type="pct"/>
                  <w:vAlign w:val="center"/>
                </w:tcPr>
                <w:p w14:paraId="4CB1985F">
                  <w:pPr>
                    <w:pStyle w:val="42"/>
                    <w:keepNext w:val="0"/>
                    <w:keepLines w:val="0"/>
                    <w:widowControl/>
                    <w:suppressLineNumbers w:val="0"/>
                    <w:spacing w:before="0" w:beforeAutospacing="0" w:after="0" w:afterAutospacing="0"/>
                    <w:ind w:left="0" w:right="0"/>
                    <w:rPr>
                      <w:rFonts w:hint="default"/>
                    </w:rPr>
                  </w:pPr>
                  <w:r>
                    <w:rPr>
                      <w:rFonts w:hint="default"/>
                    </w:rPr>
                    <w:t>严格空间管控要求，进一步优化空间布局。统筹优化开发区产业布局和发展规模，加强对开发区周边生态保护红线及各类环境敏感区的保护，不得侵占周边生态保护红线，禁止占用河道管理范围、文物保护单位建设控制地带，严格遵守其相关管理要求。结合宽城满族自治县国土空间总体规划最新成果，进一步强化空间管控，优化规划布局。</w:t>
                  </w:r>
                </w:p>
              </w:tc>
              <w:tc>
                <w:tcPr>
                  <w:tcW w:w="1433" w:type="pct"/>
                  <w:vAlign w:val="center"/>
                </w:tcPr>
                <w:p w14:paraId="542F48F4">
                  <w:pPr>
                    <w:pStyle w:val="42"/>
                    <w:keepNext w:val="0"/>
                    <w:keepLines w:val="0"/>
                    <w:widowControl/>
                    <w:suppressLineNumbers w:val="0"/>
                    <w:spacing w:before="0" w:beforeAutospacing="0" w:after="0" w:afterAutospacing="0"/>
                    <w:ind w:left="0" w:right="0"/>
                    <w:rPr>
                      <w:rFonts w:hint="default"/>
                    </w:rPr>
                  </w:pPr>
                  <w:r>
                    <w:t>项目所在位置不侵占周边生态保护红线，最近生态红线位于项目西北侧2590m，项目不占用河道管理范围、文物保护单位建设控制地带。</w:t>
                  </w:r>
                </w:p>
              </w:tc>
              <w:tc>
                <w:tcPr>
                  <w:tcW w:w="571" w:type="pct"/>
                  <w:vAlign w:val="center"/>
                </w:tcPr>
                <w:p w14:paraId="350EADAE">
                  <w:pPr>
                    <w:pStyle w:val="42"/>
                    <w:keepNext w:val="0"/>
                    <w:keepLines w:val="0"/>
                    <w:widowControl/>
                    <w:suppressLineNumbers w:val="0"/>
                    <w:spacing w:before="0" w:beforeAutospacing="0" w:after="0" w:afterAutospacing="0"/>
                    <w:ind w:left="0" w:right="0"/>
                    <w:rPr>
                      <w:rFonts w:hint="default"/>
                    </w:rPr>
                  </w:pPr>
                  <w:r>
                    <w:t>符合</w:t>
                  </w:r>
                </w:p>
              </w:tc>
            </w:tr>
            <w:tr w14:paraId="559C7E1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53" w:type="pct"/>
                  <w:vAlign w:val="center"/>
                </w:tcPr>
                <w:p w14:paraId="4F0784C2">
                  <w:pPr>
                    <w:pStyle w:val="42"/>
                    <w:keepNext w:val="0"/>
                    <w:keepLines w:val="0"/>
                    <w:widowControl/>
                    <w:suppressLineNumbers w:val="0"/>
                    <w:spacing w:before="0" w:beforeAutospacing="0" w:after="0" w:afterAutospacing="0"/>
                    <w:ind w:left="0" w:right="0"/>
                    <w:rPr>
                      <w:rFonts w:hint="default"/>
                    </w:rPr>
                  </w:pPr>
                  <w:r>
                    <w:t>5</w:t>
                  </w:r>
                </w:p>
              </w:tc>
              <w:tc>
                <w:tcPr>
                  <w:tcW w:w="2540" w:type="pct"/>
                  <w:vAlign w:val="center"/>
                </w:tcPr>
                <w:p w14:paraId="6E7CE99B">
                  <w:pPr>
                    <w:pStyle w:val="42"/>
                    <w:keepNext w:val="0"/>
                    <w:keepLines w:val="0"/>
                    <w:widowControl/>
                    <w:suppressLineNumbers w:val="0"/>
                    <w:spacing w:before="0" w:beforeAutospacing="0" w:after="0" w:afterAutospacing="0"/>
                    <w:ind w:left="0" w:right="0"/>
                    <w:rPr>
                      <w:rFonts w:hint="default"/>
                    </w:rPr>
                  </w:pPr>
                  <w:r>
                    <w:t>严守环境质量底线，强化污染物排放总量管控。根据国家、河北省及承德市污染防治规划和区域“三线一单”生态环境分区管控相关要求，制定并落实开发区污染减排方案，采取有效措施减少主要污染物和特征污染物的排放量，深入开展开发区两高行业减污降碳改造，推进挥发性有机物和氮氧化物协同治理，确保区域环境质量持续改善，促进产业发展与生态环境保护相协调。</w:t>
                  </w:r>
                  <w:r>
                    <w:rPr>
                      <w:color w:val="auto"/>
                    </w:rPr>
                    <w:t>区域环境质量达标之前，实施二氧化硫、氮氧化物、颗粒物、挥发性有机物四项污染物削减替代。</w:t>
                  </w:r>
                </w:p>
              </w:tc>
              <w:tc>
                <w:tcPr>
                  <w:tcW w:w="1433" w:type="pct"/>
                  <w:vAlign w:val="center"/>
                </w:tcPr>
                <w:p w14:paraId="491AC510">
                  <w:pPr>
                    <w:pStyle w:val="42"/>
                    <w:keepNext w:val="0"/>
                    <w:keepLines w:val="0"/>
                    <w:widowControl/>
                    <w:suppressLineNumbers w:val="0"/>
                    <w:spacing w:before="0" w:beforeAutospacing="0" w:after="0" w:afterAutospacing="0"/>
                    <w:ind w:left="0" w:right="0"/>
                    <w:rPr>
                      <w:rFonts w:hint="default"/>
                    </w:rPr>
                  </w:pPr>
                  <w:r>
                    <w:t>项目排放的污染物主要为颗粒物，在采取污染物治理措施后，颗粒物达标排放。</w:t>
                  </w:r>
                </w:p>
              </w:tc>
              <w:tc>
                <w:tcPr>
                  <w:tcW w:w="571" w:type="pct"/>
                  <w:vAlign w:val="center"/>
                </w:tcPr>
                <w:p w14:paraId="2306C411">
                  <w:pPr>
                    <w:pStyle w:val="42"/>
                    <w:keepNext w:val="0"/>
                    <w:keepLines w:val="0"/>
                    <w:widowControl/>
                    <w:suppressLineNumbers w:val="0"/>
                    <w:spacing w:before="0" w:beforeAutospacing="0" w:after="0" w:afterAutospacing="0"/>
                    <w:ind w:left="0" w:right="0"/>
                    <w:rPr>
                      <w:rFonts w:hint="default"/>
                    </w:rPr>
                  </w:pPr>
                  <w:r>
                    <w:t>符合</w:t>
                  </w:r>
                </w:p>
              </w:tc>
            </w:tr>
            <w:tr w14:paraId="562CDE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53" w:type="pct"/>
                  <w:vAlign w:val="center"/>
                </w:tcPr>
                <w:p w14:paraId="6F9D2D5C">
                  <w:pPr>
                    <w:pStyle w:val="42"/>
                    <w:keepNext w:val="0"/>
                    <w:keepLines w:val="0"/>
                    <w:widowControl/>
                    <w:suppressLineNumbers w:val="0"/>
                    <w:spacing w:before="0" w:beforeAutospacing="0" w:after="0" w:afterAutospacing="0"/>
                    <w:ind w:left="0" w:right="0"/>
                    <w:rPr>
                      <w:rFonts w:hint="default"/>
                    </w:rPr>
                  </w:pPr>
                  <w:r>
                    <w:t>6</w:t>
                  </w:r>
                </w:p>
              </w:tc>
              <w:tc>
                <w:tcPr>
                  <w:tcW w:w="2540" w:type="pct"/>
                  <w:vAlign w:val="center"/>
                </w:tcPr>
                <w:p w14:paraId="7BE224CB">
                  <w:pPr>
                    <w:pStyle w:val="42"/>
                    <w:keepNext w:val="0"/>
                    <w:keepLines w:val="0"/>
                    <w:widowControl/>
                    <w:suppressLineNumbers w:val="0"/>
                    <w:spacing w:before="0" w:beforeAutospacing="0" w:after="0" w:afterAutospacing="0"/>
                    <w:ind w:left="0" w:right="0"/>
                    <w:rPr>
                      <w:rFonts w:hint="default"/>
                    </w:rPr>
                  </w:pPr>
                  <w:r>
                    <w:t>统筹基础设施建设，夯实建设内容及时限。板城片区、松岭片区规划建设的地表水厂及龙须门片区现有地表水厂扩建工程及配套管网应于2023年底前建成。龙须门片区、板城片区规划建设的污水处理厂及松岭片区现有污水处理厂扩建工程及配套管网应于2023年底前建成；各片区产生的污水经处理后全部回用，不得外排地表水体。开发区各片区供热优先利用区域企业余热，禁止企业自建燃煤锅炉。龙须门片区、板城片区规划近期建设清洁煤制气能源中心及配套煤气管网应于2023年底前建成，规划远期引入天然气。</w:t>
                  </w:r>
                </w:p>
              </w:tc>
              <w:tc>
                <w:tcPr>
                  <w:tcW w:w="1433" w:type="pct"/>
                  <w:vAlign w:val="center"/>
                </w:tcPr>
                <w:p w14:paraId="2DAA820C">
                  <w:pPr>
                    <w:pStyle w:val="42"/>
                    <w:keepNext w:val="0"/>
                    <w:keepLines w:val="0"/>
                    <w:widowControl/>
                    <w:suppressLineNumbers w:val="0"/>
                    <w:spacing w:before="0" w:beforeAutospacing="0" w:after="0" w:afterAutospacing="0"/>
                    <w:ind w:left="0" w:right="0"/>
                    <w:rPr>
                      <w:rFonts w:hint="default"/>
                    </w:rPr>
                  </w:pPr>
                  <w:r>
                    <w:t>项目为水泥制造制造项目，不建设燃煤锅炉。</w:t>
                  </w:r>
                </w:p>
              </w:tc>
              <w:tc>
                <w:tcPr>
                  <w:tcW w:w="571" w:type="pct"/>
                  <w:vAlign w:val="center"/>
                </w:tcPr>
                <w:p w14:paraId="014BDB68">
                  <w:pPr>
                    <w:pStyle w:val="42"/>
                    <w:keepNext w:val="0"/>
                    <w:keepLines w:val="0"/>
                    <w:widowControl/>
                    <w:suppressLineNumbers w:val="0"/>
                    <w:spacing w:before="0" w:beforeAutospacing="0" w:after="0" w:afterAutospacing="0"/>
                    <w:ind w:left="0" w:right="0"/>
                    <w:rPr>
                      <w:rFonts w:hint="default"/>
                    </w:rPr>
                  </w:pPr>
                  <w:r>
                    <w:t>符合</w:t>
                  </w:r>
                </w:p>
              </w:tc>
            </w:tr>
            <w:tr w14:paraId="4450427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53" w:type="pct"/>
                  <w:vAlign w:val="center"/>
                </w:tcPr>
                <w:p w14:paraId="125FC2EB">
                  <w:pPr>
                    <w:pStyle w:val="42"/>
                    <w:keepNext w:val="0"/>
                    <w:keepLines w:val="0"/>
                    <w:widowControl/>
                    <w:suppressLineNumbers w:val="0"/>
                    <w:spacing w:before="0" w:beforeAutospacing="0" w:after="0" w:afterAutospacing="0"/>
                    <w:ind w:left="0" w:right="0"/>
                    <w:rPr>
                      <w:rFonts w:hint="default"/>
                    </w:rPr>
                  </w:pPr>
                  <w:r>
                    <w:t>7</w:t>
                  </w:r>
                </w:p>
              </w:tc>
              <w:tc>
                <w:tcPr>
                  <w:tcW w:w="2540" w:type="pct"/>
                  <w:vAlign w:val="center"/>
                </w:tcPr>
                <w:p w14:paraId="7EC57314">
                  <w:pPr>
                    <w:pStyle w:val="42"/>
                    <w:keepNext w:val="0"/>
                    <w:keepLines w:val="0"/>
                    <w:widowControl/>
                    <w:suppressLineNumbers w:val="0"/>
                    <w:spacing w:before="0" w:beforeAutospacing="0" w:after="0" w:afterAutospacing="0"/>
                    <w:ind w:left="0" w:right="0"/>
                    <w:rPr>
                      <w:rFonts w:hint="default"/>
                    </w:rPr>
                  </w:pPr>
                  <w:r>
                    <w:t>优化运输及输送方式，落实应急运输响应方案。鼓励开发区提高清洁能源汽车运输比例或全面实现大宗物料铁路、管道或管状带式输送机运输。结合铁路相关规划和地方发展需求，按照国家对重点行业清洁运输的要求，尽快规划、实施并完善铁路、管道等清洁运输系统，优化区域运输方式，减轻公路运输产生的不利环境影响。结合秋冬行业错峰生产和重污染天气应急响应要求，在黄色及以上重污染天气预警期间，大宗物料运输的重点用车企业实施应急运输响应。</w:t>
                  </w:r>
                </w:p>
              </w:tc>
              <w:tc>
                <w:tcPr>
                  <w:tcW w:w="1433" w:type="pct"/>
                  <w:vAlign w:val="center"/>
                </w:tcPr>
                <w:p w14:paraId="77DCD1EE">
                  <w:pPr>
                    <w:pStyle w:val="42"/>
                    <w:keepNext w:val="0"/>
                    <w:keepLines w:val="0"/>
                    <w:widowControl/>
                    <w:suppressLineNumbers w:val="0"/>
                    <w:spacing w:before="0" w:beforeAutospacing="0" w:after="0" w:afterAutospacing="0"/>
                    <w:ind w:left="0" w:right="0"/>
                    <w:rPr>
                      <w:rFonts w:hint="default"/>
                    </w:rPr>
                  </w:pPr>
                  <w:r>
                    <w:t>项目原料及成品运输方式为公路运输，运输车辆尾气排放满足国家规定排放标准。在黄色及以上重污染天气预警期间，企业实施应急运输响应。</w:t>
                  </w:r>
                </w:p>
              </w:tc>
              <w:tc>
                <w:tcPr>
                  <w:tcW w:w="571" w:type="pct"/>
                  <w:vAlign w:val="center"/>
                </w:tcPr>
                <w:p w14:paraId="6D6E877A">
                  <w:pPr>
                    <w:pStyle w:val="42"/>
                    <w:keepNext w:val="0"/>
                    <w:keepLines w:val="0"/>
                    <w:widowControl/>
                    <w:suppressLineNumbers w:val="0"/>
                    <w:spacing w:before="0" w:beforeAutospacing="0" w:after="0" w:afterAutospacing="0"/>
                    <w:ind w:left="0" w:right="0"/>
                    <w:rPr>
                      <w:rFonts w:hint="default"/>
                    </w:rPr>
                  </w:pPr>
                  <w:r>
                    <w:t>符合</w:t>
                  </w:r>
                </w:p>
              </w:tc>
            </w:tr>
            <w:tr w14:paraId="6FB3D0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53" w:type="pct"/>
                  <w:vAlign w:val="center"/>
                </w:tcPr>
                <w:p w14:paraId="5611AAE9">
                  <w:pPr>
                    <w:pStyle w:val="42"/>
                    <w:keepNext w:val="0"/>
                    <w:keepLines w:val="0"/>
                    <w:widowControl/>
                    <w:suppressLineNumbers w:val="0"/>
                    <w:spacing w:before="0" w:beforeAutospacing="0" w:after="0" w:afterAutospacing="0"/>
                    <w:ind w:left="0" w:right="0"/>
                    <w:rPr>
                      <w:rFonts w:hint="default"/>
                    </w:rPr>
                  </w:pPr>
                  <w:r>
                    <w:t>8</w:t>
                  </w:r>
                </w:p>
              </w:tc>
              <w:tc>
                <w:tcPr>
                  <w:tcW w:w="2540" w:type="pct"/>
                  <w:vAlign w:val="center"/>
                </w:tcPr>
                <w:p w14:paraId="7ED69FE1">
                  <w:pPr>
                    <w:pStyle w:val="42"/>
                    <w:keepNext w:val="0"/>
                    <w:keepLines w:val="0"/>
                    <w:widowControl/>
                    <w:suppressLineNumbers w:val="0"/>
                    <w:spacing w:before="0" w:beforeAutospacing="0" w:after="0" w:afterAutospacing="0"/>
                    <w:ind w:left="0" w:right="0"/>
                    <w:rPr>
                      <w:rFonts w:hint="default"/>
                    </w:rPr>
                  </w:pPr>
                  <w:r>
                    <w:t>健全完善环境监测体系，强化环境风险防范。建立完善包括环境空气、地表水、地下水、土壤等环境要素的监控体系；强化区域环境风险防范体系，建立应急响应联动机制。严格落实《报告书》提出的各项环境风险防控措施，提升环境风险防控和应急响应能力，保障区域环境安全。</w:t>
                  </w:r>
                </w:p>
              </w:tc>
              <w:tc>
                <w:tcPr>
                  <w:tcW w:w="1433" w:type="pct"/>
                  <w:vAlign w:val="center"/>
                </w:tcPr>
                <w:p w14:paraId="0AC088E1">
                  <w:pPr>
                    <w:pStyle w:val="42"/>
                    <w:keepNext w:val="0"/>
                    <w:keepLines w:val="0"/>
                    <w:widowControl/>
                    <w:suppressLineNumbers w:val="0"/>
                    <w:spacing w:before="0" w:beforeAutospacing="0" w:after="0" w:afterAutospacing="0"/>
                    <w:ind w:left="0" w:right="0"/>
                    <w:rPr>
                      <w:rFonts w:hint="default"/>
                      <w:lang w:val="zh-CN"/>
                    </w:rPr>
                  </w:pPr>
                  <w:r>
                    <w:rPr>
                      <w:lang w:val="zh-CN"/>
                    </w:rPr>
                    <w:t>项目易导致环境风险的</w:t>
                  </w:r>
                  <w:r>
                    <w:t>物质</w:t>
                  </w:r>
                  <w:r>
                    <w:rPr>
                      <w:lang w:val="zh-CN"/>
                    </w:rPr>
                    <w:t>主要是废润滑油等危险废物，项目新建危险废物贮存间，危废废物于危险废物贮存间暂存，定期交由有资质的单位处置，项目风险防控措施满足《河北宽城经济开发区总体规划（2022-2035年）环境影响报告书》提出的环境风险管理要求。</w:t>
                  </w:r>
                </w:p>
              </w:tc>
              <w:tc>
                <w:tcPr>
                  <w:tcW w:w="571" w:type="pct"/>
                  <w:vAlign w:val="center"/>
                </w:tcPr>
                <w:p w14:paraId="174FE93F">
                  <w:pPr>
                    <w:pStyle w:val="42"/>
                    <w:keepNext w:val="0"/>
                    <w:keepLines w:val="0"/>
                    <w:widowControl/>
                    <w:suppressLineNumbers w:val="0"/>
                    <w:spacing w:before="0" w:beforeAutospacing="0" w:after="0" w:afterAutospacing="0"/>
                    <w:ind w:left="0" w:right="0"/>
                    <w:rPr>
                      <w:rFonts w:hint="default"/>
                    </w:rPr>
                  </w:pPr>
                  <w:r>
                    <w:t>符合</w:t>
                  </w:r>
                </w:p>
              </w:tc>
            </w:tr>
            <w:tr w14:paraId="3AEF563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53" w:type="pct"/>
                  <w:vAlign w:val="center"/>
                </w:tcPr>
                <w:p w14:paraId="605799E9">
                  <w:pPr>
                    <w:pStyle w:val="42"/>
                    <w:keepNext w:val="0"/>
                    <w:keepLines w:val="0"/>
                    <w:widowControl/>
                    <w:suppressLineNumbers w:val="0"/>
                    <w:spacing w:before="0" w:beforeAutospacing="0" w:after="0" w:afterAutospacing="0"/>
                    <w:ind w:left="0" w:right="0"/>
                    <w:rPr>
                      <w:rFonts w:hint="default"/>
                    </w:rPr>
                  </w:pPr>
                  <w:r>
                    <w:t>9</w:t>
                  </w:r>
                </w:p>
              </w:tc>
              <w:tc>
                <w:tcPr>
                  <w:tcW w:w="2540" w:type="pct"/>
                  <w:vAlign w:val="center"/>
                </w:tcPr>
                <w:p w14:paraId="1BB86F5D">
                  <w:pPr>
                    <w:pStyle w:val="42"/>
                    <w:keepNext w:val="0"/>
                    <w:keepLines w:val="0"/>
                    <w:widowControl/>
                    <w:suppressLineNumbers w:val="0"/>
                    <w:spacing w:before="0" w:beforeAutospacing="0" w:after="0" w:afterAutospacing="0"/>
                    <w:ind w:left="0" w:right="0"/>
                    <w:rPr>
                      <w:rFonts w:hint="default"/>
                    </w:rPr>
                  </w:pPr>
                  <w:r>
                    <w:t>在《规划》实施过程中，按照相关要求满五年组织开展环境影响跟踪评价，《规划》修编时应及时补充或重新编制环境影响报告书。</w:t>
                  </w:r>
                </w:p>
              </w:tc>
              <w:tc>
                <w:tcPr>
                  <w:tcW w:w="1433" w:type="pct"/>
                  <w:vAlign w:val="center"/>
                </w:tcPr>
                <w:p w14:paraId="0D9515F5">
                  <w:pPr>
                    <w:pStyle w:val="42"/>
                    <w:keepNext w:val="0"/>
                    <w:keepLines w:val="0"/>
                    <w:widowControl/>
                    <w:suppressLineNumbers w:val="0"/>
                    <w:spacing w:before="0" w:beforeAutospacing="0" w:after="0" w:afterAutospacing="0"/>
                    <w:ind w:left="0" w:right="0"/>
                    <w:rPr>
                      <w:rFonts w:hint="default"/>
                    </w:rPr>
                  </w:pPr>
                  <w:r>
                    <w:t>不涉及</w:t>
                  </w:r>
                </w:p>
              </w:tc>
              <w:tc>
                <w:tcPr>
                  <w:tcW w:w="571" w:type="pct"/>
                  <w:vAlign w:val="center"/>
                </w:tcPr>
                <w:p w14:paraId="2B78234F">
                  <w:pPr>
                    <w:pStyle w:val="42"/>
                    <w:keepNext w:val="0"/>
                    <w:keepLines w:val="0"/>
                    <w:widowControl/>
                    <w:suppressLineNumbers w:val="0"/>
                    <w:spacing w:before="0" w:beforeAutospacing="0" w:after="0" w:afterAutospacing="0"/>
                    <w:ind w:left="0" w:right="0"/>
                    <w:rPr>
                      <w:rFonts w:hint="default"/>
                    </w:rPr>
                  </w:pPr>
                  <w:r>
                    <w:t>符合</w:t>
                  </w:r>
                </w:p>
              </w:tc>
            </w:tr>
          </w:tbl>
          <w:p w14:paraId="0ACBE8AF">
            <w:pPr>
              <w:keepNext w:val="0"/>
              <w:keepLines w:val="0"/>
              <w:suppressLineNumbers w:val="0"/>
              <w:spacing w:before="0" w:beforeAutospacing="0" w:after="0" w:afterAutospacing="0"/>
              <w:ind w:left="0" w:right="0" w:firstLine="480"/>
              <w:rPr>
                <w:rFonts w:hint="default"/>
              </w:rPr>
            </w:pPr>
            <w:r>
              <w:rPr>
                <w:rFonts w:hint="default"/>
              </w:rPr>
              <w:t>根据上表分析结果，本项目符合《河北</w:t>
            </w:r>
            <w:r>
              <w:rPr>
                <w:rFonts w:hint="eastAsia"/>
              </w:rPr>
              <w:t>宽城</w:t>
            </w:r>
            <w:r>
              <w:rPr>
                <w:rFonts w:hint="default"/>
              </w:rPr>
              <w:t>经济开发区总体规划(202</w:t>
            </w:r>
            <w:r>
              <w:rPr>
                <w:rFonts w:hint="eastAsia"/>
              </w:rPr>
              <w:t>2</w:t>
            </w:r>
            <w:r>
              <w:rPr>
                <w:rFonts w:hint="default"/>
              </w:rPr>
              <w:t>-2035年)环境影响报告书》审查意见相关要求。</w:t>
            </w:r>
          </w:p>
        </w:tc>
      </w:tr>
      <w:tr w14:paraId="752CAD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38" w:type="dxa"/>
            <w:vAlign w:val="center"/>
          </w:tcPr>
          <w:p w14:paraId="5A9FB275">
            <w:pPr>
              <w:pStyle w:val="42"/>
              <w:keepNext w:val="0"/>
              <w:keepLines w:val="0"/>
              <w:widowControl/>
              <w:suppressLineNumbers w:val="0"/>
              <w:spacing w:before="0" w:beforeAutospacing="0" w:after="0" w:afterAutospacing="0"/>
              <w:ind w:left="0" w:right="0"/>
              <w:rPr>
                <w:rFonts w:hint="default"/>
              </w:rPr>
            </w:pPr>
            <w:r>
              <w:rPr>
                <w:sz w:val="24"/>
                <w:szCs w:val="24"/>
              </w:rPr>
              <w:t>其他符合性分析</w:t>
            </w:r>
          </w:p>
        </w:tc>
        <w:tc>
          <w:tcPr>
            <w:tcW w:w="8332" w:type="dxa"/>
            <w:gridSpan w:val="4"/>
            <w:vAlign w:val="center"/>
          </w:tcPr>
          <w:p w14:paraId="3B8E0620">
            <w:pPr>
              <w:pStyle w:val="3"/>
              <w:keepNext w:val="0"/>
              <w:keepLines w:val="0"/>
              <w:numPr>
                <w:ilvl w:val="1"/>
                <w:numId w:val="5"/>
              </w:numPr>
              <w:suppressLineNumbers w:val="0"/>
              <w:tabs>
                <w:tab w:val="left" w:pos="0"/>
              </w:tabs>
              <w:spacing w:before="0" w:beforeAutospacing="0" w:after="0" w:afterAutospacing="0"/>
              <w:ind w:right="0" w:firstLine="482"/>
              <w:rPr>
                <w:rFonts w:hint="default"/>
              </w:rPr>
            </w:pPr>
            <w:r>
              <w:rPr>
                <w:rFonts w:hint="eastAsia"/>
              </w:rPr>
              <w:t>“三线一单”</w:t>
            </w:r>
            <w:r>
              <w:rPr>
                <w:rFonts w:hint="default"/>
              </w:rPr>
              <w:t>符合性</w:t>
            </w:r>
          </w:p>
          <w:p w14:paraId="528DC860">
            <w:pPr>
              <w:pStyle w:val="4"/>
              <w:keepNext w:val="0"/>
              <w:keepLines w:val="0"/>
              <w:suppressLineNumbers w:val="0"/>
              <w:spacing w:beforeAutospacing="0" w:afterAutospacing="0"/>
              <w:ind w:left="-2" w:leftChars="0" w:right="0" w:firstLine="482" w:firstLineChars="0"/>
              <w:rPr>
                <w:rFonts w:hint="default"/>
              </w:rPr>
            </w:pPr>
            <w:r>
              <w:rPr>
                <w:rFonts w:hint="default"/>
              </w:rPr>
              <w:t>与生态保护红线符合性分析</w:t>
            </w:r>
          </w:p>
          <w:p w14:paraId="244CE10B">
            <w:pPr>
              <w:keepNext w:val="0"/>
              <w:keepLines w:val="0"/>
              <w:suppressLineNumbers w:val="0"/>
              <w:spacing w:before="0" w:beforeAutospacing="0" w:after="0" w:afterAutospacing="0"/>
              <w:ind w:left="0" w:right="0" w:firstLine="480"/>
              <w:rPr>
                <w:rFonts w:hint="default"/>
              </w:rPr>
            </w:pPr>
            <w:r>
              <w:rPr>
                <w:rFonts w:hint="default"/>
              </w:rPr>
              <w:t>项目位于</w:t>
            </w:r>
            <w:r>
              <w:rPr>
                <w:rFonts w:hint="eastAsia" w:ascii="宋体" w:hAnsi="宋体" w:cs="宋体"/>
                <w:szCs w:val="21"/>
              </w:rPr>
              <w:t>河北省承德市宽城满族自治县宽城经济开发区</w:t>
            </w:r>
            <w:r>
              <w:rPr>
                <w:rFonts w:hint="default"/>
              </w:rPr>
              <w:t>，周围无自然保护区、风景名胜区、生活饮用水源地和其它特别需要保护的环境敏感目标，项目占地不占用生态保护红线范围，</w:t>
            </w:r>
            <w:r>
              <w:rPr>
                <w:rFonts w:hint="eastAsia"/>
              </w:rPr>
              <w:t>最近的</w:t>
            </w:r>
            <w:r>
              <w:rPr>
                <w:rFonts w:hint="default"/>
              </w:rPr>
              <w:t>生态保护红线</w:t>
            </w:r>
            <w:r>
              <w:rPr>
                <w:rFonts w:hint="eastAsia"/>
              </w:rPr>
              <w:t>在项目西北侧2590</w:t>
            </w:r>
            <w:r>
              <w:rPr>
                <w:rFonts w:hint="default"/>
              </w:rPr>
              <w:t>m。项目与生态保护红线相对位置关系图</w:t>
            </w:r>
            <w:r>
              <w:rPr>
                <w:rFonts w:hint="eastAsia"/>
                <w:lang w:val="en-US" w:eastAsia="zh-CN"/>
              </w:rPr>
              <w:t>见下图</w:t>
            </w:r>
            <w:r>
              <w:rPr>
                <w:rFonts w:hint="default"/>
              </w:rPr>
              <w:t>。</w:t>
            </w:r>
          </w:p>
          <w:p w14:paraId="72AC7916">
            <w:pPr>
              <w:keepNext w:val="0"/>
              <w:keepLines w:val="0"/>
              <w:suppressLineNumbers w:val="0"/>
              <w:spacing w:before="0" w:beforeAutospacing="0" w:after="0" w:afterAutospacing="0"/>
              <w:ind w:left="0" w:leftChars="0" w:right="0" w:firstLine="0" w:firstLineChars="0"/>
              <w:rPr>
                <w:rFonts w:hint="eastAsia"/>
              </w:rPr>
            </w:pPr>
            <w:r>
              <w:rPr>
                <w:rFonts w:hint="eastAsia"/>
              </w:rPr>
              <w:drawing>
                <wp:inline distT="0" distB="0" distL="114300" distR="114300">
                  <wp:extent cx="5153025" cy="3277870"/>
                  <wp:effectExtent l="0" t="0" r="9525" b="17780"/>
                  <wp:docPr id="21" name="图片 21" descr="cba6bf570292069ac49ecc8441c7b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ba6bf570292069ac49ecc8441c7b589"/>
                          <pic:cNvPicPr>
                            <a:picLocks noChangeAspect="1"/>
                          </pic:cNvPicPr>
                        </pic:nvPicPr>
                        <pic:blipFill>
                          <a:blip r:embed="rId17"/>
                          <a:stretch>
                            <a:fillRect/>
                          </a:stretch>
                        </pic:blipFill>
                        <pic:spPr>
                          <a:xfrm>
                            <a:off x="0" y="0"/>
                            <a:ext cx="5153025" cy="3277870"/>
                          </a:xfrm>
                          <a:prstGeom prst="rect">
                            <a:avLst/>
                          </a:prstGeom>
                        </pic:spPr>
                      </pic:pic>
                    </a:graphicData>
                  </a:graphic>
                </wp:inline>
              </w:drawing>
            </w:r>
          </w:p>
          <w:p w14:paraId="6AB1CDCE">
            <w:pPr>
              <w:pStyle w:val="19"/>
              <w:keepNext w:val="0"/>
              <w:keepLines w:val="0"/>
              <w:widowControl/>
              <w:suppressLineNumbers w:val="0"/>
              <w:adjustRightInd w:val="0"/>
              <w:snapToGrid w:val="0"/>
              <w:spacing w:before="0" w:beforeAutospacing="0" w:after="0" w:afterAutospacing="0" w:line="360" w:lineRule="auto"/>
              <w:ind w:left="0" w:right="0" w:firstLine="0" w:firstLineChars="0"/>
              <w:jc w:val="center"/>
              <w:rPr>
                <w:rFonts w:hint="eastAsia"/>
              </w:rPr>
            </w:pPr>
            <w:r>
              <w:rPr>
                <w:rFonts w:hint="eastAsia" w:ascii="宋体" w:hAnsi="宋体" w:eastAsia="宋体" w:cs="宋体"/>
                <w:b/>
                <w:bCs w:val="0"/>
                <w:snapToGrid/>
                <w:kern w:val="2"/>
                <w:sz w:val="21"/>
                <w:szCs w:val="21"/>
                <w:lang w:val="en-US" w:eastAsia="zh-CN" w:bidi="ar"/>
              </w:rPr>
              <w:t>图</w:t>
            </w:r>
            <w:r>
              <w:rPr>
                <w:rFonts w:hint="default" w:ascii="Times New Roman" w:hAnsi="Times New Roman" w:eastAsia="宋体" w:cs="Times New Roman"/>
                <w:b/>
                <w:bCs w:val="0"/>
                <w:snapToGrid/>
                <w:kern w:val="2"/>
                <w:sz w:val="21"/>
                <w:szCs w:val="21"/>
                <w:lang w:val="en-US" w:eastAsia="zh-CN" w:bidi="ar"/>
              </w:rPr>
              <w:t xml:space="preserve">1-1 </w:t>
            </w:r>
            <w:r>
              <w:rPr>
                <w:rFonts w:hint="eastAsia" w:ascii="宋体" w:hAnsi="宋体" w:eastAsia="宋体" w:cs="宋体"/>
                <w:b/>
                <w:bCs w:val="0"/>
                <w:snapToGrid/>
                <w:kern w:val="2"/>
                <w:sz w:val="21"/>
                <w:szCs w:val="21"/>
                <w:lang w:val="en-US" w:eastAsia="zh-CN" w:bidi="ar"/>
              </w:rPr>
              <w:t>项目与生态保护红线位置关系图</w:t>
            </w:r>
          </w:p>
          <w:p w14:paraId="3462387E">
            <w:pPr>
              <w:pStyle w:val="4"/>
              <w:keepNext w:val="0"/>
              <w:keepLines w:val="0"/>
              <w:numPr>
                <w:ilvl w:val="2"/>
                <w:numId w:val="5"/>
              </w:numPr>
              <w:suppressLineNumbers w:val="0"/>
              <w:tabs>
                <w:tab w:val="left" w:pos="0"/>
              </w:tabs>
              <w:spacing w:beforeAutospacing="0" w:afterAutospacing="0"/>
              <w:ind w:left="-242" w:leftChars="0" w:right="0" w:firstLine="720" w:firstLineChars="0"/>
              <w:rPr>
                <w:rFonts w:hint="default"/>
              </w:rPr>
            </w:pPr>
            <w:r>
              <w:rPr>
                <w:rFonts w:hint="default"/>
              </w:rPr>
              <w:t>与环境质量底线符合性分析</w:t>
            </w:r>
          </w:p>
          <w:p w14:paraId="371DF6EA">
            <w:pPr>
              <w:keepNext w:val="0"/>
              <w:keepLines w:val="0"/>
              <w:suppressLineNumbers w:val="0"/>
              <w:adjustRightInd/>
              <w:spacing w:before="0" w:beforeAutospacing="0" w:after="0" w:afterAutospacing="0"/>
              <w:ind w:left="0" w:right="0" w:firstLine="480"/>
              <w:rPr>
                <w:rFonts w:hint="default"/>
                <w:color w:val="FF0000"/>
                <w:lang w:val="en-US"/>
              </w:rPr>
            </w:pPr>
            <w:r>
              <w:rPr>
                <w:rFonts w:hint="eastAsia"/>
              </w:rPr>
              <w:t>根据</w:t>
            </w:r>
            <w:r>
              <w:rPr>
                <w:rFonts w:hint="default"/>
              </w:rPr>
              <w:t>《</w:t>
            </w:r>
            <w:r>
              <w:rPr>
                <w:rFonts w:hint="eastAsia"/>
              </w:rPr>
              <w:t>2023年承德市生态环境状况公报</w:t>
            </w:r>
            <w:r>
              <w:rPr>
                <w:rFonts w:hint="default"/>
              </w:rPr>
              <w:t>》</w:t>
            </w:r>
            <w:r>
              <w:rPr>
                <w:rFonts w:hint="eastAsia"/>
              </w:rPr>
              <w:t>（2024年5月，承德市生态环境局），2023年宽城县环境空气大气主要污染物除O</w:t>
            </w:r>
            <w:r>
              <w:rPr>
                <w:rFonts w:hint="eastAsia"/>
                <w:vertAlign w:val="subscript"/>
              </w:rPr>
              <w:t>3</w:t>
            </w:r>
            <w:r>
              <w:rPr>
                <w:rFonts w:hint="eastAsia"/>
              </w:rPr>
              <w:t>日最大8小时平均浓度第90百分位数超标外，其余PM</w:t>
            </w:r>
            <w:r>
              <w:rPr>
                <w:rFonts w:hint="eastAsia"/>
                <w:vertAlign w:val="subscript"/>
              </w:rPr>
              <w:t>2.5</w:t>
            </w:r>
            <w:r>
              <w:rPr>
                <w:rFonts w:hint="eastAsia"/>
              </w:rPr>
              <w:t>年平均值、PM</w:t>
            </w:r>
            <w:r>
              <w:rPr>
                <w:rFonts w:hint="eastAsia"/>
                <w:vertAlign w:val="subscript"/>
              </w:rPr>
              <w:t>10</w:t>
            </w:r>
            <w:r>
              <w:rPr>
                <w:rFonts w:hint="eastAsia"/>
              </w:rPr>
              <w:t>年平均值、SO</w:t>
            </w:r>
            <w:r>
              <w:rPr>
                <w:rFonts w:hint="eastAsia"/>
                <w:vertAlign w:val="subscript"/>
              </w:rPr>
              <w:t>2</w:t>
            </w:r>
            <w:r>
              <w:rPr>
                <w:rFonts w:hint="eastAsia"/>
              </w:rPr>
              <w:t>年平均值、NO</w:t>
            </w:r>
            <w:r>
              <w:rPr>
                <w:rFonts w:hint="eastAsia"/>
                <w:vertAlign w:val="subscript"/>
              </w:rPr>
              <w:t>2</w:t>
            </w:r>
            <w:r>
              <w:rPr>
                <w:rFonts w:hint="eastAsia"/>
              </w:rPr>
              <w:t>年平均值均、CO24小时平均浓度第95百分位数满足《环境空气质量标准》（GB3095-2012）及其修改单的二级标准要求。</w:t>
            </w:r>
            <w:r>
              <w:rPr>
                <w:rFonts w:hint="eastAsia"/>
                <w:lang w:val="en-US" w:eastAsia="zh-CN"/>
              </w:rPr>
              <w:t>项目不排放挥发性有机物、氮氧化物等臭氧前驱体，不会导致臭氧环境恶化。项目排放的大气污染物为颗粒物，根据引用的《检测报告》（德普环检字（2022）第J0761号），项目所在区域总悬浮颗粒物能够满足《环境空气质量标准》（GB3095-2012）及其修改单中的二级标准要求。</w:t>
            </w:r>
          </w:p>
          <w:p w14:paraId="1396513E">
            <w:pPr>
              <w:keepNext w:val="0"/>
              <w:keepLines w:val="0"/>
              <w:suppressLineNumbers w:val="0"/>
              <w:adjustRightInd/>
              <w:spacing w:before="0" w:beforeAutospacing="0" w:after="0" w:afterAutospacing="0"/>
              <w:ind w:left="0" w:right="0" w:firstLine="480"/>
              <w:rPr>
                <w:rFonts w:hint="default"/>
                <w:color w:val="FF0000"/>
              </w:rPr>
            </w:pPr>
            <w:r>
              <w:rPr>
                <w:rFonts w:hint="eastAsia"/>
              </w:rPr>
              <w:t>根据工程分析，项目产生的大气污染物主要为原料装卸和搅拌时产生的颗粒物。原料石子、石粉建设堆存库，车间封闭，减少无组织颗粒物逸散到车间外。水泥储存在水泥筒仓中，仓顶设置泄压式布袋除尘器，卸料废气经布袋除尘器处理后由仓顶呼吸口排放。料仓上料和搅拌机配套布袋除尘器，料仓上料和搅拌工序产生的废气由布袋除尘器处理后由一根15m高的排气筒DA001排放。水泥筒仓卸料废气及上料和搅拌产生的废气经布袋除尘器处理后，排放的颗粒物浓度满足《水泥工业大气污染物超低排放标准》(DB13/2167-2020)表1水泥仓及其他通风生产设备颗粒物浓度限值要求。项目产生的大气污染物采取相应治理措施后，经大气影响分析产生的影响较小，符合环境空气环境质量底线的要求。</w:t>
            </w:r>
          </w:p>
          <w:p w14:paraId="08B77006">
            <w:pPr>
              <w:keepNext w:val="0"/>
              <w:keepLines w:val="0"/>
              <w:suppressLineNumbers w:val="0"/>
              <w:adjustRightInd/>
              <w:spacing w:before="0" w:beforeAutospacing="0" w:after="0" w:afterAutospacing="0"/>
              <w:ind w:left="0" w:right="0" w:firstLine="480"/>
              <w:rPr>
                <w:rFonts w:hint="default"/>
              </w:rPr>
            </w:pPr>
            <w:r>
              <w:rPr>
                <w:rFonts w:hint="eastAsia"/>
              </w:rPr>
              <w:t>本项目运营期废水主要为生活污水，项目生活污水主要为职工盥洗废水，本项目生产运营阶段职工较少，产生的生活污水较少，水质简单，作为厂区洒水降尘使用。符合水环境质量底线的要求。</w:t>
            </w:r>
          </w:p>
          <w:p w14:paraId="00514803">
            <w:pPr>
              <w:keepNext w:val="0"/>
              <w:keepLines w:val="0"/>
              <w:suppressLineNumbers w:val="0"/>
              <w:adjustRightInd/>
              <w:spacing w:before="0" w:beforeAutospacing="0" w:after="0" w:afterAutospacing="0"/>
              <w:ind w:left="0" w:right="0" w:firstLine="480"/>
              <w:rPr>
                <w:rFonts w:hint="default"/>
              </w:rPr>
            </w:pPr>
            <w:r>
              <w:rPr>
                <w:rFonts w:hint="default"/>
              </w:rPr>
              <w:t>项目运行阶段通过选用低噪声设备，设置隔声减振措施，产噪设备均设在全封闭的生产厂房内，车辆运输过程，采取减速慢行，禁止鸣笛等措施以降低噪声影响，噪声达标排放，符合声环境质量底线的要求。</w:t>
            </w:r>
          </w:p>
          <w:p w14:paraId="4944468C">
            <w:pPr>
              <w:keepNext w:val="0"/>
              <w:keepLines w:val="0"/>
              <w:suppressLineNumbers w:val="0"/>
              <w:adjustRightInd/>
              <w:spacing w:before="0" w:beforeAutospacing="0" w:after="0" w:afterAutospacing="0"/>
              <w:ind w:left="0" w:right="0" w:firstLine="480"/>
              <w:rPr>
                <w:rFonts w:hint="default"/>
              </w:rPr>
            </w:pPr>
            <w:r>
              <w:rPr>
                <w:rFonts w:hint="eastAsia"/>
              </w:rPr>
              <w:t>经分析，采取相应的防渗措施后，项目不存在土壤及地下水环境污染途径，对区域土壤及地下水环境质量影响较小，符合土壤及地下水环境质量底线的要求。</w:t>
            </w:r>
          </w:p>
          <w:p w14:paraId="5B535030">
            <w:pPr>
              <w:keepNext w:val="0"/>
              <w:keepLines w:val="0"/>
              <w:suppressLineNumbers w:val="0"/>
              <w:adjustRightInd/>
              <w:spacing w:before="0" w:beforeAutospacing="0" w:after="0" w:afterAutospacing="0"/>
              <w:ind w:left="0" w:right="0" w:firstLine="480"/>
              <w:rPr>
                <w:rFonts w:hint="default"/>
                <w:szCs w:val="21"/>
              </w:rPr>
            </w:pPr>
            <w:r>
              <w:rPr>
                <w:rFonts w:hint="eastAsia"/>
                <w:szCs w:val="21"/>
              </w:rPr>
              <w:t>综上所述，</w:t>
            </w:r>
            <w:r>
              <w:rPr>
                <w:rFonts w:hint="default"/>
                <w:szCs w:val="21"/>
              </w:rPr>
              <w:t>项目产生的</w:t>
            </w:r>
            <w:r>
              <w:rPr>
                <w:rFonts w:hint="eastAsia"/>
                <w:szCs w:val="21"/>
              </w:rPr>
              <w:t>各类</w:t>
            </w:r>
            <w:r>
              <w:rPr>
                <w:rFonts w:hint="default"/>
                <w:szCs w:val="21"/>
              </w:rPr>
              <w:t>污染物采取相应</w:t>
            </w:r>
            <w:r>
              <w:rPr>
                <w:rFonts w:hint="eastAsia"/>
                <w:szCs w:val="21"/>
              </w:rPr>
              <w:t>治理</w:t>
            </w:r>
            <w:r>
              <w:rPr>
                <w:rFonts w:hint="default"/>
                <w:szCs w:val="21"/>
              </w:rPr>
              <w:t>措施后，经</w:t>
            </w:r>
            <w:r>
              <w:rPr>
                <w:rFonts w:hint="eastAsia"/>
                <w:szCs w:val="21"/>
              </w:rPr>
              <w:t>各环境要素影响分析，均</w:t>
            </w:r>
            <w:r>
              <w:rPr>
                <w:rFonts w:hint="default"/>
                <w:szCs w:val="21"/>
              </w:rPr>
              <w:t>满足相应的标准</w:t>
            </w:r>
            <w:r>
              <w:rPr>
                <w:rFonts w:hint="eastAsia"/>
                <w:szCs w:val="21"/>
              </w:rPr>
              <w:t>要求</w:t>
            </w:r>
            <w:r>
              <w:rPr>
                <w:rFonts w:hint="default"/>
                <w:szCs w:val="21"/>
              </w:rPr>
              <w:t>，</w:t>
            </w:r>
            <w:r>
              <w:rPr>
                <w:rFonts w:hint="eastAsia"/>
                <w:szCs w:val="21"/>
              </w:rPr>
              <w:t>项目</w:t>
            </w:r>
            <w:r>
              <w:rPr>
                <w:rFonts w:hint="default"/>
                <w:szCs w:val="21"/>
              </w:rPr>
              <w:t>符合环境质量底线的要求。</w:t>
            </w:r>
          </w:p>
          <w:p w14:paraId="263815CF">
            <w:pPr>
              <w:pStyle w:val="4"/>
              <w:keepNext w:val="0"/>
              <w:keepLines w:val="0"/>
              <w:numPr>
                <w:ilvl w:val="2"/>
                <w:numId w:val="5"/>
              </w:numPr>
              <w:suppressLineNumbers w:val="0"/>
              <w:tabs>
                <w:tab w:val="left" w:pos="0"/>
              </w:tabs>
              <w:spacing w:beforeAutospacing="0" w:afterAutospacing="0"/>
              <w:ind w:left="-242" w:leftChars="0" w:right="0" w:firstLine="720" w:firstLineChars="0"/>
              <w:rPr>
                <w:rFonts w:hint="default"/>
                <w:bCs/>
              </w:rPr>
            </w:pPr>
            <w:r>
              <w:rPr>
                <w:rFonts w:hint="default"/>
              </w:rPr>
              <w:t>与资源利用上线符合性分析</w:t>
            </w:r>
          </w:p>
          <w:p w14:paraId="50A96DE8">
            <w:pPr>
              <w:keepNext w:val="0"/>
              <w:keepLines w:val="0"/>
              <w:suppressLineNumbers w:val="0"/>
              <w:adjustRightInd/>
              <w:spacing w:before="0" w:beforeAutospacing="0" w:after="0" w:afterAutospacing="0"/>
              <w:ind w:left="0" w:right="0" w:firstLine="480"/>
              <w:rPr>
                <w:rFonts w:hint="default"/>
                <w:szCs w:val="21"/>
              </w:rPr>
            </w:pPr>
            <w:r>
              <w:rPr>
                <w:rFonts w:hint="default"/>
                <w:szCs w:val="21"/>
              </w:rPr>
              <w:t>项目</w:t>
            </w:r>
            <w:r>
              <w:rPr>
                <w:rFonts w:hint="eastAsia"/>
                <w:szCs w:val="21"/>
              </w:rPr>
              <w:t>生产运营阶段用水量</w:t>
            </w:r>
            <w:r>
              <w:rPr>
                <w:rFonts w:hint="default"/>
                <w:szCs w:val="21"/>
              </w:rPr>
              <w:t>为</w:t>
            </w:r>
            <w:r>
              <w:rPr>
                <w:rFonts w:hint="eastAsia"/>
                <w:szCs w:val="21"/>
              </w:rPr>
              <w:t>4869.6</w:t>
            </w:r>
            <w:r>
              <w:rPr>
                <w:rFonts w:hint="default"/>
                <w:szCs w:val="21"/>
              </w:rPr>
              <w:t>m</w:t>
            </w:r>
            <w:r>
              <w:rPr>
                <w:rFonts w:hint="default"/>
                <w:szCs w:val="21"/>
                <w:vertAlign w:val="superscript"/>
              </w:rPr>
              <w:t>3</w:t>
            </w:r>
            <w:r>
              <w:rPr>
                <w:rFonts w:hint="eastAsia"/>
                <w:szCs w:val="21"/>
              </w:rPr>
              <w:t>/a（2</w:t>
            </w:r>
            <w:r>
              <w:rPr>
                <w:rFonts w:hint="eastAsia"/>
                <w:szCs w:val="21"/>
                <w:lang w:val="en-US" w:eastAsia="zh-CN"/>
              </w:rPr>
              <w:t>0.29</w:t>
            </w:r>
            <w:r>
              <w:rPr>
                <w:rFonts w:hint="default"/>
                <w:szCs w:val="21"/>
              </w:rPr>
              <w:t>m</w:t>
            </w:r>
            <w:r>
              <w:rPr>
                <w:rFonts w:hint="default"/>
                <w:szCs w:val="21"/>
                <w:vertAlign w:val="superscript"/>
              </w:rPr>
              <w:t>3</w:t>
            </w:r>
            <w:r>
              <w:rPr>
                <w:rFonts w:hint="eastAsia"/>
                <w:szCs w:val="21"/>
                <w:vertAlign w:val="superscript"/>
              </w:rPr>
              <w:t>/</w:t>
            </w:r>
            <w:r>
              <w:rPr>
                <w:rFonts w:hint="eastAsia"/>
                <w:szCs w:val="21"/>
              </w:rPr>
              <w:t>/d）</w:t>
            </w:r>
            <w:r>
              <w:rPr>
                <w:rFonts w:hint="default"/>
                <w:szCs w:val="21"/>
              </w:rPr>
              <w:t>，</w:t>
            </w:r>
            <w:r>
              <w:rPr>
                <w:rFonts w:hint="eastAsia"/>
                <w:szCs w:val="21"/>
              </w:rPr>
              <w:t>总</w:t>
            </w:r>
            <w:r>
              <w:rPr>
                <w:rFonts w:hint="default"/>
                <w:szCs w:val="21"/>
              </w:rPr>
              <w:t>用电量为</w:t>
            </w:r>
            <w:r>
              <w:rPr>
                <w:rFonts w:hint="eastAsia"/>
                <w:szCs w:val="21"/>
              </w:rPr>
              <w:t>15000</w:t>
            </w:r>
            <w:r>
              <w:rPr>
                <w:rFonts w:hint="default"/>
                <w:szCs w:val="21"/>
              </w:rPr>
              <w:t>0kW·h</w:t>
            </w:r>
            <w:r>
              <w:rPr>
                <w:rFonts w:hint="eastAsia"/>
                <w:szCs w:val="21"/>
              </w:rPr>
              <w:t>/a（625</w:t>
            </w:r>
            <w:r>
              <w:rPr>
                <w:rFonts w:hint="default"/>
                <w:szCs w:val="21"/>
              </w:rPr>
              <w:t>kW·h</w:t>
            </w:r>
            <w:r>
              <w:rPr>
                <w:rFonts w:hint="eastAsia"/>
                <w:szCs w:val="21"/>
              </w:rPr>
              <w:t>/d），用水及用电量较小。项目位于</w:t>
            </w:r>
            <w:r>
              <w:rPr>
                <w:rFonts w:hint="eastAsia"/>
              </w:rPr>
              <w:t>河北省承德市宽城满族自治县经济开发区</w:t>
            </w:r>
            <w:r>
              <w:rPr>
                <w:rFonts w:hint="eastAsia"/>
                <w:szCs w:val="21"/>
              </w:rPr>
              <w:t>，项目占地不涉及基本农田，不破坏其他土地资源，不突破区域土地利用上线。</w:t>
            </w:r>
            <w:r>
              <w:rPr>
                <w:rFonts w:hint="default"/>
                <w:szCs w:val="21"/>
              </w:rPr>
              <w:t>项目不属于高能耗类项目，不属于资源开发类项目，不涉及突破资源利用上线。</w:t>
            </w:r>
          </w:p>
          <w:p w14:paraId="0EEA309B">
            <w:pPr>
              <w:pStyle w:val="4"/>
              <w:keepNext w:val="0"/>
              <w:keepLines w:val="0"/>
              <w:numPr>
                <w:ilvl w:val="2"/>
                <w:numId w:val="5"/>
              </w:numPr>
              <w:suppressLineNumbers w:val="0"/>
              <w:tabs>
                <w:tab w:val="left" w:pos="0"/>
              </w:tabs>
              <w:spacing w:beforeAutospacing="0" w:afterAutospacing="0"/>
              <w:ind w:left="-242" w:leftChars="0" w:right="0" w:firstLine="720" w:firstLineChars="0"/>
              <w:rPr>
                <w:rFonts w:hint="default"/>
              </w:rPr>
            </w:pPr>
            <w:r>
              <w:rPr>
                <w:rFonts w:hint="default"/>
              </w:rPr>
              <w:t>与环境准入负面清单符合性分析</w:t>
            </w:r>
          </w:p>
          <w:p w14:paraId="49575D2F">
            <w:pPr>
              <w:keepNext w:val="0"/>
              <w:keepLines w:val="0"/>
              <w:suppressLineNumbers w:val="0"/>
              <w:adjustRightInd/>
              <w:spacing w:before="0" w:beforeAutospacing="0" w:after="0" w:afterAutospacing="0"/>
              <w:ind w:left="0" w:right="0" w:firstLine="480"/>
              <w:rPr>
                <w:rFonts w:hint="default"/>
              </w:rPr>
            </w:pPr>
            <w:r>
              <w:rPr>
                <w:rFonts w:hint="default"/>
              </w:rPr>
              <w:t>环境准入负面清单是基于生态保护红线、环境质量底线和资源利用上线，以清单方式列出的禁止、限制等差别化环境准入条件和要求</w:t>
            </w:r>
            <w:r>
              <w:rPr>
                <w:rFonts w:hint="eastAsia"/>
                <w:lang w:eastAsia="zh-CN"/>
              </w:rPr>
              <w:t>，</w:t>
            </w:r>
            <w:r>
              <w:rPr>
                <w:rFonts w:hint="default"/>
                <w:lang w:val="en-US" w:eastAsia="zh-CN"/>
              </w:rPr>
              <w:t>具体符合性分析见下面《承德市生态环境分区管控准入清单（2023年版）》符合性分析。</w:t>
            </w:r>
          </w:p>
          <w:p w14:paraId="379EBABA">
            <w:pPr>
              <w:pStyle w:val="4"/>
              <w:keepNext w:val="0"/>
              <w:keepLines w:val="0"/>
              <w:numPr>
                <w:ilvl w:val="2"/>
                <w:numId w:val="5"/>
              </w:numPr>
              <w:suppressLineNumbers w:val="0"/>
              <w:tabs>
                <w:tab w:val="left" w:pos="0"/>
              </w:tabs>
              <w:spacing w:beforeAutospacing="0" w:afterAutospacing="0"/>
              <w:ind w:left="-242" w:leftChars="0" w:right="0" w:firstLine="720" w:firstLineChars="0"/>
              <w:rPr>
                <w:rFonts w:hint="default" w:ascii="Times New Roman" w:hAnsi="Times New Roman" w:eastAsia="宋体" w:cs="Times New Roman"/>
              </w:rPr>
            </w:pPr>
            <w:r>
              <w:rPr>
                <w:rFonts w:hint="default" w:ascii="Times New Roman" w:hAnsi="Times New Roman" w:eastAsia="宋体" w:cs="Times New Roman"/>
              </w:rPr>
              <w:t>《承德市生态环境分区管控准入清单（2023年版）》</w:t>
            </w:r>
            <w:r>
              <w:rPr>
                <w:rFonts w:hint="eastAsia" w:ascii="Times New Roman" w:hAnsi="Times New Roman" w:eastAsia="宋体" w:cs="Times New Roman"/>
                <w:lang w:val="en-US" w:eastAsia="zh-CN"/>
              </w:rPr>
              <w:t>符合性分析</w:t>
            </w:r>
          </w:p>
          <w:p w14:paraId="5F6E4590">
            <w:pPr>
              <w:keepNext w:val="0"/>
              <w:keepLines w:val="0"/>
              <w:suppressLineNumbers w:val="0"/>
              <w:spacing w:before="0" w:beforeAutospacing="0" w:after="0" w:afterAutospacing="0"/>
              <w:ind w:left="0" w:right="0" w:firstLine="480"/>
              <w:rPr>
                <w:rFonts w:hint="default"/>
              </w:rPr>
            </w:pPr>
            <w:r>
              <w:rPr>
                <w:rFonts w:hint="default"/>
              </w:rPr>
              <w:t>2024年5月27日，承德市人民政府发布了</w:t>
            </w:r>
            <w:r>
              <w:rPr>
                <w:rFonts w:hint="eastAsia" w:ascii="宋体" w:hAnsi="宋体" w:cs="宋体"/>
              </w:rPr>
              <w:t>“</w:t>
            </w:r>
            <w:r>
              <w:rPr>
                <w:rFonts w:hint="default"/>
              </w:rPr>
              <w:t>承德市人民政府关于发布</w:t>
            </w:r>
            <w:r>
              <w:rPr>
                <w:rFonts w:hint="eastAsia"/>
                <w:lang w:eastAsia="zh-CN"/>
              </w:rPr>
              <w:t>《承德市生态环境分区管控准入清单（2023年版）》</w:t>
            </w:r>
            <w:r>
              <w:rPr>
                <w:rFonts w:hint="default"/>
              </w:rPr>
              <w:t>的通知</w:t>
            </w:r>
            <w:r>
              <w:rPr>
                <w:rFonts w:hint="eastAsia" w:ascii="宋体" w:hAnsi="宋体" w:cs="宋体"/>
              </w:rPr>
              <w:t>”</w:t>
            </w:r>
            <w:r>
              <w:rPr>
                <w:rFonts w:hint="default"/>
              </w:rPr>
              <w:t>，对照通知中附件《承德市生态环境分区管控准入清单》（2023年版）判定项目与环境准入清单的符合性。</w:t>
            </w:r>
          </w:p>
          <w:p w14:paraId="246F96E8">
            <w:pPr>
              <w:keepNext w:val="0"/>
              <w:keepLines w:val="0"/>
              <w:numPr>
                <w:ilvl w:val="3"/>
                <w:numId w:val="6"/>
              </w:numPr>
              <w:suppressLineNumbers w:val="0"/>
              <w:spacing w:before="0" w:beforeAutospacing="0" w:after="0" w:afterAutospacing="0"/>
              <w:ind w:right="0" w:firstLine="480"/>
              <w:rPr>
                <w:rFonts w:hint="default"/>
              </w:rPr>
            </w:pPr>
            <w:r>
              <w:rPr>
                <w:rFonts w:hint="eastAsia" w:ascii="宋体" w:hAnsi="宋体" w:cs="宋体"/>
                <w:lang w:bidi="ar"/>
              </w:rPr>
              <w:t>生态空间总体要求</w:t>
            </w:r>
          </w:p>
          <w:p w14:paraId="4B87485F">
            <w:pPr>
              <w:keepNext w:val="0"/>
              <w:keepLines w:val="0"/>
              <w:numPr>
                <w:ilvl w:val="0"/>
                <w:numId w:val="0"/>
              </w:numPr>
              <w:suppressLineNumbers w:val="0"/>
              <w:tabs>
                <w:tab w:val="left" w:pos="0"/>
              </w:tabs>
              <w:spacing w:before="0" w:beforeAutospacing="0" w:after="0" w:afterAutospacing="0"/>
              <w:ind w:left="480" w:leftChars="200" w:right="0"/>
              <w:rPr>
                <w:rFonts w:hint="default"/>
              </w:rPr>
            </w:pPr>
            <w:r>
              <w:rPr>
                <w:rFonts w:hint="eastAsia"/>
              </w:rPr>
              <w:t>本项目</w:t>
            </w:r>
            <w:r>
              <w:rPr>
                <w:rFonts w:hint="eastAsia"/>
                <w:lang w:val="en-US" w:eastAsia="zh-CN"/>
              </w:rPr>
              <w:t>位于</w:t>
            </w:r>
            <w:r>
              <w:rPr>
                <w:rFonts w:hint="eastAsia"/>
              </w:rPr>
              <w:t>生态空间一般管控区，不涉及生态保护红线和一般生态空间。</w:t>
            </w:r>
          </w:p>
          <w:p w14:paraId="0D2EBE24">
            <w:pPr>
              <w:keepNext w:val="0"/>
              <w:keepLines w:val="0"/>
              <w:numPr>
                <w:ilvl w:val="3"/>
                <w:numId w:val="6"/>
              </w:numPr>
              <w:suppressLineNumbers w:val="0"/>
              <w:spacing w:before="0" w:beforeAutospacing="0" w:after="0" w:afterAutospacing="0"/>
              <w:ind w:right="0" w:firstLine="480"/>
              <w:rPr>
                <w:rFonts w:hint="default"/>
              </w:rPr>
            </w:pPr>
            <w:r>
              <w:rPr>
                <w:rFonts w:hint="eastAsia" w:ascii="宋体" w:hAnsi="宋体" w:cs="宋体"/>
                <w:lang w:bidi="ar"/>
              </w:rPr>
              <w:t>水环境总体要求</w:t>
            </w:r>
          </w:p>
          <w:p w14:paraId="448D052F">
            <w:pPr>
              <w:keepNext w:val="0"/>
              <w:keepLines w:val="0"/>
              <w:suppressLineNumbers w:val="0"/>
              <w:spacing w:before="0" w:beforeAutospacing="0" w:after="0" w:afterAutospacing="0"/>
              <w:ind w:left="0" w:right="0" w:firstLine="480"/>
              <w:rPr>
                <w:rFonts w:hint="default" w:cs="宋体"/>
              </w:rPr>
            </w:pPr>
            <w:r>
              <w:rPr>
                <w:rFonts w:hint="eastAsia" w:ascii="宋体" w:hAnsi="宋体" w:cs="宋体"/>
                <w:lang w:bidi="ar"/>
              </w:rPr>
              <w:t>项目与水环境总体要求符合性分析见下表。</w:t>
            </w:r>
          </w:p>
          <w:p w14:paraId="710CC01A">
            <w:pPr>
              <w:keepNext w:val="0"/>
              <w:keepLines w:val="0"/>
              <w:numPr>
                <w:ilvl w:val="0"/>
                <w:numId w:val="4"/>
              </w:numPr>
              <w:suppressLineNumbers w:val="0"/>
              <w:adjustRightInd/>
              <w:spacing w:before="0" w:beforeAutospacing="0" w:after="0" w:afterAutospacing="0"/>
              <w:ind w:left="0" w:right="0" w:firstLine="0" w:firstLineChars="0"/>
              <w:jc w:val="center"/>
              <w:rPr>
                <w:rFonts w:hint="default" w:cs="宋体"/>
                <w:b/>
                <w:sz w:val="21"/>
                <w:szCs w:val="21"/>
              </w:rPr>
            </w:pPr>
            <w:r>
              <w:rPr>
                <w:rFonts w:hint="eastAsia" w:ascii="宋体" w:hAnsi="宋体" w:cs="宋体"/>
                <w:b/>
                <w:sz w:val="21"/>
                <w:szCs w:val="21"/>
              </w:rPr>
              <w:t>项目与水环境总体要求符合性分析表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4123"/>
              <w:gridCol w:w="2073"/>
              <w:gridCol w:w="676"/>
            </w:tblGrid>
            <w:tr w14:paraId="67B06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1329218">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b/>
                      <w:bCs/>
                      <w:kern w:val="2"/>
                      <w:sz w:val="21"/>
                      <w:szCs w:val="21"/>
                    </w:rPr>
                  </w:pPr>
                  <w:r>
                    <w:rPr>
                      <w:rFonts w:hint="eastAsia" w:cs="宋体"/>
                      <w:b/>
                      <w:bCs/>
                      <w:kern w:val="2"/>
                      <w:sz w:val="21"/>
                      <w:szCs w:val="21"/>
                      <w:lang w:bidi="ar"/>
                    </w:rPr>
                    <w:t>管控纬度</w:t>
                  </w:r>
                </w:p>
              </w:tc>
              <w:tc>
                <w:tcPr>
                  <w:tcW w:w="4123" w:type="dxa"/>
                  <w:tcBorders>
                    <w:top w:val="single" w:color="auto" w:sz="4" w:space="0"/>
                    <w:left w:val="nil"/>
                    <w:bottom w:val="single" w:color="auto" w:sz="4" w:space="0"/>
                    <w:right w:val="single" w:color="auto" w:sz="4" w:space="0"/>
                  </w:tcBorders>
                  <w:shd w:val="clear" w:color="auto" w:fill="auto"/>
                  <w:vAlign w:val="center"/>
                </w:tcPr>
                <w:p w14:paraId="5C1B64E1">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b/>
                      <w:bCs/>
                      <w:kern w:val="2"/>
                      <w:sz w:val="21"/>
                      <w:szCs w:val="21"/>
                    </w:rPr>
                  </w:pPr>
                  <w:r>
                    <w:rPr>
                      <w:rFonts w:hint="eastAsia" w:cs="宋体"/>
                      <w:b/>
                      <w:bCs/>
                      <w:kern w:val="2"/>
                      <w:sz w:val="21"/>
                      <w:szCs w:val="21"/>
                      <w:lang w:bidi="ar"/>
                    </w:rPr>
                    <w:t>管控要求</w:t>
                  </w:r>
                </w:p>
              </w:tc>
              <w:tc>
                <w:tcPr>
                  <w:tcW w:w="2073" w:type="dxa"/>
                  <w:tcBorders>
                    <w:top w:val="single" w:color="auto" w:sz="4" w:space="0"/>
                    <w:left w:val="nil"/>
                    <w:bottom w:val="single" w:color="auto" w:sz="4" w:space="0"/>
                    <w:right w:val="single" w:color="auto" w:sz="4" w:space="0"/>
                  </w:tcBorders>
                  <w:shd w:val="clear" w:color="auto" w:fill="auto"/>
                  <w:vAlign w:val="center"/>
                </w:tcPr>
                <w:p w14:paraId="21F9F47D">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b/>
                      <w:bCs/>
                      <w:kern w:val="2"/>
                      <w:sz w:val="21"/>
                      <w:szCs w:val="21"/>
                    </w:rPr>
                  </w:pPr>
                  <w:r>
                    <w:rPr>
                      <w:rFonts w:hint="eastAsia" w:cs="宋体"/>
                      <w:b/>
                      <w:bCs/>
                      <w:kern w:val="2"/>
                      <w:sz w:val="21"/>
                      <w:szCs w:val="21"/>
                      <w:lang w:bidi="ar"/>
                    </w:rPr>
                    <w:t>本项目情况</w:t>
                  </w:r>
                </w:p>
              </w:tc>
              <w:tc>
                <w:tcPr>
                  <w:tcW w:w="676" w:type="dxa"/>
                  <w:tcBorders>
                    <w:top w:val="single" w:color="auto" w:sz="4" w:space="0"/>
                    <w:left w:val="nil"/>
                    <w:bottom w:val="single" w:color="auto" w:sz="4" w:space="0"/>
                    <w:right w:val="single" w:color="auto" w:sz="4" w:space="0"/>
                  </w:tcBorders>
                  <w:shd w:val="clear" w:color="auto" w:fill="auto"/>
                  <w:vAlign w:val="center"/>
                </w:tcPr>
                <w:p w14:paraId="0D2536B4">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b/>
                      <w:bCs/>
                      <w:kern w:val="2"/>
                      <w:sz w:val="21"/>
                      <w:szCs w:val="21"/>
                    </w:rPr>
                  </w:pPr>
                  <w:r>
                    <w:rPr>
                      <w:rFonts w:hint="eastAsia" w:cs="宋体"/>
                      <w:b/>
                      <w:bCs/>
                      <w:kern w:val="2"/>
                      <w:sz w:val="21"/>
                      <w:szCs w:val="21"/>
                      <w:lang w:bidi="ar"/>
                    </w:rPr>
                    <w:t>符合性</w:t>
                  </w:r>
                </w:p>
              </w:tc>
            </w:tr>
            <w:tr w14:paraId="71C5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4B8AFD7">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空间布局优化</w:t>
                  </w:r>
                </w:p>
              </w:tc>
              <w:tc>
                <w:tcPr>
                  <w:tcW w:w="4123" w:type="dxa"/>
                  <w:tcBorders>
                    <w:top w:val="single" w:color="auto" w:sz="4" w:space="0"/>
                    <w:left w:val="nil"/>
                    <w:bottom w:val="single" w:color="auto" w:sz="4" w:space="0"/>
                    <w:right w:val="single" w:color="auto" w:sz="4" w:space="0"/>
                  </w:tcBorders>
                  <w:shd w:val="clear" w:color="auto" w:fill="auto"/>
                  <w:vAlign w:val="center"/>
                </w:tcPr>
                <w:p w14:paraId="6C3EB2F4">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1.</w:t>
                  </w:r>
                  <w:r>
                    <w:rPr>
                      <w:rFonts w:hint="eastAsia" w:cs="宋体"/>
                      <w:kern w:val="2"/>
                      <w:sz w:val="21"/>
                      <w:szCs w:val="21"/>
                      <w:lang w:bidi="ar"/>
                    </w:rPr>
                    <w:t>饮用水源地保护区应遵循《河北省水资源管理条例》、《河北省水污染防治条例》等相关法律法规规定要求。</w:t>
                  </w:r>
                </w:p>
                <w:p w14:paraId="3C64318D">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2.</w:t>
                  </w:r>
                  <w:r>
                    <w:rPr>
                      <w:rFonts w:hint="eastAsia" w:cs="宋体"/>
                      <w:kern w:val="2"/>
                      <w:sz w:val="21"/>
                      <w:szCs w:val="21"/>
                      <w:lang w:bidi="ar"/>
                    </w:rPr>
                    <w:t>新建企业原则上均应建在工业集聚区。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p w14:paraId="6ACDD240">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3.</w:t>
                  </w:r>
                  <w:r>
                    <w:rPr>
                      <w:rFonts w:hint="eastAsia" w:cs="宋体"/>
                      <w:kern w:val="2"/>
                      <w:sz w:val="21"/>
                      <w:szCs w:val="21"/>
                      <w:lang w:bidi="ar"/>
                    </w:rPr>
                    <w:t>各产业集聚区内应限制建设不符合产业定位的项目。</w:t>
                  </w:r>
                </w:p>
                <w:p w14:paraId="7507CDE5">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4.</w:t>
                  </w:r>
                  <w:r>
                    <w:rPr>
                      <w:rFonts w:hint="eastAsia" w:cs="宋体"/>
                      <w:kern w:val="2"/>
                      <w:sz w:val="21"/>
                      <w:szCs w:val="21"/>
                      <w:lang w:bidi="ar"/>
                    </w:rPr>
                    <w:t>禁止向水域倾倒工业废渣、城市垃圾、粪便及其它废弃物。</w:t>
                  </w:r>
                </w:p>
                <w:p w14:paraId="4772B2B7">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5.</w:t>
                  </w:r>
                  <w:r>
                    <w:rPr>
                      <w:rFonts w:hint="eastAsia" w:cs="宋体"/>
                      <w:kern w:val="2"/>
                      <w:sz w:val="21"/>
                      <w:szCs w:val="21"/>
                      <w:lang w:bidi="ar"/>
                    </w:rPr>
                    <w:t>科学划定禁养区、限养区，禁止在禁养区内新建、改扩建各类畜禽养殖场，现有项目应限期搬迁。</w:t>
                  </w:r>
                </w:p>
                <w:p w14:paraId="163EFF4F">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6.</w:t>
                  </w:r>
                  <w:r>
                    <w:rPr>
                      <w:rFonts w:hint="eastAsia" w:cs="宋体"/>
                      <w:kern w:val="2"/>
                      <w:sz w:val="21"/>
                      <w:szCs w:val="21"/>
                      <w:lang w:bidi="ar"/>
                    </w:rPr>
                    <w:t>新建冶金、电镀、有色金属、化工、印染、制革、原料药制造等企业，原则上布局在符合产业定位的园区，其排放的污水由园区污水处理厂集中处理。</w:t>
                  </w:r>
                </w:p>
                <w:p w14:paraId="09D53199">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7.</w:t>
                  </w:r>
                  <w:r>
                    <w:rPr>
                      <w:rFonts w:hint="eastAsia" w:cs="宋体"/>
                      <w:kern w:val="2"/>
                      <w:sz w:val="21"/>
                      <w:szCs w:val="21"/>
                      <w:lang w:bidi="ar"/>
                    </w:rPr>
                    <w:t>一般工业固体废物贮存场、填埋场不得选在生态保护红线区域、永久基本农田集中区域和其他需要特别保护的区域内，应避开活动断层、溶洞区、天然滑坡或泥石流影响区以及湿地等区域，不得选在江河、湖泊、运河、渠道、水库最高水位线以下的滩地和岸坡，以及国家和地方长远规划中的水库等人工蓄水设施的淹没区和保护区之内。</w:t>
                  </w:r>
                </w:p>
              </w:tc>
              <w:tc>
                <w:tcPr>
                  <w:tcW w:w="2073" w:type="dxa"/>
                  <w:tcBorders>
                    <w:top w:val="single" w:color="auto" w:sz="4" w:space="0"/>
                    <w:left w:val="nil"/>
                    <w:bottom w:val="single" w:color="auto" w:sz="4" w:space="0"/>
                    <w:right w:val="single" w:color="auto" w:sz="4" w:space="0"/>
                  </w:tcBorders>
                  <w:shd w:val="clear" w:color="auto" w:fill="auto"/>
                  <w:vAlign w:val="center"/>
                </w:tcPr>
                <w:p w14:paraId="52DC8163">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1.</w:t>
                  </w:r>
                  <w:r>
                    <w:rPr>
                      <w:rFonts w:hint="eastAsia" w:cs="宋体"/>
                      <w:kern w:val="2"/>
                      <w:sz w:val="21"/>
                      <w:szCs w:val="21"/>
                      <w:lang w:bidi="ar"/>
                    </w:rPr>
                    <w:t>项目位于河北省承德市宽城满族自治县宽城经济开发区，项目所在位置不涉及饮用水源地保护区；</w:t>
                  </w:r>
                </w:p>
                <w:p w14:paraId="705CA5C1">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2.</w:t>
                  </w:r>
                  <w:r>
                    <w:rPr>
                      <w:rFonts w:hint="eastAsia" w:cs="宋体"/>
                      <w:kern w:val="2"/>
                      <w:sz w:val="21"/>
                      <w:szCs w:val="21"/>
                      <w:lang w:bidi="ar"/>
                    </w:rPr>
                    <w:t>本项目位于河北宽城经济开发区内；</w:t>
                  </w:r>
                </w:p>
                <w:p w14:paraId="2D4FC172">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3.</w:t>
                  </w:r>
                  <w:r>
                    <w:rPr>
                      <w:rFonts w:hint="eastAsia" w:cs="宋体"/>
                      <w:kern w:val="2"/>
                      <w:sz w:val="21"/>
                      <w:szCs w:val="21"/>
                      <w:lang w:bidi="ar"/>
                    </w:rPr>
                    <w:t>本项目选址为河北省承德市宽城满族自治县宽城经济开发区，符合河北宽城经济开发区产业定位；</w:t>
                  </w:r>
                </w:p>
                <w:p w14:paraId="67BCEE48">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4.</w:t>
                  </w:r>
                  <w:r>
                    <w:rPr>
                      <w:rFonts w:hint="eastAsia" w:cs="宋体"/>
                      <w:kern w:val="2"/>
                      <w:sz w:val="21"/>
                      <w:szCs w:val="21"/>
                      <w:lang w:bidi="ar"/>
                    </w:rPr>
                    <w:t>项目不向水域倾倒工业废渣、城市垃圾、粪便及其它废弃物，项目固体废物均妥善处置；</w:t>
                  </w:r>
                </w:p>
                <w:p w14:paraId="560E1F04">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5.</w:t>
                  </w:r>
                  <w:r>
                    <w:rPr>
                      <w:rFonts w:hint="eastAsia" w:cs="宋体"/>
                      <w:kern w:val="2"/>
                      <w:sz w:val="21"/>
                      <w:szCs w:val="21"/>
                      <w:lang w:bidi="ar"/>
                    </w:rPr>
                    <w:t>不涉及；</w:t>
                  </w:r>
                </w:p>
                <w:p w14:paraId="76C8B4A4">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6.</w:t>
                  </w:r>
                  <w:r>
                    <w:rPr>
                      <w:rFonts w:hint="eastAsia" w:cs="宋体"/>
                      <w:kern w:val="2"/>
                      <w:sz w:val="21"/>
                      <w:szCs w:val="21"/>
                      <w:lang w:bidi="ar"/>
                    </w:rPr>
                    <w:t>项目为水泥制品制造项目，不属于冶金、电镀、有色金属、化工、印染、制革、原料药制造等行业；</w:t>
                  </w:r>
                </w:p>
                <w:p w14:paraId="0CC6EFC4">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7.</w:t>
                  </w:r>
                  <w:r>
                    <w:rPr>
                      <w:rFonts w:hint="eastAsia" w:cs="宋体"/>
                      <w:kern w:val="2"/>
                      <w:sz w:val="21"/>
                      <w:szCs w:val="21"/>
                      <w:lang w:bidi="ar"/>
                    </w:rPr>
                    <w:t>不涉及；</w:t>
                  </w:r>
                </w:p>
              </w:tc>
              <w:tc>
                <w:tcPr>
                  <w:tcW w:w="676" w:type="dxa"/>
                  <w:tcBorders>
                    <w:top w:val="single" w:color="auto" w:sz="4" w:space="0"/>
                    <w:left w:val="nil"/>
                    <w:bottom w:val="single" w:color="auto" w:sz="4" w:space="0"/>
                    <w:right w:val="single" w:color="auto" w:sz="4" w:space="0"/>
                  </w:tcBorders>
                  <w:shd w:val="clear" w:color="auto" w:fill="auto"/>
                  <w:vAlign w:val="center"/>
                </w:tcPr>
                <w:p w14:paraId="46E8F32A">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符合</w:t>
                  </w:r>
                </w:p>
              </w:tc>
            </w:tr>
            <w:tr w14:paraId="0335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096CCD0">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污染排放管控</w:t>
                  </w:r>
                </w:p>
              </w:tc>
              <w:tc>
                <w:tcPr>
                  <w:tcW w:w="4123" w:type="dxa"/>
                  <w:tcBorders>
                    <w:top w:val="single" w:color="auto" w:sz="4" w:space="0"/>
                    <w:left w:val="nil"/>
                    <w:bottom w:val="single" w:color="auto" w:sz="4" w:space="0"/>
                    <w:right w:val="single" w:color="auto" w:sz="4" w:space="0"/>
                  </w:tcBorders>
                  <w:shd w:val="clear" w:color="auto" w:fill="auto"/>
                  <w:vAlign w:val="center"/>
                </w:tcPr>
                <w:p w14:paraId="743C0C92">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1.</w:t>
                  </w:r>
                  <w:r>
                    <w:rPr>
                      <w:rFonts w:hint="eastAsia" w:cs="宋体"/>
                      <w:kern w:val="2"/>
                      <w:sz w:val="21"/>
                      <w:szCs w:val="21"/>
                      <w:lang w:bidi="ar"/>
                    </w:rPr>
                    <w:t>禁止建设不符合国家产业政策和行业准入条件的工业项目。</w:t>
                  </w:r>
                </w:p>
                <w:p w14:paraId="3EBB220B">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2.</w:t>
                  </w:r>
                  <w:r>
                    <w:rPr>
                      <w:rFonts w:hint="eastAsia" w:cs="宋体"/>
                      <w:kern w:val="2"/>
                      <w:sz w:val="21"/>
                      <w:szCs w:val="21"/>
                      <w:lang w:bidi="ar"/>
                    </w:rPr>
                    <w:t>现有及新建企业污染排放应满足排污可证要求。未发放排污许可证企业满足行业排放标准与总量控制要求。国家规定期限范围内前未获得排污许可证的企业应关停退出。</w:t>
                  </w:r>
                </w:p>
                <w:p w14:paraId="2C15D424">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3.</w:t>
                  </w:r>
                  <w:r>
                    <w:rPr>
                      <w:rFonts w:hint="eastAsia" w:cs="宋体"/>
                      <w:kern w:val="2"/>
                      <w:sz w:val="21"/>
                      <w:szCs w:val="21"/>
                      <w:lang w:bidi="ar"/>
                    </w:rPr>
                    <w:t>造纸、焦化、氮肥、石油化工、印染、农副食品加工、原料药制造、制革、农药、电镀等“十大”重点行业，新建、改建、扩建项目实行新增主要污染物排放倍量替换。</w:t>
                  </w:r>
                </w:p>
                <w:p w14:paraId="5C78423E">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4.</w:t>
                  </w:r>
                  <w:r>
                    <w:rPr>
                      <w:rFonts w:hint="eastAsia" w:cs="宋体"/>
                      <w:kern w:val="2"/>
                      <w:sz w:val="21"/>
                      <w:szCs w:val="21"/>
                      <w:lang w:bidi="ar"/>
                    </w:rPr>
                    <w:t>新建污水处理设施及其配套管网应同步设计、同步建设、同步投运。纳管企业应当防止、减少环境污染和生态破坏，按照国家有关规定申领排污许可证，持证排污、按证排污，对所造成的损害依法承担责任。一是按照国家有关规定对工业污水进行预处理，相关标准规定的第一类污染物及其他有毒有害污染物，应在车间或车间处理设施排放口处理达标；其他污染物达到集中处理设施处理工艺要求后方可排放。二是依法按照相关技术规范开展自行监测并主动公开污染物排放信息，自觉接受监督。属于水环境重点排污单位的，还须依法安装使用自动监测设备，并与当地生态环境部门、运营单位共享数据。三是根据《污水处理费征收使用管理办法》（财税〔</w:t>
                  </w:r>
                  <w:r>
                    <w:rPr>
                      <w:rFonts w:hint="default" w:ascii="Times New Roman" w:hAnsi="Times New Roman"/>
                      <w:kern w:val="2"/>
                      <w:sz w:val="21"/>
                      <w:szCs w:val="21"/>
                      <w:lang w:bidi="ar"/>
                    </w:rPr>
                    <w:t>2014</w:t>
                  </w:r>
                  <w:r>
                    <w:rPr>
                      <w:rFonts w:hint="eastAsia" w:cs="宋体"/>
                      <w:kern w:val="2"/>
                      <w:sz w:val="21"/>
                      <w:szCs w:val="21"/>
                      <w:lang w:bidi="ar"/>
                    </w:rPr>
                    <w:t>〕</w:t>
                  </w:r>
                  <w:r>
                    <w:rPr>
                      <w:rFonts w:hint="default" w:ascii="Times New Roman" w:hAnsi="Times New Roman"/>
                      <w:kern w:val="2"/>
                      <w:sz w:val="21"/>
                      <w:szCs w:val="21"/>
                      <w:lang w:bidi="ar"/>
                    </w:rPr>
                    <w:t>151</w:t>
                  </w:r>
                  <w:r>
                    <w:rPr>
                      <w:rFonts w:hint="eastAsia" w:cs="宋体"/>
                      <w:kern w:val="2"/>
                      <w:sz w:val="21"/>
                      <w:szCs w:val="21"/>
                      <w:lang w:bidi="ar"/>
                    </w:rPr>
                    <w:t>号）、委托处理合同等，及时足额缴纳污水处理相关费用。四是发生事故致使排放的污水可能危及污水处理厂安全运行时，应当立即启动应急预案，采取应急措施消除危害，通知运营单位并向生态环境部门及相关主管部门报告。</w:t>
                  </w:r>
                </w:p>
                <w:p w14:paraId="0C922436">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5.</w:t>
                  </w:r>
                  <w:r>
                    <w:rPr>
                      <w:rFonts w:hint="eastAsia" w:cs="宋体"/>
                      <w:kern w:val="2"/>
                      <w:sz w:val="21"/>
                      <w:szCs w:val="21"/>
                      <w:lang w:bidi="ar"/>
                    </w:rPr>
                    <w:t>新建、改建、扩建污水处理项目环境影响评价，要将服务范围内污水调查情况作为重要内容。</w:t>
                  </w:r>
                </w:p>
                <w:p w14:paraId="5D83DD5E">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6.</w:t>
                  </w:r>
                  <w:r>
                    <w:rPr>
                      <w:rFonts w:hint="eastAsia" w:cs="宋体"/>
                      <w:kern w:val="2"/>
                      <w:sz w:val="21"/>
                      <w:szCs w:val="21"/>
                      <w:lang w:bidi="ar"/>
                    </w:rPr>
                    <w:t>一般工业固体废物贮存场、填埋场的选址、建设、运行、封场、土地复垦等过程的环境保护要求，以及替代贮存、填埋处置的一般工业固体废物充填及回填利用环境保护要求应执行《一般工业固体废物贮存和填埋污染控制标准》（</w:t>
                  </w:r>
                  <w:r>
                    <w:rPr>
                      <w:rFonts w:hint="default" w:ascii="Times New Roman" w:hAnsi="Times New Roman"/>
                      <w:kern w:val="2"/>
                      <w:sz w:val="21"/>
                      <w:szCs w:val="21"/>
                      <w:lang w:bidi="ar"/>
                    </w:rPr>
                    <w:t>GB18599-2020</w:t>
                  </w:r>
                  <w:r>
                    <w:rPr>
                      <w:rFonts w:hint="eastAsia" w:cs="宋体"/>
                      <w:kern w:val="2"/>
                      <w:sz w:val="21"/>
                      <w:szCs w:val="21"/>
                      <w:lang w:bidi="ar"/>
                    </w:rPr>
                    <w:t>）。</w:t>
                  </w:r>
                </w:p>
                <w:p w14:paraId="26D0505E">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7.</w:t>
                  </w:r>
                  <w:r>
                    <w:rPr>
                      <w:rFonts w:hint="eastAsia" w:cs="宋体"/>
                      <w:kern w:val="2"/>
                      <w:sz w:val="21"/>
                      <w:szCs w:val="21"/>
                      <w:lang w:bidi="ar"/>
                    </w:rPr>
                    <w:t>新建危险废物填埋场的建设、运行、封场及封场后环境管理过程的污染控制，现有危险废物填埋场的入场要求、运行要求、污染物排放要求、封场及封场后环境管理要求应满足《危险废物填埋污染控制标准》（</w:t>
                  </w:r>
                  <w:r>
                    <w:rPr>
                      <w:rFonts w:hint="default" w:ascii="Times New Roman" w:hAnsi="Times New Roman"/>
                      <w:kern w:val="2"/>
                      <w:sz w:val="21"/>
                      <w:szCs w:val="21"/>
                      <w:lang w:bidi="ar"/>
                    </w:rPr>
                    <w:t>GB18598-2019</w:t>
                  </w:r>
                  <w:r>
                    <w:rPr>
                      <w:rFonts w:hint="eastAsia" w:cs="宋体"/>
                      <w:kern w:val="2"/>
                      <w:sz w:val="21"/>
                      <w:szCs w:val="21"/>
                      <w:lang w:bidi="ar"/>
                    </w:rPr>
                    <w:t>）。</w:t>
                  </w:r>
                </w:p>
                <w:p w14:paraId="20A7EB3C">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cs="宋体"/>
                      <w:kern w:val="2"/>
                      <w:sz w:val="21"/>
                      <w:szCs w:val="21"/>
                      <w:lang w:bidi="ar"/>
                    </w:rPr>
                    <w:t>8.</w:t>
                  </w:r>
                  <w:r>
                    <w:rPr>
                      <w:rFonts w:hint="eastAsia" w:cs="宋体"/>
                      <w:kern w:val="2"/>
                      <w:sz w:val="21"/>
                      <w:szCs w:val="21"/>
                      <w:lang w:bidi="ar"/>
                    </w:rPr>
                    <w:t>将潮河干流流经的古北口镇、高岭镇、太师屯镇、黄旗镇、土城镇、大阁镇、南关蒙古族乡、胡麻营镇、黑山咀镇、天桥镇、虎什哈镇、付家店满族乡、巴克什营镇等乡镇划为重点化肥农药减量区，其他区域划为一般化肥减量区。</w:t>
                  </w:r>
                  <w:r>
                    <w:rPr>
                      <w:rFonts w:hint="default" w:ascii="Times New Roman" w:hAnsi="Times New Roman" w:cs="宋体"/>
                      <w:kern w:val="2"/>
                      <w:sz w:val="21"/>
                      <w:szCs w:val="21"/>
                      <w:lang w:bidi="ar"/>
                    </w:rPr>
                    <w:t>2025</w:t>
                  </w:r>
                  <w:r>
                    <w:rPr>
                      <w:rFonts w:hint="eastAsia" w:cs="宋体"/>
                      <w:kern w:val="2"/>
                      <w:sz w:val="21"/>
                      <w:szCs w:val="21"/>
                      <w:lang w:bidi="ar"/>
                    </w:rPr>
                    <w:t>年底前，流域内化肥农药施用总量降低</w:t>
                  </w:r>
                  <w:r>
                    <w:rPr>
                      <w:rFonts w:hint="default" w:ascii="Times New Roman" w:hAnsi="Times New Roman" w:cs="宋体"/>
                      <w:kern w:val="2"/>
                      <w:sz w:val="21"/>
                      <w:szCs w:val="21"/>
                      <w:lang w:bidi="ar"/>
                    </w:rPr>
                    <w:t>20%</w:t>
                  </w:r>
                  <w:r>
                    <w:rPr>
                      <w:rFonts w:hint="eastAsia" w:cs="宋体"/>
                      <w:kern w:val="2"/>
                      <w:sz w:val="21"/>
                      <w:szCs w:val="21"/>
                      <w:lang w:bidi="ar"/>
                    </w:rPr>
                    <w:t>以上。</w:t>
                  </w:r>
                </w:p>
                <w:p w14:paraId="64F82267">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cs="宋体"/>
                      <w:kern w:val="2"/>
                      <w:sz w:val="21"/>
                      <w:szCs w:val="21"/>
                      <w:lang w:bidi="ar"/>
                    </w:rPr>
                    <w:t>9.2025</w:t>
                  </w:r>
                  <w:r>
                    <w:rPr>
                      <w:rFonts w:hint="eastAsia" w:cs="宋体"/>
                      <w:kern w:val="2"/>
                      <w:sz w:val="21"/>
                      <w:szCs w:val="21"/>
                      <w:lang w:bidi="ar"/>
                    </w:rPr>
                    <w:t>年，承德市化学需氧量重点工程减排量</w:t>
                  </w:r>
                  <w:r>
                    <w:rPr>
                      <w:rFonts w:hint="default" w:ascii="Times New Roman" w:hAnsi="Times New Roman" w:cs="宋体"/>
                      <w:kern w:val="2"/>
                      <w:sz w:val="21"/>
                      <w:szCs w:val="21"/>
                      <w:lang w:bidi="ar"/>
                    </w:rPr>
                    <w:t>1.27</w:t>
                  </w:r>
                  <w:r>
                    <w:rPr>
                      <w:rFonts w:hint="eastAsia" w:cs="宋体"/>
                      <w:kern w:val="2"/>
                      <w:sz w:val="21"/>
                      <w:szCs w:val="21"/>
                      <w:lang w:bidi="ar"/>
                    </w:rPr>
                    <w:t>万吨、氨氮重点工程减排量</w:t>
                  </w:r>
                  <w:r>
                    <w:rPr>
                      <w:rFonts w:hint="default" w:ascii="Times New Roman" w:hAnsi="Times New Roman" w:cs="宋体"/>
                      <w:kern w:val="2"/>
                      <w:sz w:val="21"/>
                      <w:szCs w:val="21"/>
                      <w:lang w:bidi="ar"/>
                    </w:rPr>
                    <w:t>0.041</w:t>
                  </w:r>
                  <w:r>
                    <w:rPr>
                      <w:rFonts w:hint="eastAsia" w:cs="宋体"/>
                      <w:kern w:val="2"/>
                      <w:sz w:val="21"/>
                      <w:szCs w:val="21"/>
                      <w:lang w:bidi="ar"/>
                    </w:rPr>
                    <w:t>万吨。</w:t>
                  </w:r>
                </w:p>
              </w:tc>
              <w:tc>
                <w:tcPr>
                  <w:tcW w:w="2073" w:type="dxa"/>
                  <w:tcBorders>
                    <w:top w:val="single" w:color="auto" w:sz="4" w:space="0"/>
                    <w:left w:val="nil"/>
                    <w:bottom w:val="single" w:color="auto" w:sz="4" w:space="0"/>
                    <w:right w:val="single" w:color="auto" w:sz="4" w:space="0"/>
                  </w:tcBorders>
                  <w:shd w:val="clear" w:color="auto" w:fill="auto"/>
                  <w:vAlign w:val="center"/>
                </w:tcPr>
                <w:p w14:paraId="1E4CBFCF">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1.</w:t>
                  </w:r>
                  <w:r>
                    <w:rPr>
                      <w:rFonts w:hint="eastAsia" w:cs="宋体"/>
                      <w:kern w:val="2"/>
                      <w:sz w:val="21"/>
                      <w:szCs w:val="21"/>
                      <w:lang w:bidi="ar"/>
                    </w:rPr>
                    <w:t>本项目属于《国民经济行业分类》（</w:t>
                  </w:r>
                  <w:r>
                    <w:rPr>
                      <w:rFonts w:hint="default" w:ascii="Times New Roman" w:hAnsi="Times New Roman"/>
                      <w:kern w:val="2"/>
                      <w:sz w:val="21"/>
                      <w:szCs w:val="21"/>
                      <w:lang w:bidi="ar"/>
                    </w:rPr>
                    <w:t>GB/T4754-2017</w:t>
                  </w:r>
                  <w:r>
                    <w:rPr>
                      <w:rFonts w:hint="eastAsia" w:cs="宋体"/>
                      <w:kern w:val="2"/>
                      <w:sz w:val="21"/>
                      <w:szCs w:val="21"/>
                      <w:lang w:bidi="ar"/>
                    </w:rPr>
                    <w:t>）中水泥制品制造</w:t>
                  </w:r>
                  <w:r>
                    <w:rPr>
                      <w:rFonts w:hint="default" w:ascii="Times New Roman" w:hAnsi="Times New Roman"/>
                      <w:kern w:val="2"/>
                      <w:sz w:val="21"/>
                      <w:szCs w:val="21"/>
                      <w:lang w:bidi="ar"/>
                    </w:rPr>
                    <w:t>C3021</w:t>
                  </w:r>
                  <w:r>
                    <w:rPr>
                      <w:rFonts w:hint="eastAsia" w:cs="宋体"/>
                      <w:kern w:val="2"/>
                      <w:sz w:val="21"/>
                      <w:szCs w:val="21"/>
                      <w:lang w:bidi="ar"/>
                    </w:rPr>
                    <w:t>，不属于《产业结构调整指导目录（</w:t>
                  </w:r>
                  <w:r>
                    <w:rPr>
                      <w:rFonts w:hint="default" w:ascii="Times New Roman" w:hAnsi="Times New Roman"/>
                      <w:kern w:val="2"/>
                      <w:sz w:val="21"/>
                      <w:szCs w:val="21"/>
                      <w:lang w:bidi="ar"/>
                    </w:rPr>
                    <w:t>2024</w:t>
                  </w:r>
                  <w:r>
                    <w:rPr>
                      <w:rFonts w:hint="eastAsia" w:cs="宋体"/>
                      <w:kern w:val="2"/>
                      <w:sz w:val="21"/>
                      <w:szCs w:val="21"/>
                      <w:lang w:bidi="ar"/>
                    </w:rPr>
                    <w:t>年本）》中的“限制类”和“淘汰类”项目，属于“允许类”项目；</w:t>
                  </w:r>
                </w:p>
                <w:p w14:paraId="01671B61">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2.</w:t>
                  </w:r>
                  <w:r>
                    <w:rPr>
                      <w:rFonts w:hint="eastAsia" w:cs="宋体"/>
                      <w:kern w:val="2"/>
                      <w:sz w:val="21"/>
                      <w:szCs w:val="21"/>
                      <w:lang w:bidi="ar"/>
                    </w:rPr>
                    <w:t>项目排放污染物满足相关行业污染物排放标准；</w:t>
                  </w:r>
                </w:p>
                <w:p w14:paraId="6B920E09">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3.</w:t>
                  </w:r>
                  <w:r>
                    <w:rPr>
                      <w:rFonts w:hint="eastAsia" w:cs="宋体"/>
                      <w:kern w:val="2"/>
                      <w:sz w:val="21"/>
                      <w:szCs w:val="21"/>
                      <w:lang w:bidi="ar"/>
                    </w:rPr>
                    <w:t>项目为水泥制品制造项目，不属于“十大”重点行业，不涉及相关要求；</w:t>
                  </w:r>
                </w:p>
                <w:p w14:paraId="5D315925">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4.</w:t>
                  </w:r>
                  <w:r>
                    <w:rPr>
                      <w:rFonts w:hint="eastAsia" w:cs="宋体"/>
                      <w:kern w:val="2"/>
                      <w:sz w:val="21"/>
                      <w:szCs w:val="21"/>
                      <w:lang w:bidi="ar"/>
                    </w:rPr>
                    <w:t>本项目废水均能综合利用，不外排；</w:t>
                  </w:r>
                </w:p>
                <w:p w14:paraId="4935B8C8">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5</w:t>
                  </w:r>
                  <w:r>
                    <w:rPr>
                      <w:rFonts w:hint="eastAsia" w:cs="宋体"/>
                      <w:kern w:val="2"/>
                      <w:sz w:val="21"/>
                      <w:szCs w:val="21"/>
                      <w:lang w:bidi="ar"/>
                    </w:rPr>
                    <w:t>项目为水泥制品制造项目，不属于污水处理项目，不涉及相关要求；</w:t>
                  </w:r>
                </w:p>
                <w:p w14:paraId="2CFEB06B">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6.</w:t>
                  </w:r>
                  <w:r>
                    <w:rPr>
                      <w:rFonts w:hint="eastAsia" w:cs="宋体"/>
                      <w:kern w:val="2"/>
                      <w:sz w:val="21"/>
                      <w:szCs w:val="21"/>
                      <w:lang w:bidi="ar"/>
                    </w:rPr>
                    <w:t>不涉及；</w:t>
                  </w:r>
                </w:p>
                <w:p w14:paraId="41C2B198">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7.</w:t>
                  </w:r>
                  <w:r>
                    <w:rPr>
                      <w:rFonts w:hint="eastAsia" w:cs="宋体"/>
                      <w:kern w:val="2"/>
                      <w:sz w:val="21"/>
                      <w:szCs w:val="21"/>
                      <w:lang w:bidi="ar"/>
                    </w:rPr>
                    <w:t>不涉及；</w:t>
                  </w:r>
                </w:p>
                <w:p w14:paraId="6523DAF3">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8.</w:t>
                  </w:r>
                  <w:r>
                    <w:rPr>
                      <w:rFonts w:hint="eastAsia" w:cs="宋体"/>
                      <w:kern w:val="2"/>
                      <w:sz w:val="21"/>
                      <w:szCs w:val="21"/>
                      <w:lang w:bidi="ar"/>
                    </w:rPr>
                    <w:t>项目位于承德市河北省承德市宽城满族自治县宽城经济开发区，不位于重点化肥农药减量区，不涉及相关要求；</w:t>
                  </w:r>
                </w:p>
                <w:p w14:paraId="2B93881A">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color w:val="FF0000"/>
                      <w:kern w:val="2"/>
                      <w:sz w:val="21"/>
                      <w:szCs w:val="21"/>
                    </w:rPr>
                  </w:pPr>
                  <w:r>
                    <w:rPr>
                      <w:rFonts w:hint="default" w:ascii="Times New Roman" w:hAnsi="Times New Roman"/>
                      <w:kern w:val="2"/>
                      <w:sz w:val="21"/>
                      <w:szCs w:val="21"/>
                      <w:lang w:bidi="ar"/>
                    </w:rPr>
                    <w:t>9.</w:t>
                  </w:r>
                  <w:r>
                    <w:rPr>
                      <w:rFonts w:hint="eastAsia" w:cs="宋体"/>
                      <w:kern w:val="2"/>
                      <w:sz w:val="21"/>
                      <w:szCs w:val="21"/>
                      <w:lang w:bidi="ar"/>
                    </w:rPr>
                    <w:t>不涉及。</w:t>
                  </w:r>
                </w:p>
              </w:tc>
              <w:tc>
                <w:tcPr>
                  <w:tcW w:w="676" w:type="dxa"/>
                  <w:tcBorders>
                    <w:top w:val="single" w:color="auto" w:sz="4" w:space="0"/>
                    <w:left w:val="nil"/>
                    <w:bottom w:val="single" w:color="auto" w:sz="4" w:space="0"/>
                    <w:right w:val="single" w:color="auto" w:sz="4" w:space="0"/>
                  </w:tcBorders>
                  <w:shd w:val="clear" w:color="auto" w:fill="auto"/>
                  <w:vAlign w:val="center"/>
                </w:tcPr>
                <w:p w14:paraId="55D90F88">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符合</w:t>
                  </w:r>
                </w:p>
              </w:tc>
            </w:tr>
            <w:tr w14:paraId="043B7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3E9B2ADA">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环境风险防范</w:t>
                  </w:r>
                </w:p>
              </w:tc>
              <w:tc>
                <w:tcPr>
                  <w:tcW w:w="4123" w:type="dxa"/>
                  <w:tcBorders>
                    <w:top w:val="single" w:color="auto" w:sz="4" w:space="0"/>
                    <w:left w:val="nil"/>
                    <w:bottom w:val="single" w:color="auto" w:sz="4" w:space="0"/>
                    <w:right w:val="single" w:color="auto" w:sz="4" w:space="0"/>
                  </w:tcBorders>
                  <w:shd w:val="clear" w:color="auto" w:fill="auto"/>
                  <w:vAlign w:val="center"/>
                </w:tcPr>
                <w:p w14:paraId="61C7B7C0">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1.</w:t>
                  </w:r>
                  <w:r>
                    <w:rPr>
                      <w:rFonts w:hint="eastAsia" w:cs="宋体"/>
                      <w:kern w:val="2"/>
                      <w:sz w:val="21"/>
                      <w:szCs w:val="21"/>
                      <w:lang w:bidi="ar"/>
                    </w:rPr>
                    <w:t>限制建设《环境保护综合名录》（</w:t>
                  </w:r>
                  <w:r>
                    <w:rPr>
                      <w:rFonts w:hint="default" w:ascii="Times New Roman" w:hAnsi="Times New Roman"/>
                      <w:kern w:val="2"/>
                      <w:sz w:val="21"/>
                      <w:szCs w:val="21"/>
                      <w:lang w:bidi="ar"/>
                    </w:rPr>
                    <w:t>2017</w:t>
                  </w:r>
                  <w:r>
                    <w:rPr>
                      <w:rFonts w:hint="eastAsia" w:cs="宋体"/>
                      <w:kern w:val="2"/>
                      <w:sz w:val="21"/>
                      <w:szCs w:val="21"/>
                      <w:lang w:bidi="ar"/>
                    </w:rPr>
                    <w:t>年版）中“高污染、高环境风险”产品与工艺装备。</w:t>
                  </w:r>
                </w:p>
                <w:p w14:paraId="45E12754">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2.</w:t>
                  </w:r>
                  <w:r>
                    <w:rPr>
                      <w:rFonts w:hint="eastAsia" w:cs="宋体"/>
                      <w:kern w:val="2"/>
                      <w:sz w:val="21"/>
                      <w:szCs w:val="21"/>
                      <w:lang w:bidi="ar"/>
                    </w:rPr>
                    <w:t>限制建设排放《有毒有害水污染物名录》中所列有毒有害污染物的项目。</w:t>
                  </w:r>
                </w:p>
                <w:p w14:paraId="69AE8E8A">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cs="宋体"/>
                      <w:kern w:val="2"/>
                      <w:sz w:val="21"/>
                      <w:szCs w:val="21"/>
                      <w:lang w:bidi="ar"/>
                    </w:rPr>
                    <w:t>3.</w:t>
                  </w:r>
                  <w:r>
                    <w:rPr>
                      <w:rFonts w:hint="eastAsia" w:cs="宋体"/>
                      <w:kern w:val="2"/>
                      <w:sz w:val="21"/>
                      <w:szCs w:val="21"/>
                      <w:lang w:bidi="ar"/>
                    </w:rPr>
                    <w:t>矿山企业及尾矿库的运营和管理单位应当加强环境规范化管理，对原料和堆场采取防渗、防风和防洪等措施，防止污染滦河、潮河水环境，尾矿库闭库后应当及时复垦。</w:t>
                  </w:r>
                </w:p>
                <w:p w14:paraId="689F39D8">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cs="宋体"/>
                      <w:kern w:val="2"/>
                      <w:sz w:val="21"/>
                      <w:szCs w:val="21"/>
                      <w:lang w:bidi="ar"/>
                    </w:rPr>
                    <w:t>4.</w:t>
                  </w:r>
                  <w:r>
                    <w:rPr>
                      <w:rFonts w:hint="eastAsia" w:cs="宋体"/>
                      <w:kern w:val="2"/>
                      <w:sz w:val="21"/>
                      <w:szCs w:val="21"/>
                      <w:lang w:bidi="ar"/>
                    </w:rPr>
                    <w:t>滦河、潮河流域内从事旅游、运动娱乐项目的经营者应当配备污染物、废弃物的收集和处理设施，防止对水质的污染。</w:t>
                  </w:r>
                </w:p>
              </w:tc>
              <w:tc>
                <w:tcPr>
                  <w:tcW w:w="2073" w:type="dxa"/>
                  <w:tcBorders>
                    <w:top w:val="single" w:color="auto" w:sz="4" w:space="0"/>
                    <w:left w:val="nil"/>
                    <w:bottom w:val="single" w:color="auto" w:sz="4" w:space="0"/>
                    <w:right w:val="single" w:color="auto" w:sz="4" w:space="0"/>
                  </w:tcBorders>
                  <w:shd w:val="clear" w:color="auto" w:fill="auto"/>
                  <w:vAlign w:val="center"/>
                </w:tcPr>
                <w:p w14:paraId="3F7AFB05">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1.</w:t>
                  </w:r>
                  <w:r>
                    <w:rPr>
                      <w:rFonts w:hint="eastAsia" w:cs="宋体"/>
                      <w:kern w:val="2"/>
                      <w:sz w:val="21"/>
                      <w:szCs w:val="21"/>
                      <w:lang w:bidi="ar"/>
                    </w:rPr>
                    <w:t>本项目不涉及《环境保护综合名录》（</w:t>
                  </w:r>
                  <w:r>
                    <w:rPr>
                      <w:rFonts w:hint="default" w:ascii="Times New Roman" w:hAnsi="Times New Roman"/>
                      <w:kern w:val="2"/>
                      <w:sz w:val="21"/>
                      <w:szCs w:val="21"/>
                      <w:lang w:bidi="ar"/>
                    </w:rPr>
                    <w:t>2017</w:t>
                  </w:r>
                  <w:r>
                    <w:rPr>
                      <w:rFonts w:hint="eastAsia" w:cs="宋体"/>
                      <w:kern w:val="2"/>
                      <w:sz w:val="21"/>
                      <w:szCs w:val="21"/>
                      <w:lang w:bidi="ar"/>
                    </w:rPr>
                    <w:t>年版）中“高污染、高环境风险”产品与工艺装备；</w:t>
                  </w:r>
                </w:p>
                <w:p w14:paraId="6BFCC9B4">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2.</w:t>
                  </w:r>
                  <w:r>
                    <w:rPr>
                      <w:rFonts w:hint="eastAsia" w:cs="宋体"/>
                      <w:kern w:val="2"/>
                      <w:sz w:val="21"/>
                      <w:szCs w:val="21"/>
                      <w:lang w:bidi="ar"/>
                    </w:rPr>
                    <w:t>本项目废水均能综合利用，不外排；</w:t>
                  </w:r>
                </w:p>
                <w:p w14:paraId="5BD2E4E4">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3.</w:t>
                  </w:r>
                  <w:r>
                    <w:rPr>
                      <w:rFonts w:hint="eastAsia" w:cs="宋体"/>
                      <w:kern w:val="2"/>
                      <w:sz w:val="21"/>
                      <w:szCs w:val="21"/>
                      <w:lang w:bidi="ar"/>
                    </w:rPr>
                    <w:t>不涉及；</w:t>
                  </w:r>
                </w:p>
                <w:p w14:paraId="44A3EB40">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4.</w:t>
                  </w:r>
                  <w:r>
                    <w:rPr>
                      <w:rFonts w:hint="eastAsia" w:cs="宋体"/>
                      <w:kern w:val="2"/>
                      <w:sz w:val="21"/>
                      <w:szCs w:val="21"/>
                      <w:lang w:bidi="ar"/>
                    </w:rPr>
                    <w:t>不涉及。</w:t>
                  </w:r>
                </w:p>
              </w:tc>
              <w:tc>
                <w:tcPr>
                  <w:tcW w:w="676" w:type="dxa"/>
                  <w:tcBorders>
                    <w:top w:val="single" w:color="auto" w:sz="4" w:space="0"/>
                    <w:left w:val="nil"/>
                    <w:bottom w:val="single" w:color="auto" w:sz="4" w:space="0"/>
                    <w:right w:val="single" w:color="auto" w:sz="4" w:space="0"/>
                  </w:tcBorders>
                  <w:shd w:val="clear" w:color="auto" w:fill="auto"/>
                  <w:vAlign w:val="center"/>
                </w:tcPr>
                <w:p w14:paraId="5F84C9B8">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符合</w:t>
                  </w:r>
                </w:p>
              </w:tc>
            </w:tr>
            <w:tr w14:paraId="2438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984C139">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资源利用效率</w:t>
                  </w:r>
                </w:p>
              </w:tc>
              <w:tc>
                <w:tcPr>
                  <w:tcW w:w="4123" w:type="dxa"/>
                  <w:tcBorders>
                    <w:top w:val="single" w:color="auto" w:sz="4" w:space="0"/>
                    <w:left w:val="nil"/>
                    <w:bottom w:val="single" w:color="auto" w:sz="4" w:space="0"/>
                    <w:right w:val="single" w:color="auto" w:sz="4" w:space="0"/>
                  </w:tcBorders>
                  <w:shd w:val="clear" w:color="auto" w:fill="auto"/>
                  <w:vAlign w:val="center"/>
                </w:tcPr>
                <w:p w14:paraId="74F5A2D0">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cs="宋体"/>
                      <w:kern w:val="2"/>
                      <w:sz w:val="21"/>
                      <w:szCs w:val="21"/>
                      <w:lang w:bidi="ar"/>
                    </w:rPr>
                    <w:t>1.</w:t>
                  </w:r>
                  <w:r>
                    <w:rPr>
                      <w:rFonts w:hint="eastAsia" w:cs="宋体"/>
                      <w:kern w:val="2"/>
                      <w:sz w:val="21"/>
                      <w:szCs w:val="21"/>
                      <w:lang w:bidi="ar"/>
                    </w:rPr>
                    <w:t>到</w:t>
                  </w:r>
                  <w:r>
                    <w:rPr>
                      <w:rFonts w:hint="default" w:ascii="Times New Roman" w:hAnsi="Times New Roman" w:cs="宋体"/>
                      <w:kern w:val="2"/>
                      <w:sz w:val="21"/>
                      <w:szCs w:val="21"/>
                      <w:lang w:bidi="ar"/>
                    </w:rPr>
                    <w:t>2025</w:t>
                  </w:r>
                  <w:r>
                    <w:rPr>
                      <w:rFonts w:hint="eastAsia" w:cs="宋体"/>
                      <w:kern w:val="2"/>
                      <w:sz w:val="21"/>
                      <w:szCs w:val="21"/>
                      <w:lang w:bidi="ar"/>
                    </w:rPr>
                    <w:t>年，城市建成区基本实现污水全收集、全处理，县级城市建成区全面消除黑臭水体，建制镇污水收集处理能力明显提升，城市、县城平均污泥无害化处理率保持在</w:t>
                  </w:r>
                  <w:r>
                    <w:rPr>
                      <w:rFonts w:hint="default" w:ascii="Times New Roman" w:hAnsi="Times New Roman" w:cs="宋体"/>
                      <w:kern w:val="2"/>
                      <w:sz w:val="21"/>
                      <w:szCs w:val="21"/>
                      <w:lang w:bidi="ar"/>
                    </w:rPr>
                    <w:t>97%</w:t>
                  </w:r>
                  <w:r>
                    <w:rPr>
                      <w:rFonts w:hint="eastAsia" w:cs="宋体"/>
                      <w:kern w:val="2"/>
                      <w:sz w:val="21"/>
                      <w:szCs w:val="21"/>
                      <w:lang w:bidi="ar"/>
                    </w:rPr>
                    <w:t>以上。</w:t>
                  </w:r>
                </w:p>
                <w:p w14:paraId="0E73F030">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cs="宋体"/>
                      <w:kern w:val="2"/>
                      <w:sz w:val="21"/>
                      <w:szCs w:val="21"/>
                      <w:lang w:bidi="ar"/>
                    </w:rPr>
                    <w:t>2.</w:t>
                  </w:r>
                  <w:r>
                    <w:rPr>
                      <w:rFonts w:hint="eastAsia" w:cs="宋体"/>
                      <w:kern w:val="2"/>
                      <w:sz w:val="21"/>
                      <w:szCs w:val="21"/>
                      <w:lang w:bidi="ar"/>
                    </w:rPr>
                    <w:t>到</w:t>
                  </w:r>
                  <w:r>
                    <w:rPr>
                      <w:rFonts w:hint="default" w:ascii="Times New Roman" w:hAnsi="Times New Roman" w:cs="宋体"/>
                      <w:kern w:val="2"/>
                      <w:sz w:val="21"/>
                      <w:szCs w:val="21"/>
                      <w:lang w:bidi="ar"/>
                    </w:rPr>
                    <w:t>2025</w:t>
                  </w:r>
                  <w:r>
                    <w:rPr>
                      <w:rFonts w:hint="eastAsia" w:cs="宋体"/>
                      <w:kern w:val="2"/>
                      <w:sz w:val="21"/>
                      <w:szCs w:val="21"/>
                      <w:lang w:bidi="ar"/>
                    </w:rPr>
                    <w:t>年，化肥、农药施用量保持零增长，畜禽粪污综合利用率达</w:t>
                  </w:r>
                  <w:r>
                    <w:rPr>
                      <w:rFonts w:hint="default" w:ascii="Times New Roman" w:hAnsi="Times New Roman" w:cs="宋体"/>
                      <w:kern w:val="2"/>
                      <w:sz w:val="21"/>
                      <w:szCs w:val="21"/>
                      <w:lang w:bidi="ar"/>
                    </w:rPr>
                    <w:t>85%</w:t>
                  </w:r>
                  <w:r>
                    <w:rPr>
                      <w:rFonts w:hint="eastAsia" w:cs="宋体"/>
                      <w:kern w:val="2"/>
                      <w:sz w:val="21"/>
                      <w:szCs w:val="21"/>
                      <w:lang w:bidi="ar"/>
                    </w:rPr>
                    <w:t>以上，基本实现废旧农膜全回收。</w:t>
                  </w:r>
                </w:p>
              </w:tc>
              <w:tc>
                <w:tcPr>
                  <w:tcW w:w="2073" w:type="dxa"/>
                  <w:tcBorders>
                    <w:top w:val="single" w:color="auto" w:sz="4" w:space="0"/>
                    <w:left w:val="nil"/>
                    <w:bottom w:val="single" w:color="auto" w:sz="4" w:space="0"/>
                    <w:right w:val="single" w:color="auto" w:sz="4" w:space="0"/>
                  </w:tcBorders>
                  <w:shd w:val="clear" w:color="auto" w:fill="auto"/>
                  <w:vAlign w:val="center"/>
                </w:tcPr>
                <w:p w14:paraId="10D22733">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1.</w:t>
                  </w:r>
                  <w:r>
                    <w:rPr>
                      <w:rFonts w:hint="eastAsia" w:cs="宋体"/>
                      <w:kern w:val="2"/>
                      <w:sz w:val="21"/>
                      <w:szCs w:val="21"/>
                      <w:lang w:bidi="ar"/>
                    </w:rPr>
                    <w:t>本项目废水均能综合利用，不外排；</w:t>
                  </w:r>
                </w:p>
                <w:p w14:paraId="6936871F">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2.</w:t>
                  </w:r>
                  <w:r>
                    <w:rPr>
                      <w:rFonts w:hint="eastAsia" w:cs="宋体"/>
                      <w:kern w:val="2"/>
                      <w:sz w:val="21"/>
                      <w:szCs w:val="21"/>
                      <w:lang w:bidi="ar"/>
                    </w:rPr>
                    <w:t>不涉及。</w:t>
                  </w:r>
                </w:p>
              </w:tc>
              <w:tc>
                <w:tcPr>
                  <w:tcW w:w="676" w:type="dxa"/>
                  <w:tcBorders>
                    <w:top w:val="single" w:color="auto" w:sz="4" w:space="0"/>
                    <w:left w:val="nil"/>
                    <w:bottom w:val="single" w:color="auto" w:sz="4" w:space="0"/>
                    <w:right w:val="single" w:color="auto" w:sz="4" w:space="0"/>
                  </w:tcBorders>
                  <w:shd w:val="clear" w:color="auto" w:fill="auto"/>
                  <w:vAlign w:val="center"/>
                </w:tcPr>
                <w:p w14:paraId="6BEAA7EB">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符合</w:t>
                  </w:r>
                </w:p>
              </w:tc>
            </w:tr>
          </w:tbl>
          <w:p w14:paraId="35CECDC6">
            <w:pPr>
              <w:keepNext w:val="0"/>
              <w:keepLines w:val="0"/>
              <w:numPr>
                <w:ilvl w:val="3"/>
                <w:numId w:val="6"/>
              </w:numPr>
              <w:suppressLineNumbers w:val="0"/>
              <w:spacing w:before="0" w:beforeAutospacing="0" w:after="0" w:afterAutospacing="0"/>
              <w:ind w:right="0" w:firstLine="480"/>
              <w:rPr>
                <w:rFonts w:hint="default"/>
              </w:rPr>
            </w:pPr>
            <w:r>
              <w:rPr>
                <w:rFonts w:hint="eastAsia" w:ascii="宋体" w:hAnsi="宋体" w:cs="宋体"/>
                <w:lang w:bidi="ar"/>
              </w:rPr>
              <w:t>大气环境总体要求</w:t>
            </w:r>
          </w:p>
          <w:p w14:paraId="17B46243">
            <w:pPr>
              <w:keepNext w:val="0"/>
              <w:keepLines w:val="0"/>
              <w:suppressLineNumbers w:val="0"/>
              <w:spacing w:before="0" w:beforeAutospacing="0" w:after="0" w:afterAutospacing="0"/>
              <w:ind w:left="0" w:right="0" w:firstLine="480"/>
              <w:rPr>
                <w:rFonts w:hint="default" w:cs="宋体"/>
              </w:rPr>
            </w:pPr>
            <w:r>
              <w:rPr>
                <w:rFonts w:hint="eastAsia" w:ascii="宋体" w:hAnsi="宋体" w:cs="宋体"/>
                <w:lang w:bidi="ar"/>
              </w:rPr>
              <w:t>项目与大气环境总体要求符合性分析见下表。</w:t>
            </w:r>
          </w:p>
          <w:p w14:paraId="7E2A5EEE">
            <w:pPr>
              <w:keepNext w:val="0"/>
              <w:keepLines w:val="0"/>
              <w:numPr>
                <w:ilvl w:val="0"/>
                <w:numId w:val="4"/>
              </w:numPr>
              <w:suppressLineNumbers w:val="0"/>
              <w:adjustRightInd/>
              <w:spacing w:before="0" w:beforeAutospacing="0" w:after="0" w:afterAutospacing="0"/>
              <w:ind w:left="0" w:right="0" w:firstLine="0" w:firstLineChars="0"/>
              <w:jc w:val="center"/>
              <w:rPr>
                <w:rFonts w:hint="default" w:cs="宋体"/>
                <w:b/>
                <w:sz w:val="21"/>
                <w:szCs w:val="21"/>
              </w:rPr>
            </w:pPr>
            <w:r>
              <w:rPr>
                <w:rFonts w:hint="eastAsia" w:ascii="宋体" w:hAnsi="宋体" w:cs="宋体"/>
                <w:b/>
                <w:sz w:val="21"/>
                <w:szCs w:val="21"/>
              </w:rPr>
              <w:t>项目与大气环境总体要求符合性分析表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3975"/>
              <w:gridCol w:w="2106"/>
              <w:gridCol w:w="856"/>
            </w:tblGrid>
            <w:tr w14:paraId="6559E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9" w:type="dxa"/>
                  <w:tcBorders>
                    <w:top w:val="single" w:color="auto" w:sz="4" w:space="0"/>
                    <w:left w:val="single" w:color="auto" w:sz="4" w:space="0"/>
                    <w:bottom w:val="single" w:color="auto" w:sz="4" w:space="0"/>
                    <w:right w:val="single" w:color="auto" w:sz="4" w:space="0"/>
                  </w:tcBorders>
                  <w:shd w:val="clear" w:color="auto" w:fill="auto"/>
                  <w:vAlign w:val="center"/>
                </w:tcPr>
                <w:p w14:paraId="3A88D250">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b/>
                      <w:bCs/>
                      <w:kern w:val="2"/>
                      <w:sz w:val="21"/>
                      <w:szCs w:val="21"/>
                    </w:rPr>
                  </w:pPr>
                  <w:r>
                    <w:rPr>
                      <w:rFonts w:hint="eastAsia" w:cs="宋体"/>
                      <w:b/>
                      <w:bCs/>
                      <w:kern w:val="2"/>
                      <w:sz w:val="21"/>
                      <w:szCs w:val="21"/>
                      <w:lang w:bidi="ar"/>
                    </w:rPr>
                    <w:t>管控纬度</w:t>
                  </w:r>
                </w:p>
              </w:tc>
              <w:tc>
                <w:tcPr>
                  <w:tcW w:w="4289" w:type="dxa"/>
                  <w:tcBorders>
                    <w:top w:val="single" w:color="auto" w:sz="4" w:space="0"/>
                    <w:left w:val="nil"/>
                    <w:bottom w:val="single" w:color="auto" w:sz="4" w:space="0"/>
                    <w:right w:val="single" w:color="auto" w:sz="4" w:space="0"/>
                  </w:tcBorders>
                  <w:shd w:val="clear" w:color="auto" w:fill="auto"/>
                  <w:vAlign w:val="center"/>
                </w:tcPr>
                <w:p w14:paraId="2DF918A9">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b/>
                      <w:bCs/>
                      <w:kern w:val="2"/>
                      <w:sz w:val="21"/>
                      <w:szCs w:val="21"/>
                    </w:rPr>
                  </w:pPr>
                  <w:r>
                    <w:rPr>
                      <w:rFonts w:hint="eastAsia" w:cs="宋体"/>
                      <w:b/>
                      <w:bCs/>
                      <w:kern w:val="2"/>
                      <w:sz w:val="21"/>
                      <w:szCs w:val="21"/>
                      <w:lang w:bidi="ar"/>
                    </w:rPr>
                    <w:t>管控要求</w:t>
                  </w:r>
                </w:p>
              </w:tc>
              <w:tc>
                <w:tcPr>
                  <w:tcW w:w="1581" w:type="dxa"/>
                  <w:tcBorders>
                    <w:top w:val="single" w:color="auto" w:sz="4" w:space="0"/>
                    <w:left w:val="nil"/>
                    <w:bottom w:val="single" w:color="auto" w:sz="4" w:space="0"/>
                    <w:right w:val="single" w:color="auto" w:sz="4" w:space="0"/>
                  </w:tcBorders>
                  <w:shd w:val="clear" w:color="auto" w:fill="auto"/>
                  <w:vAlign w:val="center"/>
                </w:tcPr>
                <w:p w14:paraId="4833DDD1">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b/>
                      <w:bCs/>
                      <w:kern w:val="2"/>
                      <w:sz w:val="21"/>
                      <w:szCs w:val="21"/>
                    </w:rPr>
                  </w:pPr>
                  <w:r>
                    <w:rPr>
                      <w:rFonts w:hint="eastAsia" w:cs="宋体"/>
                      <w:b/>
                      <w:bCs/>
                      <w:kern w:val="2"/>
                      <w:sz w:val="21"/>
                      <w:szCs w:val="21"/>
                      <w:lang w:bidi="ar"/>
                    </w:rPr>
                    <w:t>本项目情况</w:t>
                  </w:r>
                </w:p>
              </w:tc>
              <w:tc>
                <w:tcPr>
                  <w:tcW w:w="934" w:type="dxa"/>
                  <w:tcBorders>
                    <w:top w:val="single" w:color="auto" w:sz="4" w:space="0"/>
                    <w:left w:val="nil"/>
                    <w:bottom w:val="single" w:color="auto" w:sz="4" w:space="0"/>
                    <w:right w:val="single" w:color="auto" w:sz="4" w:space="0"/>
                  </w:tcBorders>
                  <w:shd w:val="clear" w:color="auto" w:fill="auto"/>
                  <w:vAlign w:val="center"/>
                </w:tcPr>
                <w:p w14:paraId="08D16D47">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b/>
                      <w:bCs/>
                      <w:kern w:val="2"/>
                      <w:sz w:val="21"/>
                      <w:szCs w:val="21"/>
                    </w:rPr>
                  </w:pPr>
                  <w:r>
                    <w:rPr>
                      <w:rFonts w:hint="eastAsia" w:cs="宋体"/>
                      <w:b/>
                      <w:bCs/>
                      <w:kern w:val="2"/>
                      <w:sz w:val="21"/>
                      <w:szCs w:val="21"/>
                      <w:lang w:bidi="ar"/>
                    </w:rPr>
                    <w:t>符合性</w:t>
                  </w:r>
                </w:p>
              </w:tc>
            </w:tr>
            <w:tr w14:paraId="6CB3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9" w:type="dxa"/>
                  <w:tcBorders>
                    <w:top w:val="single" w:color="auto" w:sz="4" w:space="0"/>
                    <w:left w:val="single" w:color="auto" w:sz="4" w:space="0"/>
                    <w:bottom w:val="single" w:color="auto" w:sz="4" w:space="0"/>
                    <w:right w:val="single" w:color="auto" w:sz="4" w:space="0"/>
                  </w:tcBorders>
                  <w:shd w:val="clear" w:color="auto" w:fill="auto"/>
                  <w:vAlign w:val="center"/>
                </w:tcPr>
                <w:p w14:paraId="443891B3">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空间布局优化</w:t>
                  </w:r>
                </w:p>
              </w:tc>
              <w:tc>
                <w:tcPr>
                  <w:tcW w:w="4289" w:type="dxa"/>
                  <w:tcBorders>
                    <w:top w:val="single" w:color="auto" w:sz="4" w:space="0"/>
                    <w:left w:val="nil"/>
                    <w:bottom w:val="single" w:color="auto" w:sz="4" w:space="0"/>
                    <w:right w:val="single" w:color="auto" w:sz="4" w:space="0"/>
                  </w:tcBorders>
                  <w:shd w:val="clear" w:color="auto" w:fill="auto"/>
                  <w:vAlign w:val="center"/>
                </w:tcPr>
                <w:p w14:paraId="493A4F27">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1.</w:t>
                  </w:r>
                  <w:r>
                    <w:rPr>
                      <w:rFonts w:hint="eastAsia" w:cs="宋体"/>
                      <w:kern w:val="2"/>
                      <w:sz w:val="21"/>
                      <w:szCs w:val="21"/>
                      <w:lang w:bidi="ar"/>
                    </w:rPr>
                    <w:t>各产业集聚区应限制建设不符合产业聚集区定位的项目。</w:t>
                  </w:r>
                </w:p>
                <w:p w14:paraId="5CFB5DD0">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2.</w:t>
                  </w:r>
                  <w:r>
                    <w:rPr>
                      <w:rFonts w:hint="eastAsia" w:cs="宋体"/>
                      <w:kern w:val="2"/>
                      <w:sz w:val="21"/>
                      <w:szCs w:val="21"/>
                      <w:lang w:bidi="ar"/>
                    </w:rPr>
                    <w:t>禁止在工业企业和产业集聚区大气污染防护距离内建设居住、学校、医院等环境敏感项目。对城市建成区内重污染企业、不符合安全防护距离和卫生防护距离的危化企业实施有序搬迁改造或依法关闭。</w:t>
                  </w:r>
                </w:p>
                <w:p w14:paraId="324ADBD1">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cs="宋体"/>
                      <w:kern w:val="2"/>
                      <w:sz w:val="21"/>
                      <w:szCs w:val="21"/>
                      <w:lang w:bidi="ar"/>
                    </w:rPr>
                    <w:t>3.</w:t>
                  </w:r>
                  <w:r>
                    <w:rPr>
                      <w:rFonts w:hint="eastAsia" w:cs="宋体"/>
                      <w:kern w:val="2"/>
                      <w:sz w:val="21"/>
                      <w:szCs w:val="21"/>
                      <w:lang w:bidi="ar"/>
                    </w:rPr>
                    <w:t>依法依规划定实施移动源低排放控制区，制定中心城区重型柴油货车绕行方案划定绕行路线，减少重型货车穿城。</w:t>
                  </w:r>
                </w:p>
              </w:tc>
              <w:tc>
                <w:tcPr>
                  <w:tcW w:w="1581" w:type="dxa"/>
                  <w:tcBorders>
                    <w:top w:val="single" w:color="auto" w:sz="4" w:space="0"/>
                    <w:left w:val="nil"/>
                    <w:bottom w:val="single" w:color="auto" w:sz="4" w:space="0"/>
                    <w:right w:val="single" w:color="auto" w:sz="4" w:space="0"/>
                  </w:tcBorders>
                  <w:shd w:val="clear" w:color="auto" w:fill="auto"/>
                  <w:vAlign w:val="center"/>
                </w:tcPr>
                <w:p w14:paraId="7CDF9FF0">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1.</w:t>
                  </w:r>
                  <w:r>
                    <w:rPr>
                      <w:rFonts w:hint="eastAsia" w:cs="宋体"/>
                      <w:kern w:val="2"/>
                      <w:sz w:val="21"/>
                      <w:szCs w:val="21"/>
                      <w:lang w:bidi="ar"/>
                    </w:rPr>
                    <w:t>项目位于河北省承德市宽城满族自治县宽城经济开发区，符合河北宽城经济开发区产业定位；</w:t>
                  </w:r>
                </w:p>
                <w:p w14:paraId="2A07B12D">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2.</w:t>
                  </w:r>
                  <w:r>
                    <w:rPr>
                      <w:rFonts w:hint="eastAsia" w:cs="宋体"/>
                      <w:kern w:val="2"/>
                      <w:sz w:val="21"/>
                      <w:szCs w:val="21"/>
                      <w:lang w:bidi="ar"/>
                    </w:rPr>
                    <w:t>不涉及；</w:t>
                  </w:r>
                </w:p>
                <w:p w14:paraId="0424CFE9">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3.</w:t>
                  </w:r>
                  <w:r>
                    <w:rPr>
                      <w:rFonts w:hint="eastAsia" w:cs="宋体"/>
                      <w:kern w:val="2"/>
                      <w:sz w:val="21"/>
                      <w:szCs w:val="21"/>
                      <w:lang w:bidi="ar"/>
                    </w:rPr>
                    <w:t>本项目运输原料及产品货车不穿越中心城区。</w:t>
                  </w:r>
                </w:p>
              </w:tc>
              <w:tc>
                <w:tcPr>
                  <w:tcW w:w="934" w:type="dxa"/>
                  <w:tcBorders>
                    <w:top w:val="single" w:color="auto" w:sz="4" w:space="0"/>
                    <w:left w:val="nil"/>
                    <w:bottom w:val="single" w:color="auto" w:sz="4" w:space="0"/>
                    <w:right w:val="single" w:color="auto" w:sz="4" w:space="0"/>
                  </w:tcBorders>
                  <w:shd w:val="clear" w:color="auto" w:fill="auto"/>
                  <w:vAlign w:val="center"/>
                </w:tcPr>
                <w:p w14:paraId="1348D8D7">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符合</w:t>
                  </w:r>
                </w:p>
              </w:tc>
            </w:tr>
            <w:tr w14:paraId="6B872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9" w:type="dxa"/>
                  <w:tcBorders>
                    <w:top w:val="single" w:color="auto" w:sz="4" w:space="0"/>
                    <w:left w:val="single" w:color="auto" w:sz="4" w:space="0"/>
                    <w:bottom w:val="single" w:color="auto" w:sz="4" w:space="0"/>
                    <w:right w:val="single" w:color="auto" w:sz="4" w:space="0"/>
                  </w:tcBorders>
                  <w:shd w:val="clear" w:color="auto" w:fill="auto"/>
                  <w:vAlign w:val="center"/>
                </w:tcPr>
                <w:p w14:paraId="3BDA3BF4">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污染排放管控</w:t>
                  </w:r>
                </w:p>
              </w:tc>
              <w:tc>
                <w:tcPr>
                  <w:tcW w:w="4289" w:type="dxa"/>
                  <w:tcBorders>
                    <w:top w:val="single" w:color="auto" w:sz="4" w:space="0"/>
                    <w:left w:val="nil"/>
                    <w:bottom w:val="single" w:color="auto" w:sz="4" w:space="0"/>
                    <w:right w:val="single" w:color="auto" w:sz="4" w:space="0"/>
                  </w:tcBorders>
                  <w:shd w:val="clear" w:color="auto" w:fill="auto"/>
                  <w:vAlign w:val="center"/>
                </w:tcPr>
                <w:p w14:paraId="3E3ACE17">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1.</w:t>
                  </w:r>
                  <w:r>
                    <w:rPr>
                      <w:rFonts w:hint="eastAsia" w:cs="宋体"/>
                      <w:kern w:val="2"/>
                      <w:sz w:val="21"/>
                      <w:szCs w:val="21"/>
                      <w:lang w:bidi="ar"/>
                    </w:rPr>
                    <w:t>严格执行河北省生态环境准入要求，禁止建设不符合国家产业政策和行业准入条件的工业项目。</w:t>
                  </w:r>
                </w:p>
                <w:p w14:paraId="71012903">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2.</w:t>
                  </w:r>
                  <w:r>
                    <w:rPr>
                      <w:rFonts w:hint="eastAsia" w:cs="宋体"/>
                      <w:kern w:val="2"/>
                      <w:sz w:val="21"/>
                      <w:szCs w:val="21"/>
                      <w:lang w:bidi="ar"/>
                    </w:rPr>
                    <w:t>现有及新建企业污染排放应满足排污可证要求。未发放排污许可证工业企业满足行业排放标准与总量控制要求。规定期限内未获得排污许可证的企业应关停退出。</w:t>
                  </w:r>
                </w:p>
                <w:p w14:paraId="548F3E11">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3.</w:t>
                  </w:r>
                  <w:r>
                    <w:rPr>
                      <w:rFonts w:hint="eastAsia" w:cs="宋体"/>
                      <w:kern w:val="2"/>
                      <w:sz w:val="21"/>
                      <w:szCs w:val="21"/>
                      <w:lang w:bidi="ar"/>
                    </w:rPr>
                    <w:t>巩固钢铁、水泥、焦化等重点行业和燃煤锅炉超低排放改造成效。以重点区域、高排放企业为重点，实施“一厂一策”企业减排工程，提升工业企业污染防治水平，促进企业绩效评价“晋</w:t>
                  </w:r>
                  <w:r>
                    <w:rPr>
                      <w:rFonts w:hint="default" w:ascii="Times New Roman" w:hAnsi="Times New Roman" w:cs="宋体"/>
                      <w:kern w:val="2"/>
                      <w:sz w:val="21"/>
                      <w:szCs w:val="21"/>
                      <w:lang w:bidi="ar"/>
                    </w:rPr>
                    <w:t>B</w:t>
                  </w:r>
                  <w:r>
                    <w:rPr>
                      <w:rFonts w:hint="eastAsia" w:cs="宋体"/>
                      <w:kern w:val="2"/>
                      <w:sz w:val="21"/>
                      <w:szCs w:val="21"/>
                      <w:lang w:bidi="ar"/>
                    </w:rPr>
                    <w:t>升</w:t>
                  </w:r>
                  <w:r>
                    <w:rPr>
                      <w:rFonts w:hint="default" w:ascii="Times New Roman" w:hAnsi="Times New Roman" w:cs="宋体"/>
                      <w:kern w:val="2"/>
                      <w:sz w:val="21"/>
                      <w:szCs w:val="21"/>
                      <w:lang w:bidi="ar"/>
                    </w:rPr>
                    <w:t>A</w:t>
                  </w:r>
                  <w:r>
                    <w:rPr>
                      <w:rFonts w:hint="eastAsia" w:cs="宋体"/>
                      <w:kern w:val="2"/>
                      <w:sz w:val="21"/>
                      <w:szCs w:val="21"/>
                      <w:lang w:bidi="ar"/>
                    </w:rPr>
                    <w:t>”。</w:t>
                  </w:r>
                </w:p>
                <w:p w14:paraId="164CF443">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4.</w:t>
                  </w:r>
                  <w:r>
                    <w:rPr>
                      <w:rFonts w:hint="eastAsia" w:cs="宋体"/>
                      <w:kern w:val="2"/>
                      <w:sz w:val="21"/>
                      <w:szCs w:val="21"/>
                      <w:lang w:bidi="ar"/>
                    </w:rPr>
                    <w:t>严格执行质量、环保、能耗、安全等法规标准，加大重点行业低效和过剩产能压减力度，淘汰</w:t>
                  </w:r>
                  <w:r>
                    <w:rPr>
                      <w:rFonts w:hint="default" w:ascii="Times New Roman" w:hAnsi="Times New Roman" w:cs="宋体"/>
                      <w:kern w:val="2"/>
                      <w:sz w:val="21"/>
                      <w:szCs w:val="21"/>
                      <w:lang w:bidi="ar"/>
                    </w:rPr>
                    <w:t>4.3</w:t>
                  </w:r>
                  <w:r>
                    <w:rPr>
                      <w:rFonts w:hint="eastAsia" w:cs="宋体"/>
                      <w:kern w:val="2"/>
                      <w:sz w:val="21"/>
                      <w:szCs w:val="21"/>
                      <w:lang w:bidi="ar"/>
                    </w:rPr>
                    <w:t>米焦炉，关停部分</w:t>
                  </w:r>
                  <w:r>
                    <w:rPr>
                      <w:rFonts w:hint="default" w:ascii="Times New Roman" w:hAnsi="Times New Roman" w:cs="宋体"/>
                      <w:kern w:val="2"/>
                      <w:sz w:val="21"/>
                      <w:szCs w:val="21"/>
                      <w:lang w:bidi="ar"/>
                    </w:rPr>
                    <w:t>1000</w:t>
                  </w:r>
                  <w:r>
                    <w:rPr>
                      <w:rFonts w:hint="eastAsia" w:cs="宋体"/>
                      <w:kern w:val="2"/>
                      <w:sz w:val="21"/>
                      <w:szCs w:val="21"/>
                      <w:lang w:bidi="ar"/>
                    </w:rPr>
                    <w:t>立方米以下高炉和</w:t>
                  </w:r>
                  <w:r>
                    <w:rPr>
                      <w:rFonts w:hint="default" w:ascii="Times New Roman" w:hAnsi="Times New Roman" w:cs="宋体"/>
                      <w:kern w:val="2"/>
                      <w:sz w:val="21"/>
                      <w:szCs w:val="21"/>
                      <w:lang w:bidi="ar"/>
                    </w:rPr>
                    <w:t>100</w:t>
                  </w:r>
                  <w:r>
                    <w:rPr>
                      <w:rFonts w:hint="eastAsia" w:cs="宋体"/>
                      <w:kern w:val="2"/>
                      <w:sz w:val="21"/>
                      <w:szCs w:val="21"/>
                      <w:lang w:bidi="ar"/>
                    </w:rPr>
                    <w:t>吨以下转炉。</w:t>
                  </w:r>
                </w:p>
                <w:p w14:paraId="214358E7">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5.</w:t>
                  </w:r>
                  <w:r>
                    <w:rPr>
                      <w:rFonts w:hint="eastAsia" w:cs="宋体"/>
                      <w:kern w:val="2"/>
                      <w:sz w:val="21"/>
                      <w:szCs w:val="21"/>
                      <w:lang w:bidi="ar"/>
                    </w:rPr>
                    <w:t>现有、新改扩建医药制造工业、石油炼制工业、石油化学工业、有机化工业、炼焦工业、钢铁冶炼和压延加工业、木材加工业、家具制造业、交通运输设备制造业、表面涂装业、印刷工业项目挥发性有机物排放应满足《工业企业挥发性有机物排放控制标准》（</w:t>
                  </w:r>
                  <w:r>
                    <w:rPr>
                      <w:rFonts w:hint="default" w:ascii="Times New Roman" w:hAnsi="Times New Roman" w:cs="宋体"/>
                      <w:kern w:val="2"/>
                      <w:sz w:val="21"/>
                      <w:szCs w:val="21"/>
                      <w:lang w:bidi="ar"/>
                    </w:rPr>
                    <w:t>DB13/2322-2016</w:t>
                  </w:r>
                  <w:r>
                    <w:rPr>
                      <w:rFonts w:hint="eastAsia" w:cs="宋体"/>
                      <w:kern w:val="2"/>
                      <w:sz w:val="21"/>
                      <w:szCs w:val="21"/>
                      <w:lang w:bidi="ar"/>
                    </w:rPr>
                    <w:t>）要求，现有项目应限期完成升级改造。</w:t>
                  </w:r>
                </w:p>
                <w:p w14:paraId="2FB64FFD">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现有、新改扩建钢铁工业项目执行《钢铁工业大气污染物超低排放标准》（</w:t>
                  </w:r>
                  <w:r>
                    <w:rPr>
                      <w:rFonts w:hint="default" w:ascii="Times New Roman" w:hAnsi="Times New Roman" w:cs="宋体"/>
                      <w:kern w:val="2"/>
                      <w:sz w:val="21"/>
                      <w:szCs w:val="21"/>
                      <w:lang w:bidi="ar"/>
                    </w:rPr>
                    <w:t>DB13/2169-2018</w:t>
                  </w:r>
                  <w:r>
                    <w:rPr>
                      <w:rFonts w:hint="eastAsia" w:cs="宋体"/>
                      <w:kern w:val="2"/>
                      <w:sz w:val="21"/>
                      <w:szCs w:val="21"/>
                      <w:lang w:bidi="ar"/>
                    </w:rPr>
                    <w:t>）要求。</w:t>
                  </w:r>
                </w:p>
                <w:p w14:paraId="00276DFD">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现有、新改扩建水泥工业项目执行《水泥工业大气污染物超低排放标准》（</w:t>
                  </w:r>
                  <w:r>
                    <w:rPr>
                      <w:rFonts w:hint="default" w:ascii="Times New Roman" w:hAnsi="Times New Roman" w:cs="宋体"/>
                      <w:kern w:val="2"/>
                      <w:sz w:val="21"/>
                      <w:szCs w:val="21"/>
                      <w:lang w:bidi="ar"/>
                    </w:rPr>
                    <w:t>DB13/2167-2020</w:t>
                  </w:r>
                  <w:r>
                    <w:rPr>
                      <w:rFonts w:hint="eastAsia" w:cs="宋体"/>
                      <w:kern w:val="2"/>
                      <w:sz w:val="21"/>
                      <w:szCs w:val="21"/>
                      <w:lang w:bidi="ar"/>
                    </w:rPr>
                    <w:t>）要求。</w:t>
                  </w:r>
                </w:p>
                <w:p w14:paraId="03B3248F">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现有、新改扩建平板玻璃工业项目执行《平板玻璃工业大气污染物超低排放标准》（</w:t>
                  </w:r>
                  <w:r>
                    <w:rPr>
                      <w:rFonts w:hint="default" w:ascii="Times New Roman" w:hAnsi="Times New Roman" w:cs="宋体"/>
                      <w:kern w:val="2"/>
                      <w:sz w:val="21"/>
                      <w:szCs w:val="21"/>
                      <w:lang w:bidi="ar"/>
                    </w:rPr>
                    <w:t>DB13/2168-2020</w:t>
                  </w:r>
                  <w:r>
                    <w:rPr>
                      <w:rFonts w:hint="eastAsia" w:cs="宋体"/>
                      <w:kern w:val="2"/>
                      <w:sz w:val="21"/>
                      <w:szCs w:val="21"/>
                      <w:lang w:bidi="ar"/>
                    </w:rPr>
                    <w:t>）要求。</w:t>
                  </w:r>
                </w:p>
                <w:p w14:paraId="0A8E246C">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现有、新改扩建非发电锅炉执行《锅炉大气污染物排放标准》（</w:t>
                  </w:r>
                  <w:r>
                    <w:rPr>
                      <w:rFonts w:hint="default" w:ascii="Times New Roman" w:hAnsi="Times New Roman" w:cs="宋体"/>
                      <w:kern w:val="2"/>
                      <w:sz w:val="21"/>
                      <w:szCs w:val="21"/>
                      <w:lang w:bidi="ar"/>
                    </w:rPr>
                    <w:t>DB13/5161-2020</w:t>
                  </w:r>
                  <w:r>
                    <w:rPr>
                      <w:rFonts w:hint="eastAsia" w:cs="宋体"/>
                      <w:kern w:val="2"/>
                      <w:sz w:val="21"/>
                      <w:szCs w:val="21"/>
                      <w:lang w:bidi="ar"/>
                    </w:rPr>
                    <w:t>）要求，现有项目应限期完成升级改造。</w:t>
                  </w:r>
                </w:p>
                <w:p w14:paraId="0A17F401">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现有、新改扩建陶瓷工业项目执行《陶瓷工业大气污染物排放标准》（</w:t>
                  </w:r>
                  <w:r>
                    <w:rPr>
                      <w:rFonts w:hint="default" w:ascii="Times New Roman" w:hAnsi="Times New Roman" w:cs="宋体"/>
                      <w:kern w:val="2"/>
                      <w:sz w:val="21"/>
                      <w:szCs w:val="21"/>
                      <w:lang w:bidi="ar"/>
                    </w:rPr>
                    <w:t>DB13∕5214-2020</w:t>
                  </w:r>
                  <w:r>
                    <w:rPr>
                      <w:rFonts w:hint="eastAsia" w:cs="宋体"/>
                      <w:kern w:val="2"/>
                      <w:sz w:val="21"/>
                      <w:szCs w:val="21"/>
                      <w:lang w:bidi="ar"/>
                    </w:rPr>
                    <w:t>）要求。</w:t>
                  </w:r>
                </w:p>
                <w:p w14:paraId="53F87077">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现有、新改扩建燃煤电厂项目执行《燃煤电厂大气污染物排放标准》（</w:t>
                  </w:r>
                  <w:r>
                    <w:rPr>
                      <w:rFonts w:hint="default" w:ascii="Times New Roman" w:hAnsi="Times New Roman" w:cs="宋体"/>
                      <w:kern w:val="2"/>
                      <w:sz w:val="21"/>
                      <w:szCs w:val="21"/>
                      <w:lang w:bidi="ar"/>
                    </w:rPr>
                    <w:t>DB13/2209-2015</w:t>
                  </w:r>
                  <w:r>
                    <w:rPr>
                      <w:rFonts w:hint="eastAsia" w:cs="宋体"/>
                      <w:kern w:val="2"/>
                      <w:sz w:val="21"/>
                      <w:szCs w:val="21"/>
                      <w:lang w:bidi="ar"/>
                    </w:rPr>
                    <w:t>）要求。</w:t>
                  </w:r>
                </w:p>
                <w:p w14:paraId="7CFF59DC">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现有、新改扩建生物和化学制药行业项目挥发性有机物与恶臭气体污染执行《生物和化学制药行业挥发性有机物与恶臭气体污染控制技术指南》（</w:t>
                  </w:r>
                  <w:r>
                    <w:rPr>
                      <w:rFonts w:hint="default" w:ascii="Times New Roman" w:hAnsi="Times New Roman" w:cs="宋体"/>
                      <w:kern w:val="2"/>
                      <w:sz w:val="21"/>
                      <w:szCs w:val="21"/>
                      <w:lang w:bidi="ar"/>
                    </w:rPr>
                    <w:t>DB13/T5363-2021</w:t>
                  </w:r>
                  <w:r>
                    <w:rPr>
                      <w:rFonts w:hint="eastAsia" w:cs="宋体"/>
                      <w:kern w:val="2"/>
                      <w:sz w:val="21"/>
                      <w:szCs w:val="21"/>
                      <w:lang w:bidi="ar"/>
                    </w:rPr>
                    <w:t>）要求。</w:t>
                  </w:r>
                </w:p>
                <w:p w14:paraId="6B274029">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现有、新改扩建青霉素类制药企业或生产设施建设项目挥发性有机物与和恶臭特征污染物排放执行《青霉素</w:t>
                  </w:r>
                </w:p>
                <w:p w14:paraId="5BD54CD2">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类制药挥发性有机物和恶臭特征污染物排放标准》（</w:t>
                  </w:r>
                  <w:r>
                    <w:rPr>
                      <w:rFonts w:hint="default" w:ascii="Times New Roman" w:hAnsi="Times New Roman" w:cs="宋体"/>
                      <w:kern w:val="2"/>
                      <w:sz w:val="21"/>
                      <w:szCs w:val="21"/>
                      <w:lang w:bidi="ar"/>
                    </w:rPr>
                    <w:t>DB13/2208-2015</w:t>
                  </w:r>
                  <w:r>
                    <w:rPr>
                      <w:rFonts w:hint="eastAsia" w:cs="宋体"/>
                      <w:kern w:val="2"/>
                      <w:sz w:val="21"/>
                      <w:szCs w:val="21"/>
                      <w:lang w:bidi="ar"/>
                    </w:rPr>
                    <w:t>）要求。</w:t>
                  </w:r>
                </w:p>
                <w:p w14:paraId="20F0EBBC">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6.</w:t>
                  </w:r>
                  <w:r>
                    <w:rPr>
                      <w:rFonts w:hint="eastAsia" w:cs="宋体"/>
                      <w:kern w:val="2"/>
                      <w:sz w:val="21"/>
                      <w:szCs w:val="21"/>
                      <w:lang w:bidi="ar"/>
                    </w:rPr>
                    <w:t>有序推动合法生产露天矿山综合治理，对标现代化矿山开采模式，推动矿山资源规范开采、集约开采、绿色开采。严格落实矿产资源开采、运输和加工过程防尘、除尘措施，各种物料入棚进仓，运输通道硬化防尘，进出车辆苫盖冲洗，开采、加工作业区污染物达标排放。</w:t>
                  </w:r>
                </w:p>
                <w:p w14:paraId="55903DCC">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7.</w:t>
                  </w:r>
                  <w:r>
                    <w:rPr>
                      <w:rFonts w:hint="eastAsia" w:cs="宋体"/>
                      <w:kern w:val="2"/>
                      <w:sz w:val="21"/>
                      <w:szCs w:val="21"/>
                      <w:lang w:bidi="ar"/>
                    </w:rPr>
                    <w:t>建筑施工严格贯彻《河北省扬尘污染防治办法》《河北省施工场地扬尘排放标准》《河北省建筑施工扬尘防治强化措施</w:t>
                  </w:r>
                  <w:r>
                    <w:rPr>
                      <w:rFonts w:hint="default" w:ascii="Times New Roman" w:hAnsi="Times New Roman"/>
                      <w:kern w:val="2"/>
                      <w:sz w:val="21"/>
                      <w:szCs w:val="21"/>
                      <w:lang w:bidi="ar"/>
                    </w:rPr>
                    <w:t>18</w:t>
                  </w:r>
                  <w:r>
                    <w:rPr>
                      <w:rFonts w:hint="eastAsia" w:cs="宋体"/>
                      <w:kern w:val="2"/>
                      <w:sz w:val="21"/>
                      <w:szCs w:val="21"/>
                      <w:lang w:bidi="ar"/>
                    </w:rPr>
                    <w:t>条》，压实企业主体责任，建筑施工现场落实“六个百分之百”和“两个全覆盖”，强化督查执法，对扬尘管控不到位的，依法予以严惩，对建筑市场主体的不良行为信息依法依规纳入建筑市场信用管理体系，情节严重的，列入“黑名单”。</w:t>
                  </w:r>
                </w:p>
                <w:p w14:paraId="199FA549">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8.</w:t>
                  </w:r>
                  <w:r>
                    <w:rPr>
                      <w:rFonts w:hint="eastAsia" w:cs="宋体"/>
                      <w:kern w:val="2"/>
                      <w:sz w:val="21"/>
                      <w:szCs w:val="21"/>
                      <w:lang w:bidi="ar"/>
                    </w:rPr>
                    <w:t>深入实施清洁柴油车（机）行动，基本淘汰国一及以下排放标准或使用</w:t>
                  </w:r>
                  <w:r>
                    <w:rPr>
                      <w:rFonts w:hint="default" w:ascii="Times New Roman" w:hAnsi="Times New Roman"/>
                      <w:kern w:val="2"/>
                      <w:sz w:val="21"/>
                      <w:szCs w:val="21"/>
                      <w:lang w:bidi="ar"/>
                    </w:rPr>
                    <w:t>15</w:t>
                  </w:r>
                  <w:r>
                    <w:rPr>
                      <w:rFonts w:hint="eastAsia" w:cs="宋体"/>
                      <w:kern w:val="2"/>
                      <w:sz w:val="21"/>
                      <w:szCs w:val="21"/>
                      <w:lang w:bidi="ar"/>
                    </w:rPr>
                    <w:t>年以上的工程机械，具备条件的更换国三及以上排放标准的发动机。全面实施非道路移动机械第四阶段排放标准，落实非道路移动机械使用登记管理制度，对超标排放车辆全链条环境监管。严格执行国六车用乙醇汽油质量标准，加强劣质油品整治，坚决取缔黑加油站（点）、黑油罐车。</w:t>
                  </w:r>
                </w:p>
                <w:p w14:paraId="1C94A3C2">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9.</w:t>
                  </w:r>
                  <w:r>
                    <w:rPr>
                      <w:rFonts w:hint="eastAsia" w:cs="宋体"/>
                      <w:kern w:val="2"/>
                      <w:sz w:val="21"/>
                      <w:szCs w:val="21"/>
                      <w:lang w:bidi="ar"/>
                    </w:rPr>
                    <w:t>大力开展国土绿化，实施城镇裸露地面绿化、硬化，推动城市和县城、重要集镇“黄土不见天”，有效减少本地尘源，降低扬尘污染。</w:t>
                  </w:r>
                </w:p>
                <w:p w14:paraId="0D5B12D6">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cs="宋体"/>
                      <w:kern w:val="2"/>
                      <w:sz w:val="21"/>
                      <w:szCs w:val="21"/>
                      <w:lang w:bidi="ar"/>
                    </w:rPr>
                    <w:t>10.</w:t>
                  </w:r>
                  <w:r>
                    <w:rPr>
                      <w:rFonts w:hint="eastAsia" w:cs="宋体"/>
                      <w:kern w:val="2"/>
                      <w:sz w:val="21"/>
                      <w:szCs w:val="21"/>
                      <w:lang w:bidi="ar"/>
                    </w:rPr>
                    <w:t>禁止露天焚烧农作物秸秆等行为，切实加强秸秆焚烧、烧荒烧垃圾等露天焚烧问题监督管理，开展重点时段秸秆禁烧专项整治，完善秸秆焚烧视频监控系统点位建设。</w:t>
                  </w:r>
                </w:p>
                <w:p w14:paraId="79EE488C">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cs="宋体"/>
                      <w:kern w:val="2"/>
                      <w:sz w:val="21"/>
                      <w:szCs w:val="21"/>
                      <w:lang w:bidi="ar"/>
                    </w:rPr>
                    <w:t>11.</w:t>
                  </w:r>
                  <w:r>
                    <w:rPr>
                      <w:rFonts w:hint="eastAsia" w:cs="宋体"/>
                      <w:kern w:val="2"/>
                      <w:sz w:val="21"/>
                      <w:szCs w:val="21"/>
                      <w:lang w:bidi="ar"/>
                    </w:rPr>
                    <w:t>严格落实《承德市人民政府关于全域禁止销售和中心城区、重点区域禁止燃放烟花爆竹的通告》，实行全区域、全时段、常态化禁燃禁放烟花爆竹。</w:t>
                  </w:r>
                </w:p>
                <w:p w14:paraId="45621487">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cs="宋体"/>
                      <w:kern w:val="2"/>
                      <w:sz w:val="21"/>
                      <w:szCs w:val="21"/>
                      <w:lang w:bidi="ar"/>
                    </w:rPr>
                    <w:t>12.</w:t>
                  </w:r>
                  <w:r>
                    <w:rPr>
                      <w:rFonts w:hint="eastAsia" w:cs="宋体"/>
                      <w:kern w:val="2"/>
                      <w:sz w:val="21"/>
                      <w:szCs w:val="21"/>
                      <w:lang w:bidi="ar"/>
                    </w:rPr>
                    <w:t>加强城市和县城建成区餐饮企业、经营商户油烟排放监督管理，各县（市、区）要建立餐饮油烟治理工作台账，定期开展餐饮油烟集中整治行动。</w:t>
                  </w:r>
                </w:p>
                <w:p w14:paraId="5EBA47A6">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cs="宋体"/>
                      <w:kern w:val="2"/>
                      <w:sz w:val="21"/>
                      <w:szCs w:val="21"/>
                      <w:lang w:bidi="ar"/>
                    </w:rPr>
                    <w:t>13.</w:t>
                  </w:r>
                  <w:r>
                    <w:rPr>
                      <w:rFonts w:hint="eastAsia" w:cs="宋体"/>
                      <w:kern w:val="2"/>
                      <w:sz w:val="21"/>
                      <w:szCs w:val="21"/>
                      <w:lang w:bidi="ar"/>
                    </w:rPr>
                    <w:t>统筹加强减污降碳协同控制，开展重点行业资源利用效率、能源消耗、污染物排放对标行动，加大氮氧化物、挥发性有机物（</w:t>
                  </w:r>
                  <w:r>
                    <w:rPr>
                      <w:rFonts w:hint="default" w:ascii="Times New Roman" w:hAnsi="Times New Roman" w:cs="宋体"/>
                      <w:kern w:val="2"/>
                      <w:sz w:val="21"/>
                      <w:szCs w:val="21"/>
                      <w:lang w:bidi="ar"/>
                    </w:rPr>
                    <w:t>VOCs</w:t>
                  </w:r>
                  <w:r>
                    <w:rPr>
                      <w:rFonts w:hint="eastAsia" w:cs="宋体"/>
                      <w:kern w:val="2"/>
                      <w:sz w:val="21"/>
                      <w:szCs w:val="21"/>
                      <w:lang w:bidi="ar"/>
                    </w:rPr>
                    <w:t>）以及温室气体协同减排力度，加快补齐臭氧治理短板，严格落实国家和我省产品</w:t>
                  </w:r>
                  <w:r>
                    <w:rPr>
                      <w:rFonts w:hint="default" w:ascii="Times New Roman" w:hAnsi="Times New Roman" w:cs="宋体"/>
                      <w:kern w:val="2"/>
                      <w:sz w:val="21"/>
                      <w:szCs w:val="21"/>
                      <w:lang w:bidi="ar"/>
                    </w:rPr>
                    <w:t>VOCs</w:t>
                  </w:r>
                  <w:r>
                    <w:rPr>
                      <w:rFonts w:hint="eastAsia" w:cs="宋体"/>
                      <w:kern w:val="2"/>
                      <w:sz w:val="21"/>
                      <w:szCs w:val="21"/>
                      <w:lang w:bidi="ar"/>
                    </w:rPr>
                    <w:t>含量限值标准，有序推进企业产品切换。</w:t>
                  </w:r>
                </w:p>
              </w:tc>
              <w:tc>
                <w:tcPr>
                  <w:tcW w:w="1581" w:type="dxa"/>
                  <w:tcBorders>
                    <w:top w:val="single" w:color="auto" w:sz="4" w:space="0"/>
                    <w:left w:val="nil"/>
                    <w:bottom w:val="single" w:color="auto" w:sz="4" w:space="0"/>
                    <w:right w:val="single" w:color="auto" w:sz="4" w:space="0"/>
                  </w:tcBorders>
                  <w:shd w:val="clear" w:color="auto" w:fill="auto"/>
                  <w:vAlign w:val="center"/>
                </w:tcPr>
                <w:p w14:paraId="2B5B8585">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1.</w:t>
                  </w:r>
                  <w:r>
                    <w:rPr>
                      <w:rFonts w:hint="eastAsia" w:cs="宋体"/>
                      <w:kern w:val="2"/>
                      <w:sz w:val="21"/>
                      <w:szCs w:val="21"/>
                      <w:lang w:bidi="ar"/>
                    </w:rPr>
                    <w:t>本项目严格执行河北省生态环境准入要求，项目符合国家产业政策和行业准入条件。</w:t>
                  </w:r>
                </w:p>
                <w:p w14:paraId="711E0D77">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2</w:t>
                  </w:r>
                  <w:r>
                    <w:rPr>
                      <w:rFonts w:hint="eastAsia" w:cs="宋体"/>
                      <w:kern w:val="2"/>
                      <w:sz w:val="21"/>
                      <w:szCs w:val="21"/>
                      <w:lang w:bidi="ar"/>
                    </w:rPr>
                    <w:t>项目排放污染物满足相关污染物排放标准，项目在环评审批通过后及时申领排污许可证；</w:t>
                  </w:r>
                </w:p>
                <w:p w14:paraId="28F77961">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3.</w:t>
                  </w:r>
                  <w:r>
                    <w:rPr>
                      <w:rFonts w:hint="eastAsia" w:cs="宋体"/>
                      <w:kern w:val="2"/>
                      <w:sz w:val="21"/>
                      <w:szCs w:val="21"/>
                      <w:lang w:bidi="ar"/>
                    </w:rPr>
                    <w:t>项目为水泥制品制造项目，不属于上述重点行业，不涉及相关要求；</w:t>
                  </w:r>
                </w:p>
                <w:p w14:paraId="38F84E7D">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4.</w:t>
                  </w:r>
                  <w:r>
                    <w:rPr>
                      <w:rFonts w:hint="eastAsia" w:cs="宋体"/>
                      <w:kern w:val="2"/>
                      <w:sz w:val="21"/>
                      <w:szCs w:val="21"/>
                      <w:lang w:bidi="ar"/>
                    </w:rPr>
                    <w:t>项目不建设焦炉及高炉，不涉及相关要求；</w:t>
                  </w:r>
                </w:p>
                <w:p w14:paraId="28E7D97E">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5.</w:t>
                  </w:r>
                  <w:r>
                    <w:rPr>
                      <w:rFonts w:hint="eastAsia" w:cs="宋体"/>
                      <w:kern w:val="2"/>
                      <w:sz w:val="21"/>
                      <w:szCs w:val="21"/>
                      <w:lang w:bidi="ar"/>
                    </w:rPr>
                    <w:t>项目为水泥制品制造项目，排放污染物满足《水泥工业大气污染物超低排放标准》（</w:t>
                  </w:r>
                  <w:r>
                    <w:rPr>
                      <w:rFonts w:hint="default" w:ascii="Times New Roman" w:hAnsi="Times New Roman"/>
                      <w:kern w:val="2"/>
                      <w:sz w:val="21"/>
                      <w:szCs w:val="21"/>
                      <w:lang w:bidi="ar"/>
                    </w:rPr>
                    <w:t>DB13/2167-2020</w:t>
                  </w:r>
                  <w:r>
                    <w:rPr>
                      <w:rFonts w:hint="eastAsia" w:cs="宋体"/>
                      <w:kern w:val="2"/>
                      <w:sz w:val="21"/>
                      <w:szCs w:val="21"/>
                      <w:lang w:bidi="ar"/>
                    </w:rPr>
                    <w:t>）要求；</w:t>
                  </w:r>
                </w:p>
                <w:p w14:paraId="618F8692">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6.</w:t>
                  </w:r>
                  <w:r>
                    <w:rPr>
                      <w:rFonts w:hint="eastAsia" w:cs="宋体"/>
                      <w:kern w:val="2"/>
                      <w:sz w:val="21"/>
                      <w:szCs w:val="21"/>
                      <w:lang w:bidi="ar"/>
                    </w:rPr>
                    <w:t>不涉及；</w:t>
                  </w:r>
                </w:p>
                <w:p w14:paraId="5A2A7A09">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7.</w:t>
                  </w:r>
                  <w:r>
                    <w:rPr>
                      <w:rFonts w:hint="eastAsia" w:cs="宋体"/>
                      <w:kern w:val="2"/>
                      <w:sz w:val="21"/>
                      <w:szCs w:val="21"/>
                      <w:lang w:bidi="ar"/>
                    </w:rPr>
                    <w:t>本项目施工严格按照《河北省扬尘污染防治办法》《河北省施工场地扬尘排放标准》《河北省建筑施工扬尘防治强化措施</w:t>
                  </w:r>
                  <w:r>
                    <w:rPr>
                      <w:rFonts w:hint="default" w:ascii="Times New Roman" w:hAnsi="Times New Roman"/>
                      <w:kern w:val="2"/>
                      <w:sz w:val="21"/>
                      <w:szCs w:val="21"/>
                      <w:lang w:bidi="ar"/>
                    </w:rPr>
                    <w:t>18</w:t>
                  </w:r>
                  <w:r>
                    <w:rPr>
                      <w:rFonts w:hint="eastAsia" w:cs="宋体"/>
                      <w:kern w:val="2"/>
                      <w:sz w:val="21"/>
                      <w:szCs w:val="21"/>
                      <w:lang w:bidi="ar"/>
                    </w:rPr>
                    <w:t>条》执行；</w:t>
                  </w:r>
                </w:p>
                <w:p w14:paraId="2A9893CC">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8.</w:t>
                  </w:r>
                  <w:r>
                    <w:rPr>
                      <w:rFonts w:hint="eastAsia" w:cs="宋体"/>
                      <w:kern w:val="2"/>
                      <w:sz w:val="21"/>
                      <w:szCs w:val="21"/>
                      <w:lang w:bidi="ar"/>
                    </w:rPr>
                    <w:t>本项目运输车辆执行国六排放标准；非道路移动机械采用登记管理制度；</w:t>
                  </w:r>
                </w:p>
                <w:p w14:paraId="3A6ABB7F">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9.</w:t>
                  </w:r>
                  <w:r>
                    <w:rPr>
                      <w:rFonts w:hint="eastAsia" w:cs="宋体"/>
                      <w:kern w:val="2"/>
                      <w:sz w:val="21"/>
                      <w:szCs w:val="21"/>
                      <w:lang w:bidi="ar"/>
                    </w:rPr>
                    <w:t>厂区内地面硬化，裸露地面采取绿化措施；</w:t>
                  </w:r>
                </w:p>
                <w:p w14:paraId="2BA7CE6E">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10.</w:t>
                  </w:r>
                  <w:r>
                    <w:rPr>
                      <w:rFonts w:hint="eastAsia" w:cs="宋体"/>
                      <w:kern w:val="2"/>
                      <w:sz w:val="21"/>
                      <w:szCs w:val="21"/>
                      <w:lang w:bidi="ar"/>
                    </w:rPr>
                    <w:t>项目为水泥制品制造项目，不涉及露天焚烧农作物秸秆；</w:t>
                  </w:r>
                </w:p>
                <w:p w14:paraId="5FA71CE3">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11.</w:t>
                  </w:r>
                  <w:r>
                    <w:rPr>
                      <w:rFonts w:hint="eastAsia" w:cs="宋体"/>
                      <w:kern w:val="2"/>
                      <w:sz w:val="21"/>
                      <w:szCs w:val="21"/>
                      <w:lang w:bidi="ar"/>
                    </w:rPr>
                    <w:t>项目为水泥制品制造项目，不涉及燃放烟花爆竹；</w:t>
                  </w:r>
                </w:p>
                <w:p w14:paraId="290C22E2">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12.</w:t>
                  </w:r>
                  <w:r>
                    <w:rPr>
                      <w:rFonts w:hint="eastAsia" w:cs="宋体"/>
                      <w:kern w:val="2"/>
                      <w:sz w:val="21"/>
                      <w:szCs w:val="21"/>
                      <w:lang w:bidi="ar"/>
                    </w:rPr>
                    <w:t>项目为水泥制品制造项目，不属于餐饮企业；</w:t>
                  </w:r>
                </w:p>
                <w:p w14:paraId="51A2F997">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13.</w:t>
                  </w:r>
                  <w:r>
                    <w:rPr>
                      <w:rFonts w:hint="eastAsia" w:cs="宋体"/>
                      <w:kern w:val="2"/>
                      <w:sz w:val="21"/>
                      <w:szCs w:val="21"/>
                      <w:lang w:bidi="ar"/>
                    </w:rPr>
                    <w:t>不涉及。</w:t>
                  </w:r>
                </w:p>
              </w:tc>
              <w:tc>
                <w:tcPr>
                  <w:tcW w:w="934" w:type="dxa"/>
                  <w:tcBorders>
                    <w:top w:val="single" w:color="auto" w:sz="4" w:space="0"/>
                    <w:left w:val="nil"/>
                    <w:bottom w:val="single" w:color="auto" w:sz="4" w:space="0"/>
                    <w:right w:val="single" w:color="auto" w:sz="4" w:space="0"/>
                  </w:tcBorders>
                  <w:shd w:val="clear" w:color="auto" w:fill="auto"/>
                  <w:vAlign w:val="center"/>
                </w:tcPr>
                <w:p w14:paraId="744DE640">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color w:val="FF0000"/>
                      <w:kern w:val="2"/>
                      <w:sz w:val="21"/>
                      <w:szCs w:val="21"/>
                    </w:rPr>
                  </w:pPr>
                  <w:r>
                    <w:rPr>
                      <w:rFonts w:hint="eastAsia" w:cs="宋体"/>
                      <w:kern w:val="2"/>
                      <w:sz w:val="21"/>
                      <w:szCs w:val="21"/>
                      <w:lang w:bidi="ar"/>
                    </w:rPr>
                    <w:t>符合</w:t>
                  </w:r>
                </w:p>
              </w:tc>
            </w:tr>
            <w:tr w14:paraId="1A9A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9" w:type="dxa"/>
                  <w:tcBorders>
                    <w:top w:val="single" w:color="auto" w:sz="4" w:space="0"/>
                    <w:left w:val="single" w:color="auto" w:sz="4" w:space="0"/>
                    <w:bottom w:val="single" w:color="auto" w:sz="4" w:space="0"/>
                    <w:right w:val="single" w:color="auto" w:sz="4" w:space="0"/>
                  </w:tcBorders>
                  <w:shd w:val="clear" w:color="auto" w:fill="auto"/>
                  <w:vAlign w:val="center"/>
                </w:tcPr>
                <w:p w14:paraId="3A220B69">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环境风险防范</w:t>
                  </w:r>
                </w:p>
              </w:tc>
              <w:tc>
                <w:tcPr>
                  <w:tcW w:w="4289" w:type="dxa"/>
                  <w:tcBorders>
                    <w:top w:val="single" w:color="auto" w:sz="4" w:space="0"/>
                    <w:left w:val="nil"/>
                    <w:bottom w:val="single" w:color="auto" w:sz="4" w:space="0"/>
                    <w:right w:val="single" w:color="auto" w:sz="4" w:space="0"/>
                  </w:tcBorders>
                  <w:shd w:val="clear" w:color="auto" w:fill="auto"/>
                  <w:vAlign w:val="center"/>
                </w:tcPr>
                <w:p w14:paraId="471C809A">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1.</w:t>
                  </w:r>
                  <w:r>
                    <w:rPr>
                      <w:rFonts w:hint="eastAsia" w:cs="宋体"/>
                      <w:kern w:val="2"/>
                      <w:sz w:val="21"/>
                      <w:szCs w:val="21"/>
                      <w:lang w:bidi="ar"/>
                    </w:rPr>
                    <w:t>健全完善重污染天气应急预案，在重污染天气情况下按照预警等级及时启动相应的应急预案和应急措施。</w:t>
                  </w:r>
                </w:p>
                <w:p w14:paraId="2B7E7C66">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cs="宋体"/>
                      <w:kern w:val="2"/>
                      <w:sz w:val="21"/>
                      <w:szCs w:val="21"/>
                      <w:lang w:bidi="ar"/>
                    </w:rPr>
                    <w:t>2.</w:t>
                  </w:r>
                  <w:r>
                    <w:rPr>
                      <w:rFonts w:hint="eastAsia" w:cs="宋体"/>
                      <w:kern w:val="2"/>
                      <w:sz w:val="21"/>
                      <w:szCs w:val="21"/>
                      <w:lang w:bidi="ar"/>
                    </w:rPr>
                    <w:t>严格化学品生产准入和行业准入，调整优化高风险化学品企业布局，提高区域环境风险防范能力。加强对排放二噁英等持久性有机污染物企业的日常监管。</w:t>
                  </w:r>
                </w:p>
                <w:p w14:paraId="2E771079">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cs="宋体"/>
                      <w:kern w:val="2"/>
                      <w:sz w:val="21"/>
                      <w:szCs w:val="21"/>
                      <w:lang w:bidi="ar"/>
                    </w:rPr>
                    <w:t>3.</w:t>
                  </w:r>
                  <w:r>
                    <w:rPr>
                      <w:rFonts w:hint="eastAsia" w:cs="宋体"/>
                      <w:kern w:val="2"/>
                      <w:sz w:val="21"/>
                      <w:szCs w:val="21"/>
                      <w:lang w:bidi="ar"/>
                    </w:rPr>
                    <w:t>全面开展消耗臭氧层物质（</w:t>
                  </w:r>
                  <w:r>
                    <w:rPr>
                      <w:rFonts w:hint="default" w:ascii="Times New Roman" w:hAnsi="Times New Roman" w:cs="宋体"/>
                      <w:kern w:val="2"/>
                      <w:sz w:val="21"/>
                      <w:szCs w:val="21"/>
                      <w:lang w:bidi="ar"/>
                    </w:rPr>
                    <w:t>ODS</w:t>
                  </w:r>
                  <w:r>
                    <w:rPr>
                      <w:rFonts w:hint="eastAsia" w:cs="宋体"/>
                      <w:kern w:val="2"/>
                      <w:sz w:val="21"/>
                      <w:szCs w:val="21"/>
                      <w:lang w:bidi="ar"/>
                    </w:rPr>
                    <w:t>）排放治理，实施含氢氯氟烃（</w:t>
                  </w:r>
                  <w:r>
                    <w:rPr>
                      <w:rFonts w:hint="default" w:ascii="Times New Roman" w:hAnsi="Times New Roman" w:cs="宋体"/>
                      <w:kern w:val="2"/>
                      <w:sz w:val="21"/>
                      <w:szCs w:val="21"/>
                      <w:lang w:bidi="ar"/>
                    </w:rPr>
                    <w:t>HCFCs</w:t>
                  </w:r>
                  <w:r>
                    <w:rPr>
                      <w:rFonts w:hint="eastAsia" w:cs="宋体"/>
                      <w:kern w:val="2"/>
                      <w:sz w:val="21"/>
                      <w:szCs w:val="21"/>
                      <w:lang w:bidi="ar"/>
                    </w:rPr>
                    <w:t>）淘汰和替代，推动三氟甲烷（</w:t>
                  </w:r>
                  <w:r>
                    <w:rPr>
                      <w:rFonts w:hint="default" w:ascii="Times New Roman" w:hAnsi="Times New Roman" w:cs="宋体"/>
                      <w:kern w:val="2"/>
                      <w:sz w:val="21"/>
                      <w:szCs w:val="21"/>
                      <w:lang w:bidi="ar"/>
                    </w:rPr>
                    <w:t>HFC-23</w:t>
                  </w:r>
                  <w:r>
                    <w:rPr>
                      <w:rFonts w:hint="eastAsia" w:cs="宋体"/>
                      <w:kern w:val="2"/>
                      <w:sz w:val="21"/>
                      <w:szCs w:val="21"/>
                      <w:lang w:bidi="ar"/>
                    </w:rPr>
                    <w:t>）的销毁和转化。</w:t>
                  </w:r>
                </w:p>
              </w:tc>
              <w:tc>
                <w:tcPr>
                  <w:tcW w:w="1581" w:type="dxa"/>
                  <w:tcBorders>
                    <w:top w:val="single" w:color="auto" w:sz="4" w:space="0"/>
                    <w:left w:val="nil"/>
                    <w:bottom w:val="single" w:color="auto" w:sz="4" w:space="0"/>
                    <w:right w:val="single" w:color="auto" w:sz="4" w:space="0"/>
                  </w:tcBorders>
                  <w:shd w:val="clear" w:color="auto" w:fill="auto"/>
                  <w:vAlign w:val="center"/>
                </w:tcPr>
                <w:p w14:paraId="28BFCD5F">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1.</w:t>
                  </w:r>
                  <w:r>
                    <w:rPr>
                      <w:rFonts w:hint="eastAsia" w:ascii="Times New Roman" w:hAnsi="Times New Roman"/>
                      <w:kern w:val="2"/>
                      <w:sz w:val="21"/>
                      <w:szCs w:val="21"/>
                      <w:lang w:bidi="ar"/>
                    </w:rPr>
                    <w:t>在项目建设完成后，即着手编制</w:t>
                  </w:r>
                  <w:r>
                    <w:rPr>
                      <w:rFonts w:hint="eastAsia" w:cs="宋体"/>
                      <w:kern w:val="2"/>
                      <w:sz w:val="21"/>
                      <w:szCs w:val="21"/>
                      <w:lang w:bidi="ar"/>
                    </w:rPr>
                    <w:t>重污染天气应急预案，在重污染天气情况下按照预警等级及时启动相应的应急预案和应急措施。</w:t>
                  </w:r>
                </w:p>
                <w:p w14:paraId="61368010">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2.</w:t>
                  </w:r>
                  <w:r>
                    <w:rPr>
                      <w:rFonts w:hint="eastAsia" w:cs="宋体"/>
                      <w:kern w:val="2"/>
                      <w:sz w:val="21"/>
                      <w:szCs w:val="21"/>
                      <w:lang w:bidi="ar"/>
                    </w:rPr>
                    <w:t>本项目为水泥制品制造项目，不属于化学品生产项目，不涉及相关要求；</w:t>
                  </w:r>
                </w:p>
                <w:p w14:paraId="02DBDBC1">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3.</w:t>
                  </w:r>
                  <w:r>
                    <w:rPr>
                      <w:rFonts w:hint="eastAsia" w:cs="宋体"/>
                      <w:kern w:val="2"/>
                      <w:sz w:val="21"/>
                      <w:szCs w:val="21"/>
                      <w:lang w:bidi="ar"/>
                    </w:rPr>
                    <w:t>本项目为水泥制品制造项目，不排放</w:t>
                  </w:r>
                  <w:r>
                    <w:rPr>
                      <w:rFonts w:hint="default" w:ascii="Times New Roman" w:hAnsi="Times New Roman"/>
                      <w:kern w:val="2"/>
                      <w:sz w:val="21"/>
                      <w:szCs w:val="21"/>
                      <w:lang w:bidi="ar"/>
                    </w:rPr>
                    <w:t>ODS</w:t>
                  </w:r>
                  <w:r>
                    <w:rPr>
                      <w:rFonts w:hint="eastAsia" w:cs="宋体"/>
                      <w:kern w:val="2"/>
                      <w:sz w:val="21"/>
                      <w:szCs w:val="21"/>
                      <w:lang w:bidi="ar"/>
                    </w:rPr>
                    <w:t>，不涉及相关要求。</w:t>
                  </w:r>
                </w:p>
              </w:tc>
              <w:tc>
                <w:tcPr>
                  <w:tcW w:w="934" w:type="dxa"/>
                  <w:tcBorders>
                    <w:top w:val="single" w:color="auto" w:sz="4" w:space="0"/>
                    <w:left w:val="nil"/>
                    <w:bottom w:val="single" w:color="auto" w:sz="4" w:space="0"/>
                    <w:right w:val="single" w:color="auto" w:sz="4" w:space="0"/>
                  </w:tcBorders>
                  <w:shd w:val="clear" w:color="auto" w:fill="auto"/>
                  <w:vAlign w:val="center"/>
                </w:tcPr>
                <w:p w14:paraId="478A2AD8">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符合</w:t>
                  </w:r>
                </w:p>
              </w:tc>
            </w:tr>
            <w:tr w14:paraId="5F74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9" w:type="dxa"/>
                  <w:tcBorders>
                    <w:top w:val="single" w:color="auto" w:sz="4" w:space="0"/>
                    <w:left w:val="single" w:color="auto" w:sz="4" w:space="0"/>
                    <w:bottom w:val="single" w:color="auto" w:sz="4" w:space="0"/>
                    <w:right w:val="single" w:color="auto" w:sz="4" w:space="0"/>
                  </w:tcBorders>
                  <w:shd w:val="clear" w:color="auto" w:fill="auto"/>
                  <w:vAlign w:val="center"/>
                </w:tcPr>
                <w:p w14:paraId="31A104E7">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资源利用效率</w:t>
                  </w:r>
                </w:p>
              </w:tc>
              <w:tc>
                <w:tcPr>
                  <w:tcW w:w="4289" w:type="dxa"/>
                  <w:tcBorders>
                    <w:top w:val="single" w:color="auto" w:sz="4" w:space="0"/>
                    <w:left w:val="nil"/>
                    <w:bottom w:val="single" w:color="auto" w:sz="4" w:space="0"/>
                    <w:right w:val="single" w:color="auto" w:sz="4" w:space="0"/>
                  </w:tcBorders>
                  <w:shd w:val="clear" w:color="auto" w:fill="auto"/>
                  <w:vAlign w:val="center"/>
                </w:tcPr>
                <w:p w14:paraId="0945EAB6">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cs="宋体"/>
                      <w:kern w:val="2"/>
                      <w:sz w:val="21"/>
                      <w:szCs w:val="21"/>
                      <w:lang w:bidi="ar"/>
                    </w:rPr>
                    <w:t>1.</w:t>
                  </w:r>
                  <w:r>
                    <w:rPr>
                      <w:rFonts w:hint="eastAsia" w:cs="宋体"/>
                      <w:kern w:val="2"/>
                      <w:sz w:val="21"/>
                      <w:szCs w:val="21"/>
                      <w:lang w:bidi="ar"/>
                    </w:rPr>
                    <w:t>强化散煤治理，推动煤炭清洁高效利用，有序推进清洁取暖。城市建成区集中供热覆盖范围以外，因地制宜、多能互补，大力推广天然气、热泵、中深层地热、生物质、太阳能等清洁供热技术。到</w:t>
                  </w:r>
                  <w:r>
                    <w:rPr>
                      <w:rFonts w:hint="default" w:ascii="Times New Roman" w:hAnsi="Times New Roman" w:cs="宋体"/>
                      <w:kern w:val="2"/>
                      <w:sz w:val="21"/>
                      <w:szCs w:val="21"/>
                      <w:lang w:bidi="ar"/>
                    </w:rPr>
                    <w:t>2025</w:t>
                  </w:r>
                  <w:r>
                    <w:rPr>
                      <w:rFonts w:hint="eastAsia" w:cs="宋体"/>
                      <w:kern w:val="2"/>
                      <w:sz w:val="21"/>
                      <w:szCs w:val="21"/>
                      <w:lang w:bidi="ar"/>
                    </w:rPr>
                    <w:t>年，除不具备改造条件的偏远山区和坝上地区外，其他农村地区实现清洁取暖全覆盖。</w:t>
                  </w:r>
                </w:p>
              </w:tc>
              <w:tc>
                <w:tcPr>
                  <w:tcW w:w="1581" w:type="dxa"/>
                  <w:tcBorders>
                    <w:top w:val="single" w:color="auto" w:sz="4" w:space="0"/>
                    <w:left w:val="nil"/>
                    <w:bottom w:val="single" w:color="auto" w:sz="4" w:space="0"/>
                    <w:right w:val="single" w:color="auto" w:sz="4" w:space="0"/>
                  </w:tcBorders>
                  <w:shd w:val="clear" w:color="auto" w:fill="auto"/>
                  <w:vAlign w:val="center"/>
                </w:tcPr>
                <w:p w14:paraId="5A4A04F5">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default" w:ascii="Times New Roman" w:hAnsi="Times New Roman"/>
                      <w:kern w:val="2"/>
                      <w:sz w:val="21"/>
                      <w:szCs w:val="21"/>
                      <w:lang w:bidi="ar"/>
                    </w:rPr>
                    <w:t>1.</w:t>
                  </w:r>
                  <w:r>
                    <w:rPr>
                      <w:rFonts w:hint="eastAsia" w:cs="宋体"/>
                      <w:kern w:val="2"/>
                      <w:sz w:val="21"/>
                      <w:szCs w:val="21"/>
                      <w:lang w:bidi="ar"/>
                    </w:rPr>
                    <w:t>本项目为水泥制品制造项目，无生产锅炉，不燃煤。</w:t>
                  </w:r>
                </w:p>
              </w:tc>
              <w:tc>
                <w:tcPr>
                  <w:tcW w:w="934" w:type="dxa"/>
                  <w:tcBorders>
                    <w:top w:val="single" w:color="auto" w:sz="4" w:space="0"/>
                    <w:left w:val="nil"/>
                    <w:bottom w:val="single" w:color="auto" w:sz="4" w:space="0"/>
                    <w:right w:val="single" w:color="auto" w:sz="4" w:space="0"/>
                  </w:tcBorders>
                  <w:shd w:val="clear" w:color="auto" w:fill="auto"/>
                  <w:vAlign w:val="center"/>
                </w:tcPr>
                <w:p w14:paraId="64AD17B9">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符合</w:t>
                  </w:r>
                </w:p>
              </w:tc>
            </w:tr>
          </w:tbl>
          <w:p w14:paraId="00B90EEB">
            <w:pPr>
              <w:keepNext w:val="0"/>
              <w:keepLines w:val="0"/>
              <w:numPr>
                <w:ilvl w:val="3"/>
                <w:numId w:val="6"/>
              </w:numPr>
              <w:suppressLineNumbers w:val="0"/>
              <w:spacing w:before="0" w:beforeAutospacing="0" w:after="0" w:afterAutospacing="0"/>
              <w:ind w:right="0" w:firstLine="480"/>
              <w:rPr>
                <w:rFonts w:hint="default"/>
              </w:rPr>
            </w:pPr>
            <w:r>
              <w:rPr>
                <w:rFonts w:hint="eastAsia" w:ascii="宋体" w:hAnsi="宋体" w:cs="宋体"/>
                <w:lang w:bidi="ar"/>
              </w:rPr>
              <w:t>土壤环境总体要求</w:t>
            </w:r>
          </w:p>
          <w:p w14:paraId="6304F479">
            <w:pPr>
              <w:keepNext w:val="0"/>
              <w:keepLines w:val="0"/>
              <w:suppressLineNumbers w:val="0"/>
              <w:spacing w:before="0" w:beforeAutospacing="0" w:after="0" w:afterAutospacing="0"/>
              <w:ind w:left="0" w:right="0" w:firstLine="480"/>
              <w:rPr>
                <w:rFonts w:hint="default"/>
              </w:rPr>
            </w:pPr>
            <w:r>
              <w:rPr>
                <w:rFonts w:hint="default"/>
              </w:rPr>
              <w:t>项目与</w:t>
            </w:r>
            <w:r>
              <w:rPr>
                <w:rFonts w:hint="eastAsia"/>
              </w:rPr>
              <w:t>土壤</w:t>
            </w:r>
            <w:r>
              <w:rPr>
                <w:rFonts w:hint="default"/>
              </w:rPr>
              <w:t>环境总体要求符合性分析见下表。</w:t>
            </w:r>
          </w:p>
          <w:p w14:paraId="5023BD04">
            <w:pPr>
              <w:keepNext w:val="0"/>
              <w:keepLines w:val="0"/>
              <w:numPr>
                <w:ilvl w:val="0"/>
                <w:numId w:val="4"/>
              </w:numPr>
              <w:suppressLineNumbers w:val="0"/>
              <w:adjustRightInd/>
              <w:spacing w:before="0" w:beforeAutospacing="0" w:after="0" w:afterAutospacing="0"/>
              <w:ind w:left="0" w:right="0" w:firstLine="0" w:firstLineChars="0"/>
              <w:jc w:val="center"/>
              <w:rPr>
                <w:rFonts w:hint="default"/>
              </w:rPr>
            </w:pPr>
            <w:r>
              <w:rPr>
                <w:rFonts w:hint="eastAsia" w:ascii="宋体" w:hAnsi="宋体" w:cs="宋体"/>
                <w:b/>
                <w:sz w:val="21"/>
                <w:szCs w:val="21"/>
                <w:lang w:bidi="ar"/>
              </w:rPr>
              <w:t>项目与土壤环境总体要求符合性分析表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4292"/>
              <w:gridCol w:w="1581"/>
              <w:gridCol w:w="933"/>
            </w:tblGrid>
            <w:tr w14:paraId="6C22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06173459">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管控纬度</w:t>
                  </w:r>
                </w:p>
              </w:tc>
              <w:tc>
                <w:tcPr>
                  <w:tcW w:w="2647" w:type="pct"/>
                  <w:tcBorders>
                    <w:top w:val="single" w:color="auto" w:sz="4" w:space="0"/>
                    <w:left w:val="nil"/>
                    <w:bottom w:val="single" w:color="auto" w:sz="4" w:space="0"/>
                    <w:right w:val="single" w:color="auto" w:sz="4" w:space="0"/>
                  </w:tcBorders>
                  <w:shd w:val="clear" w:color="auto" w:fill="auto"/>
                  <w:vAlign w:val="center"/>
                </w:tcPr>
                <w:p w14:paraId="433FF168">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管控要求</w:t>
                  </w:r>
                </w:p>
              </w:tc>
              <w:tc>
                <w:tcPr>
                  <w:tcW w:w="975" w:type="pct"/>
                  <w:tcBorders>
                    <w:top w:val="single" w:color="auto" w:sz="4" w:space="0"/>
                    <w:left w:val="nil"/>
                    <w:bottom w:val="single" w:color="auto" w:sz="4" w:space="0"/>
                    <w:right w:val="single" w:color="auto" w:sz="4" w:space="0"/>
                  </w:tcBorders>
                  <w:shd w:val="clear" w:color="auto" w:fill="auto"/>
                  <w:vAlign w:val="center"/>
                </w:tcPr>
                <w:p w14:paraId="071CE9AB">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本项目情况</w:t>
                  </w:r>
                </w:p>
              </w:tc>
              <w:tc>
                <w:tcPr>
                  <w:tcW w:w="576" w:type="pct"/>
                  <w:tcBorders>
                    <w:top w:val="single" w:color="auto" w:sz="4" w:space="0"/>
                    <w:left w:val="nil"/>
                    <w:bottom w:val="single" w:color="auto" w:sz="4" w:space="0"/>
                    <w:right w:val="single" w:color="auto" w:sz="4" w:space="0"/>
                  </w:tcBorders>
                  <w:shd w:val="clear" w:color="auto" w:fill="auto"/>
                  <w:vAlign w:val="center"/>
                </w:tcPr>
                <w:p w14:paraId="7B3CF226">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符合性</w:t>
                  </w:r>
                </w:p>
              </w:tc>
            </w:tr>
            <w:tr w14:paraId="6AE9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07BC1F69">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空间布局优化</w:t>
                  </w:r>
                </w:p>
              </w:tc>
              <w:tc>
                <w:tcPr>
                  <w:tcW w:w="2647" w:type="pct"/>
                  <w:tcBorders>
                    <w:top w:val="single" w:color="auto" w:sz="4" w:space="0"/>
                    <w:left w:val="nil"/>
                    <w:bottom w:val="single" w:color="auto" w:sz="4" w:space="0"/>
                    <w:right w:val="single" w:color="auto" w:sz="4" w:space="0"/>
                  </w:tcBorders>
                  <w:shd w:val="clear" w:color="auto" w:fill="auto"/>
                  <w:vAlign w:val="center"/>
                </w:tcPr>
                <w:p w14:paraId="570DAD39">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rPr>
                    <w:t>1、农用地优先保护区内实行严格保护，确保其土壤环境质量不下降。在永久基本农田集中区域，不得新建可能造成土壤污染的建设项目；已经建成的，应当限期关闭拆除。</w:t>
                  </w:r>
                </w:p>
                <w:p w14:paraId="42BB58BF">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rPr>
                    <w:t>2、加强特定农产品严格管控区管理，严禁种植特定食用农产品和饲草；重度污染耕地应纳入退耕还林还草实施范围，重度污染的牧草地纳入禁牧休牧实施范围。</w:t>
                  </w:r>
                </w:p>
                <w:p w14:paraId="28486696">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rPr>
                    <w:t>3、禁止企业向滩涂、沼泽、荒地等未利用地非法排污、倾倒有毒有害物质。</w:t>
                  </w:r>
                </w:p>
                <w:p w14:paraId="7C94621A">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rPr>
                    <w:t>4、禁止在居民区和学校、医院、疗养院、养老院等单位周边新建、改建、扩建有色金属冶炼、石油加工、焦化、化工、电镀、制革等可能造成土壤污染的建设项目。</w:t>
                  </w:r>
                </w:p>
                <w:p w14:paraId="638488F0">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rPr>
                    <w:t>5、未利用地、复垦土地等拟开垦为耕地的，要进行土壤污染状况调查，依法进行分类管理，原则上禁止曾用于生产、使用、贮存、回收、处置有毒有害物质的工矿用地开垦为种植食用农产品的耕地。</w:t>
                  </w:r>
                </w:p>
                <w:p w14:paraId="6E864503">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rPr>
                    <w:t>6、工矿企业中，涉及排放有毒有害物质可能造成土壤污染的新（改、扩）建项目，依法进行环境影响评价，提出并落实防腐蚀、防渗漏、防遗撒等土壤防治具体措施。</w:t>
                  </w:r>
                </w:p>
                <w:p w14:paraId="30127E86">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rPr>
                    <w:t>7、禁止在环境敏感区域新建或扩建危险化学品项目，新建危险化学品企业必须全部进入符合要求的化工园区，开展化工园区整体安全风险评估，加强和规范化工园区的安全管理。</w:t>
                  </w:r>
                </w:p>
                <w:p w14:paraId="508CAD06">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rPr>
                    <w:t>8、严防土壤污染风险不明地块进入用地程序。列入建设用地土壤污染风险管控和修复名录的地块，严格土地征收、收回、收购、土地供应以及转让、改变土地用途等环节监管，原则上不得办理相关手续。依法应当开展土壤污染状况调查或风险评估而未开展或尚未完成的地块，以及未达到土壤污染风险评估报告确定的风险管控、修复目标的地块，不得开工建设与风险管控、修复无关的项目。</w:t>
                  </w:r>
                </w:p>
              </w:tc>
              <w:tc>
                <w:tcPr>
                  <w:tcW w:w="975" w:type="pct"/>
                  <w:tcBorders>
                    <w:top w:val="single" w:color="auto" w:sz="4" w:space="0"/>
                    <w:left w:val="nil"/>
                    <w:bottom w:val="single" w:color="auto" w:sz="4" w:space="0"/>
                    <w:right w:val="single" w:color="auto" w:sz="4" w:space="0"/>
                  </w:tcBorders>
                  <w:shd w:val="clear" w:color="auto" w:fill="auto"/>
                  <w:vAlign w:val="center"/>
                </w:tcPr>
                <w:p w14:paraId="3FD6B0EC">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1.项目位于河北宽城经济开发区，不位于农用地优先保护区及永久基本农田集中区域，不涉及相关要求；</w:t>
                  </w:r>
                </w:p>
                <w:p w14:paraId="2A4E1D3C">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2.不涉及；</w:t>
                  </w:r>
                </w:p>
                <w:p w14:paraId="11C455ED">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3.项目废水及固体废物均不外排；</w:t>
                  </w:r>
                </w:p>
                <w:p w14:paraId="34211162">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4.项目不位于居民区和学校、医院、疗养院、养老院等单位周边，且不属于有色金属冶炼、石油加工、焦化、化工、电镀、制革等可能造成土壤污染的建设项目；</w:t>
                  </w:r>
                </w:p>
                <w:p w14:paraId="73A49D7D">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5.不涉及；</w:t>
                  </w:r>
                </w:p>
                <w:p w14:paraId="0D3AA9CB">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6.不涉及；</w:t>
                  </w:r>
                </w:p>
                <w:p w14:paraId="1E907B15">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7.项目为水泥制品制造项目，不属于危险化学品项目；</w:t>
                  </w:r>
                </w:p>
                <w:p w14:paraId="27CEA029">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8.不涉及。</w:t>
                  </w:r>
                </w:p>
              </w:tc>
              <w:tc>
                <w:tcPr>
                  <w:tcW w:w="576" w:type="pct"/>
                  <w:tcBorders>
                    <w:top w:val="single" w:color="auto" w:sz="4" w:space="0"/>
                    <w:left w:val="nil"/>
                    <w:bottom w:val="single" w:color="auto" w:sz="4" w:space="0"/>
                    <w:right w:val="single" w:color="auto" w:sz="4" w:space="0"/>
                  </w:tcBorders>
                  <w:shd w:val="clear" w:color="auto" w:fill="auto"/>
                  <w:vAlign w:val="center"/>
                </w:tcPr>
                <w:p w14:paraId="3CE2FBF8">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符合</w:t>
                  </w:r>
                </w:p>
              </w:tc>
            </w:tr>
            <w:tr w14:paraId="1C30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0C7C8D38">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污染排放管控</w:t>
                  </w:r>
                </w:p>
              </w:tc>
              <w:tc>
                <w:tcPr>
                  <w:tcW w:w="2647" w:type="pct"/>
                  <w:tcBorders>
                    <w:top w:val="single" w:color="auto" w:sz="4" w:space="0"/>
                    <w:left w:val="nil"/>
                    <w:bottom w:val="single" w:color="auto" w:sz="4" w:space="0"/>
                    <w:right w:val="single" w:color="auto" w:sz="4" w:space="0"/>
                  </w:tcBorders>
                  <w:shd w:val="clear" w:color="auto" w:fill="auto"/>
                  <w:vAlign w:val="center"/>
                </w:tcPr>
                <w:p w14:paraId="21425744">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rPr>
                    <w:t>1、对区域土壤环境质量下降的县（市、区），依法采取环评限批等措施。</w:t>
                  </w:r>
                </w:p>
                <w:p w14:paraId="091A8ED8">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rPr>
                    <w:t>2、新、改、扩建项目选址用地应当达到工业用地土壤环境质量要求。超过国家土壤污染风险管控有关工业类建设用地筛选值标准的工业地块，未经治理修复或者治理修复不符合相关标准的，不得新、改、扩建项目。</w:t>
                  </w:r>
                </w:p>
                <w:p w14:paraId="5AE69E5A">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rPr>
                    <w:t>3、严控新增重金属排放量，遵循“减量置换”或“等量置换”原则对全市所有新、改、扩建涉重金属重点行业项目进行审批审核。</w:t>
                  </w:r>
                </w:p>
                <w:p w14:paraId="5C55D123">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rPr>
                    <w:t>4、未利用地的开发应符合土地整治规划，经科学论证与评估，依法批准后方可进行。拟开发为农用地的，有关县（市、区）政府要组织开展土壤环境质量状况评估，达不到相关标准的，不得种植食用农产品和饲草。拟开发为建设用地的未利用地，符合土壤环境质量要求的地块，方可进入用地程序；不符合土壤环境质量要求的，由所在地县（市、区）政府组织划定管控区域，按照相关规定采取环境风险管控措施。</w:t>
                  </w:r>
                </w:p>
                <w:p w14:paraId="634521E0">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rPr>
                    <w:t>5、严格控制高毒高残留高风险农药使用；严格落实农膜管理制度，推广地膜科学使用回收；开展秸秆资源台账填报，落实秸秆还田离田支持政策。</w:t>
                  </w:r>
                </w:p>
                <w:p w14:paraId="6E31795F">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rPr>
                    <w:t>6、健全粪污收储体系，强化粪污资源化利用计划和台账管理；落实畜禽规模养殖场环境影响评价及排污许可制度，依法规范畜禽养殖禁养区管理，防止粪污偷排漏排。</w:t>
                  </w:r>
                </w:p>
              </w:tc>
              <w:tc>
                <w:tcPr>
                  <w:tcW w:w="975" w:type="pct"/>
                  <w:tcBorders>
                    <w:top w:val="single" w:color="auto" w:sz="4" w:space="0"/>
                    <w:left w:val="nil"/>
                    <w:bottom w:val="single" w:color="auto" w:sz="4" w:space="0"/>
                    <w:right w:val="single" w:color="auto" w:sz="4" w:space="0"/>
                  </w:tcBorders>
                  <w:shd w:val="clear" w:color="auto" w:fill="auto"/>
                  <w:vAlign w:val="center"/>
                </w:tcPr>
                <w:p w14:paraId="7B0A1A09">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1.不涉及；</w:t>
                  </w:r>
                </w:p>
                <w:p w14:paraId="4D95B418">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2.项目位于河北宽城经济开发区内，对照开发区总体规划，项目位于工业用地，土壤环境质量满足标准；</w:t>
                  </w:r>
                </w:p>
                <w:p w14:paraId="032ADB0F">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3.项目为水泥制品制造项目，不排放重金属污染；</w:t>
                  </w:r>
                </w:p>
                <w:p w14:paraId="1E2275DD">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4.不涉及；</w:t>
                  </w:r>
                </w:p>
                <w:p w14:paraId="2B106798">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5.项目为水泥制品制造项目，不使用高毒高残留高风险农药；</w:t>
                  </w:r>
                </w:p>
                <w:p w14:paraId="2F630790">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6.不涉及。</w:t>
                  </w:r>
                </w:p>
              </w:tc>
              <w:tc>
                <w:tcPr>
                  <w:tcW w:w="576" w:type="pct"/>
                  <w:tcBorders>
                    <w:top w:val="single" w:color="auto" w:sz="4" w:space="0"/>
                    <w:left w:val="nil"/>
                    <w:bottom w:val="single" w:color="auto" w:sz="4" w:space="0"/>
                    <w:right w:val="single" w:color="auto" w:sz="4" w:space="0"/>
                  </w:tcBorders>
                  <w:shd w:val="clear" w:color="auto" w:fill="auto"/>
                  <w:vAlign w:val="center"/>
                </w:tcPr>
                <w:p w14:paraId="0525F4E2">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符合</w:t>
                  </w:r>
                </w:p>
              </w:tc>
            </w:tr>
            <w:tr w14:paraId="4CB8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030263BB">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环境风险防范</w:t>
                  </w:r>
                </w:p>
              </w:tc>
              <w:tc>
                <w:tcPr>
                  <w:tcW w:w="2647" w:type="pct"/>
                  <w:tcBorders>
                    <w:top w:val="single" w:color="auto" w:sz="4" w:space="0"/>
                    <w:left w:val="nil"/>
                    <w:bottom w:val="single" w:color="auto" w:sz="4" w:space="0"/>
                    <w:right w:val="single" w:color="auto" w:sz="4" w:space="0"/>
                  </w:tcBorders>
                  <w:shd w:val="clear" w:color="auto" w:fill="auto"/>
                  <w:vAlign w:val="center"/>
                </w:tcPr>
                <w:p w14:paraId="0DB8B5CF">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lang w:bidi="ar"/>
                    </w:rPr>
                  </w:pPr>
                  <w:r>
                    <w:rPr>
                      <w:rFonts w:hint="default" w:ascii="Times New Roman" w:hAnsi="Times New Roman" w:cs="宋体"/>
                      <w:sz w:val="21"/>
                      <w:szCs w:val="21"/>
                      <w:lang w:bidi="ar"/>
                    </w:rPr>
                    <w:t>1、严禁向农田施用重金属不达标肥料等农业投入品；涉及严格管控类耕地的县（市、区）制定风险管控实施方案，因地施策采取种植结构调整、轮作休耕、退耕还林还草还湿等措施，降低环境风险。</w:t>
                  </w:r>
                </w:p>
                <w:p w14:paraId="02237483">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lang w:bidi="ar"/>
                    </w:rPr>
                  </w:pPr>
                  <w:r>
                    <w:rPr>
                      <w:rFonts w:hint="default" w:ascii="Times New Roman" w:hAnsi="Times New Roman" w:cs="宋体"/>
                      <w:sz w:val="21"/>
                      <w:szCs w:val="21"/>
                      <w:lang w:bidi="ar"/>
                    </w:rPr>
                    <w:t>2、严格控制在农用地优先保护区边界800米缓冲区范围内新建有色金属冶炼、石油加工、化工、焦化、电镀、制革、制药、铅酸蓄电池行业企业。严格控制在农用地优先保护区边界800米缓冲区范围内布局城乡生活垃圾处理、危险废物处置、废旧资源再生利用等设施和场所，合理确定畜禽养殖布局和规模。</w:t>
                  </w:r>
                </w:p>
                <w:p w14:paraId="25397373">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lang w:bidi="ar"/>
                    </w:rPr>
                  </w:pPr>
                  <w:r>
                    <w:rPr>
                      <w:rFonts w:hint="default" w:ascii="Times New Roman" w:hAnsi="Times New Roman" w:cs="宋体"/>
                      <w:sz w:val="21"/>
                      <w:szCs w:val="21"/>
                      <w:lang w:bidi="ar"/>
                    </w:rPr>
                    <w:t>3、经风险评估对人体健康有严重影响的被污染场地，未经治理修复或者治理修复不符合相关标准的，不得用于居民住宅、学校、幼儿园、医院、养老场所等项目开发。</w:t>
                  </w:r>
                </w:p>
                <w:p w14:paraId="280EBC8D">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lang w:bidi="ar"/>
                    </w:rPr>
                  </w:pPr>
                  <w:r>
                    <w:rPr>
                      <w:rFonts w:hint="default" w:ascii="Times New Roman" w:hAnsi="Times New Roman" w:cs="宋体"/>
                      <w:sz w:val="21"/>
                      <w:szCs w:val="21"/>
                      <w:lang w:bidi="ar"/>
                    </w:rPr>
                    <w:t>4、企业事业单位拆除设施、设备或者建筑物、构筑物的，应当采取相应的土壤污染防治措施，安全处置残留物料、污染物、污染设施和设备，防范拆除活动污染土壤。</w:t>
                  </w:r>
                </w:p>
                <w:p w14:paraId="5864396C">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lang w:bidi="ar"/>
                    </w:rPr>
                  </w:pPr>
                  <w:r>
                    <w:rPr>
                      <w:rFonts w:hint="default" w:ascii="Times New Roman" w:hAnsi="Times New Roman" w:cs="宋体"/>
                      <w:sz w:val="21"/>
                      <w:szCs w:val="21"/>
                      <w:lang w:bidi="ar"/>
                    </w:rPr>
                    <w:t>5、尾矿库运营、管理单位应当按照规定加强尾矿库的安全管理，采取措施防止土壤污染。危库、险库、病库以及其他需要重点监管的尾矿库运营、管理单位应当按照规定进行土壤污染状况监测和定期评估。</w:t>
                  </w:r>
                </w:p>
                <w:p w14:paraId="17FBDA06">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lang w:bidi="ar"/>
                    </w:rPr>
                  </w:pPr>
                  <w:r>
                    <w:rPr>
                      <w:rFonts w:hint="default" w:ascii="Times New Roman" w:hAnsi="Times New Roman" w:cs="宋体"/>
                      <w:sz w:val="21"/>
                      <w:szCs w:val="21"/>
                      <w:lang w:bidi="ar"/>
                    </w:rPr>
                    <w:t>6、开展尾矿库和历史遗留重金属废渣环境风险隐患排查评估，建立尾矿库分级分类环境管理制度，加强环境风险隐患排查。</w:t>
                  </w:r>
                </w:p>
              </w:tc>
              <w:tc>
                <w:tcPr>
                  <w:tcW w:w="975" w:type="pct"/>
                  <w:tcBorders>
                    <w:top w:val="single" w:color="auto" w:sz="4" w:space="0"/>
                    <w:left w:val="nil"/>
                    <w:bottom w:val="single" w:color="auto" w:sz="4" w:space="0"/>
                    <w:right w:val="single" w:color="auto" w:sz="4" w:space="0"/>
                  </w:tcBorders>
                  <w:shd w:val="clear" w:color="auto" w:fill="auto"/>
                  <w:vAlign w:val="center"/>
                </w:tcPr>
                <w:p w14:paraId="33E7E056">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1.不涉及；</w:t>
                  </w:r>
                </w:p>
                <w:p w14:paraId="61961A02">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2.离项目最近的农用地优先保护区位于项目南侧1330m，不在缓冲区范围内；</w:t>
                  </w:r>
                </w:p>
                <w:p w14:paraId="5670A59A">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3.不涉及；</w:t>
                  </w:r>
                </w:p>
                <w:p w14:paraId="3A8DEDD8">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4.项目为新建项目，现有场地为空地，不拆除设施、设备或建筑物、构筑物；</w:t>
                  </w:r>
                </w:p>
                <w:p w14:paraId="71EA5CB2">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5.不涉及；</w:t>
                  </w:r>
                </w:p>
                <w:p w14:paraId="46F301B7">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6.不涉及。</w:t>
                  </w:r>
                </w:p>
              </w:tc>
              <w:tc>
                <w:tcPr>
                  <w:tcW w:w="576" w:type="pct"/>
                  <w:tcBorders>
                    <w:top w:val="single" w:color="auto" w:sz="4" w:space="0"/>
                    <w:left w:val="nil"/>
                    <w:bottom w:val="single" w:color="auto" w:sz="4" w:space="0"/>
                    <w:right w:val="single" w:color="auto" w:sz="4" w:space="0"/>
                  </w:tcBorders>
                  <w:shd w:val="clear" w:color="auto" w:fill="auto"/>
                  <w:vAlign w:val="center"/>
                </w:tcPr>
                <w:p w14:paraId="7395966E">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符合</w:t>
                  </w:r>
                </w:p>
              </w:tc>
            </w:tr>
            <w:tr w14:paraId="739A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7" w:type="dxa"/>
                  <w:shd w:val="clear" w:color="auto" w:fill="auto"/>
                  <w:vAlign w:val="center"/>
                </w:tcPr>
                <w:p w14:paraId="6CC42D36">
                  <w:pPr>
                    <w:pStyle w:val="19"/>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宋体"/>
                      <w:kern w:val="2"/>
                      <w:sz w:val="21"/>
                      <w:szCs w:val="21"/>
                    </w:rPr>
                  </w:pPr>
                  <w:r>
                    <w:rPr>
                      <w:rFonts w:hint="eastAsia" w:cs="宋体"/>
                      <w:kern w:val="2"/>
                      <w:sz w:val="21"/>
                      <w:szCs w:val="21"/>
                      <w:lang w:bidi="ar"/>
                    </w:rPr>
                    <w:t>资源利用效率</w:t>
                  </w:r>
                </w:p>
              </w:tc>
              <w:tc>
                <w:tcPr>
                  <w:tcW w:w="4292" w:type="dxa"/>
                  <w:shd w:val="clear" w:color="auto" w:fill="auto"/>
                  <w:vAlign w:val="center"/>
                </w:tcPr>
                <w:p w14:paraId="3D075911">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w:t>
                  </w:r>
                </w:p>
              </w:tc>
              <w:tc>
                <w:tcPr>
                  <w:tcW w:w="1581" w:type="dxa"/>
                  <w:shd w:val="clear" w:color="auto" w:fill="auto"/>
                  <w:vAlign w:val="center"/>
                </w:tcPr>
                <w:p w14:paraId="5DF0C31B">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w:t>
                  </w:r>
                </w:p>
              </w:tc>
              <w:tc>
                <w:tcPr>
                  <w:tcW w:w="934" w:type="dxa"/>
                  <w:shd w:val="clear" w:color="auto" w:fill="auto"/>
                  <w:vAlign w:val="center"/>
                </w:tcPr>
                <w:p w14:paraId="7879CC28">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w:t>
                  </w:r>
                </w:p>
              </w:tc>
            </w:tr>
          </w:tbl>
          <w:p w14:paraId="7679D8A6">
            <w:pPr>
              <w:keepNext w:val="0"/>
              <w:keepLines w:val="0"/>
              <w:numPr>
                <w:ilvl w:val="3"/>
                <w:numId w:val="6"/>
              </w:numPr>
              <w:suppressLineNumbers w:val="0"/>
              <w:spacing w:before="0" w:beforeAutospacing="0" w:after="0" w:afterAutospacing="0"/>
              <w:ind w:right="0" w:firstLine="480"/>
              <w:rPr>
                <w:rFonts w:hint="default"/>
              </w:rPr>
            </w:pPr>
            <w:r>
              <w:rPr>
                <w:rFonts w:hint="eastAsia" w:ascii="宋体" w:hAnsi="宋体" w:cs="宋体"/>
                <w:lang w:bidi="ar"/>
              </w:rPr>
              <w:t>资源利用总体要求</w:t>
            </w:r>
          </w:p>
          <w:p w14:paraId="16B62368">
            <w:pPr>
              <w:keepNext w:val="0"/>
              <w:keepLines w:val="0"/>
              <w:suppressLineNumbers w:val="0"/>
              <w:spacing w:before="0" w:beforeAutospacing="0" w:after="0" w:afterAutospacing="0"/>
              <w:ind w:left="0" w:right="0" w:firstLine="480"/>
              <w:rPr>
                <w:rFonts w:hint="default"/>
              </w:rPr>
            </w:pPr>
            <w:r>
              <w:rPr>
                <w:rFonts w:hint="eastAsia" w:ascii="宋体" w:hAnsi="宋体" w:cs="宋体"/>
                <w:lang w:bidi="ar"/>
              </w:rPr>
              <w:t>项目与资源利用总体要求符合性分析见下表。</w:t>
            </w:r>
          </w:p>
          <w:p w14:paraId="6479081F">
            <w:pPr>
              <w:keepNext w:val="0"/>
              <w:keepLines w:val="0"/>
              <w:numPr>
                <w:ilvl w:val="0"/>
                <w:numId w:val="4"/>
              </w:numPr>
              <w:suppressLineNumbers w:val="0"/>
              <w:adjustRightInd/>
              <w:spacing w:before="0" w:beforeAutospacing="0" w:after="0" w:afterAutospacing="0"/>
              <w:ind w:left="0" w:right="0" w:firstLine="0" w:firstLineChars="0"/>
              <w:jc w:val="center"/>
              <w:rPr>
                <w:rFonts w:hint="default" w:cs="宋体"/>
                <w:b/>
                <w:sz w:val="21"/>
                <w:szCs w:val="21"/>
              </w:rPr>
            </w:pPr>
            <w:r>
              <w:rPr>
                <w:rFonts w:hint="eastAsia" w:ascii="宋体" w:hAnsi="宋体" w:cs="宋体"/>
                <w:b/>
                <w:sz w:val="21"/>
                <w:szCs w:val="21"/>
              </w:rPr>
              <w:t>项目与资源利用总体要求符合性分析表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3960"/>
              <w:gridCol w:w="2497"/>
              <w:gridCol w:w="679"/>
            </w:tblGrid>
            <w:tr w14:paraId="5E5F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2" w:type="pct"/>
                  <w:tcBorders>
                    <w:top w:val="single" w:color="auto" w:sz="4" w:space="0"/>
                    <w:left w:val="single" w:color="auto" w:sz="4" w:space="0"/>
                    <w:bottom w:val="single" w:color="auto" w:sz="4" w:space="0"/>
                    <w:right w:val="single" w:color="auto" w:sz="4" w:space="0"/>
                  </w:tcBorders>
                  <w:shd w:val="clear" w:color="auto" w:fill="auto"/>
                  <w:vAlign w:val="center"/>
                </w:tcPr>
                <w:p w14:paraId="12398813">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管控纬度</w:t>
                  </w:r>
                </w:p>
              </w:tc>
              <w:tc>
                <w:tcPr>
                  <w:tcW w:w="2458" w:type="pct"/>
                  <w:tcBorders>
                    <w:top w:val="single" w:color="auto" w:sz="4" w:space="0"/>
                    <w:left w:val="nil"/>
                    <w:bottom w:val="single" w:color="auto" w:sz="4" w:space="0"/>
                    <w:right w:val="single" w:color="auto" w:sz="4" w:space="0"/>
                  </w:tcBorders>
                  <w:shd w:val="clear" w:color="auto" w:fill="auto"/>
                  <w:vAlign w:val="center"/>
                </w:tcPr>
                <w:p w14:paraId="4425E937">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管控要求</w:t>
                  </w:r>
                </w:p>
              </w:tc>
              <w:tc>
                <w:tcPr>
                  <w:tcW w:w="1494" w:type="pct"/>
                  <w:tcBorders>
                    <w:top w:val="single" w:color="auto" w:sz="4" w:space="0"/>
                    <w:left w:val="nil"/>
                    <w:bottom w:val="single" w:color="auto" w:sz="4" w:space="0"/>
                    <w:right w:val="single" w:color="auto" w:sz="4" w:space="0"/>
                  </w:tcBorders>
                  <w:shd w:val="clear" w:color="auto" w:fill="auto"/>
                  <w:vAlign w:val="center"/>
                </w:tcPr>
                <w:p w14:paraId="7D70B22D">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本项目情况</w:t>
                  </w:r>
                </w:p>
              </w:tc>
              <w:tc>
                <w:tcPr>
                  <w:tcW w:w="434" w:type="pct"/>
                  <w:tcBorders>
                    <w:top w:val="single" w:color="auto" w:sz="4" w:space="0"/>
                    <w:left w:val="nil"/>
                    <w:bottom w:val="single" w:color="auto" w:sz="4" w:space="0"/>
                    <w:right w:val="single" w:color="auto" w:sz="4" w:space="0"/>
                  </w:tcBorders>
                  <w:shd w:val="clear" w:color="auto" w:fill="auto"/>
                  <w:vAlign w:val="center"/>
                </w:tcPr>
                <w:p w14:paraId="67706853">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符合性</w:t>
                  </w:r>
                </w:p>
              </w:tc>
            </w:tr>
            <w:tr w14:paraId="06561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2" w:type="pct"/>
                  <w:tcBorders>
                    <w:top w:val="single" w:color="auto" w:sz="4" w:space="0"/>
                    <w:left w:val="single" w:color="auto" w:sz="4" w:space="0"/>
                    <w:bottom w:val="single" w:color="auto" w:sz="4" w:space="0"/>
                    <w:right w:val="single" w:color="auto" w:sz="4" w:space="0"/>
                  </w:tcBorders>
                  <w:shd w:val="clear" w:color="auto" w:fill="auto"/>
                  <w:vAlign w:val="center"/>
                </w:tcPr>
                <w:p w14:paraId="01A67EEA">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水资源</w:t>
                  </w:r>
                </w:p>
              </w:tc>
              <w:tc>
                <w:tcPr>
                  <w:tcW w:w="2458" w:type="pct"/>
                  <w:tcBorders>
                    <w:top w:val="single" w:color="auto" w:sz="4" w:space="0"/>
                    <w:left w:val="nil"/>
                    <w:bottom w:val="single" w:color="auto" w:sz="4" w:space="0"/>
                    <w:right w:val="single" w:color="auto" w:sz="4" w:space="0"/>
                  </w:tcBorders>
                  <w:shd w:val="clear" w:color="auto" w:fill="auto"/>
                  <w:vAlign w:val="center"/>
                </w:tcPr>
                <w:p w14:paraId="6B5F7DBE">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1.</w:t>
                  </w:r>
                  <w:r>
                    <w:rPr>
                      <w:rFonts w:hint="eastAsia" w:cs="宋体"/>
                      <w:sz w:val="21"/>
                      <w:szCs w:val="21"/>
                      <w:lang w:bidi="ar"/>
                    </w:rPr>
                    <w:t>禁止新建、改扩建《高耗水工艺、技术和装备淘汰目录》中项目，现有企业应限期关停退出。</w:t>
                  </w:r>
                </w:p>
                <w:p w14:paraId="4967DEB4">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2.</w:t>
                  </w:r>
                  <w:r>
                    <w:rPr>
                      <w:rFonts w:hint="eastAsia" w:cs="宋体"/>
                      <w:sz w:val="21"/>
                      <w:szCs w:val="21"/>
                      <w:lang w:bidi="ar"/>
                    </w:rPr>
                    <w:t>禁止建设不符合河北省《工业取水定额》（</w:t>
                  </w:r>
                  <w:r>
                    <w:rPr>
                      <w:rFonts w:hint="default" w:ascii="Times New Roman" w:hAnsi="Times New Roman"/>
                      <w:sz w:val="21"/>
                      <w:szCs w:val="21"/>
                      <w:lang w:bidi="ar"/>
                    </w:rPr>
                    <w:t>DB13/T5448-2021</w:t>
                  </w:r>
                  <w:r>
                    <w:rPr>
                      <w:rFonts w:hint="eastAsia" w:cs="宋体"/>
                      <w:sz w:val="21"/>
                      <w:szCs w:val="21"/>
                      <w:lang w:bidi="ar"/>
                    </w:rPr>
                    <w:t>）标准的产品，位于公共供水管网覆盖范围内且水量、水质能够满足要求的，不予批准取用地下水。</w:t>
                  </w:r>
                </w:p>
                <w:p w14:paraId="30D78E5C">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3.</w:t>
                  </w:r>
                  <w:r>
                    <w:rPr>
                      <w:rFonts w:hint="eastAsia" w:cs="宋体"/>
                      <w:sz w:val="21"/>
                      <w:szCs w:val="21"/>
                      <w:lang w:bidi="ar"/>
                    </w:rPr>
                    <w:t>到</w:t>
                  </w:r>
                  <w:r>
                    <w:rPr>
                      <w:rFonts w:hint="default" w:ascii="Times New Roman" w:hAnsi="Times New Roman"/>
                      <w:sz w:val="21"/>
                      <w:szCs w:val="21"/>
                      <w:lang w:bidi="ar"/>
                    </w:rPr>
                    <w:t>2025</w:t>
                  </w:r>
                  <w:r>
                    <w:rPr>
                      <w:rFonts w:hint="eastAsia" w:cs="宋体"/>
                      <w:sz w:val="21"/>
                      <w:szCs w:val="21"/>
                      <w:lang w:bidi="ar"/>
                    </w:rPr>
                    <w:t>年，钢铁、食品、医药等高耗水行业用水效率达到国内先进水平，万元国内生产总值用水量、万元工业增加值用水量较</w:t>
                  </w:r>
                  <w:r>
                    <w:rPr>
                      <w:rFonts w:hint="default" w:ascii="Times New Roman" w:hAnsi="Times New Roman"/>
                      <w:sz w:val="21"/>
                      <w:szCs w:val="21"/>
                      <w:lang w:bidi="ar"/>
                    </w:rPr>
                    <w:t>2020</w:t>
                  </w:r>
                  <w:r>
                    <w:rPr>
                      <w:rFonts w:hint="eastAsia" w:cs="宋体"/>
                      <w:sz w:val="21"/>
                      <w:szCs w:val="21"/>
                      <w:lang w:bidi="ar"/>
                    </w:rPr>
                    <w:t>年分别下降</w:t>
                  </w:r>
                  <w:r>
                    <w:rPr>
                      <w:rFonts w:hint="default" w:ascii="Times New Roman" w:hAnsi="Times New Roman"/>
                      <w:sz w:val="21"/>
                      <w:szCs w:val="21"/>
                      <w:lang w:bidi="ar"/>
                    </w:rPr>
                    <w:t>11.2%</w:t>
                  </w:r>
                  <w:r>
                    <w:rPr>
                      <w:rFonts w:hint="eastAsia" w:cs="宋体"/>
                      <w:sz w:val="21"/>
                      <w:szCs w:val="21"/>
                      <w:lang w:bidi="ar"/>
                    </w:rPr>
                    <w:t>和</w:t>
                  </w:r>
                  <w:r>
                    <w:rPr>
                      <w:rFonts w:hint="default" w:ascii="Times New Roman" w:hAnsi="Times New Roman"/>
                      <w:sz w:val="21"/>
                      <w:szCs w:val="21"/>
                      <w:lang w:bidi="ar"/>
                    </w:rPr>
                    <w:t>17.3%</w:t>
                  </w:r>
                  <w:r>
                    <w:rPr>
                      <w:rFonts w:hint="eastAsia" w:cs="宋体"/>
                      <w:sz w:val="21"/>
                      <w:szCs w:val="21"/>
                      <w:lang w:bidi="ar"/>
                    </w:rPr>
                    <w:t>。</w:t>
                  </w:r>
                </w:p>
                <w:p w14:paraId="587D39A2">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4.2025</w:t>
                  </w:r>
                  <w:r>
                    <w:rPr>
                      <w:rFonts w:hint="eastAsia" w:cs="宋体"/>
                      <w:sz w:val="21"/>
                      <w:szCs w:val="21"/>
                      <w:lang w:bidi="ar"/>
                    </w:rPr>
                    <w:t>年前，公共管网覆盖范围内年取水量</w:t>
                  </w:r>
                  <w:r>
                    <w:rPr>
                      <w:rFonts w:hint="default" w:ascii="Times New Roman" w:hAnsi="Times New Roman"/>
                      <w:sz w:val="21"/>
                      <w:szCs w:val="21"/>
                      <w:lang w:bidi="ar"/>
                    </w:rPr>
                    <w:t>5</w:t>
                  </w:r>
                  <w:r>
                    <w:rPr>
                      <w:rFonts w:hint="eastAsia" w:cs="宋体"/>
                      <w:sz w:val="21"/>
                      <w:szCs w:val="21"/>
                      <w:lang w:bidi="ar"/>
                    </w:rPr>
                    <w:t>万立方米以上的重点监控用水单位基本实现监测全覆盖，已安装在线监控设施的用水单位，实现与水行政主管部门的监控系统联网，保存原有监测记录；未安装计量设施的用水单位，由省级统一组织，市、县具体实施。</w:t>
                  </w:r>
                </w:p>
                <w:p w14:paraId="5718F05D">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5.</w:t>
                  </w:r>
                  <w:r>
                    <w:rPr>
                      <w:rFonts w:hint="eastAsia" w:cs="宋体"/>
                      <w:sz w:val="21"/>
                      <w:szCs w:val="21"/>
                      <w:lang w:bidi="ar"/>
                    </w:rPr>
                    <w:t>产业集聚区工业用水重复利用与资源产出水平应在</w:t>
                  </w:r>
                  <w:r>
                    <w:rPr>
                      <w:rFonts w:hint="default" w:ascii="Times New Roman" w:hAnsi="Times New Roman"/>
                      <w:sz w:val="21"/>
                      <w:szCs w:val="21"/>
                      <w:lang w:bidi="ar"/>
                    </w:rPr>
                    <w:t>2025</w:t>
                  </w:r>
                  <w:r>
                    <w:rPr>
                      <w:rFonts w:hint="eastAsia" w:cs="宋体"/>
                      <w:sz w:val="21"/>
                      <w:szCs w:val="21"/>
                      <w:lang w:bidi="ar"/>
                    </w:rPr>
                    <w:t>年前达到循环经济园区标准要求。</w:t>
                  </w:r>
                </w:p>
                <w:p w14:paraId="72CA0AEE">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6.2025</w:t>
                  </w:r>
                  <w:r>
                    <w:rPr>
                      <w:rFonts w:hint="eastAsia" w:cs="宋体"/>
                      <w:sz w:val="21"/>
                      <w:szCs w:val="21"/>
                      <w:lang w:bidi="ar"/>
                    </w:rPr>
                    <w:t>年承德市潮河流域用水总量控制在</w:t>
                  </w:r>
                  <w:r>
                    <w:rPr>
                      <w:rFonts w:hint="default" w:ascii="Times New Roman" w:hAnsi="Times New Roman"/>
                      <w:sz w:val="21"/>
                      <w:szCs w:val="21"/>
                      <w:lang w:bidi="ar"/>
                    </w:rPr>
                    <w:t>9371</w:t>
                  </w:r>
                  <w:r>
                    <w:rPr>
                      <w:rFonts w:hint="eastAsia" w:cs="宋体"/>
                      <w:sz w:val="21"/>
                      <w:szCs w:val="21"/>
                      <w:lang w:bidi="ar"/>
                    </w:rPr>
                    <w:t>万立方米、流域内实施高效节水灌溉</w:t>
                  </w:r>
                  <w:r>
                    <w:rPr>
                      <w:rFonts w:hint="default" w:ascii="Times New Roman" w:hAnsi="Times New Roman"/>
                      <w:sz w:val="21"/>
                      <w:szCs w:val="21"/>
                      <w:lang w:bidi="ar"/>
                    </w:rPr>
                    <w:t>14.98</w:t>
                  </w:r>
                  <w:r>
                    <w:rPr>
                      <w:rFonts w:hint="eastAsia" w:cs="宋体"/>
                      <w:sz w:val="21"/>
                      <w:szCs w:val="21"/>
                      <w:lang w:bidi="ar"/>
                    </w:rPr>
                    <w:t>万亩；</w:t>
                  </w:r>
                  <w:r>
                    <w:rPr>
                      <w:rFonts w:hint="default" w:ascii="Times New Roman" w:hAnsi="Times New Roman"/>
                      <w:sz w:val="21"/>
                      <w:szCs w:val="21"/>
                      <w:lang w:bidi="ar"/>
                    </w:rPr>
                    <w:t>2025</w:t>
                  </w:r>
                  <w:r>
                    <w:rPr>
                      <w:rFonts w:hint="eastAsia" w:cs="宋体"/>
                      <w:sz w:val="21"/>
                      <w:szCs w:val="21"/>
                      <w:lang w:bidi="ar"/>
                    </w:rPr>
                    <w:t>年年底前，流域内万元工业增加值用水量较</w:t>
                  </w:r>
                  <w:r>
                    <w:rPr>
                      <w:rFonts w:hint="default" w:ascii="Times New Roman" w:hAnsi="Times New Roman"/>
                      <w:sz w:val="21"/>
                      <w:szCs w:val="21"/>
                      <w:lang w:bidi="ar"/>
                    </w:rPr>
                    <w:t>2017</w:t>
                  </w:r>
                  <w:r>
                    <w:rPr>
                      <w:rFonts w:hint="eastAsia" w:cs="宋体"/>
                      <w:sz w:val="21"/>
                      <w:szCs w:val="21"/>
                      <w:lang w:bidi="ar"/>
                    </w:rPr>
                    <w:t>年下降</w:t>
                  </w:r>
                  <w:r>
                    <w:rPr>
                      <w:rFonts w:hint="default" w:ascii="Times New Roman" w:hAnsi="Times New Roman"/>
                      <w:sz w:val="21"/>
                      <w:szCs w:val="21"/>
                      <w:lang w:bidi="ar"/>
                    </w:rPr>
                    <w:t>15%</w:t>
                  </w:r>
                  <w:r>
                    <w:rPr>
                      <w:rFonts w:hint="eastAsia" w:cs="宋体"/>
                      <w:sz w:val="21"/>
                      <w:szCs w:val="21"/>
                      <w:lang w:bidi="ar"/>
                    </w:rPr>
                    <w:t>。</w:t>
                  </w:r>
                </w:p>
                <w:p w14:paraId="4C1242EC">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7.2025</w:t>
                  </w:r>
                  <w:r>
                    <w:rPr>
                      <w:rFonts w:hint="eastAsia" w:cs="宋体"/>
                      <w:sz w:val="21"/>
                      <w:szCs w:val="21"/>
                      <w:lang w:bidi="ar"/>
                    </w:rPr>
                    <w:t>年承德市滦河流域，用水总量控制在</w:t>
                  </w:r>
                  <w:r>
                    <w:rPr>
                      <w:rFonts w:hint="default" w:ascii="Times New Roman" w:hAnsi="Times New Roman"/>
                      <w:sz w:val="21"/>
                      <w:szCs w:val="21"/>
                      <w:lang w:bidi="ar"/>
                    </w:rPr>
                    <w:t>88000</w:t>
                  </w:r>
                  <w:r>
                    <w:rPr>
                      <w:rFonts w:hint="eastAsia" w:cs="宋体"/>
                      <w:sz w:val="21"/>
                      <w:szCs w:val="21"/>
                      <w:lang w:bidi="ar"/>
                    </w:rPr>
                    <w:t>万立方米、万元工业增加值用水量控制在</w:t>
                  </w:r>
                  <w:r>
                    <w:rPr>
                      <w:rFonts w:hint="default" w:ascii="Times New Roman" w:hAnsi="Times New Roman"/>
                      <w:sz w:val="21"/>
                      <w:szCs w:val="21"/>
                      <w:lang w:bidi="ar"/>
                    </w:rPr>
                    <w:t>27.5</w:t>
                  </w:r>
                  <w:r>
                    <w:rPr>
                      <w:rFonts w:hint="eastAsia" w:cs="宋体"/>
                      <w:sz w:val="21"/>
                      <w:szCs w:val="21"/>
                      <w:lang w:bidi="ar"/>
                    </w:rPr>
                    <w:t>立方米。</w:t>
                  </w:r>
                </w:p>
                <w:p w14:paraId="739E3850">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8.2025</w:t>
                  </w:r>
                  <w:r>
                    <w:rPr>
                      <w:rFonts w:hint="eastAsia" w:cs="宋体"/>
                      <w:sz w:val="21"/>
                      <w:szCs w:val="21"/>
                      <w:lang w:bidi="ar"/>
                    </w:rPr>
                    <w:t>年，全市用水总量控制在</w:t>
                  </w:r>
                  <w:r>
                    <w:rPr>
                      <w:rFonts w:hint="default" w:ascii="Times New Roman" w:hAnsi="Times New Roman"/>
                      <w:sz w:val="21"/>
                      <w:szCs w:val="21"/>
                      <w:lang w:bidi="ar"/>
                    </w:rPr>
                    <w:t>9.50</w:t>
                  </w:r>
                  <w:r>
                    <w:rPr>
                      <w:rFonts w:hint="eastAsia" w:cs="宋体"/>
                      <w:sz w:val="21"/>
                      <w:szCs w:val="21"/>
                      <w:lang w:bidi="ar"/>
                    </w:rPr>
                    <w:t>亿立方米以内，其中地下水总量控制在</w:t>
                  </w:r>
                  <w:r>
                    <w:rPr>
                      <w:rFonts w:hint="default" w:ascii="Times New Roman" w:hAnsi="Times New Roman"/>
                      <w:sz w:val="21"/>
                      <w:szCs w:val="21"/>
                      <w:lang w:bidi="ar"/>
                    </w:rPr>
                    <w:t>5.95</w:t>
                  </w:r>
                  <w:r>
                    <w:rPr>
                      <w:rFonts w:hint="eastAsia" w:cs="宋体"/>
                      <w:sz w:val="21"/>
                      <w:szCs w:val="21"/>
                      <w:lang w:bidi="ar"/>
                    </w:rPr>
                    <w:t>亿立方米以内，万元国内生产总值用水量和万元工业增加值用水量分别下降至</w:t>
                  </w:r>
                  <w:r>
                    <w:rPr>
                      <w:rFonts w:hint="default" w:ascii="Times New Roman" w:hAnsi="Times New Roman"/>
                      <w:sz w:val="21"/>
                      <w:szCs w:val="21"/>
                      <w:lang w:bidi="ar"/>
                    </w:rPr>
                    <w:t>44</w:t>
                  </w:r>
                  <w:r>
                    <w:rPr>
                      <w:rFonts w:hint="eastAsia" w:cs="宋体"/>
                      <w:sz w:val="21"/>
                      <w:szCs w:val="21"/>
                      <w:lang w:bidi="ar"/>
                    </w:rPr>
                    <w:t>立方米和</w:t>
                  </w:r>
                  <w:r>
                    <w:rPr>
                      <w:rFonts w:hint="default" w:ascii="Times New Roman" w:hAnsi="Times New Roman"/>
                      <w:sz w:val="21"/>
                      <w:szCs w:val="21"/>
                      <w:lang w:bidi="ar"/>
                    </w:rPr>
                    <w:t>27.5</w:t>
                  </w:r>
                  <w:r>
                    <w:rPr>
                      <w:rFonts w:hint="eastAsia" w:cs="宋体"/>
                      <w:sz w:val="21"/>
                      <w:szCs w:val="21"/>
                      <w:lang w:bidi="ar"/>
                    </w:rPr>
                    <w:t>立方米，降幅分别为</w:t>
                  </w:r>
                  <w:r>
                    <w:rPr>
                      <w:rFonts w:hint="default" w:ascii="Times New Roman" w:hAnsi="Times New Roman"/>
                      <w:sz w:val="21"/>
                      <w:szCs w:val="21"/>
                      <w:lang w:bidi="ar"/>
                    </w:rPr>
                    <w:t>11.1%</w:t>
                  </w:r>
                  <w:r>
                    <w:rPr>
                      <w:rFonts w:hint="eastAsia" w:cs="宋体"/>
                      <w:sz w:val="21"/>
                      <w:szCs w:val="21"/>
                      <w:lang w:bidi="ar"/>
                    </w:rPr>
                    <w:t>和</w:t>
                  </w:r>
                  <w:r>
                    <w:rPr>
                      <w:rFonts w:hint="default" w:ascii="Times New Roman" w:hAnsi="Times New Roman"/>
                      <w:sz w:val="21"/>
                      <w:szCs w:val="21"/>
                      <w:lang w:bidi="ar"/>
                    </w:rPr>
                    <w:t>17.2%</w:t>
                  </w:r>
                  <w:r>
                    <w:rPr>
                      <w:rFonts w:hint="eastAsia" w:cs="宋体"/>
                      <w:sz w:val="21"/>
                      <w:szCs w:val="21"/>
                      <w:lang w:bidi="ar"/>
                    </w:rPr>
                    <w:t>。</w:t>
                  </w:r>
                </w:p>
                <w:p w14:paraId="17E35A70">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9.2025</w:t>
                  </w:r>
                  <w:r>
                    <w:rPr>
                      <w:rFonts w:hint="eastAsia" w:cs="宋体"/>
                      <w:sz w:val="21"/>
                      <w:szCs w:val="21"/>
                      <w:lang w:bidi="ar"/>
                    </w:rPr>
                    <w:t>年，规划解决农村集中供水人口</w:t>
                  </w:r>
                  <w:r>
                    <w:rPr>
                      <w:rFonts w:hint="default" w:ascii="Times New Roman" w:hAnsi="Times New Roman"/>
                      <w:sz w:val="21"/>
                      <w:szCs w:val="21"/>
                      <w:lang w:bidi="ar"/>
                    </w:rPr>
                    <w:t>60.47</w:t>
                  </w:r>
                  <w:r>
                    <w:rPr>
                      <w:rFonts w:hint="eastAsia" w:cs="宋体"/>
                      <w:sz w:val="21"/>
                      <w:szCs w:val="21"/>
                      <w:lang w:bidi="ar"/>
                    </w:rPr>
                    <w:t>万人，自来水普及率达到</w:t>
                  </w:r>
                  <w:r>
                    <w:rPr>
                      <w:rFonts w:hint="default" w:ascii="Times New Roman" w:hAnsi="Times New Roman"/>
                      <w:sz w:val="21"/>
                      <w:szCs w:val="21"/>
                      <w:lang w:bidi="ar"/>
                    </w:rPr>
                    <w:t>88%</w:t>
                  </w:r>
                  <w:r>
                    <w:rPr>
                      <w:rFonts w:hint="eastAsia" w:cs="宋体"/>
                      <w:sz w:val="21"/>
                      <w:szCs w:val="21"/>
                      <w:lang w:bidi="ar"/>
                    </w:rPr>
                    <w:t>。</w:t>
                  </w:r>
                </w:p>
              </w:tc>
              <w:tc>
                <w:tcPr>
                  <w:tcW w:w="1494" w:type="pct"/>
                  <w:tcBorders>
                    <w:top w:val="single" w:color="auto" w:sz="4" w:space="0"/>
                    <w:left w:val="nil"/>
                    <w:bottom w:val="single" w:color="auto" w:sz="4" w:space="0"/>
                    <w:right w:val="single" w:color="auto" w:sz="4" w:space="0"/>
                  </w:tcBorders>
                  <w:shd w:val="clear" w:color="auto" w:fill="auto"/>
                  <w:vAlign w:val="center"/>
                </w:tcPr>
                <w:p w14:paraId="08113A75">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1.</w:t>
                  </w:r>
                  <w:r>
                    <w:rPr>
                      <w:rFonts w:hint="eastAsia" w:cs="宋体"/>
                      <w:sz w:val="21"/>
                      <w:szCs w:val="21"/>
                      <w:lang w:bidi="ar"/>
                    </w:rPr>
                    <w:t>本项目为水泥制品制造项目，不属于高耗水工艺、技术和装备；</w:t>
                  </w:r>
                </w:p>
                <w:p w14:paraId="17FC3DB9">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2.</w:t>
                  </w:r>
                  <w:r>
                    <w:rPr>
                      <w:rFonts w:hint="eastAsia" w:cs="宋体"/>
                      <w:sz w:val="21"/>
                      <w:szCs w:val="21"/>
                      <w:lang w:bidi="ar"/>
                    </w:rPr>
                    <w:t>本项目为水泥制品制造项目，根据《工业取水定额 第</w:t>
                  </w:r>
                  <w:r>
                    <w:rPr>
                      <w:rFonts w:hint="default" w:ascii="Times New Roman" w:hAnsi="Times New Roman"/>
                      <w:sz w:val="21"/>
                      <w:szCs w:val="21"/>
                      <w:lang w:bidi="ar"/>
                    </w:rPr>
                    <w:t>13</w:t>
                  </w:r>
                  <w:r>
                    <w:rPr>
                      <w:rFonts w:hint="eastAsia" w:cs="宋体"/>
                      <w:sz w:val="21"/>
                      <w:szCs w:val="21"/>
                      <w:lang w:bidi="ar"/>
                    </w:rPr>
                    <w:t>部分：建材行业》</w:t>
                  </w:r>
                  <w:r>
                    <w:rPr>
                      <w:rFonts w:hint="default" w:ascii="Times New Roman" w:hAnsi="Times New Roman"/>
                      <w:sz w:val="21"/>
                      <w:szCs w:val="21"/>
                      <w:lang w:bidi="ar"/>
                    </w:rPr>
                    <w:t>（DB13/T5448.13-2021）</w:t>
                  </w:r>
                  <w:r>
                    <w:rPr>
                      <w:rFonts w:hint="eastAsia" w:cs="宋体"/>
                      <w:sz w:val="21"/>
                      <w:szCs w:val="21"/>
                      <w:lang w:bidi="ar"/>
                    </w:rPr>
                    <w:t>的取水定额，混凝土构件先进值为</w:t>
                  </w:r>
                  <w:r>
                    <w:rPr>
                      <w:rFonts w:hint="default" w:ascii="Times New Roman" w:hAnsi="Times New Roman"/>
                      <w:sz w:val="21"/>
                      <w:szCs w:val="21"/>
                      <w:lang w:bidi="ar"/>
                    </w:rPr>
                    <w:t>0.260m</w:t>
                  </w:r>
                  <w:r>
                    <w:rPr>
                      <w:rFonts w:hint="default" w:ascii="Times New Roman" w:hAnsi="Times New Roman"/>
                      <w:sz w:val="21"/>
                      <w:szCs w:val="21"/>
                      <w:vertAlign w:val="superscript"/>
                      <w:lang w:bidi="ar"/>
                    </w:rPr>
                    <w:t>3</w:t>
                  </w:r>
                  <w:r>
                    <w:rPr>
                      <w:rFonts w:hint="default" w:ascii="Times New Roman" w:hAnsi="Times New Roman"/>
                      <w:sz w:val="21"/>
                      <w:szCs w:val="21"/>
                      <w:lang w:bidi="ar"/>
                    </w:rPr>
                    <w:t>（水）/m</w:t>
                  </w:r>
                  <w:r>
                    <w:rPr>
                      <w:rFonts w:hint="default" w:ascii="Times New Roman" w:hAnsi="Times New Roman"/>
                      <w:sz w:val="21"/>
                      <w:szCs w:val="21"/>
                      <w:vertAlign w:val="superscript"/>
                      <w:lang w:bidi="ar"/>
                    </w:rPr>
                    <w:t>3</w:t>
                  </w:r>
                  <w:r>
                    <w:rPr>
                      <w:rFonts w:hint="default" w:ascii="Times New Roman" w:hAnsi="Times New Roman"/>
                      <w:sz w:val="21"/>
                      <w:szCs w:val="21"/>
                      <w:lang w:bidi="ar"/>
                    </w:rPr>
                    <w:t>（产品）</w:t>
                  </w:r>
                  <w:r>
                    <w:rPr>
                      <w:rFonts w:hint="eastAsia" w:cs="宋体"/>
                      <w:sz w:val="21"/>
                      <w:szCs w:val="21"/>
                      <w:lang w:bidi="ar"/>
                    </w:rPr>
                    <w:t>，经核算，项目年用水量为</w:t>
                  </w:r>
                  <w:r>
                    <w:rPr>
                      <w:rFonts w:hint="eastAsia" w:ascii="Times New Roman" w:hAnsi="Times New Roman"/>
                      <w:sz w:val="21"/>
                      <w:szCs w:val="21"/>
                      <w:lang w:eastAsia="zh-CN" w:bidi="ar"/>
                    </w:rPr>
                    <w:t>4869.6</w:t>
                  </w:r>
                  <w:r>
                    <w:rPr>
                      <w:rFonts w:hint="default" w:ascii="Times New Roman" w:hAnsi="Times New Roman"/>
                      <w:sz w:val="21"/>
                      <w:szCs w:val="21"/>
                      <w:lang w:bidi="ar"/>
                    </w:rPr>
                    <w:t>m</w:t>
                  </w:r>
                  <w:r>
                    <w:rPr>
                      <w:rFonts w:hint="default" w:ascii="Times New Roman" w:hAnsi="Times New Roman"/>
                      <w:sz w:val="21"/>
                      <w:szCs w:val="21"/>
                      <w:vertAlign w:val="superscript"/>
                      <w:lang w:bidi="ar"/>
                    </w:rPr>
                    <w:t>3</w:t>
                  </w:r>
                  <w:r>
                    <w:rPr>
                      <w:rFonts w:hint="default" w:ascii="Times New Roman" w:hAnsi="Times New Roman"/>
                      <w:sz w:val="21"/>
                      <w:szCs w:val="21"/>
                      <w:lang w:bidi="ar"/>
                    </w:rPr>
                    <w:t>/a</w:t>
                  </w:r>
                  <w:r>
                    <w:rPr>
                      <w:rFonts w:hint="eastAsia" w:cs="宋体"/>
                      <w:sz w:val="21"/>
                      <w:szCs w:val="21"/>
                      <w:lang w:bidi="ar"/>
                    </w:rPr>
                    <w:t>，年产混凝土构件量为</w:t>
                  </w:r>
                  <w:r>
                    <w:rPr>
                      <w:rFonts w:hint="default" w:ascii="Times New Roman" w:hAnsi="Times New Roman"/>
                      <w:sz w:val="21"/>
                      <w:szCs w:val="21"/>
                      <w:lang w:bidi="ar"/>
                    </w:rPr>
                    <w:t>30000m</w:t>
                  </w:r>
                  <w:r>
                    <w:rPr>
                      <w:rFonts w:hint="default" w:ascii="Times New Roman" w:hAnsi="Times New Roman"/>
                      <w:sz w:val="21"/>
                      <w:szCs w:val="21"/>
                      <w:vertAlign w:val="superscript"/>
                      <w:lang w:bidi="ar"/>
                    </w:rPr>
                    <w:t>3</w:t>
                  </w:r>
                  <w:r>
                    <w:rPr>
                      <w:rFonts w:hint="default" w:ascii="Times New Roman" w:hAnsi="Times New Roman"/>
                      <w:sz w:val="21"/>
                      <w:szCs w:val="21"/>
                      <w:lang w:bidi="ar"/>
                    </w:rPr>
                    <w:t>/a</w:t>
                  </w:r>
                  <w:r>
                    <w:rPr>
                      <w:rFonts w:hint="eastAsia" w:cs="宋体"/>
                      <w:sz w:val="21"/>
                      <w:szCs w:val="21"/>
                      <w:lang w:bidi="ar"/>
                    </w:rPr>
                    <w:t>，经计算，用水额度为</w:t>
                  </w:r>
                  <w:r>
                    <w:rPr>
                      <w:rFonts w:hint="default" w:ascii="Times New Roman" w:hAnsi="Times New Roman"/>
                      <w:sz w:val="21"/>
                      <w:szCs w:val="21"/>
                      <w:lang w:bidi="ar"/>
                    </w:rPr>
                    <w:t>0.17m</w:t>
                  </w:r>
                  <w:r>
                    <w:rPr>
                      <w:rFonts w:hint="default" w:ascii="Times New Roman" w:hAnsi="Times New Roman"/>
                      <w:sz w:val="21"/>
                      <w:szCs w:val="21"/>
                      <w:vertAlign w:val="superscript"/>
                      <w:lang w:bidi="ar"/>
                    </w:rPr>
                    <w:t>3</w:t>
                  </w:r>
                  <w:r>
                    <w:rPr>
                      <w:rFonts w:hint="default" w:ascii="Times New Roman" w:hAnsi="Times New Roman"/>
                      <w:sz w:val="21"/>
                      <w:szCs w:val="21"/>
                      <w:lang w:bidi="ar"/>
                    </w:rPr>
                    <w:t>（水）/m</w:t>
                  </w:r>
                  <w:r>
                    <w:rPr>
                      <w:rFonts w:hint="default" w:ascii="Times New Roman" w:hAnsi="Times New Roman"/>
                      <w:sz w:val="21"/>
                      <w:szCs w:val="21"/>
                      <w:vertAlign w:val="superscript"/>
                      <w:lang w:bidi="ar"/>
                    </w:rPr>
                    <w:t>3</w:t>
                  </w:r>
                  <w:r>
                    <w:rPr>
                      <w:rFonts w:hint="default" w:ascii="Times New Roman" w:hAnsi="Times New Roman"/>
                      <w:sz w:val="21"/>
                      <w:szCs w:val="21"/>
                      <w:lang w:bidi="ar"/>
                    </w:rPr>
                    <w:t>（产品）</w:t>
                  </w:r>
                  <w:r>
                    <w:rPr>
                      <w:rFonts w:hint="eastAsia" w:cs="宋体"/>
                      <w:sz w:val="21"/>
                      <w:szCs w:val="21"/>
                      <w:lang w:bidi="ar"/>
                    </w:rPr>
                    <w:t>，满足用水定额先进值要求；</w:t>
                  </w:r>
                </w:p>
                <w:p w14:paraId="42D8A3EB">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3.</w:t>
                  </w:r>
                  <w:r>
                    <w:rPr>
                      <w:rFonts w:hint="eastAsia" w:cs="宋体"/>
                      <w:sz w:val="21"/>
                      <w:szCs w:val="21"/>
                      <w:lang w:bidi="ar"/>
                    </w:rPr>
                    <w:t>不涉及；</w:t>
                  </w:r>
                </w:p>
                <w:p w14:paraId="0C1553AD">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4.</w:t>
                  </w:r>
                  <w:r>
                    <w:rPr>
                      <w:rFonts w:hint="eastAsia" w:cs="宋体"/>
                      <w:sz w:val="21"/>
                      <w:szCs w:val="21"/>
                      <w:lang w:bidi="ar"/>
                    </w:rPr>
                    <w:t>不涉及；</w:t>
                  </w:r>
                </w:p>
                <w:p w14:paraId="2937DD81">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5.</w:t>
                  </w:r>
                  <w:r>
                    <w:rPr>
                      <w:rFonts w:hint="eastAsia" w:cs="宋体"/>
                      <w:sz w:val="21"/>
                      <w:szCs w:val="21"/>
                      <w:lang w:bidi="ar"/>
                    </w:rPr>
                    <w:t>项目产生的污水全部重复利用，不外排；</w:t>
                  </w:r>
                </w:p>
                <w:p w14:paraId="5F39668B">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6.</w:t>
                  </w:r>
                  <w:r>
                    <w:rPr>
                      <w:rFonts w:hint="eastAsia" w:cs="宋体"/>
                      <w:sz w:val="21"/>
                      <w:szCs w:val="21"/>
                      <w:lang w:bidi="ar"/>
                    </w:rPr>
                    <w:t>本项目位于河北宽城经济开发区，位于滦河流域，不位于潮河流域；</w:t>
                  </w:r>
                </w:p>
                <w:p w14:paraId="381FC3AE">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7.</w:t>
                  </w:r>
                  <w:r>
                    <w:rPr>
                      <w:rFonts w:hint="eastAsia" w:cs="宋体"/>
                      <w:sz w:val="21"/>
                      <w:szCs w:val="21"/>
                      <w:lang w:bidi="ar"/>
                    </w:rPr>
                    <w:t>本项目位于滦河流域，项目新增用水</w:t>
                  </w:r>
                  <w:r>
                    <w:rPr>
                      <w:rFonts w:hint="eastAsia" w:ascii="Times New Roman" w:hAnsi="Times New Roman"/>
                      <w:sz w:val="21"/>
                      <w:szCs w:val="21"/>
                      <w:lang w:eastAsia="zh-CN" w:bidi="ar"/>
                    </w:rPr>
                    <w:t>4869.6</w:t>
                  </w:r>
                  <w:r>
                    <w:rPr>
                      <w:rFonts w:hint="eastAsia" w:ascii="Times New Roman" w:hAnsi="Times New Roman"/>
                      <w:sz w:val="21"/>
                      <w:szCs w:val="21"/>
                      <w:lang w:bidi="ar"/>
                    </w:rPr>
                    <w:t>m</w:t>
                  </w:r>
                  <w:r>
                    <w:rPr>
                      <w:rFonts w:hint="eastAsia" w:ascii="Times New Roman" w:hAnsi="Times New Roman"/>
                      <w:sz w:val="21"/>
                      <w:szCs w:val="21"/>
                      <w:vertAlign w:val="superscript"/>
                      <w:lang w:bidi="ar"/>
                    </w:rPr>
                    <w:t>3</w:t>
                  </w:r>
                  <w:r>
                    <w:rPr>
                      <w:rFonts w:hint="default" w:ascii="Times New Roman" w:hAnsi="Times New Roman"/>
                      <w:sz w:val="21"/>
                      <w:szCs w:val="21"/>
                      <w:lang w:bidi="ar"/>
                    </w:rPr>
                    <w:t>/a</w:t>
                  </w:r>
                  <w:r>
                    <w:rPr>
                      <w:rFonts w:hint="eastAsia" w:cs="宋体"/>
                      <w:sz w:val="21"/>
                      <w:szCs w:val="21"/>
                      <w:lang w:bidi="ar"/>
                    </w:rPr>
                    <w:t>，用水量较少；</w:t>
                  </w:r>
                </w:p>
                <w:p w14:paraId="35A2B43E">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8.</w:t>
                  </w:r>
                  <w:r>
                    <w:rPr>
                      <w:rFonts w:hint="eastAsia" w:cs="宋体"/>
                      <w:sz w:val="21"/>
                      <w:szCs w:val="21"/>
                      <w:lang w:bidi="ar"/>
                    </w:rPr>
                    <w:t>项目新增用水</w:t>
                  </w:r>
                  <w:r>
                    <w:rPr>
                      <w:rFonts w:hint="eastAsia" w:ascii="Times New Roman" w:hAnsi="Times New Roman"/>
                      <w:sz w:val="21"/>
                      <w:szCs w:val="21"/>
                      <w:lang w:eastAsia="zh-CN" w:bidi="ar"/>
                    </w:rPr>
                    <w:t>4869.6</w:t>
                  </w:r>
                  <w:r>
                    <w:rPr>
                      <w:rFonts w:hint="default" w:ascii="Times New Roman" w:hAnsi="Times New Roman"/>
                      <w:sz w:val="21"/>
                      <w:szCs w:val="21"/>
                      <w:lang w:bidi="ar"/>
                    </w:rPr>
                    <w:t>m</w:t>
                  </w:r>
                  <w:r>
                    <w:rPr>
                      <w:rFonts w:hint="default" w:ascii="Times New Roman" w:hAnsi="Times New Roman"/>
                      <w:sz w:val="21"/>
                      <w:szCs w:val="21"/>
                      <w:vertAlign w:val="superscript"/>
                      <w:lang w:bidi="ar"/>
                    </w:rPr>
                    <w:t>3</w:t>
                  </w:r>
                  <w:r>
                    <w:rPr>
                      <w:rFonts w:hint="default" w:ascii="Times New Roman" w:hAnsi="Times New Roman"/>
                      <w:sz w:val="21"/>
                      <w:szCs w:val="21"/>
                      <w:lang w:bidi="ar"/>
                    </w:rPr>
                    <w:t>/a</w:t>
                  </w:r>
                  <w:r>
                    <w:rPr>
                      <w:rFonts w:hint="eastAsia" w:cs="宋体"/>
                      <w:sz w:val="21"/>
                      <w:szCs w:val="21"/>
                      <w:lang w:bidi="ar"/>
                    </w:rPr>
                    <w:t>，用水量较少；</w:t>
                  </w:r>
                </w:p>
                <w:p w14:paraId="3DE973AF">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9.</w:t>
                  </w:r>
                  <w:r>
                    <w:rPr>
                      <w:rFonts w:hint="eastAsia" w:cs="宋体"/>
                      <w:sz w:val="21"/>
                      <w:szCs w:val="21"/>
                      <w:lang w:bidi="ar"/>
                    </w:rPr>
                    <w:t>不涉及。</w:t>
                  </w:r>
                </w:p>
              </w:tc>
              <w:tc>
                <w:tcPr>
                  <w:tcW w:w="434" w:type="pct"/>
                  <w:tcBorders>
                    <w:top w:val="single" w:color="auto" w:sz="4" w:space="0"/>
                    <w:left w:val="nil"/>
                    <w:bottom w:val="single" w:color="auto" w:sz="4" w:space="0"/>
                    <w:right w:val="single" w:color="auto" w:sz="4" w:space="0"/>
                  </w:tcBorders>
                  <w:shd w:val="clear" w:color="auto" w:fill="auto"/>
                  <w:vAlign w:val="center"/>
                </w:tcPr>
                <w:p w14:paraId="4007CD27">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符合</w:t>
                  </w:r>
                </w:p>
              </w:tc>
            </w:tr>
            <w:tr w14:paraId="1751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2" w:type="pct"/>
                  <w:tcBorders>
                    <w:top w:val="single" w:color="auto" w:sz="4" w:space="0"/>
                    <w:left w:val="single" w:color="auto" w:sz="4" w:space="0"/>
                    <w:bottom w:val="single" w:color="auto" w:sz="4" w:space="0"/>
                    <w:right w:val="single" w:color="auto" w:sz="4" w:space="0"/>
                  </w:tcBorders>
                  <w:shd w:val="clear" w:color="auto" w:fill="auto"/>
                  <w:vAlign w:val="center"/>
                </w:tcPr>
                <w:p w14:paraId="30A61574">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能源重点管控</w:t>
                  </w:r>
                </w:p>
              </w:tc>
              <w:tc>
                <w:tcPr>
                  <w:tcW w:w="2458" w:type="pct"/>
                  <w:tcBorders>
                    <w:top w:val="single" w:color="auto" w:sz="4" w:space="0"/>
                    <w:left w:val="nil"/>
                    <w:bottom w:val="single" w:color="auto" w:sz="4" w:space="0"/>
                    <w:right w:val="single" w:color="auto" w:sz="4" w:space="0"/>
                  </w:tcBorders>
                  <w:shd w:val="clear" w:color="auto" w:fill="auto"/>
                  <w:vAlign w:val="center"/>
                </w:tcPr>
                <w:p w14:paraId="6E91DBC7">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1.</w:t>
                  </w:r>
                  <w:r>
                    <w:rPr>
                      <w:rFonts w:hint="eastAsia" w:cs="宋体"/>
                      <w:sz w:val="21"/>
                      <w:szCs w:val="21"/>
                      <w:lang w:bidi="ar"/>
                    </w:rPr>
                    <w:t>到</w:t>
                  </w:r>
                  <w:r>
                    <w:rPr>
                      <w:rFonts w:hint="default" w:ascii="Times New Roman" w:hAnsi="Times New Roman"/>
                      <w:sz w:val="21"/>
                      <w:szCs w:val="21"/>
                      <w:lang w:bidi="ar"/>
                    </w:rPr>
                    <w:t>2025</w:t>
                  </w:r>
                  <w:r>
                    <w:rPr>
                      <w:rFonts w:hint="eastAsia" w:cs="宋体"/>
                      <w:sz w:val="21"/>
                      <w:szCs w:val="21"/>
                      <w:lang w:bidi="ar"/>
                    </w:rPr>
                    <w:t>年，全市重点区域和行业能源利用效率显著提高，单位地区生产总值能耗比</w:t>
                  </w:r>
                  <w:r>
                    <w:rPr>
                      <w:rFonts w:hint="default" w:ascii="Times New Roman" w:hAnsi="Times New Roman"/>
                      <w:sz w:val="21"/>
                      <w:szCs w:val="21"/>
                      <w:lang w:bidi="ar"/>
                    </w:rPr>
                    <w:t>2020</w:t>
                  </w:r>
                  <w:r>
                    <w:rPr>
                      <w:rFonts w:hint="eastAsia" w:cs="宋体"/>
                      <w:sz w:val="21"/>
                      <w:szCs w:val="21"/>
                      <w:lang w:bidi="ar"/>
                    </w:rPr>
                    <w:t>年下降</w:t>
                  </w:r>
                  <w:r>
                    <w:rPr>
                      <w:rFonts w:hint="default" w:ascii="Times New Roman" w:hAnsi="Times New Roman"/>
                      <w:sz w:val="21"/>
                      <w:szCs w:val="21"/>
                      <w:lang w:bidi="ar"/>
                    </w:rPr>
                    <w:t>17.5%</w:t>
                  </w:r>
                  <w:r>
                    <w:rPr>
                      <w:rFonts w:hint="eastAsia" w:cs="宋体"/>
                      <w:sz w:val="21"/>
                      <w:szCs w:val="21"/>
                      <w:lang w:bidi="ar"/>
                    </w:rPr>
                    <w:t>。加强能耗总量和强度双控、煤炭消费和污染物排放总量控制，提高非化石能源占比，降低煤炭在能源消费中的比重。强化市场准入约束，抑制高碳投资，坚决遏制高耗能、高排放、低水平项目盲目发展。</w:t>
                  </w:r>
                </w:p>
                <w:p w14:paraId="6CA95CEC">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2.</w:t>
                  </w:r>
                  <w:r>
                    <w:rPr>
                      <w:rFonts w:hint="eastAsia" w:cs="宋体"/>
                      <w:sz w:val="21"/>
                      <w:szCs w:val="21"/>
                      <w:lang w:bidi="ar"/>
                    </w:rPr>
                    <w:t>高污染燃料禁燃区内执行《高污染燃料目录》中的</w:t>
                  </w:r>
                  <w:r>
                    <w:rPr>
                      <w:rFonts w:hint="default" w:ascii="Times New Roman" w:hAnsi="Times New Roman"/>
                      <w:sz w:val="21"/>
                      <w:szCs w:val="21"/>
                      <w:lang w:bidi="ar"/>
                    </w:rPr>
                    <w:t>Ⅱ</w:t>
                  </w:r>
                  <w:r>
                    <w:rPr>
                      <w:rFonts w:hint="eastAsia" w:cs="宋体"/>
                      <w:sz w:val="21"/>
                      <w:szCs w:val="21"/>
                      <w:lang w:bidi="ar"/>
                    </w:rPr>
                    <w:t>类（较严）要求，不得新建燃烧煤炭、重油、渣油等高污染燃料的设施，禁止原煤散烧；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p w14:paraId="385EBED9">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3.</w:t>
                  </w:r>
                  <w:r>
                    <w:rPr>
                      <w:rFonts w:hint="eastAsia" w:cs="宋体"/>
                      <w:sz w:val="21"/>
                      <w:szCs w:val="21"/>
                      <w:lang w:bidi="ar"/>
                    </w:rPr>
                    <w:t>严把环境准入关口，新建项目单位产品能耗达到《河北省主要产品能耗限额和设备能效限定值》准入值要求，严格执行煤炭减量替代。产业集聚区能源利用效率达到循环经济园区标准。在省级以上园区全面推行能源梯级利用和资源综合利用，依法推进强制性清洁生产审核。</w:t>
                  </w:r>
                </w:p>
                <w:p w14:paraId="25CC6114">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4.</w:t>
                  </w:r>
                  <w:r>
                    <w:rPr>
                      <w:rFonts w:hint="eastAsia" w:cs="宋体"/>
                      <w:sz w:val="21"/>
                      <w:szCs w:val="21"/>
                      <w:lang w:bidi="ar"/>
                    </w:rPr>
                    <w:t>严禁新增钢铁、焦化、水泥熟料、平板玻璃、煤化工产能，合理控制煤制油气产能规模。严格落实钢铁、焦化、水泥等重点行业产能置换政策，推动钢铁行业短流程改造，严格控制新增煤电装机规模，严禁新增化工园区。</w:t>
                  </w:r>
                </w:p>
                <w:p w14:paraId="2CB4F25E">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5.</w:t>
                  </w:r>
                  <w:r>
                    <w:rPr>
                      <w:rFonts w:hint="eastAsia" w:cs="宋体"/>
                      <w:sz w:val="21"/>
                      <w:szCs w:val="21"/>
                      <w:lang w:bidi="ar"/>
                    </w:rPr>
                    <w:t>严格执行质量、环保、能耗、安全等法规标准，加大重点行业低效和过剩产能压减力度，淘汰</w:t>
                  </w:r>
                  <w:r>
                    <w:rPr>
                      <w:rFonts w:hint="default" w:ascii="Times New Roman" w:hAnsi="Times New Roman"/>
                      <w:sz w:val="21"/>
                      <w:szCs w:val="21"/>
                      <w:lang w:bidi="ar"/>
                    </w:rPr>
                    <w:t>4.3</w:t>
                  </w:r>
                  <w:r>
                    <w:rPr>
                      <w:rFonts w:hint="eastAsia" w:cs="宋体"/>
                      <w:sz w:val="21"/>
                      <w:szCs w:val="21"/>
                      <w:lang w:bidi="ar"/>
                    </w:rPr>
                    <w:t>米焦炉、</w:t>
                  </w:r>
                  <w:r>
                    <w:rPr>
                      <w:rFonts w:hint="default" w:ascii="Times New Roman" w:hAnsi="Times New Roman"/>
                      <w:sz w:val="21"/>
                      <w:szCs w:val="21"/>
                      <w:lang w:bidi="ar"/>
                    </w:rPr>
                    <w:t>1000</w:t>
                  </w:r>
                  <w:r>
                    <w:rPr>
                      <w:rFonts w:hint="eastAsia" w:cs="宋体"/>
                      <w:sz w:val="21"/>
                      <w:szCs w:val="21"/>
                      <w:lang w:bidi="ar"/>
                    </w:rPr>
                    <w:t>立方米以下高炉、</w:t>
                  </w:r>
                  <w:r>
                    <w:rPr>
                      <w:rFonts w:hint="default" w:ascii="Times New Roman" w:hAnsi="Times New Roman"/>
                      <w:sz w:val="21"/>
                      <w:szCs w:val="21"/>
                      <w:lang w:bidi="ar"/>
                    </w:rPr>
                    <w:t>100</w:t>
                  </w:r>
                  <w:r>
                    <w:rPr>
                      <w:rFonts w:hint="eastAsia" w:cs="宋体"/>
                      <w:sz w:val="21"/>
                      <w:szCs w:val="21"/>
                      <w:lang w:bidi="ar"/>
                    </w:rPr>
                    <w:t>吨以下转炉、步进式烧结机和球团竖炉，推广高效精馏系统、高温高压干熄焦、富氧强化熔炼等节能技术。</w:t>
                  </w:r>
                </w:p>
                <w:p w14:paraId="34C2B92B">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6.</w:t>
                  </w:r>
                  <w:r>
                    <w:rPr>
                      <w:rFonts w:hint="eastAsia" w:cs="宋体"/>
                      <w:sz w:val="21"/>
                      <w:szCs w:val="21"/>
                      <w:lang w:bidi="ar"/>
                    </w:rPr>
                    <w:t>严格控制煤炭消费总量，对新增耗煤项目实施减量替代，严格控制燃煤机组新增装机规模，新增用电量主要依靠区域内非化石能源发电和外送电满足。</w:t>
                  </w:r>
                </w:p>
                <w:p w14:paraId="2D46893A">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7.</w:t>
                  </w:r>
                  <w:r>
                    <w:rPr>
                      <w:rFonts w:hint="eastAsia" w:cs="宋体"/>
                      <w:sz w:val="21"/>
                      <w:szCs w:val="21"/>
                      <w:lang w:bidi="ar"/>
                    </w:rPr>
                    <w:t>稳步实施冬季清洁取暖，保障天然气和电力供应，有序推进“电代煤、气代煤”改造工程。全面推行清洁取暖和增加集中供热面积，实施农村清洁取暖农户动态管理，完成种养殖业及农副产品加工业燃煤设施清洁能源替代，有序推进清洁能源发展。全面推进城镇绿色规划、绿色建设、绿色运行管理，到</w:t>
                  </w:r>
                  <w:r>
                    <w:rPr>
                      <w:rFonts w:hint="default" w:ascii="Times New Roman" w:hAnsi="Times New Roman" w:cs="宋体"/>
                      <w:sz w:val="21"/>
                      <w:szCs w:val="21"/>
                      <w:lang w:bidi="ar"/>
                    </w:rPr>
                    <w:t>2025</w:t>
                  </w:r>
                  <w:r>
                    <w:rPr>
                      <w:rFonts w:hint="eastAsia" w:cs="宋体"/>
                      <w:sz w:val="21"/>
                      <w:szCs w:val="21"/>
                      <w:lang w:bidi="ar"/>
                    </w:rPr>
                    <w:t>年，新建装配式建筑占当年新建建筑比例达</w:t>
                  </w:r>
                  <w:r>
                    <w:rPr>
                      <w:rFonts w:hint="default" w:ascii="Times New Roman" w:hAnsi="Times New Roman"/>
                      <w:sz w:val="21"/>
                      <w:szCs w:val="21"/>
                      <w:lang w:bidi="ar"/>
                    </w:rPr>
                    <w:t>30%</w:t>
                  </w:r>
                  <w:r>
                    <w:rPr>
                      <w:rFonts w:hint="eastAsia" w:cs="宋体"/>
                      <w:sz w:val="21"/>
                      <w:szCs w:val="21"/>
                      <w:lang w:bidi="ar"/>
                    </w:rPr>
                    <w:t>以上。</w:t>
                  </w:r>
                </w:p>
                <w:p w14:paraId="060B5169">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8.</w:t>
                  </w:r>
                  <w:r>
                    <w:rPr>
                      <w:rFonts w:hint="eastAsia" w:cs="宋体"/>
                      <w:sz w:val="21"/>
                      <w:szCs w:val="21"/>
                      <w:lang w:bidi="ar"/>
                    </w:rPr>
                    <w:t>统筹能源安全和绿色低碳发展，推动能源供给体系清洁化低碳化。实施可再生能源替代行动大力发展风能、太阳能、生物质能、地热能等，积极推进储能氢能产业，推动抽水蓄能电站建设，加大力度规划建设配套电网项目，提高可再生能源消纳能力。</w:t>
                  </w:r>
                </w:p>
                <w:p w14:paraId="7B3EECBA">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9.</w:t>
                  </w:r>
                  <w:r>
                    <w:rPr>
                      <w:rFonts w:hint="eastAsia" w:cs="宋体"/>
                      <w:sz w:val="21"/>
                      <w:szCs w:val="21"/>
                      <w:lang w:bidi="ar"/>
                    </w:rPr>
                    <w:t>禁止生产高耗能落后设备产品，现有工业企业应限期关停退出。</w:t>
                  </w:r>
                </w:p>
                <w:p w14:paraId="380C95A1">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10.</w:t>
                  </w:r>
                  <w:r>
                    <w:rPr>
                      <w:rFonts w:hint="eastAsia" w:cs="宋体"/>
                      <w:sz w:val="21"/>
                      <w:szCs w:val="21"/>
                      <w:lang w:bidi="ar"/>
                    </w:rPr>
                    <w:t>新建项目能效应不低于国内平均水平。</w:t>
                  </w:r>
                </w:p>
              </w:tc>
              <w:tc>
                <w:tcPr>
                  <w:tcW w:w="1494" w:type="pct"/>
                  <w:tcBorders>
                    <w:top w:val="single" w:color="auto" w:sz="4" w:space="0"/>
                    <w:left w:val="nil"/>
                    <w:bottom w:val="single" w:color="auto" w:sz="4" w:space="0"/>
                    <w:right w:val="single" w:color="auto" w:sz="4" w:space="0"/>
                  </w:tcBorders>
                  <w:shd w:val="clear" w:color="auto" w:fill="auto"/>
                  <w:vAlign w:val="center"/>
                </w:tcPr>
                <w:p w14:paraId="55D51748">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1.</w:t>
                  </w:r>
                  <w:r>
                    <w:rPr>
                      <w:rFonts w:hint="eastAsia" w:cs="宋体"/>
                      <w:sz w:val="21"/>
                      <w:szCs w:val="21"/>
                      <w:lang w:bidi="ar"/>
                    </w:rPr>
                    <w:t>本项目为水泥制品制造项目，不燃煤，不属于高耗能、高排放项目；</w:t>
                  </w:r>
                </w:p>
                <w:p w14:paraId="6AEAFE2B">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2.</w:t>
                  </w:r>
                  <w:r>
                    <w:rPr>
                      <w:rFonts w:hint="eastAsia" w:cs="宋体"/>
                      <w:sz w:val="21"/>
                      <w:szCs w:val="21"/>
                      <w:lang w:bidi="ar"/>
                    </w:rPr>
                    <w:t>本项目位于高污染燃料禁燃区，项目不新建锅炉，不燃烧高污染燃料；</w:t>
                  </w:r>
                </w:p>
                <w:p w14:paraId="5425AFBB">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3.</w:t>
                  </w:r>
                  <w:r>
                    <w:rPr>
                      <w:rFonts w:hint="eastAsia" w:cs="宋体"/>
                      <w:sz w:val="21"/>
                      <w:szCs w:val="21"/>
                      <w:lang w:bidi="ar"/>
                    </w:rPr>
                    <w:t>项目为水泥制品制造项目，项目单位产品能耗符合《河北省主要产品能耗限额和设备能效限定值》准入值要求；</w:t>
                  </w:r>
                </w:p>
                <w:p w14:paraId="44D3795E">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4.</w:t>
                  </w:r>
                  <w:r>
                    <w:rPr>
                      <w:rFonts w:hint="eastAsia" w:cs="宋体"/>
                      <w:sz w:val="21"/>
                      <w:szCs w:val="21"/>
                      <w:lang w:bidi="ar"/>
                    </w:rPr>
                    <w:t>项目为水泥制品制造项目，不属于钢铁、焦化、水泥熟料、平板玻璃、煤化工行业；</w:t>
                  </w:r>
                </w:p>
                <w:p w14:paraId="7FE3DC38">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5.</w:t>
                  </w:r>
                  <w:r>
                    <w:rPr>
                      <w:rFonts w:hint="eastAsia" w:cs="宋体"/>
                      <w:sz w:val="21"/>
                      <w:szCs w:val="21"/>
                      <w:lang w:bidi="ar"/>
                    </w:rPr>
                    <w:t>项目为水泥制品制造项目，符合质量、环保、能耗、安全等法规标准，不属于</w:t>
                  </w:r>
                  <w:r>
                    <w:rPr>
                      <w:rFonts w:hint="default" w:ascii="Times New Roman" w:hAnsi="Times New Roman"/>
                      <w:sz w:val="21"/>
                      <w:szCs w:val="21"/>
                      <w:lang w:bidi="ar"/>
                    </w:rPr>
                    <w:t>4.3</w:t>
                  </w:r>
                  <w:r>
                    <w:rPr>
                      <w:rFonts w:hint="eastAsia" w:cs="宋体"/>
                      <w:sz w:val="21"/>
                      <w:szCs w:val="21"/>
                      <w:lang w:bidi="ar"/>
                    </w:rPr>
                    <w:t>米焦炉、</w:t>
                  </w:r>
                  <w:r>
                    <w:rPr>
                      <w:rFonts w:hint="default" w:ascii="Times New Roman" w:hAnsi="Times New Roman"/>
                      <w:sz w:val="21"/>
                      <w:szCs w:val="21"/>
                      <w:lang w:bidi="ar"/>
                    </w:rPr>
                    <w:t>1000</w:t>
                  </w:r>
                  <w:r>
                    <w:rPr>
                      <w:rFonts w:hint="eastAsia" w:cs="宋体"/>
                      <w:sz w:val="21"/>
                      <w:szCs w:val="21"/>
                      <w:lang w:bidi="ar"/>
                    </w:rPr>
                    <w:t>立方米以下高炉、</w:t>
                  </w:r>
                  <w:r>
                    <w:rPr>
                      <w:rFonts w:hint="default" w:ascii="Times New Roman" w:hAnsi="Times New Roman"/>
                      <w:sz w:val="21"/>
                      <w:szCs w:val="21"/>
                      <w:lang w:bidi="ar"/>
                    </w:rPr>
                    <w:t>100</w:t>
                  </w:r>
                  <w:r>
                    <w:rPr>
                      <w:rFonts w:hint="eastAsia" w:cs="宋体"/>
                      <w:sz w:val="21"/>
                      <w:szCs w:val="21"/>
                      <w:lang w:bidi="ar"/>
                    </w:rPr>
                    <w:t>吨以下转炉、步进式烧结机和球团竖炉；</w:t>
                  </w:r>
                </w:p>
                <w:p w14:paraId="63843EB6">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6.</w:t>
                  </w:r>
                  <w:r>
                    <w:rPr>
                      <w:rFonts w:hint="eastAsia" w:cs="宋体"/>
                      <w:sz w:val="21"/>
                      <w:szCs w:val="21"/>
                      <w:lang w:bidi="ar"/>
                    </w:rPr>
                    <w:t>项目不使用锅炉，不燃煤；</w:t>
                  </w:r>
                </w:p>
                <w:p w14:paraId="6366BB62">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7.</w:t>
                  </w:r>
                  <w:r>
                    <w:rPr>
                      <w:rFonts w:hint="eastAsia" w:cs="宋体"/>
                      <w:sz w:val="21"/>
                      <w:szCs w:val="21"/>
                      <w:lang w:bidi="ar"/>
                    </w:rPr>
                    <w:t>项目冬季不生产，无需取暖；</w:t>
                  </w:r>
                </w:p>
                <w:p w14:paraId="772F94AF">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8.</w:t>
                  </w:r>
                  <w:r>
                    <w:rPr>
                      <w:rFonts w:hint="eastAsia" w:cs="宋体"/>
                      <w:sz w:val="21"/>
                      <w:szCs w:val="21"/>
                      <w:lang w:bidi="ar"/>
                    </w:rPr>
                    <w:t>不涉及；</w:t>
                  </w:r>
                </w:p>
                <w:p w14:paraId="776807F7">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9.</w:t>
                  </w:r>
                  <w:r>
                    <w:rPr>
                      <w:rFonts w:hint="eastAsia" w:cs="宋体"/>
                      <w:sz w:val="21"/>
                      <w:szCs w:val="21"/>
                      <w:lang w:bidi="ar"/>
                    </w:rPr>
                    <w:t>项目为水泥制品制造项目，不属于高耗能落后设备产品；</w:t>
                  </w:r>
                </w:p>
                <w:p w14:paraId="6D067B73">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10.</w:t>
                  </w:r>
                  <w:r>
                    <w:rPr>
                      <w:rFonts w:hint="eastAsia" w:cs="宋体"/>
                      <w:sz w:val="21"/>
                      <w:szCs w:val="21"/>
                      <w:lang w:bidi="ar"/>
                    </w:rPr>
                    <w:t>项目为水泥制品制造项目，能效不低于国内平均水平。</w:t>
                  </w:r>
                </w:p>
              </w:tc>
              <w:tc>
                <w:tcPr>
                  <w:tcW w:w="434" w:type="pct"/>
                  <w:tcBorders>
                    <w:top w:val="single" w:color="auto" w:sz="4" w:space="0"/>
                    <w:left w:val="nil"/>
                    <w:bottom w:val="single" w:color="auto" w:sz="4" w:space="0"/>
                    <w:right w:val="single" w:color="auto" w:sz="4" w:space="0"/>
                  </w:tcBorders>
                  <w:shd w:val="clear" w:color="auto" w:fill="auto"/>
                  <w:vAlign w:val="center"/>
                </w:tcPr>
                <w:p w14:paraId="2CBADA32">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符合</w:t>
                  </w:r>
                </w:p>
              </w:tc>
            </w:tr>
            <w:tr w14:paraId="442C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2" w:type="pct"/>
                  <w:tcBorders>
                    <w:top w:val="single" w:color="auto" w:sz="4" w:space="0"/>
                    <w:left w:val="single" w:color="auto" w:sz="4" w:space="0"/>
                    <w:bottom w:val="single" w:color="auto" w:sz="4" w:space="0"/>
                    <w:right w:val="single" w:color="auto" w:sz="4" w:space="0"/>
                  </w:tcBorders>
                  <w:shd w:val="clear" w:color="auto" w:fill="auto"/>
                  <w:vAlign w:val="center"/>
                </w:tcPr>
                <w:p w14:paraId="2EBD9350">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土地资源</w:t>
                  </w:r>
                </w:p>
              </w:tc>
              <w:tc>
                <w:tcPr>
                  <w:tcW w:w="2458" w:type="pct"/>
                  <w:tcBorders>
                    <w:top w:val="single" w:color="auto" w:sz="4" w:space="0"/>
                    <w:left w:val="nil"/>
                    <w:bottom w:val="single" w:color="auto" w:sz="4" w:space="0"/>
                    <w:right w:val="single" w:color="auto" w:sz="4" w:space="0"/>
                  </w:tcBorders>
                  <w:shd w:val="clear" w:color="auto" w:fill="auto"/>
                  <w:vAlign w:val="center"/>
                </w:tcPr>
                <w:p w14:paraId="39C926F9">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1.</w:t>
                  </w:r>
                  <w:r>
                    <w:rPr>
                      <w:rFonts w:hint="eastAsia" w:cs="宋体"/>
                      <w:sz w:val="21"/>
                      <w:szCs w:val="21"/>
                      <w:lang w:bidi="ar"/>
                    </w:rPr>
                    <w:t>产业集聚区开发建设应达到《河北省开发区建设用地控制指标实施细则（试行）》（冀国土资发</w:t>
                  </w:r>
                  <w:r>
                    <w:rPr>
                      <w:rFonts w:hint="default" w:ascii="Times New Roman" w:hAnsi="Times New Roman"/>
                      <w:sz w:val="21"/>
                      <w:szCs w:val="21"/>
                      <w:lang w:bidi="ar"/>
                    </w:rPr>
                    <w:t>[2015]11</w:t>
                  </w:r>
                  <w:r>
                    <w:rPr>
                      <w:rFonts w:hint="eastAsia" w:cs="宋体"/>
                      <w:sz w:val="21"/>
                      <w:szCs w:val="21"/>
                      <w:lang w:bidi="ar"/>
                    </w:rPr>
                    <w:t>号）要求，对不符合要求的工业项目，原则上不得建设，因安全生产、地形地貌、工艺技术等有特殊要求确需突破控制指标的应遵循相关规定执行。</w:t>
                  </w:r>
                </w:p>
                <w:p w14:paraId="74E90029">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2.</w:t>
                  </w:r>
                  <w:r>
                    <w:rPr>
                      <w:rFonts w:hint="eastAsia" w:cs="宋体"/>
                      <w:sz w:val="21"/>
                      <w:szCs w:val="21"/>
                      <w:lang w:bidi="ar"/>
                    </w:rPr>
                    <w:t>河北宽城经济开发区、河北省承德县高新技术产业开发区、河北承德双滦经济开发区、河北宽城经济开发区土地资源节约利用指标应于</w:t>
                  </w:r>
                  <w:r>
                    <w:rPr>
                      <w:rFonts w:hint="default" w:ascii="Times New Roman" w:hAnsi="Times New Roman"/>
                      <w:sz w:val="21"/>
                      <w:szCs w:val="21"/>
                      <w:lang w:bidi="ar"/>
                    </w:rPr>
                    <w:t>2025</w:t>
                  </w:r>
                  <w:r>
                    <w:rPr>
                      <w:rFonts w:hint="eastAsia" w:cs="宋体"/>
                      <w:sz w:val="21"/>
                      <w:szCs w:val="21"/>
                      <w:lang w:bidi="ar"/>
                    </w:rPr>
                    <w:t>年前达到《国家生态工业示范园区标准》）（</w:t>
                  </w:r>
                  <w:r>
                    <w:rPr>
                      <w:rFonts w:hint="default" w:ascii="Times New Roman" w:hAnsi="Times New Roman"/>
                      <w:sz w:val="21"/>
                      <w:szCs w:val="21"/>
                      <w:lang w:bidi="ar"/>
                    </w:rPr>
                    <w:t>HJ274-2015</w:t>
                  </w:r>
                  <w:r>
                    <w:rPr>
                      <w:rFonts w:hint="eastAsia" w:cs="宋体"/>
                      <w:sz w:val="21"/>
                      <w:szCs w:val="21"/>
                      <w:lang w:bidi="ar"/>
                    </w:rPr>
                    <w:t>）。其他园区应于</w:t>
                  </w:r>
                  <w:r>
                    <w:rPr>
                      <w:rFonts w:hint="default" w:ascii="Times New Roman" w:hAnsi="Times New Roman"/>
                      <w:sz w:val="21"/>
                      <w:szCs w:val="21"/>
                      <w:lang w:bidi="ar"/>
                    </w:rPr>
                    <w:t>2030</w:t>
                  </w:r>
                  <w:r>
                    <w:rPr>
                      <w:rFonts w:hint="eastAsia" w:cs="宋体"/>
                      <w:sz w:val="21"/>
                      <w:szCs w:val="21"/>
                      <w:lang w:bidi="ar"/>
                    </w:rPr>
                    <w:t>年前达到《国家生态工业示范园区标准》（</w:t>
                  </w:r>
                  <w:r>
                    <w:rPr>
                      <w:rFonts w:hint="default" w:ascii="Times New Roman" w:hAnsi="Times New Roman"/>
                      <w:sz w:val="21"/>
                      <w:szCs w:val="21"/>
                      <w:lang w:bidi="ar"/>
                    </w:rPr>
                    <w:t>HJ274-2015</w:t>
                  </w:r>
                  <w:r>
                    <w:rPr>
                      <w:rFonts w:hint="eastAsia" w:cs="宋体"/>
                      <w:sz w:val="21"/>
                      <w:szCs w:val="21"/>
                      <w:lang w:bidi="ar"/>
                    </w:rPr>
                    <w:t>）。</w:t>
                  </w:r>
                </w:p>
              </w:tc>
              <w:tc>
                <w:tcPr>
                  <w:tcW w:w="1494" w:type="pct"/>
                  <w:tcBorders>
                    <w:top w:val="single" w:color="auto" w:sz="4" w:space="0"/>
                    <w:left w:val="nil"/>
                    <w:bottom w:val="single" w:color="auto" w:sz="4" w:space="0"/>
                    <w:right w:val="single" w:color="auto" w:sz="4" w:space="0"/>
                  </w:tcBorders>
                  <w:shd w:val="clear" w:color="auto" w:fill="auto"/>
                  <w:vAlign w:val="center"/>
                </w:tcPr>
                <w:p w14:paraId="29B81FB4">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1.</w:t>
                  </w:r>
                  <w:r>
                    <w:rPr>
                      <w:rFonts w:hint="eastAsia" w:cs="宋体"/>
                      <w:sz w:val="21"/>
                      <w:szCs w:val="21"/>
                      <w:lang w:bidi="ar"/>
                    </w:rPr>
                    <w:t>项目位于河北宽城经济开发区，项目符合《河北省开发区建设用地控制指标实施细则（试行）》（冀国土资发</w:t>
                  </w:r>
                  <w:r>
                    <w:rPr>
                      <w:rFonts w:hint="default" w:ascii="Times New Roman" w:hAnsi="Times New Roman"/>
                      <w:sz w:val="21"/>
                      <w:szCs w:val="21"/>
                      <w:lang w:bidi="ar"/>
                    </w:rPr>
                    <w:t>〔20</w:t>
                  </w:r>
                  <w:r>
                    <w:rPr>
                      <w:rFonts w:hint="eastAsia" w:ascii="Times New Roman" w:hAnsi="Times New Roman"/>
                      <w:sz w:val="21"/>
                      <w:szCs w:val="21"/>
                      <w:lang w:bidi="ar"/>
                    </w:rPr>
                    <w:t>15</w:t>
                  </w:r>
                  <w:r>
                    <w:rPr>
                      <w:rFonts w:hint="default" w:ascii="Times New Roman" w:hAnsi="Times New Roman"/>
                      <w:sz w:val="21"/>
                      <w:szCs w:val="21"/>
                      <w:lang w:bidi="ar"/>
                    </w:rPr>
                    <w:t>〕11</w:t>
                  </w:r>
                  <w:r>
                    <w:rPr>
                      <w:rFonts w:hint="eastAsia" w:cs="宋体"/>
                      <w:sz w:val="21"/>
                      <w:szCs w:val="21"/>
                      <w:lang w:bidi="ar"/>
                    </w:rPr>
                    <w:t>号）要求；</w:t>
                  </w:r>
                </w:p>
                <w:p w14:paraId="17A50B25">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2.</w:t>
                  </w:r>
                  <w:r>
                    <w:rPr>
                      <w:rFonts w:hint="eastAsia" w:cs="宋体"/>
                      <w:sz w:val="21"/>
                      <w:szCs w:val="21"/>
                      <w:lang w:bidi="ar"/>
                    </w:rPr>
                    <w:t>不涉及。</w:t>
                  </w:r>
                </w:p>
              </w:tc>
              <w:tc>
                <w:tcPr>
                  <w:tcW w:w="434" w:type="pct"/>
                  <w:tcBorders>
                    <w:top w:val="single" w:color="auto" w:sz="4" w:space="0"/>
                    <w:left w:val="nil"/>
                    <w:bottom w:val="single" w:color="auto" w:sz="4" w:space="0"/>
                    <w:right w:val="single" w:color="auto" w:sz="4" w:space="0"/>
                  </w:tcBorders>
                  <w:shd w:val="clear" w:color="auto" w:fill="auto"/>
                  <w:vAlign w:val="center"/>
                </w:tcPr>
                <w:p w14:paraId="31A93A3F">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符合</w:t>
                  </w:r>
                </w:p>
              </w:tc>
            </w:tr>
          </w:tbl>
          <w:p w14:paraId="744764BD">
            <w:pPr>
              <w:keepNext w:val="0"/>
              <w:keepLines w:val="0"/>
              <w:numPr>
                <w:ilvl w:val="3"/>
                <w:numId w:val="6"/>
              </w:numPr>
              <w:suppressLineNumbers w:val="0"/>
              <w:spacing w:before="0" w:beforeAutospacing="0" w:after="0" w:afterAutospacing="0"/>
              <w:ind w:right="0" w:firstLine="480"/>
              <w:rPr>
                <w:rFonts w:hint="default"/>
              </w:rPr>
            </w:pPr>
            <w:r>
              <w:rPr>
                <w:rFonts w:hint="eastAsia" w:ascii="宋体" w:hAnsi="宋体" w:cs="宋体"/>
                <w:lang w:bidi="ar"/>
              </w:rPr>
              <w:t>承德市环境管控单元生态准入清单</w:t>
            </w:r>
          </w:p>
          <w:p w14:paraId="71F0AF40">
            <w:pPr>
              <w:keepNext w:val="0"/>
              <w:keepLines w:val="0"/>
              <w:suppressLineNumbers w:val="0"/>
              <w:adjustRightInd/>
              <w:spacing w:before="0" w:beforeAutospacing="0" w:after="0" w:afterAutospacing="0"/>
              <w:ind w:left="0" w:right="0" w:firstLine="480"/>
              <w:rPr>
                <w:rFonts w:hint="default"/>
              </w:rPr>
            </w:pPr>
            <w:r>
              <w:rPr>
                <w:rFonts w:hint="default"/>
              </w:rPr>
              <w:t>项目位于</w:t>
            </w:r>
            <w:r>
              <w:rPr>
                <w:rFonts w:hint="eastAsia"/>
              </w:rPr>
              <w:t>河北省承德市宽城满族自治县宽城经济开发区</w:t>
            </w:r>
            <w:r>
              <w:rPr>
                <w:rFonts w:hint="default"/>
              </w:rPr>
              <w:t>，地理坐标为：E118°3</w:t>
            </w:r>
            <w:r>
              <w:rPr>
                <w:rFonts w:hint="eastAsia"/>
              </w:rPr>
              <w:t>3</w:t>
            </w:r>
            <w:r>
              <w:rPr>
                <w:rFonts w:hint="default"/>
              </w:rPr>
              <w:t>′41.770″、N40°3</w:t>
            </w:r>
            <w:r>
              <w:rPr>
                <w:rFonts w:hint="eastAsia"/>
              </w:rPr>
              <w:t>9</w:t>
            </w:r>
            <w:r>
              <w:rPr>
                <w:rFonts w:hint="default"/>
              </w:rPr>
              <w:t>′7.906″，根据</w:t>
            </w:r>
            <w:bookmarkStart w:id="5" w:name="OLE_LINK4"/>
            <w:r>
              <w:rPr>
                <w:rFonts w:hint="default"/>
              </w:rPr>
              <w:t>《承德市生态环境分区管控准入清单》（2023年版）</w:t>
            </w:r>
            <w:bookmarkEnd w:id="5"/>
            <w:r>
              <w:rPr>
                <w:rFonts w:hint="default"/>
              </w:rPr>
              <w:t>可知，</w:t>
            </w:r>
            <w:r>
              <w:rPr>
                <w:rFonts w:hint="eastAsia"/>
              </w:rPr>
              <w:t>项目所在区域编号为ZH13082720001。</w:t>
            </w:r>
          </w:p>
          <w:p w14:paraId="39802F8C">
            <w:pPr>
              <w:keepNext w:val="0"/>
              <w:keepLines w:val="0"/>
              <w:suppressLineNumbers w:val="0"/>
              <w:adjustRightInd/>
              <w:spacing w:before="0" w:beforeAutospacing="0" w:after="0" w:afterAutospacing="0"/>
              <w:ind w:left="0" w:right="0" w:firstLine="480"/>
              <w:rPr>
                <w:rFonts w:hint="default"/>
              </w:rPr>
            </w:pPr>
            <w:r>
              <w:rPr>
                <w:rFonts w:hint="eastAsia"/>
              </w:rPr>
              <w:t>ZH13082720001管控类型为重点管控单元，环境要素类别为：“宽城经济开发区”，维度为：“空间布局、污染物排放管控、环境风险防控、资源利用效率”。</w:t>
            </w:r>
          </w:p>
          <w:p w14:paraId="05ACED19">
            <w:pPr>
              <w:keepNext w:val="0"/>
              <w:keepLines w:val="0"/>
              <w:suppressLineNumbers w:val="0"/>
              <w:autoSpaceDE w:val="0"/>
              <w:spacing w:before="0" w:beforeAutospacing="0" w:after="0" w:afterAutospacing="0"/>
              <w:ind w:left="0" w:right="0" w:firstLine="480"/>
              <w:jc w:val="both"/>
              <w:rPr>
                <w:rFonts w:hint="default"/>
                <w:b/>
                <w:bCs/>
                <w:color w:val="FF0000"/>
              </w:rPr>
            </w:pPr>
            <w:r>
              <w:rPr>
                <w:rFonts w:hint="eastAsia" w:ascii="宋体" w:hAnsi="宋体" w:cs="宋体"/>
                <w:lang w:bidi="ar"/>
              </w:rPr>
              <w:t>项目环境管控单元准入清单“准入类”要求符合性分析判定内容如下表所示：</w:t>
            </w:r>
          </w:p>
          <w:p w14:paraId="56108663">
            <w:pPr>
              <w:keepNext w:val="0"/>
              <w:keepLines w:val="0"/>
              <w:numPr>
                <w:ilvl w:val="0"/>
                <w:numId w:val="4"/>
              </w:numPr>
              <w:suppressLineNumbers w:val="0"/>
              <w:adjustRightInd/>
              <w:spacing w:before="0" w:beforeAutospacing="0" w:after="0" w:afterAutospacing="0"/>
              <w:ind w:left="0" w:right="0" w:firstLine="0" w:firstLineChars="0"/>
              <w:jc w:val="center"/>
              <w:rPr>
                <w:rFonts w:hint="default"/>
                <w:b/>
                <w:bCs/>
                <w:sz w:val="21"/>
                <w:szCs w:val="21"/>
              </w:rPr>
            </w:pPr>
            <w:r>
              <w:rPr>
                <w:rFonts w:hint="eastAsia"/>
                <w:b/>
                <w:bCs/>
                <w:sz w:val="21"/>
                <w:szCs w:val="21"/>
              </w:rPr>
              <w:t>环境管控单元准入清单符合性分析表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850"/>
              <w:gridCol w:w="3066"/>
              <w:gridCol w:w="2106"/>
              <w:gridCol w:w="427"/>
            </w:tblGrid>
            <w:tr w14:paraId="57CC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vAlign w:val="center"/>
                </w:tcPr>
                <w:p w14:paraId="5300678B">
                  <w:pPr>
                    <w:pStyle w:val="42"/>
                    <w:keepNext w:val="0"/>
                    <w:keepLines w:val="0"/>
                    <w:widowControl/>
                    <w:suppressLineNumbers w:val="0"/>
                    <w:spacing w:before="0" w:beforeAutospacing="0" w:after="0" w:afterAutospacing="0"/>
                    <w:ind w:left="0" w:right="0"/>
                    <w:rPr>
                      <w:rFonts w:hint="default"/>
                      <w:b/>
                      <w:bCs/>
                    </w:rPr>
                  </w:pPr>
                  <w:r>
                    <w:rPr>
                      <w:b/>
                      <w:bCs/>
                    </w:rPr>
                    <w:t>编号</w:t>
                  </w:r>
                </w:p>
              </w:tc>
              <w:tc>
                <w:tcPr>
                  <w:tcW w:w="2448" w:type="pct"/>
                  <w:gridSpan w:val="2"/>
                  <w:vAlign w:val="center"/>
                </w:tcPr>
                <w:p w14:paraId="519128B2">
                  <w:pPr>
                    <w:pStyle w:val="42"/>
                    <w:keepNext w:val="0"/>
                    <w:keepLines w:val="0"/>
                    <w:widowControl/>
                    <w:suppressLineNumbers w:val="0"/>
                    <w:spacing w:before="0" w:beforeAutospacing="0" w:after="0" w:afterAutospacing="0"/>
                    <w:ind w:left="0" w:right="0"/>
                    <w:rPr>
                      <w:rFonts w:hint="default"/>
                      <w:b/>
                      <w:bCs/>
                    </w:rPr>
                  </w:pPr>
                  <w:r>
                    <w:rPr>
                      <w:b/>
                      <w:bCs/>
                    </w:rPr>
                    <w:t>管控措施</w:t>
                  </w:r>
                </w:p>
              </w:tc>
              <w:tc>
                <w:tcPr>
                  <w:tcW w:w="1268" w:type="pct"/>
                  <w:vAlign w:val="center"/>
                </w:tcPr>
                <w:p w14:paraId="48D30F67">
                  <w:pPr>
                    <w:pStyle w:val="42"/>
                    <w:keepNext w:val="0"/>
                    <w:keepLines w:val="0"/>
                    <w:widowControl/>
                    <w:suppressLineNumbers w:val="0"/>
                    <w:spacing w:before="0" w:beforeAutospacing="0" w:after="0" w:afterAutospacing="0"/>
                    <w:ind w:left="0" w:right="0"/>
                    <w:rPr>
                      <w:rFonts w:hint="default"/>
                      <w:b/>
                      <w:bCs/>
                    </w:rPr>
                  </w:pPr>
                  <w:r>
                    <w:rPr>
                      <w:b/>
                      <w:bCs/>
                    </w:rPr>
                    <w:t>项目情况</w:t>
                  </w:r>
                </w:p>
              </w:tc>
              <w:tc>
                <w:tcPr>
                  <w:tcW w:w="264" w:type="pct"/>
                  <w:vAlign w:val="center"/>
                </w:tcPr>
                <w:p w14:paraId="6402BAFB">
                  <w:pPr>
                    <w:pStyle w:val="42"/>
                    <w:keepNext w:val="0"/>
                    <w:keepLines w:val="0"/>
                    <w:widowControl/>
                    <w:suppressLineNumbers w:val="0"/>
                    <w:spacing w:before="0" w:beforeAutospacing="0" w:after="0" w:afterAutospacing="0"/>
                    <w:ind w:left="0" w:right="0"/>
                    <w:rPr>
                      <w:rFonts w:hint="default"/>
                      <w:b/>
                      <w:bCs/>
                    </w:rPr>
                  </w:pPr>
                  <w:r>
                    <w:rPr>
                      <w:b/>
                      <w:bCs/>
                    </w:rPr>
                    <w:t>符合性</w:t>
                  </w:r>
                </w:p>
              </w:tc>
            </w:tr>
            <w:tr w14:paraId="79C4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8" w:type="pct"/>
                  <w:vMerge w:val="restart"/>
                  <w:vAlign w:val="center"/>
                </w:tcPr>
                <w:p w14:paraId="4D880E8D">
                  <w:pPr>
                    <w:pStyle w:val="42"/>
                    <w:keepNext w:val="0"/>
                    <w:keepLines w:val="0"/>
                    <w:widowControl/>
                    <w:suppressLineNumbers w:val="0"/>
                    <w:spacing w:before="0" w:beforeAutospacing="0" w:after="0" w:afterAutospacing="0"/>
                    <w:ind w:left="0" w:right="0"/>
                    <w:rPr>
                      <w:rFonts w:hint="default"/>
                    </w:rPr>
                  </w:pPr>
                  <w:r>
                    <w:t>ZH13082720001</w:t>
                  </w:r>
                </w:p>
              </w:tc>
              <w:tc>
                <w:tcPr>
                  <w:tcW w:w="541" w:type="pct"/>
                  <w:vMerge w:val="restart"/>
                  <w:vAlign w:val="center"/>
                </w:tcPr>
                <w:p w14:paraId="77A32570">
                  <w:pPr>
                    <w:pStyle w:val="42"/>
                    <w:keepNext w:val="0"/>
                    <w:keepLines w:val="0"/>
                    <w:widowControl/>
                    <w:suppressLineNumbers w:val="0"/>
                    <w:spacing w:before="0" w:beforeAutospacing="0" w:after="0" w:afterAutospacing="0"/>
                    <w:ind w:left="0" w:right="0"/>
                    <w:rPr>
                      <w:rFonts w:hint="default"/>
                    </w:rPr>
                  </w:pPr>
                  <w:r>
                    <w:t>空间布局</w:t>
                  </w:r>
                </w:p>
              </w:tc>
              <w:tc>
                <w:tcPr>
                  <w:tcW w:w="1907" w:type="pct"/>
                  <w:vAlign w:val="center"/>
                </w:tcPr>
                <w:p w14:paraId="48E0414F">
                  <w:pPr>
                    <w:pStyle w:val="42"/>
                    <w:keepNext w:val="0"/>
                    <w:keepLines w:val="0"/>
                    <w:widowControl/>
                    <w:suppressLineNumbers w:val="0"/>
                    <w:spacing w:before="0" w:beforeAutospacing="0" w:after="0" w:afterAutospacing="0"/>
                    <w:ind w:left="0" w:right="0"/>
                    <w:rPr>
                      <w:rFonts w:hint="default"/>
                    </w:rPr>
                  </w:pPr>
                  <w:r>
                    <w:t>1、执行承德市生态环境总体准入清单要求。</w:t>
                  </w:r>
                </w:p>
              </w:tc>
              <w:tc>
                <w:tcPr>
                  <w:tcW w:w="1268" w:type="pct"/>
                  <w:vAlign w:val="center"/>
                </w:tcPr>
                <w:p w14:paraId="5E3644D8">
                  <w:pPr>
                    <w:pStyle w:val="42"/>
                    <w:keepNext w:val="0"/>
                    <w:keepLines w:val="0"/>
                    <w:widowControl/>
                    <w:suppressLineNumbers w:val="0"/>
                    <w:spacing w:before="0" w:beforeAutospacing="0" w:after="0" w:afterAutospacing="0"/>
                    <w:ind w:left="0" w:right="0"/>
                    <w:jc w:val="both"/>
                    <w:rPr>
                      <w:rFonts w:hint="default"/>
                    </w:rPr>
                  </w:pPr>
                  <w:r>
                    <w:t>项目符合承德市生态环境总体准入清单要求，具体分析见生态空间总体要求分析。</w:t>
                  </w:r>
                </w:p>
              </w:tc>
              <w:tc>
                <w:tcPr>
                  <w:tcW w:w="264" w:type="pct"/>
                  <w:vAlign w:val="center"/>
                </w:tcPr>
                <w:p w14:paraId="62FC07CE">
                  <w:pPr>
                    <w:pStyle w:val="42"/>
                    <w:keepNext w:val="0"/>
                    <w:keepLines w:val="0"/>
                    <w:widowControl/>
                    <w:suppressLineNumbers w:val="0"/>
                    <w:spacing w:before="0" w:beforeAutospacing="0" w:after="0" w:afterAutospacing="0"/>
                    <w:ind w:left="0" w:right="0"/>
                    <w:rPr>
                      <w:rFonts w:hint="default"/>
                    </w:rPr>
                  </w:pPr>
                  <w:r>
                    <w:t>符合</w:t>
                  </w:r>
                </w:p>
              </w:tc>
            </w:tr>
            <w:tr w14:paraId="23CC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vMerge w:val="continue"/>
                  <w:vAlign w:val="center"/>
                </w:tcPr>
                <w:p w14:paraId="7BFA37C5">
                  <w:pPr>
                    <w:pStyle w:val="42"/>
                    <w:keepNext w:val="0"/>
                    <w:keepLines w:val="0"/>
                    <w:widowControl/>
                    <w:suppressLineNumbers w:val="0"/>
                    <w:spacing w:before="0" w:beforeAutospacing="0" w:after="0" w:afterAutospacing="0"/>
                    <w:ind w:left="0" w:right="0"/>
                    <w:rPr>
                      <w:rFonts w:hint="default"/>
                    </w:rPr>
                  </w:pPr>
                </w:p>
              </w:tc>
              <w:tc>
                <w:tcPr>
                  <w:tcW w:w="541" w:type="pct"/>
                  <w:vMerge w:val="continue"/>
                  <w:vAlign w:val="center"/>
                </w:tcPr>
                <w:p w14:paraId="493A8B8F">
                  <w:pPr>
                    <w:pStyle w:val="42"/>
                    <w:keepNext w:val="0"/>
                    <w:keepLines w:val="0"/>
                    <w:widowControl/>
                    <w:suppressLineNumbers w:val="0"/>
                    <w:spacing w:before="0" w:beforeAutospacing="0" w:after="0" w:afterAutospacing="0"/>
                    <w:ind w:left="0" w:right="0"/>
                    <w:rPr>
                      <w:rFonts w:hint="default"/>
                    </w:rPr>
                  </w:pPr>
                </w:p>
              </w:tc>
              <w:tc>
                <w:tcPr>
                  <w:tcW w:w="1907" w:type="pct"/>
                  <w:vAlign w:val="center"/>
                </w:tcPr>
                <w:p w14:paraId="6608C4B0">
                  <w:pPr>
                    <w:pStyle w:val="42"/>
                    <w:keepNext w:val="0"/>
                    <w:keepLines w:val="0"/>
                    <w:widowControl/>
                    <w:suppressLineNumbers w:val="0"/>
                    <w:spacing w:before="0" w:beforeAutospacing="0" w:after="0" w:afterAutospacing="0"/>
                    <w:ind w:left="0" w:right="0"/>
                    <w:rPr>
                      <w:rFonts w:hint="default"/>
                    </w:rPr>
                  </w:pPr>
                  <w:r>
                    <w:t>2、严格执行国家产业政策和准入标准。</w:t>
                  </w:r>
                </w:p>
              </w:tc>
              <w:tc>
                <w:tcPr>
                  <w:tcW w:w="1268" w:type="pct"/>
                  <w:vAlign w:val="center"/>
                </w:tcPr>
                <w:p w14:paraId="796E88AC">
                  <w:pPr>
                    <w:pStyle w:val="42"/>
                    <w:keepNext w:val="0"/>
                    <w:keepLines w:val="0"/>
                    <w:widowControl/>
                    <w:suppressLineNumbers w:val="0"/>
                    <w:spacing w:before="0" w:beforeAutospacing="0" w:after="0" w:afterAutospacing="0"/>
                    <w:ind w:left="0" w:right="0"/>
                    <w:jc w:val="both"/>
                    <w:rPr>
                      <w:rFonts w:hint="default"/>
                    </w:rPr>
                  </w:pPr>
                  <w:r>
                    <w:t>项目符合国家产业政策和准入标准，具体见产业政策符合性分析。</w:t>
                  </w:r>
                </w:p>
              </w:tc>
              <w:tc>
                <w:tcPr>
                  <w:tcW w:w="264" w:type="pct"/>
                  <w:vAlign w:val="center"/>
                </w:tcPr>
                <w:p w14:paraId="207E2E8A">
                  <w:pPr>
                    <w:pStyle w:val="42"/>
                    <w:keepNext w:val="0"/>
                    <w:keepLines w:val="0"/>
                    <w:widowControl/>
                    <w:suppressLineNumbers w:val="0"/>
                    <w:spacing w:before="0" w:beforeAutospacing="0" w:after="0" w:afterAutospacing="0"/>
                    <w:ind w:left="0" w:right="0"/>
                    <w:rPr>
                      <w:rFonts w:hint="default"/>
                    </w:rPr>
                  </w:pPr>
                  <w:r>
                    <w:t>符合</w:t>
                  </w:r>
                </w:p>
              </w:tc>
            </w:tr>
            <w:tr w14:paraId="61A7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vMerge w:val="continue"/>
                  <w:vAlign w:val="center"/>
                </w:tcPr>
                <w:p w14:paraId="6A253126">
                  <w:pPr>
                    <w:pStyle w:val="42"/>
                    <w:keepNext w:val="0"/>
                    <w:keepLines w:val="0"/>
                    <w:widowControl/>
                    <w:suppressLineNumbers w:val="0"/>
                    <w:spacing w:before="0" w:beforeAutospacing="0" w:after="0" w:afterAutospacing="0"/>
                    <w:ind w:left="0" w:right="0"/>
                    <w:rPr>
                      <w:rFonts w:hint="default"/>
                    </w:rPr>
                  </w:pPr>
                </w:p>
              </w:tc>
              <w:tc>
                <w:tcPr>
                  <w:tcW w:w="541" w:type="pct"/>
                  <w:vMerge w:val="continue"/>
                  <w:vAlign w:val="center"/>
                </w:tcPr>
                <w:p w14:paraId="2FDB6E86">
                  <w:pPr>
                    <w:pStyle w:val="42"/>
                    <w:keepNext w:val="0"/>
                    <w:keepLines w:val="0"/>
                    <w:widowControl/>
                    <w:suppressLineNumbers w:val="0"/>
                    <w:spacing w:before="0" w:beforeAutospacing="0" w:after="0" w:afterAutospacing="0"/>
                    <w:ind w:left="0" w:right="0"/>
                    <w:rPr>
                      <w:rFonts w:hint="default"/>
                    </w:rPr>
                  </w:pPr>
                </w:p>
              </w:tc>
              <w:tc>
                <w:tcPr>
                  <w:tcW w:w="1907" w:type="pct"/>
                  <w:vAlign w:val="center"/>
                </w:tcPr>
                <w:p w14:paraId="102BDDDA">
                  <w:pPr>
                    <w:pStyle w:val="42"/>
                    <w:keepNext w:val="0"/>
                    <w:keepLines w:val="0"/>
                    <w:widowControl/>
                    <w:suppressLineNumbers w:val="0"/>
                    <w:spacing w:before="0" w:beforeAutospacing="0" w:after="0" w:afterAutospacing="0"/>
                    <w:ind w:left="0" w:right="0"/>
                    <w:rPr>
                      <w:rFonts w:hint="default"/>
                    </w:rPr>
                  </w:pPr>
                  <w:r>
                    <w:t>3、执行经开区规划环评及其批复文件相关要求；规划环评依法依规发生调整的，执行其最新的管理要求。</w:t>
                  </w:r>
                </w:p>
              </w:tc>
              <w:tc>
                <w:tcPr>
                  <w:tcW w:w="1268" w:type="pct"/>
                  <w:vAlign w:val="center"/>
                </w:tcPr>
                <w:p w14:paraId="7DEABF7F">
                  <w:pPr>
                    <w:pStyle w:val="42"/>
                    <w:keepNext w:val="0"/>
                    <w:keepLines w:val="0"/>
                    <w:widowControl/>
                    <w:suppressLineNumbers w:val="0"/>
                    <w:spacing w:before="0" w:beforeAutospacing="0" w:after="0" w:afterAutospacing="0"/>
                    <w:ind w:left="0" w:right="0"/>
                    <w:jc w:val="both"/>
                    <w:rPr>
                      <w:rFonts w:hint="default"/>
                    </w:rPr>
                  </w:pPr>
                  <w:r>
                    <w:t>项目产业定位及用地性质符合《河北宽城经济开发区总体规划（2022-2035年）》，项目符合《河北宽城经济开发区总体规划（2022-2035年）环境影响报告书》提出的河北宽城经济开发区总体生态环境准入清单，具体分析见规划及规划环评符合性分析内容。</w:t>
                  </w:r>
                </w:p>
              </w:tc>
              <w:tc>
                <w:tcPr>
                  <w:tcW w:w="264" w:type="pct"/>
                  <w:vAlign w:val="center"/>
                </w:tcPr>
                <w:p w14:paraId="31C15A08">
                  <w:pPr>
                    <w:pStyle w:val="42"/>
                    <w:keepNext w:val="0"/>
                    <w:keepLines w:val="0"/>
                    <w:widowControl/>
                    <w:suppressLineNumbers w:val="0"/>
                    <w:spacing w:before="0" w:beforeAutospacing="0" w:after="0" w:afterAutospacing="0"/>
                    <w:ind w:left="0" w:right="0"/>
                    <w:rPr>
                      <w:rFonts w:hint="default"/>
                    </w:rPr>
                  </w:pPr>
                  <w:r>
                    <w:t>符合</w:t>
                  </w:r>
                </w:p>
              </w:tc>
            </w:tr>
            <w:tr w14:paraId="6FDB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vMerge w:val="continue"/>
                  <w:vAlign w:val="center"/>
                </w:tcPr>
                <w:p w14:paraId="7A508270">
                  <w:pPr>
                    <w:pStyle w:val="42"/>
                    <w:keepNext w:val="0"/>
                    <w:keepLines w:val="0"/>
                    <w:widowControl/>
                    <w:suppressLineNumbers w:val="0"/>
                    <w:spacing w:before="0" w:beforeAutospacing="0" w:after="0" w:afterAutospacing="0"/>
                    <w:ind w:left="0" w:right="0"/>
                    <w:rPr>
                      <w:rFonts w:hint="default"/>
                    </w:rPr>
                  </w:pPr>
                </w:p>
              </w:tc>
              <w:tc>
                <w:tcPr>
                  <w:tcW w:w="541" w:type="pct"/>
                  <w:vMerge w:val="continue"/>
                  <w:vAlign w:val="center"/>
                </w:tcPr>
                <w:p w14:paraId="7DA8ED75">
                  <w:pPr>
                    <w:pStyle w:val="42"/>
                    <w:keepNext w:val="0"/>
                    <w:keepLines w:val="0"/>
                    <w:widowControl/>
                    <w:suppressLineNumbers w:val="0"/>
                    <w:spacing w:before="0" w:beforeAutospacing="0" w:after="0" w:afterAutospacing="0"/>
                    <w:ind w:left="0" w:right="0"/>
                    <w:rPr>
                      <w:rFonts w:hint="default"/>
                    </w:rPr>
                  </w:pPr>
                </w:p>
              </w:tc>
              <w:tc>
                <w:tcPr>
                  <w:tcW w:w="1907" w:type="pct"/>
                  <w:vAlign w:val="center"/>
                </w:tcPr>
                <w:p w14:paraId="54AA9B90">
                  <w:pPr>
                    <w:pStyle w:val="42"/>
                    <w:keepNext w:val="0"/>
                    <w:keepLines w:val="0"/>
                    <w:widowControl/>
                    <w:suppressLineNumbers w:val="0"/>
                    <w:spacing w:before="0" w:beforeAutospacing="0" w:after="0" w:afterAutospacing="0"/>
                    <w:ind w:left="0" w:right="0"/>
                    <w:rPr>
                      <w:rFonts w:hint="default"/>
                    </w:rPr>
                  </w:pPr>
                  <w:r>
                    <w:t>4、村庄及规划的居住区范围内禁止新建工业企业。合理布置区内企业，将风险较大企业布置在远离周围村庄、学校、医院等环境敏感点位置。</w:t>
                  </w:r>
                </w:p>
              </w:tc>
              <w:tc>
                <w:tcPr>
                  <w:tcW w:w="1268" w:type="pct"/>
                  <w:vAlign w:val="center"/>
                </w:tcPr>
                <w:p w14:paraId="301EB91B">
                  <w:pPr>
                    <w:pStyle w:val="42"/>
                    <w:keepNext w:val="0"/>
                    <w:keepLines w:val="0"/>
                    <w:widowControl/>
                    <w:suppressLineNumbers w:val="0"/>
                    <w:spacing w:before="0" w:beforeAutospacing="0" w:after="0" w:afterAutospacing="0"/>
                    <w:ind w:left="0" w:right="0"/>
                    <w:jc w:val="both"/>
                    <w:rPr>
                      <w:rFonts w:hint="default"/>
                    </w:rPr>
                  </w:pPr>
                  <w:r>
                    <w:t>项目位于工业用地，不位于村庄及规划的居住区范围内。</w:t>
                  </w:r>
                </w:p>
              </w:tc>
              <w:tc>
                <w:tcPr>
                  <w:tcW w:w="264" w:type="pct"/>
                  <w:vAlign w:val="center"/>
                </w:tcPr>
                <w:p w14:paraId="25B019D3">
                  <w:pPr>
                    <w:pStyle w:val="42"/>
                    <w:keepNext w:val="0"/>
                    <w:keepLines w:val="0"/>
                    <w:widowControl/>
                    <w:suppressLineNumbers w:val="0"/>
                    <w:spacing w:before="0" w:beforeAutospacing="0" w:after="0" w:afterAutospacing="0"/>
                    <w:ind w:left="0" w:right="0"/>
                    <w:rPr>
                      <w:rFonts w:hint="default"/>
                    </w:rPr>
                  </w:pPr>
                  <w:r>
                    <w:t>符合</w:t>
                  </w:r>
                </w:p>
              </w:tc>
            </w:tr>
            <w:tr w14:paraId="0630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vMerge w:val="continue"/>
                  <w:vAlign w:val="center"/>
                </w:tcPr>
                <w:p w14:paraId="53997A69">
                  <w:pPr>
                    <w:pStyle w:val="42"/>
                    <w:keepNext w:val="0"/>
                    <w:keepLines w:val="0"/>
                    <w:widowControl/>
                    <w:suppressLineNumbers w:val="0"/>
                    <w:spacing w:before="0" w:beforeAutospacing="0" w:after="0" w:afterAutospacing="0"/>
                    <w:ind w:left="0" w:right="0"/>
                    <w:rPr>
                      <w:rFonts w:hint="default"/>
                    </w:rPr>
                  </w:pPr>
                </w:p>
              </w:tc>
              <w:tc>
                <w:tcPr>
                  <w:tcW w:w="541" w:type="pct"/>
                  <w:vMerge w:val="continue"/>
                  <w:vAlign w:val="center"/>
                </w:tcPr>
                <w:p w14:paraId="41F9FEC3">
                  <w:pPr>
                    <w:pStyle w:val="42"/>
                    <w:keepNext w:val="0"/>
                    <w:keepLines w:val="0"/>
                    <w:widowControl/>
                    <w:suppressLineNumbers w:val="0"/>
                    <w:spacing w:before="0" w:beforeAutospacing="0" w:after="0" w:afterAutospacing="0"/>
                    <w:ind w:left="0" w:right="0"/>
                    <w:rPr>
                      <w:rFonts w:hint="default"/>
                    </w:rPr>
                  </w:pPr>
                </w:p>
              </w:tc>
              <w:tc>
                <w:tcPr>
                  <w:tcW w:w="1907" w:type="pct"/>
                  <w:vAlign w:val="center"/>
                </w:tcPr>
                <w:p w14:paraId="2EAF58E8">
                  <w:pPr>
                    <w:pStyle w:val="42"/>
                    <w:keepNext w:val="0"/>
                    <w:keepLines w:val="0"/>
                    <w:widowControl/>
                    <w:suppressLineNumbers w:val="0"/>
                    <w:spacing w:before="0" w:beforeAutospacing="0" w:after="0" w:afterAutospacing="0"/>
                    <w:ind w:left="0" w:right="0"/>
                    <w:rPr>
                      <w:rFonts w:hint="default"/>
                    </w:rPr>
                  </w:pPr>
                  <w:r>
                    <w:t>5、禁止在公园绿地、广场绿地等规划绿地范围内开展与绿地无关的建设活动。</w:t>
                  </w:r>
                </w:p>
              </w:tc>
              <w:tc>
                <w:tcPr>
                  <w:tcW w:w="1268" w:type="pct"/>
                  <w:vAlign w:val="center"/>
                </w:tcPr>
                <w:p w14:paraId="17F27C7F">
                  <w:pPr>
                    <w:pStyle w:val="42"/>
                    <w:keepNext w:val="0"/>
                    <w:keepLines w:val="0"/>
                    <w:widowControl/>
                    <w:suppressLineNumbers w:val="0"/>
                    <w:spacing w:before="0" w:beforeAutospacing="0" w:after="0" w:afterAutospacing="0"/>
                    <w:ind w:left="0" w:right="0"/>
                    <w:jc w:val="both"/>
                    <w:rPr>
                      <w:rFonts w:hint="default"/>
                    </w:rPr>
                  </w:pPr>
                  <w:r>
                    <w:t>项目位于工业用地，不位于公园绿地、广场绿地等规划绿地范围内。</w:t>
                  </w:r>
                </w:p>
              </w:tc>
              <w:tc>
                <w:tcPr>
                  <w:tcW w:w="264" w:type="pct"/>
                  <w:vAlign w:val="center"/>
                </w:tcPr>
                <w:p w14:paraId="4C9EE12A">
                  <w:pPr>
                    <w:pStyle w:val="42"/>
                    <w:keepNext w:val="0"/>
                    <w:keepLines w:val="0"/>
                    <w:widowControl/>
                    <w:suppressLineNumbers w:val="0"/>
                    <w:spacing w:before="0" w:beforeAutospacing="0" w:after="0" w:afterAutospacing="0"/>
                    <w:ind w:left="0" w:right="0"/>
                    <w:rPr>
                      <w:rFonts w:hint="default"/>
                    </w:rPr>
                  </w:pPr>
                  <w:r>
                    <w:t>符合</w:t>
                  </w:r>
                </w:p>
              </w:tc>
            </w:tr>
            <w:tr w14:paraId="11F1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vMerge w:val="continue"/>
                  <w:vAlign w:val="center"/>
                </w:tcPr>
                <w:p w14:paraId="1ACC3CDD">
                  <w:pPr>
                    <w:pStyle w:val="42"/>
                    <w:keepNext w:val="0"/>
                    <w:keepLines w:val="0"/>
                    <w:widowControl/>
                    <w:suppressLineNumbers w:val="0"/>
                    <w:spacing w:before="0" w:beforeAutospacing="0" w:after="0" w:afterAutospacing="0"/>
                    <w:ind w:left="0" w:right="0"/>
                    <w:rPr>
                      <w:rFonts w:hint="default"/>
                    </w:rPr>
                  </w:pPr>
                </w:p>
              </w:tc>
              <w:tc>
                <w:tcPr>
                  <w:tcW w:w="541" w:type="pct"/>
                  <w:vMerge w:val="restart"/>
                  <w:vAlign w:val="center"/>
                </w:tcPr>
                <w:p w14:paraId="28479ED0">
                  <w:pPr>
                    <w:pStyle w:val="42"/>
                    <w:keepNext w:val="0"/>
                    <w:keepLines w:val="0"/>
                    <w:widowControl/>
                    <w:suppressLineNumbers w:val="0"/>
                    <w:spacing w:before="0" w:beforeAutospacing="0" w:after="0" w:afterAutospacing="0"/>
                    <w:ind w:left="0" w:right="0"/>
                    <w:rPr>
                      <w:rFonts w:hint="default"/>
                    </w:rPr>
                  </w:pPr>
                  <w:r>
                    <w:t>污染物排放管控</w:t>
                  </w:r>
                </w:p>
              </w:tc>
              <w:tc>
                <w:tcPr>
                  <w:tcW w:w="1907" w:type="pct"/>
                  <w:vAlign w:val="center"/>
                </w:tcPr>
                <w:p w14:paraId="5EA451B3">
                  <w:pPr>
                    <w:pStyle w:val="42"/>
                    <w:keepNext w:val="0"/>
                    <w:keepLines w:val="0"/>
                    <w:widowControl/>
                    <w:suppressLineNumbers w:val="0"/>
                    <w:spacing w:before="0" w:beforeAutospacing="0" w:after="0" w:afterAutospacing="0"/>
                    <w:ind w:left="0" w:right="0"/>
                    <w:rPr>
                      <w:rFonts w:hint="default"/>
                    </w:rPr>
                  </w:pPr>
                  <w:r>
                    <w:t>1、入区项目各污染物排放满足国家、河北省特别排放限值及地方特别要求，其中燃气锅炉需满足河北省地方标准《锅炉大气污染物排放标准》（DB13/5161-2020），球团执行《钢铁工业大气污染物超低排放标准》（DB132169-2018）相关要求。</w:t>
                  </w:r>
                </w:p>
              </w:tc>
              <w:tc>
                <w:tcPr>
                  <w:tcW w:w="1268" w:type="pct"/>
                  <w:vAlign w:val="center"/>
                </w:tcPr>
                <w:p w14:paraId="60DF2C72">
                  <w:pPr>
                    <w:pStyle w:val="42"/>
                    <w:keepNext w:val="0"/>
                    <w:keepLines w:val="0"/>
                    <w:widowControl/>
                    <w:suppressLineNumbers w:val="0"/>
                    <w:spacing w:before="0" w:beforeAutospacing="0" w:after="0" w:afterAutospacing="0"/>
                    <w:ind w:left="0" w:right="0"/>
                    <w:jc w:val="both"/>
                    <w:rPr>
                      <w:rFonts w:hint="default"/>
                    </w:rPr>
                  </w:pPr>
                  <w:r>
                    <w:t>项目排放的污染物主要是混凝土生产过程产生的颗粒物，废气经处理后，排放浓度满足《水泥工业大气污染物超低排放标准》（DB13/2167-2020）表1新建企业大气污染物最高允许排放浓度中水泥仓及其他通风生产设备颗粒物排放浓度限值要求。项目无燃气锅炉。</w:t>
                  </w:r>
                </w:p>
              </w:tc>
              <w:tc>
                <w:tcPr>
                  <w:tcW w:w="264" w:type="pct"/>
                  <w:vAlign w:val="center"/>
                </w:tcPr>
                <w:p w14:paraId="6CB90B3F">
                  <w:pPr>
                    <w:pStyle w:val="42"/>
                    <w:keepNext w:val="0"/>
                    <w:keepLines w:val="0"/>
                    <w:widowControl/>
                    <w:suppressLineNumbers w:val="0"/>
                    <w:spacing w:before="0" w:beforeAutospacing="0" w:after="0" w:afterAutospacing="0"/>
                    <w:ind w:left="0" w:right="0"/>
                    <w:rPr>
                      <w:rFonts w:hint="default"/>
                    </w:rPr>
                  </w:pPr>
                  <w:r>
                    <w:t>符合</w:t>
                  </w:r>
                </w:p>
              </w:tc>
            </w:tr>
            <w:tr w14:paraId="5AC03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vMerge w:val="continue"/>
                  <w:vAlign w:val="center"/>
                </w:tcPr>
                <w:p w14:paraId="72A5DF4B">
                  <w:pPr>
                    <w:pStyle w:val="42"/>
                    <w:keepNext w:val="0"/>
                    <w:keepLines w:val="0"/>
                    <w:widowControl/>
                    <w:suppressLineNumbers w:val="0"/>
                    <w:spacing w:before="0" w:beforeAutospacing="0" w:after="0" w:afterAutospacing="0"/>
                    <w:ind w:left="0" w:right="0"/>
                    <w:rPr>
                      <w:rFonts w:hint="default"/>
                    </w:rPr>
                  </w:pPr>
                </w:p>
              </w:tc>
              <w:tc>
                <w:tcPr>
                  <w:tcW w:w="541" w:type="pct"/>
                  <w:vMerge w:val="continue"/>
                  <w:vAlign w:val="center"/>
                </w:tcPr>
                <w:p w14:paraId="60744252">
                  <w:pPr>
                    <w:pStyle w:val="42"/>
                    <w:keepNext w:val="0"/>
                    <w:keepLines w:val="0"/>
                    <w:widowControl/>
                    <w:suppressLineNumbers w:val="0"/>
                    <w:spacing w:before="0" w:beforeAutospacing="0" w:after="0" w:afterAutospacing="0"/>
                    <w:ind w:left="0" w:right="0"/>
                    <w:rPr>
                      <w:rFonts w:hint="default"/>
                    </w:rPr>
                  </w:pPr>
                </w:p>
              </w:tc>
              <w:tc>
                <w:tcPr>
                  <w:tcW w:w="1907" w:type="pct"/>
                  <w:vAlign w:val="center"/>
                </w:tcPr>
                <w:p w14:paraId="67212A37">
                  <w:pPr>
                    <w:pStyle w:val="42"/>
                    <w:keepNext w:val="0"/>
                    <w:keepLines w:val="0"/>
                    <w:widowControl/>
                    <w:suppressLineNumbers w:val="0"/>
                    <w:spacing w:before="0" w:beforeAutospacing="0" w:after="0" w:afterAutospacing="0"/>
                    <w:ind w:left="0" w:right="0"/>
                    <w:rPr>
                      <w:rFonts w:hint="default"/>
                    </w:rPr>
                  </w:pPr>
                  <w:r>
                    <w:t>2、固体废物零排放，危险废物收集、贮存、运输、处置、利用等须满足《</w:t>
                  </w:r>
                  <w:r>
                    <w:rPr>
                      <w:rFonts w:hint="eastAsia"/>
                      <w:lang w:eastAsia="zh-CN"/>
                    </w:rPr>
                    <w:t>中华人民共和国固体废物污染环境防治法</w:t>
                  </w:r>
                  <w:r>
                    <w:t>》等相关法律法规。</w:t>
                  </w:r>
                </w:p>
              </w:tc>
              <w:tc>
                <w:tcPr>
                  <w:tcW w:w="1268" w:type="pct"/>
                  <w:vAlign w:val="center"/>
                </w:tcPr>
                <w:p w14:paraId="7E5D656E">
                  <w:pPr>
                    <w:pStyle w:val="42"/>
                    <w:keepNext w:val="0"/>
                    <w:keepLines w:val="0"/>
                    <w:widowControl/>
                    <w:suppressLineNumbers w:val="0"/>
                    <w:spacing w:before="0" w:beforeAutospacing="0" w:after="0" w:afterAutospacing="0"/>
                    <w:ind w:left="0" w:right="0"/>
                    <w:jc w:val="both"/>
                    <w:rPr>
                      <w:rFonts w:hint="default"/>
                    </w:rPr>
                  </w:pPr>
                  <w:r>
                    <w:t>项目产生的固体废物为布袋除尘器除尘灰，可作为原料再次利用，不外排。项目新建危险废物贮存间，危险废物于危险废物贮存间暂存，定期交由有资质的单位处理，危险废物收集、贮存、运输、处置、利用等满足《</w:t>
                  </w:r>
                  <w:r>
                    <w:rPr>
                      <w:rFonts w:hint="eastAsia"/>
                      <w:lang w:eastAsia="zh-CN"/>
                    </w:rPr>
                    <w:t>中华人民共和国固体废物污染环境防治法</w:t>
                  </w:r>
                  <w:r>
                    <w:t>》等相关法律法规。</w:t>
                  </w:r>
                </w:p>
              </w:tc>
              <w:tc>
                <w:tcPr>
                  <w:tcW w:w="264" w:type="pct"/>
                  <w:vAlign w:val="center"/>
                </w:tcPr>
                <w:p w14:paraId="60092AEA">
                  <w:pPr>
                    <w:pStyle w:val="42"/>
                    <w:keepNext w:val="0"/>
                    <w:keepLines w:val="0"/>
                    <w:widowControl/>
                    <w:suppressLineNumbers w:val="0"/>
                    <w:spacing w:before="0" w:beforeAutospacing="0" w:after="0" w:afterAutospacing="0"/>
                    <w:ind w:left="0" w:right="0"/>
                    <w:rPr>
                      <w:rFonts w:hint="default"/>
                    </w:rPr>
                  </w:pPr>
                  <w:r>
                    <w:t>符合</w:t>
                  </w:r>
                </w:p>
              </w:tc>
            </w:tr>
            <w:tr w14:paraId="0DDF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vMerge w:val="continue"/>
                  <w:vAlign w:val="center"/>
                </w:tcPr>
                <w:p w14:paraId="1B797C01">
                  <w:pPr>
                    <w:pStyle w:val="42"/>
                    <w:keepNext w:val="0"/>
                    <w:keepLines w:val="0"/>
                    <w:widowControl/>
                    <w:suppressLineNumbers w:val="0"/>
                    <w:spacing w:before="0" w:beforeAutospacing="0" w:after="0" w:afterAutospacing="0"/>
                    <w:ind w:left="0" w:right="0"/>
                    <w:rPr>
                      <w:rFonts w:hint="default"/>
                    </w:rPr>
                  </w:pPr>
                </w:p>
              </w:tc>
              <w:tc>
                <w:tcPr>
                  <w:tcW w:w="541" w:type="pct"/>
                  <w:vMerge w:val="continue"/>
                  <w:vAlign w:val="center"/>
                </w:tcPr>
                <w:p w14:paraId="1E96F13B">
                  <w:pPr>
                    <w:pStyle w:val="42"/>
                    <w:keepNext w:val="0"/>
                    <w:keepLines w:val="0"/>
                    <w:widowControl/>
                    <w:suppressLineNumbers w:val="0"/>
                    <w:spacing w:before="0" w:beforeAutospacing="0" w:after="0" w:afterAutospacing="0"/>
                    <w:ind w:left="0" w:right="0"/>
                    <w:rPr>
                      <w:rFonts w:hint="default"/>
                    </w:rPr>
                  </w:pPr>
                </w:p>
              </w:tc>
              <w:tc>
                <w:tcPr>
                  <w:tcW w:w="1907" w:type="pct"/>
                  <w:vAlign w:val="center"/>
                </w:tcPr>
                <w:p w14:paraId="1FB1271F">
                  <w:pPr>
                    <w:pStyle w:val="42"/>
                    <w:keepNext w:val="0"/>
                    <w:keepLines w:val="0"/>
                    <w:widowControl/>
                    <w:suppressLineNumbers w:val="0"/>
                    <w:spacing w:before="0" w:beforeAutospacing="0" w:after="0" w:afterAutospacing="0"/>
                    <w:ind w:left="0" w:right="0"/>
                    <w:rPr>
                      <w:rFonts w:hint="default"/>
                    </w:rPr>
                  </w:pPr>
                  <w:r>
                    <w:t>3、坚决遏制高耗能、高排放、低水平项目盲目发展，提升高耗能项目能耗准入标准，能耗、物耗、水耗要达到清洁生产先进水平。</w:t>
                  </w:r>
                </w:p>
              </w:tc>
              <w:tc>
                <w:tcPr>
                  <w:tcW w:w="1268" w:type="pct"/>
                  <w:vAlign w:val="center"/>
                </w:tcPr>
                <w:p w14:paraId="6A369D10">
                  <w:pPr>
                    <w:pStyle w:val="42"/>
                    <w:keepNext w:val="0"/>
                    <w:keepLines w:val="0"/>
                    <w:widowControl/>
                    <w:suppressLineNumbers w:val="0"/>
                    <w:spacing w:before="0" w:beforeAutospacing="0" w:after="0" w:afterAutospacing="0"/>
                    <w:ind w:left="0" w:right="0"/>
                    <w:jc w:val="both"/>
                    <w:rPr>
                      <w:rFonts w:hint="default"/>
                    </w:rPr>
                  </w:pPr>
                  <w:r>
                    <w:t>项目为水泥制品制造项目，不属于高耗能、高排放、低水平项目。</w:t>
                  </w:r>
                </w:p>
              </w:tc>
              <w:tc>
                <w:tcPr>
                  <w:tcW w:w="264" w:type="pct"/>
                  <w:vAlign w:val="center"/>
                </w:tcPr>
                <w:p w14:paraId="4C344F9F">
                  <w:pPr>
                    <w:pStyle w:val="42"/>
                    <w:keepNext w:val="0"/>
                    <w:keepLines w:val="0"/>
                    <w:widowControl/>
                    <w:suppressLineNumbers w:val="0"/>
                    <w:spacing w:before="0" w:beforeAutospacing="0" w:after="0" w:afterAutospacing="0"/>
                    <w:ind w:left="0" w:right="0"/>
                    <w:rPr>
                      <w:rFonts w:hint="default"/>
                    </w:rPr>
                  </w:pPr>
                  <w:r>
                    <w:t>符合</w:t>
                  </w:r>
                </w:p>
              </w:tc>
            </w:tr>
            <w:tr w14:paraId="13D7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vMerge w:val="continue"/>
                  <w:vAlign w:val="center"/>
                </w:tcPr>
                <w:p w14:paraId="4BB25AD4">
                  <w:pPr>
                    <w:pStyle w:val="42"/>
                    <w:keepNext w:val="0"/>
                    <w:keepLines w:val="0"/>
                    <w:widowControl/>
                    <w:suppressLineNumbers w:val="0"/>
                    <w:spacing w:before="0" w:beforeAutospacing="0" w:after="0" w:afterAutospacing="0"/>
                    <w:ind w:left="0" w:right="0"/>
                    <w:rPr>
                      <w:rFonts w:hint="default"/>
                    </w:rPr>
                  </w:pPr>
                </w:p>
              </w:tc>
              <w:tc>
                <w:tcPr>
                  <w:tcW w:w="541" w:type="pct"/>
                  <w:vMerge w:val="continue"/>
                  <w:vAlign w:val="center"/>
                </w:tcPr>
                <w:p w14:paraId="145341B9">
                  <w:pPr>
                    <w:pStyle w:val="42"/>
                    <w:keepNext w:val="0"/>
                    <w:keepLines w:val="0"/>
                    <w:widowControl/>
                    <w:suppressLineNumbers w:val="0"/>
                    <w:spacing w:before="0" w:beforeAutospacing="0" w:after="0" w:afterAutospacing="0"/>
                    <w:ind w:left="0" w:right="0"/>
                    <w:rPr>
                      <w:rFonts w:hint="default"/>
                    </w:rPr>
                  </w:pPr>
                </w:p>
              </w:tc>
              <w:tc>
                <w:tcPr>
                  <w:tcW w:w="1907" w:type="pct"/>
                  <w:vAlign w:val="center"/>
                </w:tcPr>
                <w:p w14:paraId="590D0D5A">
                  <w:pPr>
                    <w:pStyle w:val="42"/>
                    <w:keepNext w:val="0"/>
                    <w:keepLines w:val="0"/>
                    <w:widowControl/>
                    <w:suppressLineNumbers w:val="0"/>
                    <w:spacing w:before="0" w:beforeAutospacing="0" w:after="0" w:afterAutospacing="0"/>
                    <w:ind w:left="0" w:right="0"/>
                    <w:rPr>
                      <w:rFonts w:hint="default"/>
                    </w:rPr>
                  </w:pPr>
                  <w:r>
                    <w:t>4、加快产业园区和集群污染综合整治，推进园区供热、供电、污水处理、再生水回用等公共基础设施共建共享。</w:t>
                  </w:r>
                </w:p>
              </w:tc>
              <w:tc>
                <w:tcPr>
                  <w:tcW w:w="1268" w:type="pct"/>
                  <w:vAlign w:val="center"/>
                </w:tcPr>
                <w:p w14:paraId="64C629E8">
                  <w:pPr>
                    <w:pStyle w:val="42"/>
                    <w:keepNext w:val="0"/>
                    <w:keepLines w:val="0"/>
                    <w:widowControl/>
                    <w:suppressLineNumbers w:val="0"/>
                    <w:spacing w:before="0" w:beforeAutospacing="0" w:after="0" w:afterAutospacing="0"/>
                    <w:ind w:left="0" w:right="0"/>
                    <w:rPr>
                      <w:rFonts w:hint="default"/>
                    </w:rPr>
                  </w:pPr>
                  <w:r>
                    <w:t>不涉及</w:t>
                  </w:r>
                </w:p>
              </w:tc>
              <w:tc>
                <w:tcPr>
                  <w:tcW w:w="264" w:type="pct"/>
                  <w:vAlign w:val="center"/>
                </w:tcPr>
                <w:p w14:paraId="21429EEC">
                  <w:pPr>
                    <w:pStyle w:val="42"/>
                    <w:keepNext w:val="0"/>
                    <w:keepLines w:val="0"/>
                    <w:widowControl/>
                    <w:suppressLineNumbers w:val="0"/>
                    <w:spacing w:before="0" w:beforeAutospacing="0" w:after="0" w:afterAutospacing="0"/>
                    <w:ind w:left="0" w:right="0"/>
                    <w:rPr>
                      <w:rFonts w:hint="default"/>
                    </w:rPr>
                  </w:pPr>
                  <w:r>
                    <w:t>符合</w:t>
                  </w:r>
                </w:p>
              </w:tc>
            </w:tr>
            <w:tr w14:paraId="6913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vMerge w:val="continue"/>
                  <w:vAlign w:val="center"/>
                </w:tcPr>
                <w:p w14:paraId="4D07D8A6">
                  <w:pPr>
                    <w:pStyle w:val="42"/>
                    <w:keepNext w:val="0"/>
                    <w:keepLines w:val="0"/>
                    <w:widowControl/>
                    <w:suppressLineNumbers w:val="0"/>
                    <w:spacing w:before="0" w:beforeAutospacing="0" w:after="0" w:afterAutospacing="0"/>
                    <w:ind w:left="0" w:right="0"/>
                    <w:rPr>
                      <w:rFonts w:hint="default"/>
                    </w:rPr>
                  </w:pPr>
                </w:p>
              </w:tc>
              <w:tc>
                <w:tcPr>
                  <w:tcW w:w="541" w:type="pct"/>
                  <w:vMerge w:val="restart"/>
                  <w:vAlign w:val="center"/>
                </w:tcPr>
                <w:p w14:paraId="410F3E6F">
                  <w:pPr>
                    <w:pStyle w:val="42"/>
                    <w:keepNext w:val="0"/>
                    <w:keepLines w:val="0"/>
                    <w:widowControl/>
                    <w:suppressLineNumbers w:val="0"/>
                    <w:spacing w:before="0" w:beforeAutospacing="0" w:after="0" w:afterAutospacing="0"/>
                    <w:ind w:left="0" w:right="0"/>
                    <w:rPr>
                      <w:rFonts w:hint="default"/>
                    </w:rPr>
                  </w:pPr>
                  <w:r>
                    <w:t>环境风险防控</w:t>
                  </w:r>
                </w:p>
              </w:tc>
              <w:tc>
                <w:tcPr>
                  <w:tcW w:w="1907" w:type="pct"/>
                  <w:vAlign w:val="center"/>
                </w:tcPr>
                <w:p w14:paraId="00DAF1E8">
                  <w:pPr>
                    <w:pStyle w:val="42"/>
                    <w:keepNext w:val="0"/>
                    <w:keepLines w:val="0"/>
                    <w:widowControl/>
                    <w:suppressLineNumbers w:val="0"/>
                    <w:spacing w:before="0" w:beforeAutospacing="0" w:after="0" w:afterAutospacing="0"/>
                    <w:ind w:left="0" w:right="0"/>
                    <w:rPr>
                      <w:rFonts w:hint="default"/>
                    </w:rPr>
                  </w:pPr>
                  <w:r>
                    <w:t>1、严格落实规划环评及其批复文件制定的环境风险防范措施，并随规划环评及其批复文件的更新及时调整。</w:t>
                  </w:r>
                </w:p>
              </w:tc>
              <w:tc>
                <w:tcPr>
                  <w:tcW w:w="1268" w:type="pct"/>
                  <w:vAlign w:val="center"/>
                </w:tcPr>
                <w:p w14:paraId="6A7F12FE">
                  <w:pPr>
                    <w:pStyle w:val="42"/>
                    <w:keepNext w:val="0"/>
                    <w:keepLines w:val="0"/>
                    <w:widowControl/>
                    <w:suppressLineNumbers w:val="0"/>
                    <w:spacing w:before="0" w:beforeAutospacing="0" w:after="0" w:afterAutospacing="0"/>
                    <w:ind w:left="0" w:right="0"/>
                    <w:jc w:val="both"/>
                    <w:rPr>
                      <w:rFonts w:hint="default"/>
                    </w:rPr>
                  </w:pPr>
                  <w:r>
                    <w:t>项目满足规划环评及其批复文件制定的环境风险防范措施要求，具体分析见规划环评及批复文件符合性分析。</w:t>
                  </w:r>
                </w:p>
              </w:tc>
              <w:tc>
                <w:tcPr>
                  <w:tcW w:w="264" w:type="pct"/>
                  <w:vAlign w:val="center"/>
                </w:tcPr>
                <w:p w14:paraId="28087F94">
                  <w:pPr>
                    <w:pStyle w:val="42"/>
                    <w:keepNext w:val="0"/>
                    <w:keepLines w:val="0"/>
                    <w:widowControl/>
                    <w:suppressLineNumbers w:val="0"/>
                    <w:spacing w:before="0" w:beforeAutospacing="0" w:after="0" w:afterAutospacing="0"/>
                    <w:ind w:left="0" w:right="0"/>
                    <w:rPr>
                      <w:rFonts w:hint="default"/>
                    </w:rPr>
                  </w:pPr>
                  <w:r>
                    <w:t>符合</w:t>
                  </w:r>
                </w:p>
              </w:tc>
            </w:tr>
            <w:tr w14:paraId="5DBBD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vMerge w:val="continue"/>
                  <w:vAlign w:val="center"/>
                </w:tcPr>
                <w:p w14:paraId="1EA13621">
                  <w:pPr>
                    <w:pStyle w:val="42"/>
                    <w:keepNext w:val="0"/>
                    <w:keepLines w:val="0"/>
                    <w:widowControl/>
                    <w:suppressLineNumbers w:val="0"/>
                    <w:spacing w:before="0" w:beforeAutospacing="0" w:after="0" w:afterAutospacing="0"/>
                    <w:ind w:left="0" w:right="0"/>
                    <w:rPr>
                      <w:rFonts w:hint="default"/>
                    </w:rPr>
                  </w:pPr>
                </w:p>
              </w:tc>
              <w:tc>
                <w:tcPr>
                  <w:tcW w:w="541" w:type="pct"/>
                  <w:vMerge w:val="continue"/>
                  <w:vAlign w:val="center"/>
                </w:tcPr>
                <w:p w14:paraId="29A66077">
                  <w:pPr>
                    <w:pStyle w:val="42"/>
                    <w:keepNext w:val="0"/>
                    <w:keepLines w:val="0"/>
                    <w:widowControl/>
                    <w:suppressLineNumbers w:val="0"/>
                    <w:spacing w:before="0" w:beforeAutospacing="0" w:after="0" w:afterAutospacing="0"/>
                    <w:ind w:left="0" w:right="0"/>
                    <w:rPr>
                      <w:rFonts w:hint="default"/>
                    </w:rPr>
                  </w:pPr>
                </w:p>
              </w:tc>
              <w:tc>
                <w:tcPr>
                  <w:tcW w:w="1907" w:type="pct"/>
                  <w:vAlign w:val="center"/>
                </w:tcPr>
                <w:p w14:paraId="6ECF6BDA">
                  <w:pPr>
                    <w:pStyle w:val="42"/>
                    <w:keepNext w:val="0"/>
                    <w:keepLines w:val="0"/>
                    <w:widowControl/>
                    <w:suppressLineNumbers w:val="0"/>
                    <w:spacing w:before="0" w:beforeAutospacing="0" w:after="0" w:afterAutospacing="0"/>
                    <w:ind w:left="0" w:right="0"/>
                    <w:rPr>
                      <w:rFonts w:hint="default"/>
                    </w:rPr>
                  </w:pPr>
                  <w:r>
                    <w:t>2、开发区及入区企业需组织编制《突发环境事件应急预案》，成立应急组织机构，定期开展应急演练，建立有效的事故风险防范体系，提高区域环境风险防范能力。</w:t>
                  </w:r>
                </w:p>
              </w:tc>
              <w:tc>
                <w:tcPr>
                  <w:tcW w:w="1268" w:type="pct"/>
                  <w:vAlign w:val="center"/>
                </w:tcPr>
                <w:p w14:paraId="266973FF">
                  <w:pPr>
                    <w:pStyle w:val="42"/>
                    <w:keepNext w:val="0"/>
                    <w:keepLines w:val="0"/>
                    <w:widowControl/>
                    <w:suppressLineNumbers w:val="0"/>
                    <w:spacing w:before="0" w:beforeAutospacing="0" w:after="0" w:afterAutospacing="0"/>
                    <w:ind w:left="0" w:right="0"/>
                    <w:jc w:val="both"/>
                    <w:rPr>
                      <w:rFonts w:hint="default"/>
                    </w:rPr>
                  </w:pPr>
                  <w:r>
                    <w:t>项目为新建项目，项目建设完成后即组织编制《突发环境事件应急预案》。企业成立应急组织机构，定期开展应急演练。</w:t>
                  </w:r>
                </w:p>
              </w:tc>
              <w:tc>
                <w:tcPr>
                  <w:tcW w:w="264" w:type="pct"/>
                  <w:vAlign w:val="center"/>
                </w:tcPr>
                <w:p w14:paraId="3693C365">
                  <w:pPr>
                    <w:pStyle w:val="42"/>
                    <w:keepNext w:val="0"/>
                    <w:keepLines w:val="0"/>
                    <w:widowControl/>
                    <w:suppressLineNumbers w:val="0"/>
                    <w:spacing w:before="0" w:beforeAutospacing="0" w:after="0" w:afterAutospacing="0"/>
                    <w:ind w:left="0" w:right="0"/>
                    <w:rPr>
                      <w:rFonts w:hint="default"/>
                    </w:rPr>
                  </w:pPr>
                  <w:r>
                    <w:t>符合</w:t>
                  </w:r>
                </w:p>
              </w:tc>
            </w:tr>
            <w:tr w14:paraId="26267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vMerge w:val="continue"/>
                  <w:vAlign w:val="center"/>
                </w:tcPr>
                <w:p w14:paraId="0A4CF2F8">
                  <w:pPr>
                    <w:pStyle w:val="42"/>
                    <w:keepNext w:val="0"/>
                    <w:keepLines w:val="0"/>
                    <w:widowControl/>
                    <w:suppressLineNumbers w:val="0"/>
                    <w:spacing w:before="0" w:beforeAutospacing="0" w:after="0" w:afterAutospacing="0"/>
                    <w:ind w:left="0" w:right="0"/>
                    <w:rPr>
                      <w:rFonts w:hint="default"/>
                    </w:rPr>
                  </w:pPr>
                </w:p>
              </w:tc>
              <w:tc>
                <w:tcPr>
                  <w:tcW w:w="541" w:type="pct"/>
                  <w:vMerge w:val="continue"/>
                  <w:vAlign w:val="center"/>
                </w:tcPr>
                <w:p w14:paraId="4511CAA4">
                  <w:pPr>
                    <w:pStyle w:val="42"/>
                    <w:keepNext w:val="0"/>
                    <w:keepLines w:val="0"/>
                    <w:widowControl/>
                    <w:suppressLineNumbers w:val="0"/>
                    <w:spacing w:before="0" w:beforeAutospacing="0" w:after="0" w:afterAutospacing="0"/>
                    <w:ind w:left="0" w:right="0"/>
                    <w:rPr>
                      <w:rFonts w:hint="default"/>
                    </w:rPr>
                  </w:pPr>
                </w:p>
              </w:tc>
              <w:tc>
                <w:tcPr>
                  <w:tcW w:w="1907" w:type="pct"/>
                  <w:vAlign w:val="center"/>
                </w:tcPr>
                <w:p w14:paraId="5697D868">
                  <w:pPr>
                    <w:pStyle w:val="42"/>
                    <w:keepNext w:val="0"/>
                    <w:keepLines w:val="0"/>
                    <w:widowControl/>
                    <w:suppressLineNumbers w:val="0"/>
                    <w:spacing w:before="0" w:beforeAutospacing="0" w:after="0" w:afterAutospacing="0"/>
                    <w:ind w:left="0" w:right="0"/>
                    <w:rPr>
                      <w:rFonts w:hint="default"/>
                    </w:rPr>
                  </w:pPr>
                  <w:r>
                    <w:t>3、加强园区与周边敏感区生态防护设施建设。</w:t>
                  </w:r>
                </w:p>
              </w:tc>
              <w:tc>
                <w:tcPr>
                  <w:tcW w:w="1268" w:type="pct"/>
                  <w:vAlign w:val="center"/>
                </w:tcPr>
                <w:p w14:paraId="1A55FE07">
                  <w:pPr>
                    <w:pStyle w:val="42"/>
                    <w:keepNext w:val="0"/>
                    <w:keepLines w:val="0"/>
                    <w:widowControl/>
                    <w:suppressLineNumbers w:val="0"/>
                    <w:spacing w:before="0" w:beforeAutospacing="0" w:after="0" w:afterAutospacing="0"/>
                    <w:ind w:left="0" w:right="0"/>
                    <w:rPr>
                      <w:rFonts w:hint="default"/>
                    </w:rPr>
                  </w:pPr>
                  <w:r>
                    <w:t>不涉及</w:t>
                  </w:r>
                </w:p>
              </w:tc>
              <w:tc>
                <w:tcPr>
                  <w:tcW w:w="264" w:type="pct"/>
                  <w:vAlign w:val="center"/>
                </w:tcPr>
                <w:p w14:paraId="6FFF09C3">
                  <w:pPr>
                    <w:pStyle w:val="42"/>
                    <w:keepNext w:val="0"/>
                    <w:keepLines w:val="0"/>
                    <w:widowControl/>
                    <w:suppressLineNumbers w:val="0"/>
                    <w:spacing w:before="0" w:beforeAutospacing="0" w:after="0" w:afterAutospacing="0"/>
                    <w:ind w:left="0" w:right="0"/>
                    <w:rPr>
                      <w:rFonts w:hint="default"/>
                    </w:rPr>
                  </w:pPr>
                  <w:r>
                    <w:t>符合</w:t>
                  </w:r>
                </w:p>
              </w:tc>
            </w:tr>
            <w:tr w14:paraId="3546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vMerge w:val="continue"/>
                  <w:vAlign w:val="center"/>
                </w:tcPr>
                <w:p w14:paraId="2CFDA656">
                  <w:pPr>
                    <w:pStyle w:val="42"/>
                    <w:keepNext w:val="0"/>
                    <w:keepLines w:val="0"/>
                    <w:widowControl/>
                    <w:suppressLineNumbers w:val="0"/>
                    <w:spacing w:before="0" w:beforeAutospacing="0" w:after="0" w:afterAutospacing="0"/>
                    <w:ind w:left="0" w:right="0"/>
                    <w:rPr>
                      <w:rFonts w:hint="default"/>
                    </w:rPr>
                  </w:pPr>
                </w:p>
              </w:tc>
              <w:tc>
                <w:tcPr>
                  <w:tcW w:w="541" w:type="pct"/>
                  <w:vMerge w:val="continue"/>
                  <w:vAlign w:val="center"/>
                </w:tcPr>
                <w:p w14:paraId="19E2EBD7">
                  <w:pPr>
                    <w:pStyle w:val="42"/>
                    <w:keepNext w:val="0"/>
                    <w:keepLines w:val="0"/>
                    <w:widowControl/>
                    <w:suppressLineNumbers w:val="0"/>
                    <w:spacing w:before="0" w:beforeAutospacing="0" w:after="0" w:afterAutospacing="0"/>
                    <w:ind w:left="0" w:right="0"/>
                    <w:rPr>
                      <w:rFonts w:hint="default"/>
                    </w:rPr>
                  </w:pPr>
                </w:p>
              </w:tc>
              <w:tc>
                <w:tcPr>
                  <w:tcW w:w="1907" w:type="pct"/>
                  <w:vAlign w:val="center"/>
                </w:tcPr>
                <w:p w14:paraId="317E4C3B">
                  <w:pPr>
                    <w:pStyle w:val="42"/>
                    <w:keepNext w:val="0"/>
                    <w:keepLines w:val="0"/>
                    <w:widowControl/>
                    <w:suppressLineNumbers w:val="0"/>
                    <w:spacing w:before="0" w:beforeAutospacing="0" w:after="0" w:afterAutospacing="0"/>
                    <w:ind w:left="0" w:right="0"/>
                    <w:rPr>
                      <w:rFonts w:hint="default"/>
                    </w:rPr>
                  </w:pPr>
                  <w:r>
                    <w:t>4、重点监管企业和工业园区周边土壤环境，定期开展监督性监测，重点监测重金属和持久性有机污染物。</w:t>
                  </w:r>
                </w:p>
              </w:tc>
              <w:tc>
                <w:tcPr>
                  <w:tcW w:w="1268" w:type="pct"/>
                  <w:vAlign w:val="center"/>
                </w:tcPr>
                <w:p w14:paraId="553F44F4">
                  <w:pPr>
                    <w:pStyle w:val="42"/>
                    <w:keepNext w:val="0"/>
                    <w:keepLines w:val="0"/>
                    <w:widowControl/>
                    <w:suppressLineNumbers w:val="0"/>
                    <w:spacing w:before="0" w:beforeAutospacing="0" w:after="0" w:afterAutospacing="0"/>
                    <w:ind w:left="0" w:right="0"/>
                    <w:rPr>
                      <w:rFonts w:hint="default"/>
                    </w:rPr>
                  </w:pPr>
                  <w:r>
                    <w:t>不涉及</w:t>
                  </w:r>
                </w:p>
              </w:tc>
              <w:tc>
                <w:tcPr>
                  <w:tcW w:w="264" w:type="pct"/>
                  <w:vAlign w:val="center"/>
                </w:tcPr>
                <w:p w14:paraId="77453674">
                  <w:pPr>
                    <w:pStyle w:val="42"/>
                    <w:keepNext w:val="0"/>
                    <w:keepLines w:val="0"/>
                    <w:widowControl/>
                    <w:suppressLineNumbers w:val="0"/>
                    <w:spacing w:before="0" w:beforeAutospacing="0" w:after="0" w:afterAutospacing="0"/>
                    <w:ind w:left="0" w:right="0"/>
                    <w:rPr>
                      <w:rFonts w:hint="default"/>
                    </w:rPr>
                  </w:pPr>
                  <w:r>
                    <w:t>符合</w:t>
                  </w:r>
                </w:p>
              </w:tc>
            </w:tr>
            <w:tr w14:paraId="5280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vMerge w:val="continue"/>
                  <w:vAlign w:val="center"/>
                </w:tcPr>
                <w:p w14:paraId="7F63A79B">
                  <w:pPr>
                    <w:pStyle w:val="42"/>
                    <w:keepNext w:val="0"/>
                    <w:keepLines w:val="0"/>
                    <w:widowControl/>
                    <w:suppressLineNumbers w:val="0"/>
                    <w:spacing w:before="0" w:beforeAutospacing="0" w:after="0" w:afterAutospacing="0"/>
                    <w:ind w:left="0" w:right="0"/>
                    <w:rPr>
                      <w:rFonts w:hint="default"/>
                    </w:rPr>
                  </w:pPr>
                </w:p>
              </w:tc>
              <w:tc>
                <w:tcPr>
                  <w:tcW w:w="541" w:type="pct"/>
                  <w:vMerge w:val="restart"/>
                  <w:vAlign w:val="center"/>
                </w:tcPr>
                <w:p w14:paraId="2D21ECA1">
                  <w:pPr>
                    <w:pStyle w:val="42"/>
                    <w:keepNext w:val="0"/>
                    <w:keepLines w:val="0"/>
                    <w:widowControl/>
                    <w:suppressLineNumbers w:val="0"/>
                    <w:spacing w:before="0" w:beforeAutospacing="0" w:after="0" w:afterAutospacing="0"/>
                    <w:ind w:left="0" w:right="0"/>
                    <w:rPr>
                      <w:rFonts w:hint="default"/>
                    </w:rPr>
                  </w:pPr>
                  <w:r>
                    <w:t>资源利用效率</w:t>
                  </w:r>
                </w:p>
              </w:tc>
              <w:tc>
                <w:tcPr>
                  <w:tcW w:w="1907" w:type="pct"/>
                  <w:vAlign w:val="center"/>
                </w:tcPr>
                <w:p w14:paraId="097FB821">
                  <w:pPr>
                    <w:pStyle w:val="42"/>
                    <w:keepNext w:val="0"/>
                    <w:keepLines w:val="0"/>
                    <w:widowControl/>
                    <w:suppressLineNumbers w:val="0"/>
                    <w:spacing w:before="0" w:beforeAutospacing="0" w:after="0" w:afterAutospacing="0"/>
                    <w:ind w:left="0" w:right="0"/>
                    <w:rPr>
                      <w:rFonts w:hint="default"/>
                    </w:rPr>
                  </w:pPr>
                  <w:r>
                    <w:t>1、宽城经济开发区内各片区供热优先利用区域企业余热，禁止企业自建燃煤锅炉。</w:t>
                  </w:r>
                </w:p>
              </w:tc>
              <w:tc>
                <w:tcPr>
                  <w:tcW w:w="1268" w:type="pct"/>
                  <w:vAlign w:val="center"/>
                </w:tcPr>
                <w:p w14:paraId="03C78316">
                  <w:pPr>
                    <w:pStyle w:val="42"/>
                    <w:keepNext w:val="0"/>
                    <w:keepLines w:val="0"/>
                    <w:widowControl/>
                    <w:suppressLineNumbers w:val="0"/>
                    <w:spacing w:before="0" w:beforeAutospacing="0" w:after="0" w:afterAutospacing="0"/>
                    <w:ind w:left="0" w:right="0"/>
                    <w:jc w:val="both"/>
                    <w:rPr>
                      <w:rFonts w:hint="default"/>
                    </w:rPr>
                  </w:pPr>
                  <w:r>
                    <w:t>项目冬季不生产，无需取暖，项目不新建燃煤锅炉。</w:t>
                  </w:r>
                </w:p>
              </w:tc>
              <w:tc>
                <w:tcPr>
                  <w:tcW w:w="264" w:type="pct"/>
                  <w:vAlign w:val="center"/>
                </w:tcPr>
                <w:p w14:paraId="17FCA635">
                  <w:pPr>
                    <w:pStyle w:val="42"/>
                    <w:keepNext w:val="0"/>
                    <w:keepLines w:val="0"/>
                    <w:widowControl/>
                    <w:suppressLineNumbers w:val="0"/>
                    <w:spacing w:before="0" w:beforeAutospacing="0" w:after="0" w:afterAutospacing="0"/>
                    <w:ind w:left="0" w:right="0"/>
                    <w:rPr>
                      <w:rFonts w:hint="default"/>
                    </w:rPr>
                  </w:pPr>
                  <w:r>
                    <w:t>符合</w:t>
                  </w:r>
                </w:p>
              </w:tc>
            </w:tr>
            <w:tr w14:paraId="3939D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vMerge w:val="continue"/>
                  <w:vAlign w:val="center"/>
                </w:tcPr>
                <w:p w14:paraId="37882622">
                  <w:pPr>
                    <w:pStyle w:val="42"/>
                    <w:keepNext w:val="0"/>
                    <w:keepLines w:val="0"/>
                    <w:widowControl/>
                    <w:suppressLineNumbers w:val="0"/>
                    <w:spacing w:before="0" w:beforeAutospacing="0" w:after="0" w:afterAutospacing="0"/>
                    <w:ind w:left="0" w:right="0"/>
                    <w:rPr>
                      <w:rFonts w:hint="default"/>
                    </w:rPr>
                  </w:pPr>
                </w:p>
              </w:tc>
              <w:tc>
                <w:tcPr>
                  <w:tcW w:w="541" w:type="pct"/>
                  <w:vMerge w:val="continue"/>
                  <w:vAlign w:val="center"/>
                </w:tcPr>
                <w:p w14:paraId="7D2BB685">
                  <w:pPr>
                    <w:pStyle w:val="42"/>
                    <w:keepNext w:val="0"/>
                    <w:keepLines w:val="0"/>
                    <w:widowControl/>
                    <w:suppressLineNumbers w:val="0"/>
                    <w:spacing w:before="0" w:beforeAutospacing="0" w:after="0" w:afterAutospacing="0"/>
                    <w:ind w:left="0" w:right="0"/>
                    <w:rPr>
                      <w:rFonts w:hint="default"/>
                    </w:rPr>
                  </w:pPr>
                </w:p>
              </w:tc>
              <w:tc>
                <w:tcPr>
                  <w:tcW w:w="1907" w:type="pct"/>
                  <w:vAlign w:val="center"/>
                </w:tcPr>
                <w:p w14:paraId="11061A29">
                  <w:pPr>
                    <w:pStyle w:val="42"/>
                    <w:keepNext w:val="0"/>
                    <w:keepLines w:val="0"/>
                    <w:widowControl/>
                    <w:suppressLineNumbers w:val="0"/>
                    <w:spacing w:before="0" w:beforeAutospacing="0" w:after="0" w:afterAutospacing="0"/>
                    <w:ind w:left="0" w:right="0"/>
                    <w:rPr>
                      <w:rFonts w:hint="default"/>
                    </w:rPr>
                  </w:pPr>
                  <w:r>
                    <w:t>2、严格控制煤炭消费总量。</w:t>
                  </w:r>
                </w:p>
              </w:tc>
              <w:tc>
                <w:tcPr>
                  <w:tcW w:w="1268" w:type="pct"/>
                  <w:vAlign w:val="center"/>
                </w:tcPr>
                <w:p w14:paraId="32264487">
                  <w:pPr>
                    <w:pStyle w:val="42"/>
                    <w:keepNext w:val="0"/>
                    <w:keepLines w:val="0"/>
                    <w:widowControl/>
                    <w:suppressLineNumbers w:val="0"/>
                    <w:spacing w:before="0" w:beforeAutospacing="0" w:after="0" w:afterAutospacing="0"/>
                    <w:ind w:left="0" w:right="0"/>
                    <w:rPr>
                      <w:rFonts w:hint="default"/>
                    </w:rPr>
                  </w:pPr>
                  <w:r>
                    <w:t>项目不使用煤炭</w:t>
                  </w:r>
                </w:p>
              </w:tc>
              <w:tc>
                <w:tcPr>
                  <w:tcW w:w="264" w:type="pct"/>
                  <w:vAlign w:val="center"/>
                </w:tcPr>
                <w:p w14:paraId="011FBA46">
                  <w:pPr>
                    <w:pStyle w:val="42"/>
                    <w:keepNext w:val="0"/>
                    <w:keepLines w:val="0"/>
                    <w:widowControl/>
                    <w:suppressLineNumbers w:val="0"/>
                    <w:spacing w:before="0" w:beforeAutospacing="0" w:after="0" w:afterAutospacing="0"/>
                    <w:ind w:left="0" w:right="0"/>
                    <w:rPr>
                      <w:rFonts w:hint="default"/>
                    </w:rPr>
                  </w:pPr>
                  <w:r>
                    <w:t>符合</w:t>
                  </w:r>
                </w:p>
              </w:tc>
            </w:tr>
          </w:tbl>
          <w:p w14:paraId="7A1377A3">
            <w:pPr>
              <w:keepNext w:val="0"/>
              <w:keepLines w:val="0"/>
              <w:suppressLineNumbers w:val="0"/>
              <w:spacing w:before="120" w:beforeLines="50" w:beforeAutospacing="0" w:after="0" w:afterAutospacing="0"/>
              <w:ind w:left="0" w:right="0" w:firstLine="480"/>
              <w:rPr>
                <w:rFonts w:hint="default"/>
              </w:rPr>
            </w:pPr>
            <w:r>
              <w:rPr>
                <w:rFonts w:hint="eastAsia"/>
              </w:rPr>
              <w:t>承德市环境管控单元图见下图：</w:t>
            </w:r>
          </w:p>
          <w:p w14:paraId="57E1ABF0">
            <w:pPr>
              <w:keepNext w:val="0"/>
              <w:keepLines w:val="0"/>
              <w:suppressLineNumbers w:val="0"/>
              <w:spacing w:before="0" w:beforeAutospacing="0" w:after="0" w:afterAutospacing="0"/>
              <w:ind w:left="0" w:right="0" w:firstLine="0" w:firstLineChars="0"/>
              <w:rPr>
                <w:rFonts w:hint="default"/>
              </w:rPr>
            </w:pPr>
            <w:r>
              <w:rPr>
                <w:rFonts w:hint="eastAsia"/>
              </w:rPr>
              <w:drawing>
                <wp:inline distT="0" distB="0" distL="114300" distR="114300">
                  <wp:extent cx="5150485" cy="3272790"/>
                  <wp:effectExtent l="0" t="0" r="12065" b="3810"/>
                  <wp:docPr id="30" name="图片 30" descr="24335e8470a0884e3eb3352918a7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4335e8470a0884e3eb3352918a70317"/>
                          <pic:cNvPicPr>
                            <a:picLocks noChangeAspect="1"/>
                          </pic:cNvPicPr>
                        </pic:nvPicPr>
                        <pic:blipFill>
                          <a:blip r:embed="rId18"/>
                          <a:stretch>
                            <a:fillRect/>
                          </a:stretch>
                        </pic:blipFill>
                        <pic:spPr>
                          <a:xfrm>
                            <a:off x="0" y="0"/>
                            <a:ext cx="5150485" cy="3272790"/>
                          </a:xfrm>
                          <a:prstGeom prst="rect">
                            <a:avLst/>
                          </a:prstGeom>
                        </pic:spPr>
                      </pic:pic>
                    </a:graphicData>
                  </a:graphic>
                </wp:inline>
              </w:drawing>
            </w:r>
          </w:p>
          <w:p w14:paraId="078DFC9E">
            <w:pPr>
              <w:pStyle w:val="53"/>
              <w:keepNext w:val="0"/>
              <w:keepLines w:val="0"/>
              <w:suppressLineNumbers w:val="0"/>
              <w:spacing w:before="0" w:beforeAutospacing="0" w:after="0" w:afterAutospacing="0"/>
              <w:ind w:left="0" w:right="0"/>
              <w:rPr>
                <w:rFonts w:hint="default"/>
              </w:rPr>
            </w:pPr>
            <w:r>
              <w:t>图1-</w:t>
            </w:r>
            <w:r>
              <w:rPr>
                <w:rFonts w:hint="eastAsia"/>
                <w:lang w:val="en-US" w:eastAsia="zh-CN"/>
              </w:rPr>
              <w:t>2</w:t>
            </w:r>
            <w:r>
              <w:t xml:space="preserve"> 承德市环境管控单元图</w:t>
            </w:r>
          </w:p>
          <w:p w14:paraId="6D20F87C">
            <w:pPr>
              <w:keepNext w:val="0"/>
              <w:keepLines w:val="0"/>
              <w:suppressLineNumbers w:val="0"/>
              <w:adjustRightInd/>
              <w:spacing w:before="0" w:beforeAutospacing="0" w:after="0" w:afterAutospacing="0"/>
              <w:ind w:left="0" w:right="0" w:firstLine="480"/>
              <w:rPr>
                <w:rFonts w:hint="default"/>
              </w:rPr>
            </w:pPr>
            <w:r>
              <w:rPr>
                <w:rFonts w:hint="default"/>
              </w:rPr>
              <w:t>项目符合《承德市生态环境分区管控准入清单》（2023年版）</w:t>
            </w:r>
            <w:r>
              <w:rPr>
                <w:rFonts w:hint="eastAsia"/>
              </w:rPr>
              <w:t>的环境管理要求</w:t>
            </w:r>
            <w:r>
              <w:rPr>
                <w:rFonts w:hint="default"/>
              </w:rPr>
              <w:t>。</w:t>
            </w:r>
          </w:p>
          <w:p w14:paraId="24E9AB01">
            <w:pPr>
              <w:pStyle w:val="4"/>
              <w:keepNext w:val="0"/>
              <w:keepLines w:val="0"/>
              <w:numPr>
                <w:ilvl w:val="2"/>
                <w:numId w:val="5"/>
              </w:numPr>
              <w:suppressLineNumbers w:val="0"/>
              <w:tabs>
                <w:tab w:val="left" w:pos="0"/>
              </w:tabs>
              <w:spacing w:beforeAutospacing="0" w:afterAutospacing="0"/>
              <w:ind w:left="-242" w:leftChars="0" w:right="0" w:firstLine="720" w:firstLineChars="0"/>
              <w:rPr>
                <w:rFonts w:hint="default"/>
              </w:rPr>
            </w:pPr>
            <w:r>
              <w:rPr>
                <w:rFonts w:hint="default"/>
              </w:rPr>
              <w:t>小结</w:t>
            </w:r>
          </w:p>
          <w:p w14:paraId="335205E1">
            <w:pPr>
              <w:keepNext w:val="0"/>
              <w:keepLines w:val="0"/>
              <w:suppressLineNumbers w:val="0"/>
              <w:adjustRightInd/>
              <w:spacing w:before="0" w:beforeAutospacing="0" w:after="0" w:afterAutospacing="0"/>
              <w:ind w:left="0" w:right="0" w:firstLine="480"/>
              <w:rPr>
                <w:rFonts w:hint="default"/>
              </w:rPr>
            </w:pPr>
            <w:r>
              <w:rPr>
                <w:rFonts w:hint="default"/>
              </w:rPr>
              <w:t>综上所述，项目符合《关于以改善环境质量为核心加强环境影响评价管理的通知》（环评</w:t>
            </w:r>
            <w:r>
              <w:rPr>
                <w:rFonts w:hint="eastAsia"/>
              </w:rPr>
              <w:t>〔</w:t>
            </w:r>
            <w:r>
              <w:rPr>
                <w:rFonts w:hint="default"/>
              </w:rPr>
              <w:t>2016</w:t>
            </w:r>
            <w:r>
              <w:rPr>
                <w:rFonts w:hint="eastAsia"/>
              </w:rPr>
              <w:t>〕</w:t>
            </w:r>
            <w:r>
              <w:rPr>
                <w:rFonts w:hint="default"/>
              </w:rPr>
              <w:t>150号）</w:t>
            </w:r>
            <w:r>
              <w:rPr>
                <w:rFonts w:hint="eastAsia"/>
              </w:rPr>
              <w:t>中关于“三线一单”的要求</w:t>
            </w:r>
            <w:r>
              <w:rPr>
                <w:rFonts w:hint="default"/>
              </w:rPr>
              <w:t>。</w:t>
            </w:r>
          </w:p>
          <w:p w14:paraId="6CB84B46">
            <w:pPr>
              <w:pStyle w:val="3"/>
              <w:keepNext w:val="0"/>
              <w:keepLines w:val="0"/>
              <w:suppressLineNumbers w:val="0"/>
              <w:spacing w:before="0" w:beforeAutospacing="0" w:after="0" w:afterAutospacing="0"/>
              <w:ind w:left="0" w:right="0" w:firstLine="482"/>
              <w:rPr>
                <w:rFonts w:hint="default"/>
              </w:rPr>
            </w:pPr>
            <w:r>
              <w:rPr>
                <w:rFonts w:hint="default"/>
              </w:rPr>
              <w:t>产业政策符合性</w:t>
            </w:r>
          </w:p>
          <w:p w14:paraId="752CA1A8">
            <w:pPr>
              <w:keepNext w:val="0"/>
              <w:keepLines w:val="0"/>
              <w:suppressLineNumbers w:val="0"/>
              <w:spacing w:before="0" w:beforeAutospacing="0" w:after="0" w:afterAutospacing="0"/>
              <w:ind w:left="0" w:right="0" w:firstLine="480"/>
              <w:rPr>
                <w:rFonts w:hint="default"/>
              </w:rPr>
            </w:pPr>
            <w:r>
              <w:rPr>
                <w:rFonts w:hint="default"/>
              </w:rPr>
              <w:t>项目为</w:t>
            </w:r>
            <w:r>
              <w:rPr>
                <w:rFonts w:hint="eastAsia"/>
              </w:rPr>
              <w:t>水泥制品制造项目</w:t>
            </w:r>
            <w:r>
              <w:rPr>
                <w:rFonts w:hint="default"/>
              </w:rPr>
              <w:t>，对照《国民经济行业分类》（GB/T4754-2017）及2019年修改单，项目的类别属于：C3021</w:t>
            </w:r>
            <w:r>
              <w:rPr>
                <w:rFonts w:hint="eastAsia"/>
              </w:rPr>
              <w:t xml:space="preserve"> 水泥制品制造</w:t>
            </w:r>
            <w:r>
              <w:rPr>
                <w:rFonts w:hint="default"/>
              </w:rPr>
              <w:t>。根据国家发展改革委商务部关于印发《市场准入负面清单（2022年版）》的通知，</w:t>
            </w:r>
            <w:r>
              <w:rPr>
                <w:rFonts w:hint="eastAsia"/>
              </w:rPr>
              <w:t>本项目为水泥制品制造，</w:t>
            </w:r>
            <w:r>
              <w:rPr>
                <w:rFonts w:hint="default"/>
              </w:rPr>
              <w:t>不属于禁止准入类。项目不属于《产业结构调整指导目录（20</w:t>
            </w:r>
            <w:r>
              <w:rPr>
                <w:rFonts w:hint="eastAsia"/>
              </w:rPr>
              <w:t>24</w:t>
            </w:r>
            <w:r>
              <w:rPr>
                <w:rFonts w:hint="default"/>
              </w:rPr>
              <w:t>年本）》中的鼓励类、限制类和淘汰类项目，属于</w:t>
            </w:r>
            <w:r>
              <w:rPr>
                <w:rFonts w:hint="eastAsia" w:ascii="宋体" w:hAnsi="宋体" w:cs="宋体"/>
              </w:rPr>
              <w:t>“允许类”项</w:t>
            </w:r>
            <w:r>
              <w:rPr>
                <w:rFonts w:hint="default"/>
              </w:rPr>
              <w:t>目。项目涉及到的生产设备及生产工艺不属于《高耗能落后机电设备（产品）淘汰目录》中的高耗能落后机电设备（产品），也不属于《部分工业行业淘汰落后生产工艺装备和产品指导目录（2010年本）》中的淘汰落后类工艺装备。</w:t>
            </w:r>
          </w:p>
          <w:p w14:paraId="4C429328">
            <w:pPr>
              <w:keepNext w:val="0"/>
              <w:keepLines w:val="0"/>
              <w:suppressLineNumbers w:val="0"/>
              <w:spacing w:before="0" w:beforeAutospacing="0" w:after="0" w:afterAutospacing="0"/>
              <w:ind w:left="0" w:right="0" w:firstLine="480"/>
              <w:rPr>
                <w:rFonts w:hint="default"/>
              </w:rPr>
            </w:pPr>
            <w:r>
              <w:rPr>
                <w:rFonts w:hint="eastAsia"/>
              </w:rPr>
              <w:t>项目于2023年06月05日在承德市宽城满族自治县行政审批局进行了备案，备案编号为：宽审批投备字〔2023〕038号。</w:t>
            </w:r>
          </w:p>
          <w:p w14:paraId="31143961">
            <w:pPr>
              <w:pStyle w:val="3"/>
              <w:keepNext w:val="0"/>
              <w:keepLines w:val="0"/>
              <w:numPr>
                <w:ilvl w:val="1"/>
                <w:numId w:val="5"/>
              </w:numPr>
              <w:suppressLineNumbers w:val="0"/>
              <w:tabs>
                <w:tab w:val="left" w:pos="0"/>
              </w:tabs>
              <w:spacing w:before="0" w:beforeAutospacing="0" w:after="0" w:afterAutospacing="0"/>
              <w:ind w:right="0" w:firstLine="482"/>
              <w:rPr>
                <w:rFonts w:hint="default"/>
              </w:rPr>
            </w:pPr>
            <w:r>
              <w:rPr>
                <w:rFonts w:hint="eastAsia"/>
              </w:rPr>
              <w:t>相关生态环境保护规划符合性分析</w:t>
            </w:r>
          </w:p>
          <w:p w14:paraId="6FE9FB87">
            <w:pPr>
              <w:pStyle w:val="4"/>
              <w:keepNext w:val="0"/>
              <w:keepLines w:val="0"/>
              <w:numPr>
                <w:ilvl w:val="2"/>
                <w:numId w:val="5"/>
              </w:numPr>
              <w:suppressLineNumbers w:val="0"/>
              <w:tabs>
                <w:tab w:val="left" w:pos="0"/>
              </w:tabs>
              <w:spacing w:beforeAutospacing="0" w:afterAutospacing="0"/>
              <w:ind w:left="-242" w:leftChars="0" w:right="0" w:firstLine="482" w:firstLineChars="0"/>
              <w:rPr>
                <w:rFonts w:hint="default"/>
              </w:rPr>
            </w:pPr>
            <w:r>
              <w:rPr>
                <w:rFonts w:hint="eastAsia" w:ascii="宋体" w:hAnsi="宋体" w:cs="宋体"/>
              </w:rPr>
              <w:t>《</w:t>
            </w:r>
            <w:r>
              <w:rPr>
                <w:rFonts w:hint="eastAsia" w:ascii="宋体" w:hAnsi="宋体" w:cs="宋体"/>
                <w:lang w:val="en-US" w:eastAsia="zh-CN"/>
              </w:rPr>
              <w:t>宽城县</w:t>
            </w:r>
            <w:r>
              <w:rPr>
                <w:rFonts w:hint="eastAsia" w:ascii="宋体" w:hAnsi="宋体" w:cs="宋体"/>
              </w:rPr>
              <w:t>国土空间总体规划（</w:t>
            </w:r>
            <w:r>
              <w:rPr>
                <w:rFonts w:hint="default"/>
              </w:rPr>
              <w:t>2021-2035</w:t>
            </w:r>
            <w:r>
              <w:rPr>
                <w:rFonts w:hint="eastAsia" w:ascii="宋体" w:hAnsi="宋体" w:cs="宋体"/>
              </w:rPr>
              <w:t>年）》</w:t>
            </w:r>
          </w:p>
          <w:p w14:paraId="7E635A35">
            <w:pPr>
              <w:keepNext w:val="0"/>
              <w:keepLines w:val="0"/>
              <w:numPr>
                <w:ilvl w:val="3"/>
                <w:numId w:val="7"/>
              </w:numPr>
              <w:suppressLineNumbers w:val="0"/>
              <w:spacing w:before="0" w:beforeAutospacing="0" w:after="0" w:afterAutospacing="0"/>
              <w:ind w:right="0" w:firstLine="480"/>
              <w:rPr>
                <w:rFonts w:hint="default"/>
              </w:rPr>
            </w:pPr>
            <w:r>
              <w:rPr>
                <w:rFonts w:hint="eastAsia" w:ascii="宋体" w:hAnsi="宋体" w:cs="宋体"/>
                <w:lang w:val="en-US" w:eastAsia="zh-CN" w:bidi="ar"/>
              </w:rPr>
              <w:t>发展定位</w:t>
            </w:r>
          </w:p>
          <w:p w14:paraId="4688F57E">
            <w:pPr>
              <w:keepNext w:val="0"/>
              <w:keepLines w:val="0"/>
              <w:suppressLineNumbers w:val="0"/>
              <w:bidi w:val="0"/>
              <w:spacing w:before="0" w:beforeAutospacing="0" w:after="0" w:afterAutospacing="0"/>
              <w:ind w:left="0" w:right="0"/>
              <w:rPr>
                <w:rFonts w:hint="default"/>
                <w:lang w:val="en-US"/>
              </w:rPr>
            </w:pPr>
            <w:r>
              <w:rPr>
                <w:rFonts w:hint="eastAsia"/>
                <w:lang w:val="en-US" w:eastAsia="zh-CN"/>
              </w:rPr>
              <w:t>根据《宽城县国土空间总体规划（2021-2035年）》，宽城县发展定位为建设京津冀水源涵养区、钒钛新材料循环经济示范区、特色农产品生产加工区、文化旅游生态宜居城市。钒钛新材料循环经济示范区的发展方向为强化钒钛战略资源优势，重点培育钒钛新材料及高附加值制品的产业集群；全力推进绿色矿山建设，高效综合利用尾矿资源，全力打造华北地区新型建材产业基地；做优做强压力容器制造产业，努力打造北方最大的压力容器产业基地。</w:t>
            </w:r>
          </w:p>
          <w:p w14:paraId="1C63426C">
            <w:pPr>
              <w:keepNext w:val="0"/>
              <w:keepLines w:val="0"/>
              <w:numPr>
                <w:ilvl w:val="3"/>
                <w:numId w:val="7"/>
              </w:numPr>
              <w:suppressLineNumbers w:val="0"/>
              <w:spacing w:before="0" w:beforeAutospacing="0" w:after="0" w:afterAutospacing="0"/>
              <w:ind w:right="0" w:firstLine="480"/>
              <w:rPr>
                <w:rFonts w:hint="default"/>
              </w:rPr>
            </w:pPr>
            <w:r>
              <w:rPr>
                <w:rFonts w:hint="eastAsia" w:ascii="宋体" w:hAnsi="宋体" w:cs="宋体"/>
                <w:lang w:bidi="ar"/>
              </w:rPr>
              <w:t>项目与规划符合性分析</w:t>
            </w:r>
          </w:p>
          <w:p w14:paraId="26F7F6A3">
            <w:pPr>
              <w:keepNext w:val="0"/>
              <w:keepLines w:val="0"/>
              <w:suppressLineNumbers w:val="0"/>
              <w:spacing w:before="0" w:beforeAutospacing="0" w:after="0" w:afterAutospacing="0"/>
              <w:ind w:left="0" w:right="0" w:firstLine="480"/>
              <w:rPr>
                <w:rFonts w:hint="default"/>
                <w:color w:val="FF0000"/>
              </w:rPr>
            </w:pPr>
            <w:r>
              <w:rPr>
                <w:rFonts w:hint="eastAsia" w:ascii="宋体" w:hAnsi="宋体" w:cs="宋体"/>
                <w:lang w:bidi="ar"/>
              </w:rPr>
              <w:t>项目为水泥制品制造项目，</w:t>
            </w:r>
            <w:r>
              <w:rPr>
                <w:rFonts w:hint="eastAsia" w:ascii="宋体" w:hAnsi="宋体" w:cs="宋体"/>
                <w:lang w:val="en-US" w:eastAsia="zh-CN" w:bidi="ar"/>
              </w:rPr>
              <w:t>项目生产水泥构件，年产水泥构件</w:t>
            </w:r>
            <w:r>
              <w:rPr>
                <w:rFonts w:hint="default" w:ascii="Times New Roman" w:hAnsi="Times New Roman" w:cs="Times New Roman"/>
                <w:lang w:val="en-US" w:eastAsia="zh-CN" w:bidi="ar"/>
              </w:rPr>
              <w:t>30000m</w:t>
            </w:r>
            <w:r>
              <w:rPr>
                <w:rFonts w:hint="default" w:ascii="Times New Roman" w:hAnsi="Times New Roman" w:cs="Times New Roman"/>
                <w:vertAlign w:val="superscript"/>
                <w:lang w:val="en-US" w:eastAsia="zh-CN" w:bidi="ar"/>
              </w:rPr>
              <w:t>3</w:t>
            </w:r>
            <w:r>
              <w:rPr>
                <w:rFonts w:hint="eastAsia" w:ascii="宋体" w:hAnsi="宋体" w:cs="宋体"/>
                <w:lang w:val="en-US" w:eastAsia="zh-CN" w:bidi="ar"/>
              </w:rPr>
              <w:t>，符合“全力打造华北地区新型建材产业基地”这一产业定位</w:t>
            </w:r>
            <w:r>
              <w:rPr>
                <w:rFonts w:hint="eastAsia" w:ascii="宋体" w:hAnsi="宋体" w:cs="宋体"/>
                <w:lang w:bidi="ar"/>
              </w:rPr>
              <w:t>。因此，项目符合《承德市国土空间总体规划（</w:t>
            </w:r>
            <w:r>
              <w:rPr>
                <w:rFonts w:hint="default"/>
                <w:lang w:bidi="ar"/>
              </w:rPr>
              <w:t>2021-2035</w:t>
            </w:r>
            <w:r>
              <w:rPr>
                <w:rFonts w:hint="eastAsia" w:ascii="宋体" w:hAnsi="宋体" w:cs="宋体"/>
                <w:lang w:bidi="ar"/>
              </w:rPr>
              <w:t>年）》。</w:t>
            </w:r>
          </w:p>
          <w:p w14:paraId="0AD35F21">
            <w:pPr>
              <w:pStyle w:val="4"/>
              <w:keepNext w:val="0"/>
              <w:keepLines w:val="0"/>
              <w:suppressLineNumbers w:val="0"/>
              <w:spacing w:beforeAutospacing="0" w:afterAutospacing="0"/>
              <w:ind w:left="-2" w:leftChars="0" w:right="0" w:firstLine="482" w:firstLineChars="0"/>
              <w:rPr>
                <w:rFonts w:hint="default"/>
              </w:rPr>
            </w:pPr>
            <w:r>
              <w:rPr>
                <w:rFonts w:hint="eastAsia"/>
              </w:rPr>
              <w:t>《承德市生态环境保护“十四五”规划》</w:t>
            </w:r>
          </w:p>
          <w:p w14:paraId="69F52B75">
            <w:pPr>
              <w:keepNext w:val="0"/>
              <w:keepLines w:val="0"/>
              <w:suppressLineNumbers w:val="0"/>
              <w:spacing w:before="0" w:beforeAutospacing="0" w:after="0" w:afterAutospacing="0"/>
              <w:ind w:left="0" w:right="0" w:firstLine="480"/>
              <w:rPr>
                <w:rFonts w:hint="default"/>
              </w:rPr>
            </w:pPr>
            <w:r>
              <w:rPr>
                <w:rFonts w:hint="eastAsia"/>
              </w:rPr>
              <w:t>根据《承德市生态环境保护“十四五”规划》（承市政字〔2022〕16号）：要</w:t>
            </w:r>
            <w:r>
              <w:rPr>
                <w:rFonts w:hint="eastAsia"/>
                <w:lang w:val="en-US" w:eastAsia="zh-CN"/>
              </w:rPr>
              <w:t>推进重点行业产业优化转型，践行绿色低碳发展</w:t>
            </w:r>
            <w:r>
              <w:rPr>
                <w:rFonts w:hint="eastAsia"/>
              </w:rPr>
              <w:t>。具体包括：</w:t>
            </w:r>
          </w:p>
          <w:p w14:paraId="7D9129BA">
            <w:pPr>
              <w:keepNext w:val="0"/>
              <w:keepLines w:val="0"/>
              <w:suppressLineNumbers w:val="0"/>
              <w:spacing w:before="0" w:beforeAutospacing="0" w:after="0" w:afterAutospacing="0"/>
              <w:ind w:left="0" w:right="0" w:firstLine="480"/>
              <w:rPr>
                <w:rFonts w:hint="default"/>
              </w:rPr>
            </w:pPr>
            <w:r>
              <w:rPr>
                <w:rFonts w:hint="eastAsia"/>
                <w:lang w:val="en-US" w:eastAsia="zh-CN"/>
              </w:rPr>
              <w:t>推进重点行业绿色转型。以钢铁、焦化、铸造、建材、有色、化工、工业涂装、包装印刷、农副食品加工等行业为重点，开展全流程清洁化、循环化、低碳化改造，促进传统产业绿色转型升级。在电力、钢铁、建材等重点行业实施减污降碳行动，实施全产业链和产品全生命周期降碳减污，打造多维度、全覆盖的绿色低碳产业体系。推动重点行业完成限制类产能装备的升级改造，推动高炉-转炉长流程钢铁企业转型为电弧炉短流程企业。依法推进强制性清洁生产审核，鼓励开展行业、园区和产业集群整体审核试点。</w:t>
            </w:r>
          </w:p>
          <w:p w14:paraId="44FAB8EF">
            <w:pPr>
              <w:keepNext w:val="0"/>
              <w:keepLines w:val="0"/>
              <w:suppressLineNumbers w:val="0"/>
              <w:spacing w:before="0" w:beforeAutospacing="0" w:after="0" w:afterAutospacing="0"/>
              <w:ind w:left="0" w:right="0" w:firstLine="480"/>
              <w:rPr>
                <w:rFonts w:hint="default"/>
              </w:rPr>
            </w:pPr>
            <w:r>
              <w:rPr>
                <w:rFonts w:hint="eastAsia"/>
              </w:rPr>
              <w:t>项目为水泥制品制造项目</w:t>
            </w:r>
            <w:r>
              <w:rPr>
                <w:rFonts w:hint="eastAsia"/>
                <w:lang w:eastAsia="zh-CN"/>
              </w:rPr>
              <w:t>，</w:t>
            </w:r>
            <w:r>
              <w:rPr>
                <w:rFonts w:hint="eastAsia"/>
                <w:lang w:val="en-US" w:eastAsia="zh-CN"/>
              </w:rPr>
              <w:t>属于建材行业，项目排放的污染物为颗粒物，除颗粒物外无其他大气污染物，排放颗粒物符合相关排放标准。项目不用燃料，项目产生的废水均能重复利用，不外排，符合“清洁化、循环化、低碳化”要求。</w:t>
            </w:r>
            <w:r>
              <w:rPr>
                <w:rFonts w:hint="eastAsia"/>
              </w:rPr>
              <w:t>故项目符合《承德市生态环境保护“十四五”规划》的相关要求。</w:t>
            </w:r>
          </w:p>
          <w:p w14:paraId="6195861C">
            <w:pPr>
              <w:pStyle w:val="4"/>
              <w:keepNext w:val="0"/>
              <w:keepLines w:val="0"/>
              <w:suppressLineNumbers w:val="0"/>
              <w:spacing w:beforeAutospacing="0" w:afterAutospacing="0"/>
              <w:ind w:left="-2" w:leftChars="0" w:right="0" w:firstLine="482" w:firstLineChars="0"/>
              <w:rPr>
                <w:rFonts w:hint="default"/>
              </w:rPr>
            </w:pPr>
            <w:r>
              <w:rPr>
                <w:rFonts w:hint="eastAsia"/>
              </w:rPr>
              <w:t>相关生态环境保护规划符合性结论</w:t>
            </w:r>
          </w:p>
          <w:p w14:paraId="4046BF7B">
            <w:pPr>
              <w:keepNext w:val="0"/>
              <w:keepLines w:val="0"/>
              <w:suppressLineNumbers w:val="0"/>
              <w:spacing w:before="0" w:beforeAutospacing="0" w:after="0" w:afterAutospacing="0"/>
              <w:ind w:left="0" w:right="0" w:firstLine="480"/>
              <w:rPr>
                <w:rFonts w:hint="default"/>
              </w:rPr>
            </w:pPr>
            <w:r>
              <w:rPr>
                <w:rFonts w:hint="eastAsia"/>
              </w:rPr>
              <w:t>综上，项目符合相关生态环境保护规划的规定。</w:t>
            </w:r>
          </w:p>
        </w:tc>
      </w:tr>
    </w:tbl>
    <w:p w14:paraId="7505861F">
      <w:pPr>
        <w:ind w:firstLine="600"/>
        <w:outlineLvl w:val="0"/>
        <w:rPr>
          <w:rFonts w:eastAsia="黑体"/>
          <w:sz w:val="30"/>
        </w:rPr>
        <w:sectPr>
          <w:footerReference r:id="rId11" w:type="default"/>
          <w:pgSz w:w="11906" w:h="16838"/>
          <w:pgMar w:top="1701" w:right="1531" w:bottom="1701" w:left="1531" w:header="851" w:footer="1077" w:gutter="0"/>
          <w:pgNumType w:start="1"/>
          <w:cols w:space="720" w:num="1"/>
          <w:docGrid w:linePitch="312" w:charSpace="0"/>
        </w:sectPr>
      </w:pPr>
    </w:p>
    <w:p w14:paraId="71F078A5">
      <w:pPr>
        <w:pStyle w:val="2"/>
      </w:pPr>
      <w:r>
        <w:rPr>
          <w:rFonts w:hint="eastAsia"/>
        </w:rPr>
        <w:t>建设项目工程分析</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161"/>
      </w:tblGrid>
      <w:tr w14:paraId="079C12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823" w:type="dxa"/>
            <w:vAlign w:val="center"/>
          </w:tcPr>
          <w:p w14:paraId="31514C9A">
            <w:pPr>
              <w:pStyle w:val="42"/>
              <w:keepNext w:val="0"/>
              <w:keepLines w:val="0"/>
              <w:widowControl/>
              <w:suppressLineNumbers w:val="0"/>
              <w:spacing w:before="0" w:beforeAutospacing="0" w:after="0" w:afterAutospacing="0"/>
              <w:ind w:left="0" w:right="0"/>
              <w:rPr>
                <w:rFonts w:hint="default"/>
              </w:rPr>
            </w:pPr>
            <w:r>
              <w:rPr>
                <w:sz w:val="24"/>
                <w:szCs w:val="24"/>
              </w:rPr>
              <w:t>建设内容</w:t>
            </w:r>
          </w:p>
        </w:tc>
        <w:tc>
          <w:tcPr>
            <w:tcW w:w="8161" w:type="dxa"/>
          </w:tcPr>
          <w:p w14:paraId="16F470C3">
            <w:pPr>
              <w:pStyle w:val="3"/>
              <w:keepNext w:val="0"/>
              <w:keepLines w:val="0"/>
              <w:numPr>
                <w:ilvl w:val="1"/>
                <w:numId w:val="0"/>
              </w:numPr>
              <w:suppressLineNumbers w:val="0"/>
              <w:spacing w:before="0" w:beforeAutospacing="0" w:after="0" w:afterAutospacing="0"/>
              <w:ind w:left="480" w:leftChars="200" w:right="0"/>
              <w:rPr>
                <w:rFonts w:hint="default"/>
                <w:color w:val="FF0000"/>
              </w:rPr>
            </w:pPr>
            <w:r>
              <w:rPr>
                <w:rFonts w:hint="default"/>
              </w:rPr>
              <w:t>1．</w:t>
            </w:r>
            <w:r>
              <w:rPr>
                <w:rFonts w:hint="eastAsia"/>
              </w:rPr>
              <w:t>项目工程组成情况</w:t>
            </w:r>
          </w:p>
          <w:p w14:paraId="3A96A0E3">
            <w:pPr>
              <w:keepNext w:val="0"/>
              <w:keepLines w:val="0"/>
              <w:suppressLineNumbers w:val="0"/>
              <w:spacing w:before="0" w:beforeAutospacing="0" w:after="0" w:afterAutospacing="0"/>
              <w:ind w:left="0" w:right="0" w:firstLine="480"/>
              <w:rPr>
                <w:rFonts w:hint="default"/>
              </w:rPr>
            </w:pPr>
            <w:r>
              <w:rPr>
                <w:rFonts w:hint="eastAsia"/>
              </w:rPr>
              <w:t>项目位于河北省承德市宽城满族自治县宽城经济开发区，</w:t>
            </w:r>
            <w:r>
              <w:rPr>
                <w:rFonts w:hint="default"/>
              </w:rPr>
              <w:t>项目占地20010.00m</w:t>
            </w:r>
            <w:r>
              <w:rPr>
                <w:rFonts w:hint="eastAsia"/>
                <w:vertAlign w:val="superscript"/>
              </w:rPr>
              <w:t>2</w:t>
            </w:r>
            <w:r>
              <w:rPr>
                <w:rFonts w:hint="eastAsia"/>
              </w:rPr>
              <w:t>，</w:t>
            </w:r>
            <w:r>
              <w:rPr>
                <w:rFonts w:hint="default"/>
              </w:rPr>
              <w:t>建筑物占地而积1850m</w:t>
            </w:r>
            <w:r>
              <w:rPr>
                <w:rFonts w:hint="eastAsia"/>
                <w:vertAlign w:val="superscript"/>
              </w:rPr>
              <w:t>2</w:t>
            </w:r>
            <w:r>
              <w:rPr>
                <w:rFonts w:hint="eastAsia"/>
              </w:rPr>
              <w:t>，</w:t>
            </w:r>
            <w:r>
              <w:rPr>
                <w:rFonts w:hint="default"/>
              </w:rPr>
              <w:t>总建筑而积2550m</w:t>
            </w:r>
            <w:r>
              <w:rPr>
                <w:rFonts w:hint="eastAsia"/>
                <w:vertAlign w:val="superscript"/>
              </w:rPr>
              <w:t>2</w:t>
            </w:r>
            <w:r>
              <w:rPr>
                <w:rFonts w:hint="eastAsia"/>
              </w:rPr>
              <w:t>，</w:t>
            </w:r>
            <w:r>
              <w:rPr>
                <w:rFonts w:hint="default"/>
              </w:rPr>
              <w:t>主要建设内容包括集成构件生产线1条</w:t>
            </w:r>
            <w:r>
              <w:rPr>
                <w:rFonts w:hint="eastAsia"/>
              </w:rPr>
              <w:t>，</w:t>
            </w:r>
            <w:r>
              <w:rPr>
                <w:rFonts w:hint="default"/>
              </w:rPr>
              <w:t>含原料仓储库房、配混料线</w:t>
            </w:r>
            <w:r>
              <w:rPr>
                <w:rFonts w:hint="eastAsia"/>
              </w:rPr>
              <w:t>，</w:t>
            </w:r>
            <w:r>
              <w:rPr>
                <w:rFonts w:hint="default"/>
              </w:rPr>
              <w:t>投产后的产品生产能力达到年产集成构件3万</w:t>
            </w:r>
            <w:r>
              <w:rPr>
                <w:rFonts w:hint="eastAsia"/>
              </w:rPr>
              <w:t>立方米。</w:t>
            </w:r>
          </w:p>
          <w:p w14:paraId="3FA6F936">
            <w:pPr>
              <w:keepNext w:val="0"/>
              <w:keepLines w:val="0"/>
              <w:suppressLineNumbers w:val="0"/>
              <w:spacing w:before="0" w:beforeAutospacing="0" w:after="0" w:afterAutospacing="0"/>
              <w:ind w:left="0" w:right="0" w:firstLine="480"/>
              <w:rPr>
                <w:rFonts w:hint="default"/>
              </w:rPr>
            </w:pPr>
            <w:r>
              <w:rPr>
                <w:rFonts w:hint="eastAsia"/>
              </w:rPr>
              <w:t>项目的主要工程组成情况详见下表：</w:t>
            </w:r>
          </w:p>
          <w:p w14:paraId="03B350CE">
            <w:pPr>
              <w:pStyle w:val="40"/>
              <w:keepNext w:val="0"/>
              <w:keepLines w:val="0"/>
              <w:numPr>
                <w:ilvl w:val="0"/>
                <w:numId w:val="8"/>
              </w:numPr>
              <w:suppressLineNumbers w:val="0"/>
              <w:spacing w:before="0" w:beforeAutospacing="0" w:after="0" w:afterAutospacing="0"/>
              <w:ind w:left="0" w:right="0" w:firstLine="0" w:firstLineChars="0"/>
              <w:jc w:val="center"/>
              <w:rPr>
                <w:rFonts w:hint="eastAsia" w:ascii="宋体" w:hAnsi="宋体" w:eastAsia="宋体"/>
                <w:b/>
                <w:sz w:val="21"/>
              </w:rPr>
            </w:pPr>
            <w:r>
              <w:rPr>
                <w:rFonts w:hint="eastAsia" w:ascii="宋体" w:hAnsi="宋体" w:eastAsia="宋体"/>
                <w:b/>
                <w:sz w:val="21"/>
              </w:rPr>
              <w:t>项目工程组成情况一览表</w:t>
            </w:r>
          </w:p>
          <w:tbl>
            <w:tblPr>
              <w:tblStyle w:val="22"/>
              <w:tblW w:w="4986"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74"/>
              <w:gridCol w:w="581"/>
              <w:gridCol w:w="5985"/>
              <w:gridCol w:w="568"/>
            </w:tblGrid>
            <w:tr w14:paraId="26C71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89" w:type="pct"/>
                  <w:vAlign w:val="center"/>
                </w:tcPr>
                <w:p w14:paraId="112FAD8E">
                  <w:pPr>
                    <w:pStyle w:val="42"/>
                    <w:keepNext w:val="0"/>
                    <w:keepLines w:val="0"/>
                    <w:widowControl/>
                    <w:suppressLineNumbers w:val="0"/>
                    <w:spacing w:before="0" w:beforeAutospacing="0" w:after="0" w:afterAutospacing="0"/>
                    <w:ind w:left="0" w:right="0"/>
                    <w:rPr>
                      <w:rFonts w:hint="default"/>
                      <w:b/>
                      <w:bCs/>
                    </w:rPr>
                  </w:pPr>
                  <w:r>
                    <w:rPr>
                      <w:b/>
                      <w:bCs/>
                    </w:rPr>
                    <w:t>类别</w:t>
                  </w:r>
                </w:p>
              </w:tc>
              <w:tc>
                <w:tcPr>
                  <w:tcW w:w="367" w:type="pct"/>
                  <w:vAlign w:val="center"/>
                </w:tcPr>
                <w:p w14:paraId="6D21D555">
                  <w:pPr>
                    <w:pStyle w:val="42"/>
                    <w:keepNext w:val="0"/>
                    <w:keepLines w:val="0"/>
                    <w:widowControl/>
                    <w:suppressLineNumbers w:val="0"/>
                    <w:spacing w:before="0" w:beforeAutospacing="0" w:after="0" w:afterAutospacing="0"/>
                    <w:ind w:left="0" w:right="0"/>
                    <w:rPr>
                      <w:rFonts w:hint="default"/>
                      <w:b/>
                      <w:bCs/>
                    </w:rPr>
                  </w:pPr>
                  <w:r>
                    <w:rPr>
                      <w:b/>
                      <w:bCs/>
                    </w:rPr>
                    <w:t>名称</w:t>
                  </w:r>
                </w:p>
              </w:tc>
              <w:tc>
                <w:tcPr>
                  <w:tcW w:w="3783" w:type="pct"/>
                  <w:tcMar>
                    <w:top w:w="0" w:type="dxa"/>
                    <w:left w:w="108" w:type="dxa"/>
                    <w:bottom w:w="0" w:type="dxa"/>
                    <w:right w:w="108" w:type="dxa"/>
                  </w:tcMar>
                  <w:vAlign w:val="center"/>
                </w:tcPr>
                <w:p w14:paraId="46021949">
                  <w:pPr>
                    <w:pStyle w:val="42"/>
                    <w:keepNext w:val="0"/>
                    <w:keepLines w:val="0"/>
                    <w:widowControl/>
                    <w:suppressLineNumbers w:val="0"/>
                    <w:spacing w:before="0" w:beforeAutospacing="0" w:after="0" w:afterAutospacing="0"/>
                    <w:ind w:left="0" w:right="0"/>
                    <w:rPr>
                      <w:rFonts w:hint="default"/>
                      <w:b/>
                      <w:bCs/>
                    </w:rPr>
                  </w:pPr>
                  <w:r>
                    <w:rPr>
                      <w:b/>
                      <w:bCs/>
                    </w:rPr>
                    <w:t>工程建设内容</w:t>
                  </w:r>
                </w:p>
              </w:tc>
              <w:tc>
                <w:tcPr>
                  <w:tcW w:w="359" w:type="pct"/>
                  <w:vAlign w:val="center"/>
                </w:tcPr>
                <w:p w14:paraId="5990E5A7">
                  <w:pPr>
                    <w:pStyle w:val="42"/>
                    <w:keepNext w:val="0"/>
                    <w:keepLines w:val="0"/>
                    <w:widowControl/>
                    <w:suppressLineNumbers w:val="0"/>
                    <w:spacing w:before="0" w:beforeAutospacing="0" w:after="0" w:afterAutospacing="0"/>
                    <w:ind w:left="0" w:right="0"/>
                    <w:rPr>
                      <w:rFonts w:hint="default"/>
                      <w:b/>
                      <w:bCs/>
                    </w:rPr>
                  </w:pPr>
                  <w:r>
                    <w:rPr>
                      <w:b/>
                      <w:bCs/>
                    </w:rPr>
                    <w:t>备注</w:t>
                  </w:r>
                </w:p>
              </w:tc>
            </w:tr>
            <w:tr w14:paraId="69D0F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6" w:hRule="atLeast"/>
                <w:jc w:val="center"/>
              </w:trPr>
              <w:tc>
                <w:tcPr>
                  <w:tcW w:w="489" w:type="pct"/>
                  <w:vAlign w:val="center"/>
                </w:tcPr>
                <w:p w14:paraId="3E3996ED">
                  <w:pPr>
                    <w:pStyle w:val="42"/>
                    <w:keepNext w:val="0"/>
                    <w:keepLines w:val="0"/>
                    <w:widowControl/>
                    <w:suppressLineNumbers w:val="0"/>
                    <w:spacing w:before="0" w:beforeAutospacing="0" w:after="0" w:afterAutospacing="0"/>
                    <w:ind w:left="0" w:right="0"/>
                    <w:rPr>
                      <w:rFonts w:hint="default"/>
                    </w:rPr>
                  </w:pPr>
                  <w:r>
                    <w:t>主</w:t>
                  </w:r>
                </w:p>
                <w:p w14:paraId="425FC96E">
                  <w:pPr>
                    <w:pStyle w:val="42"/>
                    <w:keepNext w:val="0"/>
                    <w:keepLines w:val="0"/>
                    <w:widowControl/>
                    <w:suppressLineNumbers w:val="0"/>
                    <w:spacing w:before="0" w:beforeAutospacing="0" w:after="0" w:afterAutospacing="0"/>
                    <w:ind w:left="0" w:right="0"/>
                    <w:rPr>
                      <w:rFonts w:hint="default"/>
                    </w:rPr>
                  </w:pPr>
                  <w:r>
                    <w:t>体</w:t>
                  </w:r>
                </w:p>
                <w:p w14:paraId="6FBF57CD">
                  <w:pPr>
                    <w:pStyle w:val="42"/>
                    <w:keepNext w:val="0"/>
                    <w:keepLines w:val="0"/>
                    <w:widowControl/>
                    <w:suppressLineNumbers w:val="0"/>
                    <w:spacing w:before="0" w:beforeAutospacing="0" w:after="0" w:afterAutospacing="0"/>
                    <w:ind w:left="0" w:right="0"/>
                    <w:rPr>
                      <w:rFonts w:hint="default"/>
                    </w:rPr>
                  </w:pPr>
                  <w:r>
                    <w:t>工</w:t>
                  </w:r>
                </w:p>
                <w:p w14:paraId="1A984152">
                  <w:pPr>
                    <w:pStyle w:val="42"/>
                    <w:keepNext w:val="0"/>
                    <w:keepLines w:val="0"/>
                    <w:widowControl/>
                    <w:suppressLineNumbers w:val="0"/>
                    <w:spacing w:before="0" w:beforeAutospacing="0" w:after="0" w:afterAutospacing="0"/>
                    <w:ind w:left="0" w:right="0"/>
                    <w:rPr>
                      <w:rFonts w:hint="default"/>
                    </w:rPr>
                  </w:pPr>
                  <w:r>
                    <w:t>程</w:t>
                  </w:r>
                </w:p>
              </w:tc>
              <w:tc>
                <w:tcPr>
                  <w:tcW w:w="367" w:type="pct"/>
                  <w:vAlign w:val="center"/>
                </w:tcPr>
                <w:p w14:paraId="5E0EA55A">
                  <w:pPr>
                    <w:pStyle w:val="42"/>
                    <w:keepNext w:val="0"/>
                    <w:keepLines w:val="0"/>
                    <w:widowControl/>
                    <w:suppressLineNumbers w:val="0"/>
                    <w:spacing w:before="0" w:beforeAutospacing="0" w:after="0" w:afterAutospacing="0"/>
                    <w:ind w:left="0" w:right="0"/>
                    <w:rPr>
                      <w:rFonts w:hint="default"/>
                    </w:rPr>
                  </w:pPr>
                  <w:r>
                    <w:t>搅拌车间</w:t>
                  </w:r>
                </w:p>
              </w:tc>
              <w:tc>
                <w:tcPr>
                  <w:tcW w:w="3783" w:type="pct"/>
                  <w:tcMar>
                    <w:top w:w="0" w:type="dxa"/>
                    <w:left w:w="108" w:type="dxa"/>
                    <w:bottom w:w="0" w:type="dxa"/>
                    <w:right w:w="108" w:type="dxa"/>
                  </w:tcMar>
                  <w:vAlign w:val="center"/>
                </w:tcPr>
                <w:p w14:paraId="72EA613B">
                  <w:pPr>
                    <w:pStyle w:val="42"/>
                    <w:keepNext w:val="0"/>
                    <w:keepLines w:val="0"/>
                    <w:widowControl/>
                    <w:suppressLineNumbers w:val="0"/>
                    <w:spacing w:before="0" w:beforeAutospacing="0" w:after="0" w:afterAutospacing="0"/>
                    <w:ind w:left="0" w:right="0"/>
                    <w:rPr>
                      <w:rFonts w:hint="default"/>
                    </w:rPr>
                  </w:pPr>
                  <w:r>
                    <w:t>项目设置搅拌车间1座，建筑面积为330m</w:t>
                  </w:r>
                  <w:r>
                    <w:rPr>
                      <w:vertAlign w:val="superscript"/>
                    </w:rPr>
                    <w:t>2</w:t>
                  </w:r>
                  <w:r>
                    <w:t>，彩钢结构封闭式车间。</w:t>
                  </w:r>
                </w:p>
                <w:p w14:paraId="24A11816">
                  <w:pPr>
                    <w:pStyle w:val="42"/>
                    <w:keepNext w:val="0"/>
                    <w:keepLines w:val="0"/>
                    <w:widowControl/>
                    <w:suppressLineNumbers w:val="0"/>
                    <w:spacing w:before="0" w:beforeAutospacing="0" w:after="0" w:afterAutospacing="0"/>
                    <w:ind w:left="0" w:right="0"/>
                    <w:rPr>
                      <w:rFonts w:hint="default"/>
                    </w:rPr>
                  </w:pPr>
                  <w:r>
                    <w:t>车间内设置混凝土搅拌生产线1条，主要生产设备包括混凝土搅拌机、起重机等，设计年产混凝土30000m</w:t>
                  </w:r>
                  <w:r>
                    <w:rPr>
                      <w:vertAlign w:val="superscript"/>
                    </w:rPr>
                    <w:t>3</w:t>
                  </w:r>
                  <w:r>
                    <w:t>/a。</w:t>
                  </w:r>
                </w:p>
              </w:tc>
              <w:tc>
                <w:tcPr>
                  <w:tcW w:w="359" w:type="pct"/>
                  <w:vAlign w:val="center"/>
                </w:tcPr>
                <w:p w14:paraId="5325BD03">
                  <w:pPr>
                    <w:pStyle w:val="42"/>
                    <w:keepNext w:val="0"/>
                    <w:keepLines w:val="0"/>
                    <w:widowControl/>
                    <w:suppressLineNumbers w:val="0"/>
                    <w:spacing w:before="0" w:beforeAutospacing="0" w:after="0" w:afterAutospacing="0"/>
                    <w:ind w:left="0" w:right="0"/>
                    <w:rPr>
                      <w:rFonts w:hint="default"/>
                    </w:rPr>
                  </w:pPr>
                  <w:r>
                    <w:t>新建</w:t>
                  </w:r>
                </w:p>
              </w:tc>
            </w:tr>
            <w:tr w14:paraId="3E2F0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47" w:hRule="atLeast"/>
                <w:jc w:val="center"/>
              </w:trPr>
              <w:tc>
                <w:tcPr>
                  <w:tcW w:w="489" w:type="pct"/>
                  <w:vMerge w:val="restart"/>
                  <w:vAlign w:val="center"/>
                </w:tcPr>
                <w:p w14:paraId="11C7CE01">
                  <w:pPr>
                    <w:pStyle w:val="42"/>
                    <w:keepNext w:val="0"/>
                    <w:keepLines w:val="0"/>
                    <w:widowControl/>
                    <w:suppressLineNumbers w:val="0"/>
                    <w:spacing w:before="0" w:beforeAutospacing="0" w:after="0" w:afterAutospacing="0"/>
                    <w:ind w:left="0" w:right="0"/>
                    <w:rPr>
                      <w:rFonts w:hint="default"/>
                    </w:rPr>
                  </w:pPr>
                  <w:r>
                    <w:t>储</w:t>
                  </w:r>
                </w:p>
                <w:p w14:paraId="3936BFF3">
                  <w:pPr>
                    <w:pStyle w:val="42"/>
                    <w:keepNext w:val="0"/>
                    <w:keepLines w:val="0"/>
                    <w:widowControl/>
                    <w:suppressLineNumbers w:val="0"/>
                    <w:spacing w:before="0" w:beforeAutospacing="0" w:after="0" w:afterAutospacing="0"/>
                    <w:ind w:left="0" w:right="0"/>
                    <w:rPr>
                      <w:rFonts w:hint="default"/>
                    </w:rPr>
                  </w:pPr>
                  <w:r>
                    <w:t>运</w:t>
                  </w:r>
                </w:p>
                <w:p w14:paraId="046EA0FA">
                  <w:pPr>
                    <w:pStyle w:val="42"/>
                    <w:keepNext w:val="0"/>
                    <w:keepLines w:val="0"/>
                    <w:widowControl/>
                    <w:suppressLineNumbers w:val="0"/>
                    <w:spacing w:before="0" w:beforeAutospacing="0" w:after="0" w:afterAutospacing="0"/>
                    <w:ind w:left="0" w:right="0"/>
                    <w:rPr>
                      <w:rFonts w:hint="default"/>
                    </w:rPr>
                  </w:pPr>
                  <w:r>
                    <w:t>工</w:t>
                  </w:r>
                </w:p>
                <w:p w14:paraId="2322462D">
                  <w:pPr>
                    <w:pStyle w:val="42"/>
                    <w:keepNext w:val="0"/>
                    <w:keepLines w:val="0"/>
                    <w:widowControl/>
                    <w:suppressLineNumbers w:val="0"/>
                    <w:spacing w:before="0" w:beforeAutospacing="0" w:after="0" w:afterAutospacing="0"/>
                    <w:ind w:left="0" w:right="0"/>
                    <w:rPr>
                      <w:rFonts w:hint="default"/>
                    </w:rPr>
                  </w:pPr>
                  <w:r>
                    <w:t>程</w:t>
                  </w:r>
                </w:p>
              </w:tc>
              <w:tc>
                <w:tcPr>
                  <w:tcW w:w="367" w:type="pct"/>
                  <w:shd w:val="clear" w:color="auto" w:fill="auto"/>
                  <w:vAlign w:val="center"/>
                </w:tcPr>
                <w:p w14:paraId="74EAFE64">
                  <w:pPr>
                    <w:pStyle w:val="42"/>
                    <w:keepNext w:val="0"/>
                    <w:keepLines w:val="0"/>
                    <w:widowControl/>
                    <w:suppressLineNumbers w:val="0"/>
                    <w:spacing w:before="0" w:beforeAutospacing="0" w:after="0" w:afterAutospacing="0"/>
                    <w:ind w:left="0" w:right="0"/>
                    <w:rPr>
                      <w:rFonts w:hint="default"/>
                    </w:rPr>
                  </w:pPr>
                  <w:r>
                    <w:t>原料库房</w:t>
                  </w:r>
                </w:p>
              </w:tc>
              <w:tc>
                <w:tcPr>
                  <w:tcW w:w="3783" w:type="pct"/>
                  <w:shd w:val="clear" w:color="auto" w:fill="auto"/>
                  <w:tcMar>
                    <w:top w:w="0" w:type="dxa"/>
                    <w:left w:w="108" w:type="dxa"/>
                    <w:bottom w:w="0" w:type="dxa"/>
                    <w:right w:w="108" w:type="dxa"/>
                  </w:tcMar>
                  <w:vAlign w:val="center"/>
                </w:tcPr>
                <w:p w14:paraId="762E3E8E">
                  <w:pPr>
                    <w:pStyle w:val="42"/>
                    <w:keepNext w:val="0"/>
                    <w:keepLines w:val="0"/>
                    <w:widowControl/>
                    <w:suppressLineNumbers w:val="0"/>
                    <w:spacing w:before="0" w:beforeAutospacing="0" w:after="0" w:afterAutospacing="0"/>
                    <w:ind w:left="0" w:right="0"/>
                    <w:rPr>
                      <w:rFonts w:hint="default"/>
                    </w:rPr>
                  </w:pPr>
                  <w:r>
                    <w:t>项目建设原料库房1座，建筑面积240m</w:t>
                  </w:r>
                  <w:r>
                    <w:rPr>
                      <w:vertAlign w:val="superscript"/>
                    </w:rPr>
                    <w:t>2</w:t>
                  </w:r>
                  <w:r>
                    <w:t>，彩钢结构封闭式库房，项目石子、石粉在库房内分区储存。</w:t>
                  </w:r>
                </w:p>
              </w:tc>
              <w:tc>
                <w:tcPr>
                  <w:tcW w:w="359" w:type="pct"/>
                  <w:vAlign w:val="center"/>
                </w:tcPr>
                <w:p w14:paraId="6722D415">
                  <w:pPr>
                    <w:pStyle w:val="42"/>
                    <w:keepNext w:val="0"/>
                    <w:keepLines w:val="0"/>
                    <w:widowControl/>
                    <w:suppressLineNumbers w:val="0"/>
                    <w:spacing w:before="0" w:beforeAutospacing="0" w:after="0" w:afterAutospacing="0"/>
                    <w:ind w:left="0" w:right="0"/>
                    <w:rPr>
                      <w:rFonts w:hint="default"/>
                    </w:rPr>
                  </w:pPr>
                  <w:r>
                    <w:t>新建</w:t>
                  </w:r>
                </w:p>
              </w:tc>
            </w:tr>
            <w:tr w14:paraId="12949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6" w:hRule="atLeast"/>
                <w:jc w:val="center"/>
              </w:trPr>
              <w:tc>
                <w:tcPr>
                  <w:tcW w:w="489" w:type="pct"/>
                  <w:vMerge w:val="continue"/>
                  <w:vAlign w:val="center"/>
                </w:tcPr>
                <w:p w14:paraId="2CE9E12A">
                  <w:pPr>
                    <w:pStyle w:val="42"/>
                    <w:keepNext w:val="0"/>
                    <w:keepLines w:val="0"/>
                    <w:widowControl/>
                    <w:suppressLineNumbers w:val="0"/>
                    <w:spacing w:before="0" w:beforeAutospacing="0" w:after="0" w:afterAutospacing="0"/>
                    <w:ind w:left="0" w:right="0"/>
                    <w:rPr>
                      <w:rFonts w:hint="default"/>
                    </w:rPr>
                  </w:pPr>
                </w:p>
              </w:tc>
              <w:tc>
                <w:tcPr>
                  <w:tcW w:w="367" w:type="pct"/>
                  <w:shd w:val="clear" w:color="auto" w:fill="auto"/>
                  <w:vAlign w:val="center"/>
                </w:tcPr>
                <w:p w14:paraId="236FCB78">
                  <w:pPr>
                    <w:pStyle w:val="42"/>
                    <w:keepNext w:val="0"/>
                    <w:keepLines w:val="0"/>
                    <w:widowControl/>
                    <w:suppressLineNumbers w:val="0"/>
                    <w:spacing w:before="0" w:beforeAutospacing="0" w:after="0" w:afterAutospacing="0"/>
                    <w:ind w:left="0" w:right="0"/>
                    <w:rPr>
                      <w:rFonts w:hint="default"/>
                    </w:rPr>
                  </w:pPr>
                  <w:r>
                    <w:t>上料仓</w:t>
                  </w:r>
                </w:p>
              </w:tc>
              <w:tc>
                <w:tcPr>
                  <w:tcW w:w="3783" w:type="pct"/>
                  <w:shd w:val="clear" w:color="auto" w:fill="auto"/>
                  <w:tcMar>
                    <w:top w:w="0" w:type="dxa"/>
                    <w:left w:w="108" w:type="dxa"/>
                    <w:bottom w:w="0" w:type="dxa"/>
                    <w:right w:w="108" w:type="dxa"/>
                  </w:tcMar>
                  <w:vAlign w:val="center"/>
                </w:tcPr>
                <w:p w14:paraId="12DD91D0">
                  <w:pPr>
                    <w:pStyle w:val="42"/>
                    <w:keepNext w:val="0"/>
                    <w:keepLines w:val="0"/>
                    <w:widowControl/>
                    <w:suppressLineNumbers w:val="0"/>
                    <w:spacing w:before="0" w:beforeAutospacing="0" w:after="0" w:afterAutospacing="0"/>
                    <w:ind w:left="0" w:right="0"/>
                    <w:rPr>
                      <w:rFonts w:hint="default"/>
                    </w:rPr>
                  </w:pPr>
                  <w:r>
                    <w:t>在搅拌车间内设置2座上料仓，将石子、石粉计量、输送至搅拌机进行搅拌</w:t>
                  </w:r>
                </w:p>
              </w:tc>
              <w:tc>
                <w:tcPr>
                  <w:tcW w:w="359" w:type="pct"/>
                  <w:vAlign w:val="center"/>
                </w:tcPr>
                <w:p w14:paraId="592F9C85">
                  <w:pPr>
                    <w:pStyle w:val="42"/>
                    <w:keepNext w:val="0"/>
                    <w:keepLines w:val="0"/>
                    <w:widowControl/>
                    <w:suppressLineNumbers w:val="0"/>
                    <w:spacing w:before="0" w:beforeAutospacing="0" w:after="0" w:afterAutospacing="0"/>
                    <w:ind w:left="0" w:right="0"/>
                    <w:rPr>
                      <w:rFonts w:hint="default"/>
                    </w:rPr>
                  </w:pPr>
                  <w:r>
                    <w:t>新建</w:t>
                  </w:r>
                </w:p>
              </w:tc>
            </w:tr>
            <w:tr w14:paraId="0249D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0" w:hRule="atLeast"/>
                <w:jc w:val="center"/>
              </w:trPr>
              <w:tc>
                <w:tcPr>
                  <w:tcW w:w="489" w:type="pct"/>
                  <w:vMerge w:val="continue"/>
                  <w:vAlign w:val="center"/>
                </w:tcPr>
                <w:p w14:paraId="6885E2AB">
                  <w:pPr>
                    <w:pStyle w:val="42"/>
                    <w:keepNext w:val="0"/>
                    <w:keepLines w:val="0"/>
                    <w:widowControl/>
                    <w:suppressLineNumbers w:val="0"/>
                    <w:spacing w:before="0" w:beforeAutospacing="0" w:after="0" w:afterAutospacing="0"/>
                    <w:ind w:left="0" w:right="0"/>
                    <w:rPr>
                      <w:rFonts w:hint="default"/>
                    </w:rPr>
                  </w:pPr>
                </w:p>
              </w:tc>
              <w:tc>
                <w:tcPr>
                  <w:tcW w:w="367" w:type="pct"/>
                  <w:shd w:val="clear" w:color="auto" w:fill="auto"/>
                  <w:vAlign w:val="center"/>
                </w:tcPr>
                <w:p w14:paraId="7355B467">
                  <w:pPr>
                    <w:pStyle w:val="42"/>
                    <w:keepNext w:val="0"/>
                    <w:keepLines w:val="0"/>
                    <w:widowControl/>
                    <w:suppressLineNumbers w:val="0"/>
                    <w:spacing w:before="0" w:beforeAutospacing="0" w:after="0" w:afterAutospacing="0"/>
                    <w:ind w:left="0" w:right="0"/>
                    <w:rPr>
                      <w:rFonts w:hint="default"/>
                    </w:rPr>
                  </w:pPr>
                  <w:r>
                    <w:t>水泥筒仓</w:t>
                  </w:r>
                </w:p>
              </w:tc>
              <w:tc>
                <w:tcPr>
                  <w:tcW w:w="3783" w:type="pct"/>
                  <w:shd w:val="clear" w:color="auto" w:fill="auto"/>
                  <w:tcMar>
                    <w:top w:w="0" w:type="dxa"/>
                    <w:left w:w="108" w:type="dxa"/>
                    <w:bottom w:w="0" w:type="dxa"/>
                    <w:right w:w="108" w:type="dxa"/>
                  </w:tcMar>
                  <w:vAlign w:val="center"/>
                </w:tcPr>
                <w:p w14:paraId="39F6BE0B">
                  <w:pPr>
                    <w:pStyle w:val="42"/>
                    <w:keepNext w:val="0"/>
                    <w:keepLines w:val="0"/>
                    <w:widowControl/>
                    <w:suppressLineNumbers w:val="0"/>
                    <w:spacing w:before="0" w:beforeAutospacing="0" w:after="0" w:afterAutospacing="0"/>
                    <w:ind w:left="0" w:right="0"/>
                    <w:rPr>
                      <w:rFonts w:hint="default"/>
                    </w:rPr>
                  </w:pPr>
                  <w:r>
                    <w:t>在搅拌车间内设置1座水泥筒仓，水泥筒仓容积60t。</w:t>
                  </w:r>
                </w:p>
              </w:tc>
              <w:tc>
                <w:tcPr>
                  <w:tcW w:w="359" w:type="pct"/>
                  <w:vAlign w:val="center"/>
                </w:tcPr>
                <w:p w14:paraId="49E571C1">
                  <w:pPr>
                    <w:pStyle w:val="42"/>
                    <w:keepNext w:val="0"/>
                    <w:keepLines w:val="0"/>
                    <w:widowControl/>
                    <w:suppressLineNumbers w:val="0"/>
                    <w:spacing w:before="0" w:beforeAutospacing="0" w:after="0" w:afterAutospacing="0"/>
                    <w:ind w:left="0" w:right="0"/>
                    <w:rPr>
                      <w:rFonts w:hint="default"/>
                    </w:rPr>
                  </w:pPr>
                  <w:r>
                    <w:t>新建</w:t>
                  </w:r>
                </w:p>
              </w:tc>
            </w:tr>
            <w:tr w14:paraId="54E68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jc w:val="center"/>
              </w:trPr>
              <w:tc>
                <w:tcPr>
                  <w:tcW w:w="489" w:type="pct"/>
                  <w:vMerge w:val="restart"/>
                  <w:vAlign w:val="center"/>
                </w:tcPr>
                <w:p w14:paraId="65CCC533">
                  <w:pPr>
                    <w:pStyle w:val="42"/>
                    <w:keepNext w:val="0"/>
                    <w:keepLines w:val="0"/>
                    <w:widowControl/>
                    <w:suppressLineNumbers w:val="0"/>
                    <w:spacing w:before="0" w:beforeAutospacing="0" w:after="0" w:afterAutospacing="0"/>
                    <w:ind w:left="0" w:right="0"/>
                    <w:rPr>
                      <w:rFonts w:hint="default"/>
                    </w:rPr>
                  </w:pPr>
                  <w:r>
                    <w:t>公共工程</w:t>
                  </w:r>
                </w:p>
              </w:tc>
              <w:tc>
                <w:tcPr>
                  <w:tcW w:w="367" w:type="pct"/>
                  <w:vAlign w:val="center"/>
                </w:tcPr>
                <w:p w14:paraId="7BB61270">
                  <w:pPr>
                    <w:pStyle w:val="42"/>
                    <w:keepNext w:val="0"/>
                    <w:keepLines w:val="0"/>
                    <w:widowControl/>
                    <w:suppressLineNumbers w:val="0"/>
                    <w:spacing w:before="0" w:beforeAutospacing="0" w:after="0" w:afterAutospacing="0"/>
                    <w:ind w:left="0" w:right="0"/>
                    <w:rPr>
                      <w:rFonts w:hint="default"/>
                    </w:rPr>
                  </w:pPr>
                  <w:r>
                    <w:t>给水工程</w:t>
                  </w:r>
                </w:p>
              </w:tc>
              <w:tc>
                <w:tcPr>
                  <w:tcW w:w="3783" w:type="pct"/>
                  <w:tcMar>
                    <w:top w:w="0" w:type="dxa"/>
                    <w:left w:w="108" w:type="dxa"/>
                    <w:bottom w:w="0" w:type="dxa"/>
                    <w:right w:w="108" w:type="dxa"/>
                  </w:tcMar>
                  <w:vAlign w:val="center"/>
                </w:tcPr>
                <w:p w14:paraId="12EE4C86">
                  <w:pPr>
                    <w:pStyle w:val="42"/>
                    <w:keepNext w:val="0"/>
                    <w:keepLines w:val="0"/>
                    <w:widowControl/>
                    <w:suppressLineNumbers w:val="0"/>
                    <w:spacing w:before="0" w:beforeAutospacing="0" w:after="0" w:afterAutospacing="0"/>
                    <w:ind w:left="0" w:right="0"/>
                    <w:rPr>
                      <w:rFonts w:hint="default"/>
                    </w:rPr>
                  </w:pPr>
                  <w:r>
                    <w:t>项目用水主要由自备水井供给</w:t>
                  </w:r>
                </w:p>
              </w:tc>
              <w:tc>
                <w:tcPr>
                  <w:tcW w:w="359" w:type="pct"/>
                  <w:vAlign w:val="center"/>
                </w:tcPr>
                <w:p w14:paraId="5AFA71A4">
                  <w:pPr>
                    <w:pStyle w:val="42"/>
                    <w:keepNext w:val="0"/>
                    <w:keepLines w:val="0"/>
                    <w:widowControl/>
                    <w:suppressLineNumbers w:val="0"/>
                    <w:spacing w:before="0" w:beforeAutospacing="0" w:after="0" w:afterAutospacing="0"/>
                    <w:ind w:left="0" w:right="0"/>
                    <w:rPr>
                      <w:rFonts w:hint="default"/>
                      <w:color w:val="FF0000"/>
                    </w:rPr>
                  </w:pPr>
                </w:p>
              </w:tc>
            </w:tr>
            <w:tr w14:paraId="73094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jc w:val="center"/>
              </w:trPr>
              <w:tc>
                <w:tcPr>
                  <w:tcW w:w="489" w:type="pct"/>
                  <w:vMerge w:val="continue"/>
                  <w:vAlign w:val="center"/>
                </w:tcPr>
                <w:p w14:paraId="2BB92C9A">
                  <w:pPr>
                    <w:pStyle w:val="42"/>
                    <w:keepNext w:val="0"/>
                    <w:keepLines w:val="0"/>
                    <w:widowControl/>
                    <w:suppressLineNumbers w:val="0"/>
                    <w:spacing w:before="0" w:beforeAutospacing="0" w:after="0" w:afterAutospacing="0"/>
                    <w:ind w:left="0" w:right="0"/>
                    <w:rPr>
                      <w:rFonts w:hint="default"/>
                    </w:rPr>
                  </w:pPr>
                </w:p>
              </w:tc>
              <w:tc>
                <w:tcPr>
                  <w:tcW w:w="367" w:type="pct"/>
                  <w:vAlign w:val="center"/>
                </w:tcPr>
                <w:p w14:paraId="79F0D4E0">
                  <w:pPr>
                    <w:pStyle w:val="42"/>
                    <w:keepNext w:val="0"/>
                    <w:keepLines w:val="0"/>
                    <w:widowControl/>
                    <w:suppressLineNumbers w:val="0"/>
                    <w:spacing w:before="0" w:beforeAutospacing="0" w:after="0" w:afterAutospacing="0"/>
                    <w:ind w:left="0" w:right="0"/>
                    <w:rPr>
                      <w:rFonts w:hint="default"/>
                    </w:rPr>
                  </w:pPr>
                  <w:r>
                    <w:t>排水工程</w:t>
                  </w:r>
                </w:p>
              </w:tc>
              <w:tc>
                <w:tcPr>
                  <w:tcW w:w="3783" w:type="pct"/>
                  <w:tcMar>
                    <w:top w:w="0" w:type="dxa"/>
                    <w:left w:w="108" w:type="dxa"/>
                    <w:bottom w:w="0" w:type="dxa"/>
                    <w:right w:w="108" w:type="dxa"/>
                  </w:tcMar>
                  <w:vAlign w:val="center"/>
                </w:tcPr>
                <w:p w14:paraId="272399C6">
                  <w:pPr>
                    <w:pStyle w:val="42"/>
                    <w:keepNext w:val="0"/>
                    <w:keepLines w:val="0"/>
                    <w:widowControl/>
                    <w:suppressLineNumbers w:val="0"/>
                    <w:spacing w:before="0" w:beforeAutospacing="0" w:after="0" w:afterAutospacing="0"/>
                    <w:ind w:left="0" w:right="0"/>
                    <w:rPr>
                      <w:rFonts w:hint="default"/>
                    </w:rPr>
                  </w:pPr>
                  <w:r>
                    <w:t>项目生活污水主要为职工盥洗污水，水量较小，水质简单，用于厂区洒水降尘</w:t>
                  </w:r>
                </w:p>
              </w:tc>
              <w:tc>
                <w:tcPr>
                  <w:tcW w:w="359" w:type="pct"/>
                  <w:vAlign w:val="center"/>
                </w:tcPr>
                <w:p w14:paraId="1BCF1946">
                  <w:pPr>
                    <w:pStyle w:val="42"/>
                    <w:keepNext w:val="0"/>
                    <w:keepLines w:val="0"/>
                    <w:widowControl/>
                    <w:suppressLineNumbers w:val="0"/>
                    <w:spacing w:before="0" w:beforeAutospacing="0" w:after="0" w:afterAutospacing="0"/>
                    <w:ind w:left="0" w:right="0"/>
                    <w:rPr>
                      <w:rFonts w:hint="default"/>
                      <w:color w:val="FF0000"/>
                    </w:rPr>
                  </w:pPr>
                </w:p>
              </w:tc>
            </w:tr>
            <w:tr w14:paraId="72D30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9" w:hRule="atLeast"/>
                <w:jc w:val="center"/>
              </w:trPr>
              <w:tc>
                <w:tcPr>
                  <w:tcW w:w="489" w:type="pct"/>
                  <w:vMerge w:val="continue"/>
                  <w:vAlign w:val="center"/>
                </w:tcPr>
                <w:p w14:paraId="46AEBCBC">
                  <w:pPr>
                    <w:pStyle w:val="42"/>
                    <w:keepNext w:val="0"/>
                    <w:keepLines w:val="0"/>
                    <w:widowControl/>
                    <w:suppressLineNumbers w:val="0"/>
                    <w:spacing w:before="0" w:beforeAutospacing="0" w:after="0" w:afterAutospacing="0"/>
                    <w:ind w:left="0" w:right="0"/>
                    <w:rPr>
                      <w:rFonts w:hint="default"/>
                    </w:rPr>
                  </w:pPr>
                </w:p>
              </w:tc>
              <w:tc>
                <w:tcPr>
                  <w:tcW w:w="367" w:type="pct"/>
                  <w:vAlign w:val="center"/>
                </w:tcPr>
                <w:p w14:paraId="388B6578">
                  <w:pPr>
                    <w:pStyle w:val="42"/>
                    <w:keepNext w:val="0"/>
                    <w:keepLines w:val="0"/>
                    <w:widowControl/>
                    <w:suppressLineNumbers w:val="0"/>
                    <w:spacing w:before="0" w:beforeAutospacing="0" w:after="0" w:afterAutospacing="0"/>
                    <w:ind w:left="0" w:right="0"/>
                    <w:rPr>
                      <w:rFonts w:hint="default"/>
                    </w:rPr>
                  </w:pPr>
                  <w:r>
                    <w:t>供电工程</w:t>
                  </w:r>
                </w:p>
              </w:tc>
              <w:tc>
                <w:tcPr>
                  <w:tcW w:w="3783" w:type="pct"/>
                  <w:tcMar>
                    <w:top w:w="0" w:type="dxa"/>
                    <w:left w:w="108" w:type="dxa"/>
                    <w:bottom w:w="0" w:type="dxa"/>
                    <w:right w:w="108" w:type="dxa"/>
                  </w:tcMar>
                  <w:vAlign w:val="center"/>
                </w:tcPr>
                <w:p w14:paraId="56C07905">
                  <w:pPr>
                    <w:pStyle w:val="42"/>
                    <w:keepNext w:val="0"/>
                    <w:keepLines w:val="0"/>
                    <w:widowControl/>
                    <w:suppressLineNumbers w:val="0"/>
                    <w:spacing w:before="0" w:beforeAutospacing="0" w:after="0" w:afterAutospacing="0"/>
                    <w:ind w:left="0" w:right="0"/>
                    <w:rPr>
                      <w:rFonts w:hint="default"/>
                    </w:rPr>
                  </w:pPr>
                  <w:r>
                    <w:t>项目供电由市政电网供应，在项目生产运营阶段，项目耗电150000KW·h/a</w:t>
                  </w:r>
                </w:p>
              </w:tc>
              <w:tc>
                <w:tcPr>
                  <w:tcW w:w="359" w:type="pct"/>
                  <w:vAlign w:val="center"/>
                </w:tcPr>
                <w:p w14:paraId="30EF9926">
                  <w:pPr>
                    <w:pStyle w:val="42"/>
                    <w:keepNext w:val="0"/>
                    <w:keepLines w:val="0"/>
                    <w:widowControl/>
                    <w:suppressLineNumbers w:val="0"/>
                    <w:spacing w:before="0" w:beforeAutospacing="0" w:after="0" w:afterAutospacing="0"/>
                    <w:ind w:left="0" w:right="0"/>
                    <w:rPr>
                      <w:rFonts w:hint="default"/>
                      <w:color w:val="FF0000"/>
                    </w:rPr>
                  </w:pPr>
                </w:p>
              </w:tc>
            </w:tr>
            <w:tr w14:paraId="670DD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jc w:val="center"/>
              </w:trPr>
              <w:tc>
                <w:tcPr>
                  <w:tcW w:w="489" w:type="pct"/>
                  <w:vMerge w:val="continue"/>
                  <w:vAlign w:val="center"/>
                </w:tcPr>
                <w:p w14:paraId="24177F7A">
                  <w:pPr>
                    <w:pStyle w:val="42"/>
                    <w:keepNext w:val="0"/>
                    <w:keepLines w:val="0"/>
                    <w:widowControl/>
                    <w:suppressLineNumbers w:val="0"/>
                    <w:spacing w:before="0" w:beforeAutospacing="0" w:after="0" w:afterAutospacing="0"/>
                    <w:ind w:left="0" w:right="0"/>
                    <w:rPr>
                      <w:rFonts w:hint="default"/>
                    </w:rPr>
                  </w:pPr>
                </w:p>
              </w:tc>
              <w:tc>
                <w:tcPr>
                  <w:tcW w:w="367" w:type="pct"/>
                  <w:vAlign w:val="center"/>
                </w:tcPr>
                <w:p w14:paraId="34822158">
                  <w:pPr>
                    <w:pStyle w:val="42"/>
                    <w:keepNext w:val="0"/>
                    <w:keepLines w:val="0"/>
                    <w:widowControl/>
                    <w:suppressLineNumbers w:val="0"/>
                    <w:spacing w:before="0" w:beforeAutospacing="0" w:after="0" w:afterAutospacing="0"/>
                    <w:ind w:left="0" w:right="0"/>
                    <w:rPr>
                      <w:rFonts w:hint="default"/>
                    </w:rPr>
                  </w:pPr>
                  <w:r>
                    <w:t>供暖工程</w:t>
                  </w:r>
                </w:p>
              </w:tc>
              <w:tc>
                <w:tcPr>
                  <w:tcW w:w="3783" w:type="pct"/>
                  <w:tcMar>
                    <w:top w:w="0" w:type="dxa"/>
                    <w:left w:w="108" w:type="dxa"/>
                    <w:bottom w:w="0" w:type="dxa"/>
                    <w:right w:w="108" w:type="dxa"/>
                  </w:tcMar>
                  <w:vAlign w:val="center"/>
                </w:tcPr>
                <w:p w14:paraId="7F460561">
                  <w:pPr>
                    <w:pStyle w:val="42"/>
                    <w:keepNext w:val="0"/>
                    <w:keepLines w:val="0"/>
                    <w:widowControl/>
                    <w:suppressLineNumbers w:val="0"/>
                    <w:spacing w:before="0" w:beforeAutospacing="0" w:after="0" w:afterAutospacing="0"/>
                    <w:ind w:left="0" w:right="0"/>
                    <w:rPr>
                      <w:rFonts w:hint="default"/>
                    </w:rPr>
                  </w:pPr>
                  <w:r>
                    <w:t>项目冬季不生产，无需取暖</w:t>
                  </w:r>
                </w:p>
              </w:tc>
              <w:tc>
                <w:tcPr>
                  <w:tcW w:w="359" w:type="pct"/>
                  <w:vAlign w:val="center"/>
                </w:tcPr>
                <w:p w14:paraId="3C496754">
                  <w:pPr>
                    <w:pStyle w:val="42"/>
                    <w:keepNext w:val="0"/>
                    <w:keepLines w:val="0"/>
                    <w:widowControl/>
                    <w:suppressLineNumbers w:val="0"/>
                    <w:spacing w:before="0" w:beforeAutospacing="0" w:after="0" w:afterAutospacing="0"/>
                    <w:ind w:left="0" w:right="0"/>
                    <w:rPr>
                      <w:rFonts w:hint="default"/>
                      <w:color w:val="FF0000"/>
                    </w:rPr>
                  </w:pPr>
                </w:p>
              </w:tc>
            </w:tr>
            <w:tr w14:paraId="74857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jc w:val="center"/>
              </w:trPr>
              <w:tc>
                <w:tcPr>
                  <w:tcW w:w="489" w:type="pct"/>
                  <w:vMerge w:val="restart"/>
                  <w:vAlign w:val="center"/>
                </w:tcPr>
                <w:p w14:paraId="19D301AA">
                  <w:pPr>
                    <w:pStyle w:val="42"/>
                    <w:keepNext w:val="0"/>
                    <w:keepLines w:val="0"/>
                    <w:widowControl/>
                    <w:suppressLineNumbers w:val="0"/>
                    <w:spacing w:before="0" w:beforeAutospacing="0" w:after="0" w:afterAutospacing="0"/>
                    <w:ind w:left="0" w:right="0"/>
                    <w:rPr>
                      <w:rFonts w:hint="default"/>
                    </w:rPr>
                  </w:pPr>
                  <w:r>
                    <w:t>环保工程</w:t>
                  </w:r>
                </w:p>
              </w:tc>
              <w:tc>
                <w:tcPr>
                  <w:tcW w:w="367" w:type="pct"/>
                  <w:vAlign w:val="center"/>
                </w:tcPr>
                <w:p w14:paraId="4EF39493">
                  <w:pPr>
                    <w:pStyle w:val="42"/>
                    <w:keepNext w:val="0"/>
                    <w:keepLines w:val="0"/>
                    <w:widowControl/>
                    <w:suppressLineNumbers w:val="0"/>
                    <w:spacing w:before="0" w:beforeAutospacing="0" w:after="0" w:afterAutospacing="0"/>
                    <w:ind w:left="0" w:right="0"/>
                    <w:rPr>
                      <w:rFonts w:hint="default"/>
                    </w:rPr>
                  </w:pPr>
                  <w:r>
                    <w:t>废气治理工程</w:t>
                  </w:r>
                </w:p>
              </w:tc>
              <w:tc>
                <w:tcPr>
                  <w:tcW w:w="4142" w:type="pct"/>
                  <w:gridSpan w:val="2"/>
                  <w:tcMar>
                    <w:top w:w="0" w:type="dxa"/>
                    <w:left w:w="108" w:type="dxa"/>
                    <w:bottom w:w="0" w:type="dxa"/>
                    <w:right w:w="108" w:type="dxa"/>
                  </w:tcMar>
                  <w:vAlign w:val="center"/>
                </w:tcPr>
                <w:p w14:paraId="71979F9E">
                  <w:pPr>
                    <w:pStyle w:val="42"/>
                    <w:keepNext w:val="0"/>
                    <w:keepLines w:val="0"/>
                    <w:widowControl/>
                    <w:suppressLineNumbers w:val="0"/>
                    <w:spacing w:before="0" w:beforeAutospacing="0" w:after="0" w:afterAutospacing="0"/>
                    <w:ind w:left="0" w:right="0"/>
                    <w:rPr>
                      <w:rFonts w:hint="default"/>
                    </w:rPr>
                  </w:pPr>
                  <w:r>
                    <w:t>石粉和石子均堆存于堆存库房内，堆存库内原料堆存区设置喷淋抑尘装置降尘抑尘；</w:t>
                  </w:r>
                </w:p>
                <w:p w14:paraId="60D376E5">
                  <w:pPr>
                    <w:pStyle w:val="42"/>
                    <w:keepNext w:val="0"/>
                    <w:keepLines w:val="0"/>
                    <w:widowControl/>
                    <w:suppressLineNumbers w:val="0"/>
                    <w:spacing w:before="0" w:beforeAutospacing="0" w:after="0" w:afterAutospacing="0"/>
                    <w:ind w:left="0" w:right="0"/>
                    <w:rPr>
                      <w:rFonts w:hint="default"/>
                    </w:rPr>
                  </w:pPr>
                  <w:r>
                    <w:t>厂区地面硬化、车辆减速慢行等措施减少运输扬尘；</w:t>
                  </w:r>
                </w:p>
                <w:p w14:paraId="2B850AD5">
                  <w:pPr>
                    <w:pStyle w:val="42"/>
                    <w:keepNext w:val="0"/>
                    <w:keepLines w:val="0"/>
                    <w:widowControl/>
                    <w:suppressLineNumbers w:val="0"/>
                    <w:spacing w:before="0" w:beforeAutospacing="0" w:after="0" w:afterAutospacing="0"/>
                    <w:ind w:left="0" w:right="0"/>
                    <w:rPr>
                      <w:rFonts w:hint="default"/>
                    </w:rPr>
                  </w:pPr>
                  <w:r>
                    <w:t>石子、石粉料仓上料口及搅拌机设置集气罩收集废气，废气通到布袋除尘器经处理后由15m高的排气筒排放；</w:t>
                  </w:r>
                </w:p>
                <w:p w14:paraId="29FD467A">
                  <w:pPr>
                    <w:pStyle w:val="42"/>
                    <w:keepNext w:val="0"/>
                    <w:keepLines w:val="0"/>
                    <w:widowControl/>
                    <w:suppressLineNumbers w:val="0"/>
                    <w:spacing w:before="0" w:beforeAutospacing="0" w:after="0" w:afterAutospacing="0"/>
                    <w:ind w:left="0" w:right="0"/>
                    <w:rPr>
                      <w:rFonts w:hint="default"/>
                    </w:rPr>
                  </w:pPr>
                  <w:r>
                    <w:t>水泥筒仓冲料产生的粉尘被筒仓自带的仓顶泄压式布袋除尘器收集处理后排放。</w:t>
                  </w:r>
                </w:p>
              </w:tc>
            </w:tr>
            <w:tr w14:paraId="1E416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jc w:val="center"/>
              </w:trPr>
              <w:tc>
                <w:tcPr>
                  <w:tcW w:w="489" w:type="pct"/>
                  <w:vMerge w:val="continue"/>
                  <w:vAlign w:val="center"/>
                </w:tcPr>
                <w:p w14:paraId="3F942DA0">
                  <w:pPr>
                    <w:pStyle w:val="42"/>
                    <w:keepNext w:val="0"/>
                    <w:keepLines w:val="0"/>
                    <w:widowControl/>
                    <w:suppressLineNumbers w:val="0"/>
                    <w:spacing w:before="0" w:beforeAutospacing="0" w:after="0" w:afterAutospacing="0"/>
                    <w:ind w:left="0" w:right="0"/>
                    <w:rPr>
                      <w:rFonts w:hint="default"/>
                    </w:rPr>
                  </w:pPr>
                </w:p>
              </w:tc>
              <w:tc>
                <w:tcPr>
                  <w:tcW w:w="367" w:type="pct"/>
                  <w:vAlign w:val="center"/>
                </w:tcPr>
                <w:p w14:paraId="32A71716">
                  <w:pPr>
                    <w:pStyle w:val="42"/>
                    <w:keepNext w:val="0"/>
                    <w:keepLines w:val="0"/>
                    <w:widowControl/>
                    <w:suppressLineNumbers w:val="0"/>
                    <w:spacing w:before="0" w:beforeAutospacing="0" w:after="0" w:afterAutospacing="0"/>
                    <w:ind w:left="0" w:right="0"/>
                    <w:rPr>
                      <w:rFonts w:hint="default"/>
                    </w:rPr>
                  </w:pPr>
                  <w:r>
                    <w:t>废水治理工程</w:t>
                  </w:r>
                </w:p>
              </w:tc>
              <w:tc>
                <w:tcPr>
                  <w:tcW w:w="4142" w:type="pct"/>
                  <w:gridSpan w:val="2"/>
                  <w:tcMar>
                    <w:top w:w="0" w:type="dxa"/>
                    <w:left w:w="108" w:type="dxa"/>
                    <w:bottom w:w="0" w:type="dxa"/>
                    <w:right w:w="108" w:type="dxa"/>
                  </w:tcMar>
                  <w:vAlign w:val="center"/>
                </w:tcPr>
                <w:p w14:paraId="4F2D772A">
                  <w:pPr>
                    <w:pStyle w:val="42"/>
                    <w:keepNext w:val="0"/>
                    <w:keepLines w:val="0"/>
                    <w:widowControl/>
                    <w:suppressLineNumbers w:val="0"/>
                    <w:spacing w:before="0" w:beforeAutospacing="0" w:after="0" w:afterAutospacing="0"/>
                    <w:ind w:left="0" w:right="0"/>
                    <w:rPr>
                      <w:rFonts w:hint="default"/>
                    </w:rPr>
                  </w:pPr>
                  <w:r>
                    <w:t>项目生活污水为盥洗污水，水质简单，用作洒水降尘使用</w:t>
                  </w:r>
                </w:p>
              </w:tc>
            </w:tr>
            <w:tr w14:paraId="3F56E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jc w:val="center"/>
              </w:trPr>
              <w:tc>
                <w:tcPr>
                  <w:tcW w:w="489" w:type="pct"/>
                  <w:vMerge w:val="continue"/>
                  <w:vAlign w:val="center"/>
                </w:tcPr>
                <w:p w14:paraId="4F1B9937">
                  <w:pPr>
                    <w:pStyle w:val="42"/>
                    <w:keepNext w:val="0"/>
                    <w:keepLines w:val="0"/>
                    <w:widowControl/>
                    <w:suppressLineNumbers w:val="0"/>
                    <w:spacing w:before="0" w:beforeAutospacing="0" w:after="0" w:afterAutospacing="0"/>
                    <w:ind w:left="0" w:right="0"/>
                    <w:rPr>
                      <w:rFonts w:hint="default"/>
                    </w:rPr>
                  </w:pPr>
                </w:p>
              </w:tc>
              <w:tc>
                <w:tcPr>
                  <w:tcW w:w="367" w:type="pct"/>
                  <w:vAlign w:val="center"/>
                </w:tcPr>
                <w:p w14:paraId="70D1BD9A">
                  <w:pPr>
                    <w:pStyle w:val="42"/>
                    <w:keepNext w:val="0"/>
                    <w:keepLines w:val="0"/>
                    <w:widowControl/>
                    <w:suppressLineNumbers w:val="0"/>
                    <w:spacing w:before="0" w:beforeAutospacing="0" w:after="0" w:afterAutospacing="0"/>
                    <w:ind w:left="0" w:right="0"/>
                    <w:rPr>
                      <w:rFonts w:hint="default"/>
                    </w:rPr>
                  </w:pPr>
                  <w:r>
                    <w:t>噪声治理工程</w:t>
                  </w:r>
                </w:p>
              </w:tc>
              <w:tc>
                <w:tcPr>
                  <w:tcW w:w="4142" w:type="pct"/>
                  <w:gridSpan w:val="2"/>
                  <w:shd w:val="clear" w:color="auto" w:fill="auto"/>
                  <w:tcMar>
                    <w:top w:w="0" w:type="dxa"/>
                    <w:left w:w="108" w:type="dxa"/>
                    <w:bottom w:w="0" w:type="dxa"/>
                    <w:right w:w="108" w:type="dxa"/>
                  </w:tcMar>
                  <w:vAlign w:val="center"/>
                </w:tcPr>
                <w:p w14:paraId="3963A8FE">
                  <w:pPr>
                    <w:pStyle w:val="42"/>
                    <w:keepNext w:val="0"/>
                    <w:keepLines w:val="0"/>
                    <w:widowControl/>
                    <w:suppressLineNumbers w:val="0"/>
                    <w:spacing w:before="0" w:beforeAutospacing="0" w:after="0" w:afterAutospacing="0"/>
                    <w:ind w:left="0" w:right="0"/>
                    <w:rPr>
                      <w:rFonts w:hint="default"/>
                    </w:rPr>
                  </w:pPr>
                  <w:r>
                    <w:t>选用低产噪设备，设备设置在封闭的设备间内，并进行减振处理、加强设备维护。运输车辆减速慢行，禁止鸣笛。</w:t>
                  </w:r>
                </w:p>
              </w:tc>
            </w:tr>
            <w:tr w14:paraId="6D3B5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jc w:val="center"/>
              </w:trPr>
              <w:tc>
                <w:tcPr>
                  <w:tcW w:w="489" w:type="pct"/>
                  <w:vMerge w:val="continue"/>
                  <w:vAlign w:val="center"/>
                </w:tcPr>
                <w:p w14:paraId="052B98DE">
                  <w:pPr>
                    <w:pStyle w:val="42"/>
                    <w:keepNext w:val="0"/>
                    <w:keepLines w:val="0"/>
                    <w:widowControl/>
                    <w:suppressLineNumbers w:val="0"/>
                    <w:spacing w:before="0" w:beforeAutospacing="0" w:after="0" w:afterAutospacing="0"/>
                    <w:ind w:left="0" w:right="0"/>
                    <w:rPr>
                      <w:rFonts w:hint="default"/>
                    </w:rPr>
                  </w:pPr>
                </w:p>
              </w:tc>
              <w:tc>
                <w:tcPr>
                  <w:tcW w:w="367" w:type="pct"/>
                  <w:vMerge w:val="restart"/>
                  <w:vAlign w:val="center"/>
                </w:tcPr>
                <w:p w14:paraId="74942A94">
                  <w:pPr>
                    <w:pStyle w:val="42"/>
                    <w:keepNext w:val="0"/>
                    <w:keepLines w:val="0"/>
                    <w:widowControl/>
                    <w:suppressLineNumbers w:val="0"/>
                    <w:spacing w:before="0" w:beforeAutospacing="0" w:after="0" w:afterAutospacing="0"/>
                    <w:ind w:left="0" w:right="0"/>
                    <w:rPr>
                      <w:rFonts w:hint="default"/>
                    </w:rPr>
                  </w:pPr>
                  <w:r>
                    <w:t>固废处置工程</w:t>
                  </w:r>
                </w:p>
              </w:tc>
              <w:tc>
                <w:tcPr>
                  <w:tcW w:w="4142" w:type="pct"/>
                  <w:gridSpan w:val="2"/>
                  <w:shd w:val="clear" w:color="auto" w:fill="auto"/>
                  <w:tcMar>
                    <w:top w:w="0" w:type="dxa"/>
                    <w:left w:w="108" w:type="dxa"/>
                    <w:bottom w:w="0" w:type="dxa"/>
                    <w:right w:w="108" w:type="dxa"/>
                  </w:tcMar>
                  <w:vAlign w:val="center"/>
                </w:tcPr>
                <w:p w14:paraId="733256DD">
                  <w:pPr>
                    <w:pStyle w:val="42"/>
                    <w:keepNext w:val="0"/>
                    <w:keepLines w:val="0"/>
                    <w:widowControl/>
                    <w:suppressLineNumbers w:val="0"/>
                    <w:spacing w:before="0" w:beforeAutospacing="0" w:after="0" w:afterAutospacing="0"/>
                    <w:ind w:left="0" w:right="0"/>
                    <w:rPr>
                      <w:rFonts w:hint="default"/>
                    </w:rPr>
                  </w:pPr>
                  <w:r>
                    <w:t>厂内设置垃圾桶，员工生活垃圾集中收集运至环卫部门指定地点交由环卫部门统一处理。</w:t>
                  </w:r>
                </w:p>
              </w:tc>
            </w:tr>
            <w:tr w14:paraId="5398E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jc w:val="center"/>
              </w:trPr>
              <w:tc>
                <w:tcPr>
                  <w:tcW w:w="489" w:type="pct"/>
                  <w:vMerge w:val="continue"/>
                  <w:vAlign w:val="center"/>
                </w:tcPr>
                <w:p w14:paraId="18FBFD4C">
                  <w:pPr>
                    <w:pStyle w:val="42"/>
                    <w:keepNext w:val="0"/>
                    <w:keepLines w:val="0"/>
                    <w:widowControl/>
                    <w:suppressLineNumbers w:val="0"/>
                    <w:spacing w:before="0" w:beforeAutospacing="0" w:after="0" w:afterAutospacing="0"/>
                    <w:ind w:left="0" w:right="0"/>
                    <w:rPr>
                      <w:rFonts w:hint="default"/>
                    </w:rPr>
                  </w:pPr>
                </w:p>
              </w:tc>
              <w:tc>
                <w:tcPr>
                  <w:tcW w:w="367" w:type="pct"/>
                  <w:vMerge w:val="continue"/>
                  <w:vAlign w:val="center"/>
                </w:tcPr>
                <w:p w14:paraId="16311777">
                  <w:pPr>
                    <w:pStyle w:val="42"/>
                    <w:keepNext w:val="0"/>
                    <w:keepLines w:val="0"/>
                    <w:widowControl/>
                    <w:suppressLineNumbers w:val="0"/>
                    <w:spacing w:before="0" w:beforeAutospacing="0" w:after="0" w:afterAutospacing="0"/>
                    <w:ind w:left="0" w:right="0"/>
                    <w:rPr>
                      <w:rFonts w:hint="default"/>
                      <w:color w:val="FF0000"/>
                    </w:rPr>
                  </w:pPr>
                </w:p>
              </w:tc>
              <w:tc>
                <w:tcPr>
                  <w:tcW w:w="4142" w:type="pct"/>
                  <w:gridSpan w:val="2"/>
                  <w:shd w:val="clear" w:color="auto" w:fill="auto"/>
                  <w:tcMar>
                    <w:top w:w="0" w:type="dxa"/>
                    <w:left w:w="108" w:type="dxa"/>
                    <w:bottom w:w="0" w:type="dxa"/>
                    <w:right w:w="108" w:type="dxa"/>
                  </w:tcMar>
                  <w:vAlign w:val="center"/>
                </w:tcPr>
                <w:p w14:paraId="745DF550">
                  <w:pPr>
                    <w:pStyle w:val="42"/>
                    <w:keepNext w:val="0"/>
                    <w:keepLines w:val="0"/>
                    <w:widowControl/>
                    <w:suppressLineNumbers w:val="0"/>
                    <w:spacing w:before="0" w:beforeAutospacing="0" w:after="0" w:afterAutospacing="0"/>
                    <w:ind w:left="0" w:right="0"/>
                    <w:rPr>
                      <w:rFonts w:hint="default"/>
                    </w:rPr>
                  </w:pPr>
                  <w:r>
                    <w:t>于厂区内设置危险废物贮存间1座，建筑面积6m</w:t>
                  </w:r>
                  <w:r>
                    <w:rPr>
                      <w:vertAlign w:val="superscript"/>
                    </w:rPr>
                    <w:t>2</w:t>
                  </w:r>
                  <w:r>
                    <w:t>，设备检修维护产生的废润滑油和废油桶集中收集后于危险废物贮存间内暂存，定期交由有资质的单位处置。</w:t>
                  </w:r>
                </w:p>
              </w:tc>
            </w:tr>
          </w:tbl>
          <w:p w14:paraId="2C572B5F">
            <w:pPr>
              <w:keepNext w:val="0"/>
              <w:keepLines w:val="0"/>
              <w:suppressLineNumbers w:val="0"/>
              <w:spacing w:before="120" w:beforeLines="50" w:beforeAutospacing="0" w:after="0" w:afterAutospacing="0"/>
              <w:ind w:left="0" w:right="0" w:firstLine="482"/>
              <w:rPr>
                <w:rFonts w:hint="default"/>
                <w:b/>
              </w:rPr>
            </w:pPr>
            <w:r>
              <w:rPr>
                <w:rFonts w:hint="default"/>
                <w:b/>
              </w:rPr>
              <w:t>2．</w:t>
            </w:r>
            <w:r>
              <w:rPr>
                <w:rFonts w:hint="eastAsia"/>
                <w:b/>
              </w:rPr>
              <w:t>主要产品及产能</w:t>
            </w:r>
          </w:p>
          <w:p w14:paraId="272795A8">
            <w:pPr>
              <w:keepNext w:val="0"/>
              <w:keepLines w:val="0"/>
              <w:suppressLineNumbers w:val="0"/>
              <w:spacing w:before="0" w:beforeAutospacing="0" w:after="0" w:afterAutospacing="0"/>
              <w:ind w:left="0" w:right="0" w:firstLine="480"/>
              <w:rPr>
                <w:rFonts w:hint="default"/>
              </w:rPr>
            </w:pPr>
            <w:r>
              <w:rPr>
                <w:rFonts w:hint="eastAsia"/>
              </w:rPr>
              <w:t>项目设计年生产集成构件3万m</w:t>
            </w:r>
            <w:r>
              <w:rPr>
                <w:rFonts w:hint="default"/>
                <w:vertAlign w:val="superscript"/>
              </w:rPr>
              <w:t>3</w:t>
            </w:r>
            <w:r>
              <w:rPr>
                <w:rFonts w:hint="eastAsia"/>
              </w:rPr>
              <w:t>/a。</w:t>
            </w:r>
          </w:p>
          <w:p w14:paraId="34A52613">
            <w:pPr>
              <w:keepNext w:val="0"/>
              <w:keepLines w:val="0"/>
              <w:suppressLineNumbers w:val="0"/>
              <w:spacing w:before="0" w:beforeAutospacing="0" w:after="0" w:afterAutospacing="0"/>
              <w:ind w:left="0" w:right="0" w:firstLine="480"/>
              <w:rPr>
                <w:rFonts w:hint="default"/>
              </w:rPr>
            </w:pPr>
            <w:r>
              <w:rPr>
                <w:rFonts w:hint="eastAsia"/>
              </w:rPr>
              <w:t>具体的产品构成列表如下：</w:t>
            </w:r>
          </w:p>
          <w:p w14:paraId="3EB26ACA">
            <w:pPr>
              <w:pStyle w:val="40"/>
              <w:keepNext w:val="0"/>
              <w:keepLines w:val="0"/>
              <w:numPr>
                <w:ilvl w:val="0"/>
                <w:numId w:val="8"/>
              </w:numPr>
              <w:suppressLineNumbers w:val="0"/>
              <w:spacing w:before="0" w:beforeAutospacing="0" w:after="0" w:afterAutospacing="0"/>
              <w:ind w:left="0" w:right="0" w:firstLine="0" w:firstLineChars="0"/>
              <w:jc w:val="center"/>
              <w:rPr>
                <w:rFonts w:hint="eastAsia" w:ascii="宋体" w:hAnsi="宋体" w:eastAsia="宋体"/>
                <w:b/>
                <w:sz w:val="21"/>
              </w:rPr>
            </w:pPr>
            <w:r>
              <w:rPr>
                <w:rFonts w:hint="eastAsia" w:ascii="宋体" w:hAnsi="宋体" w:eastAsia="宋体"/>
                <w:b/>
                <w:sz w:val="21"/>
              </w:rPr>
              <w:t>项目产品方案一览表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656"/>
              <w:gridCol w:w="1079"/>
              <w:gridCol w:w="1125"/>
              <w:gridCol w:w="1172"/>
              <w:gridCol w:w="2029"/>
            </w:tblGrid>
            <w:tr w14:paraId="785E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9" w:type="pct"/>
                  <w:vAlign w:val="center"/>
                </w:tcPr>
                <w:p w14:paraId="5DB79096">
                  <w:pPr>
                    <w:pStyle w:val="42"/>
                    <w:keepNext w:val="0"/>
                    <w:keepLines w:val="0"/>
                    <w:widowControl/>
                    <w:suppressLineNumbers w:val="0"/>
                    <w:spacing w:before="0" w:beforeAutospacing="0" w:after="0" w:afterAutospacing="0"/>
                    <w:ind w:left="0" w:right="0"/>
                    <w:rPr>
                      <w:rFonts w:hint="default"/>
                      <w:b/>
                      <w:bCs/>
                    </w:rPr>
                  </w:pPr>
                  <w:r>
                    <w:rPr>
                      <w:b/>
                      <w:bCs/>
                    </w:rPr>
                    <w:t>序号</w:t>
                  </w:r>
                </w:p>
              </w:tc>
              <w:tc>
                <w:tcPr>
                  <w:tcW w:w="1043" w:type="pct"/>
                  <w:vAlign w:val="center"/>
                </w:tcPr>
                <w:p w14:paraId="6632B616">
                  <w:pPr>
                    <w:pStyle w:val="42"/>
                    <w:keepNext w:val="0"/>
                    <w:keepLines w:val="0"/>
                    <w:widowControl/>
                    <w:suppressLineNumbers w:val="0"/>
                    <w:spacing w:before="0" w:beforeAutospacing="0" w:after="0" w:afterAutospacing="0"/>
                    <w:ind w:left="0" w:right="0"/>
                    <w:rPr>
                      <w:rFonts w:hint="default"/>
                      <w:b/>
                      <w:bCs/>
                    </w:rPr>
                  </w:pPr>
                  <w:r>
                    <w:rPr>
                      <w:b/>
                      <w:bCs/>
                    </w:rPr>
                    <w:t>产品名称</w:t>
                  </w:r>
                </w:p>
              </w:tc>
              <w:tc>
                <w:tcPr>
                  <w:tcW w:w="680" w:type="pct"/>
                  <w:vAlign w:val="center"/>
                </w:tcPr>
                <w:p w14:paraId="428063E7">
                  <w:pPr>
                    <w:pStyle w:val="42"/>
                    <w:keepNext w:val="0"/>
                    <w:keepLines w:val="0"/>
                    <w:widowControl/>
                    <w:suppressLineNumbers w:val="0"/>
                    <w:spacing w:before="0" w:beforeAutospacing="0" w:after="0" w:afterAutospacing="0"/>
                    <w:ind w:left="0" w:right="0"/>
                    <w:rPr>
                      <w:rFonts w:hint="default"/>
                      <w:b/>
                      <w:bCs/>
                    </w:rPr>
                  </w:pPr>
                  <w:r>
                    <w:rPr>
                      <w:b/>
                      <w:bCs/>
                    </w:rPr>
                    <w:t>规格</w:t>
                  </w:r>
                </w:p>
              </w:tc>
              <w:tc>
                <w:tcPr>
                  <w:tcW w:w="709" w:type="pct"/>
                  <w:vAlign w:val="center"/>
                </w:tcPr>
                <w:p w14:paraId="52855CB3">
                  <w:pPr>
                    <w:pStyle w:val="42"/>
                    <w:keepNext w:val="0"/>
                    <w:keepLines w:val="0"/>
                    <w:widowControl/>
                    <w:suppressLineNumbers w:val="0"/>
                    <w:spacing w:before="0" w:beforeAutospacing="0" w:after="0" w:afterAutospacing="0"/>
                    <w:ind w:left="0" w:right="0"/>
                    <w:rPr>
                      <w:rFonts w:hint="default"/>
                      <w:b/>
                      <w:bCs/>
                    </w:rPr>
                  </w:pPr>
                  <w:r>
                    <w:rPr>
                      <w:b/>
                      <w:bCs/>
                    </w:rPr>
                    <w:t>数量</w:t>
                  </w:r>
                </w:p>
              </w:tc>
              <w:tc>
                <w:tcPr>
                  <w:tcW w:w="738" w:type="pct"/>
                  <w:vAlign w:val="center"/>
                </w:tcPr>
                <w:p w14:paraId="61421950">
                  <w:pPr>
                    <w:pStyle w:val="42"/>
                    <w:keepNext w:val="0"/>
                    <w:keepLines w:val="0"/>
                    <w:widowControl/>
                    <w:suppressLineNumbers w:val="0"/>
                    <w:spacing w:before="0" w:beforeAutospacing="0" w:after="0" w:afterAutospacing="0"/>
                    <w:ind w:left="0" w:right="0"/>
                    <w:rPr>
                      <w:rFonts w:hint="default"/>
                      <w:b/>
                      <w:bCs/>
                    </w:rPr>
                  </w:pPr>
                  <w:r>
                    <w:rPr>
                      <w:b/>
                      <w:bCs/>
                    </w:rPr>
                    <w:t>单位</w:t>
                  </w:r>
                </w:p>
              </w:tc>
              <w:tc>
                <w:tcPr>
                  <w:tcW w:w="1278" w:type="pct"/>
                  <w:vAlign w:val="center"/>
                </w:tcPr>
                <w:p w14:paraId="3FD20D8B">
                  <w:pPr>
                    <w:pStyle w:val="42"/>
                    <w:keepNext w:val="0"/>
                    <w:keepLines w:val="0"/>
                    <w:widowControl/>
                    <w:suppressLineNumbers w:val="0"/>
                    <w:spacing w:before="0" w:beforeAutospacing="0" w:after="0" w:afterAutospacing="0"/>
                    <w:ind w:left="0" w:right="0"/>
                    <w:rPr>
                      <w:rFonts w:hint="default"/>
                      <w:b/>
                      <w:bCs/>
                    </w:rPr>
                  </w:pPr>
                  <w:r>
                    <w:rPr>
                      <w:b/>
                      <w:bCs/>
                    </w:rPr>
                    <w:t>备注</w:t>
                  </w:r>
                </w:p>
              </w:tc>
            </w:tr>
            <w:tr w14:paraId="7825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9" w:type="pct"/>
                  <w:vAlign w:val="center"/>
                </w:tcPr>
                <w:p w14:paraId="5AA90927">
                  <w:pPr>
                    <w:pStyle w:val="42"/>
                    <w:keepNext w:val="0"/>
                    <w:keepLines w:val="0"/>
                    <w:widowControl/>
                    <w:suppressLineNumbers w:val="0"/>
                    <w:spacing w:before="0" w:beforeAutospacing="0" w:after="0" w:afterAutospacing="0"/>
                    <w:ind w:left="0" w:right="0"/>
                    <w:rPr>
                      <w:rFonts w:hint="default"/>
                    </w:rPr>
                  </w:pPr>
                  <w:r>
                    <w:t>1</w:t>
                  </w:r>
                </w:p>
              </w:tc>
              <w:tc>
                <w:tcPr>
                  <w:tcW w:w="1043" w:type="pct"/>
                  <w:vAlign w:val="center"/>
                </w:tcPr>
                <w:p w14:paraId="21D0FA4E">
                  <w:pPr>
                    <w:pStyle w:val="42"/>
                    <w:keepNext w:val="0"/>
                    <w:keepLines w:val="0"/>
                    <w:widowControl/>
                    <w:suppressLineNumbers w:val="0"/>
                    <w:spacing w:before="0" w:beforeAutospacing="0" w:after="0" w:afterAutospacing="0"/>
                    <w:ind w:left="0" w:right="0"/>
                    <w:rPr>
                      <w:rFonts w:hint="default"/>
                    </w:rPr>
                  </w:pPr>
                  <w:r>
                    <w:t>集成构件</w:t>
                  </w:r>
                </w:p>
              </w:tc>
              <w:tc>
                <w:tcPr>
                  <w:tcW w:w="680" w:type="pct"/>
                  <w:vAlign w:val="center"/>
                </w:tcPr>
                <w:p w14:paraId="691F53B5">
                  <w:pPr>
                    <w:pStyle w:val="42"/>
                    <w:keepNext w:val="0"/>
                    <w:keepLines w:val="0"/>
                    <w:widowControl/>
                    <w:suppressLineNumbers w:val="0"/>
                    <w:spacing w:before="0" w:beforeAutospacing="0" w:after="0" w:afterAutospacing="0"/>
                    <w:ind w:left="0" w:right="0"/>
                    <w:rPr>
                      <w:rFonts w:hint="default"/>
                    </w:rPr>
                  </w:pPr>
                  <w:r>
                    <w:t>/</w:t>
                  </w:r>
                </w:p>
              </w:tc>
              <w:tc>
                <w:tcPr>
                  <w:tcW w:w="709" w:type="pct"/>
                  <w:vAlign w:val="center"/>
                </w:tcPr>
                <w:p w14:paraId="71DB2AA1">
                  <w:pPr>
                    <w:pStyle w:val="42"/>
                    <w:keepNext w:val="0"/>
                    <w:keepLines w:val="0"/>
                    <w:widowControl/>
                    <w:suppressLineNumbers w:val="0"/>
                    <w:spacing w:before="0" w:beforeAutospacing="0" w:after="0" w:afterAutospacing="0"/>
                    <w:ind w:left="0" w:right="0"/>
                    <w:rPr>
                      <w:rFonts w:hint="default"/>
                    </w:rPr>
                  </w:pPr>
                  <w:r>
                    <w:t>3</w:t>
                  </w:r>
                </w:p>
              </w:tc>
              <w:tc>
                <w:tcPr>
                  <w:tcW w:w="738" w:type="pct"/>
                  <w:vAlign w:val="center"/>
                </w:tcPr>
                <w:p w14:paraId="7FFF678F">
                  <w:pPr>
                    <w:pStyle w:val="42"/>
                    <w:keepNext w:val="0"/>
                    <w:keepLines w:val="0"/>
                    <w:widowControl/>
                    <w:suppressLineNumbers w:val="0"/>
                    <w:spacing w:before="0" w:beforeAutospacing="0" w:after="0" w:afterAutospacing="0"/>
                    <w:ind w:left="0" w:right="0"/>
                    <w:rPr>
                      <w:rFonts w:hint="default"/>
                    </w:rPr>
                  </w:pPr>
                  <w:r>
                    <w:t>万m</w:t>
                  </w:r>
                  <w:r>
                    <w:rPr>
                      <w:vertAlign w:val="superscript"/>
                    </w:rPr>
                    <w:t>3</w:t>
                  </w:r>
                  <w:r>
                    <w:t>/a</w:t>
                  </w:r>
                </w:p>
              </w:tc>
              <w:tc>
                <w:tcPr>
                  <w:tcW w:w="1278" w:type="pct"/>
                  <w:vAlign w:val="center"/>
                </w:tcPr>
                <w:p w14:paraId="0434C992">
                  <w:pPr>
                    <w:pStyle w:val="42"/>
                    <w:keepNext w:val="0"/>
                    <w:keepLines w:val="0"/>
                    <w:widowControl/>
                    <w:suppressLineNumbers w:val="0"/>
                    <w:spacing w:before="0" w:beforeAutospacing="0" w:after="0" w:afterAutospacing="0"/>
                    <w:ind w:left="0" w:right="0"/>
                    <w:rPr>
                      <w:rFonts w:hint="default"/>
                    </w:rPr>
                  </w:pPr>
                  <w:r>
                    <w:t>集成构件包括水泥盖板，流水槽，隔离墩等2000余种，不具体列出</w:t>
                  </w:r>
                </w:p>
              </w:tc>
            </w:tr>
          </w:tbl>
          <w:p w14:paraId="558AAE1B">
            <w:pPr>
              <w:keepNext w:val="0"/>
              <w:keepLines w:val="0"/>
              <w:suppressLineNumbers w:val="0"/>
              <w:spacing w:before="120" w:beforeLines="50" w:beforeAutospacing="0" w:after="0" w:afterAutospacing="0"/>
              <w:ind w:left="0" w:right="0" w:firstLine="482"/>
              <w:rPr>
                <w:rFonts w:hint="default"/>
                <w:b/>
              </w:rPr>
            </w:pPr>
            <w:r>
              <w:rPr>
                <w:rFonts w:hint="default"/>
                <w:b/>
              </w:rPr>
              <w:t>3．</w:t>
            </w:r>
            <w:r>
              <w:rPr>
                <w:rFonts w:hint="eastAsia"/>
                <w:b/>
              </w:rPr>
              <w:t>主要生产单元及主要生产工艺</w:t>
            </w:r>
          </w:p>
          <w:p w14:paraId="4446313A">
            <w:pPr>
              <w:keepNext w:val="0"/>
              <w:keepLines w:val="0"/>
              <w:suppressLineNumbers w:val="0"/>
              <w:spacing w:before="0" w:beforeAutospacing="0" w:after="0" w:afterAutospacing="0"/>
              <w:ind w:left="0" w:right="0" w:firstLine="480"/>
              <w:rPr>
                <w:rFonts w:hint="default"/>
              </w:rPr>
            </w:pPr>
            <w:r>
              <w:rPr>
                <w:rFonts w:hint="eastAsia"/>
              </w:rPr>
              <w:t>项目生产单元主要是集成构件生产单元。</w:t>
            </w:r>
          </w:p>
          <w:p w14:paraId="53DB5BBB">
            <w:pPr>
              <w:keepNext w:val="0"/>
              <w:keepLines w:val="0"/>
              <w:suppressLineNumbers w:val="0"/>
              <w:spacing w:before="0" w:beforeAutospacing="0" w:after="0" w:afterAutospacing="0"/>
              <w:ind w:left="0" w:right="0" w:firstLine="480"/>
              <w:rPr>
                <w:rFonts w:hint="default"/>
                <w:color w:val="FF0000"/>
              </w:rPr>
            </w:pPr>
            <w:r>
              <w:rPr>
                <w:rFonts w:hint="default"/>
              </w:rPr>
              <w:t>集成构件生产单元主要是以石子、石粉、水泥等为原料，利用搅拌设备生产混凝土，</w:t>
            </w:r>
            <w:r>
              <w:rPr>
                <w:rFonts w:hint="eastAsia"/>
              </w:rPr>
              <w:t>生产的混凝土再导入模具中生产水泥集成构件。</w:t>
            </w:r>
            <w:r>
              <w:rPr>
                <w:rFonts w:hint="default"/>
              </w:rPr>
              <w:t>主要生产工艺包括：配料、输送、搅拌、</w:t>
            </w:r>
            <w:r>
              <w:rPr>
                <w:rFonts w:hint="eastAsia"/>
              </w:rPr>
              <w:t>模具成型、养护</w:t>
            </w:r>
            <w:r>
              <w:rPr>
                <w:rFonts w:hint="default"/>
              </w:rPr>
              <w:t>、</w:t>
            </w:r>
            <w:r>
              <w:rPr>
                <w:rFonts w:hint="eastAsia"/>
              </w:rPr>
              <w:t>贮存</w:t>
            </w:r>
            <w:r>
              <w:rPr>
                <w:rFonts w:hint="default"/>
              </w:rPr>
              <w:t>。</w:t>
            </w:r>
          </w:p>
          <w:p w14:paraId="215AF0B9">
            <w:pPr>
              <w:keepNext w:val="0"/>
              <w:keepLines w:val="0"/>
              <w:suppressLineNumbers w:val="0"/>
              <w:spacing w:before="0" w:beforeAutospacing="0" w:after="0" w:afterAutospacing="0"/>
              <w:ind w:left="0" w:right="0" w:firstLine="482"/>
              <w:rPr>
                <w:rFonts w:hint="default"/>
                <w:b/>
              </w:rPr>
            </w:pPr>
            <w:r>
              <w:rPr>
                <w:rFonts w:hint="default"/>
                <w:b/>
              </w:rPr>
              <w:t>4．</w:t>
            </w:r>
            <w:r>
              <w:rPr>
                <w:rFonts w:hint="eastAsia"/>
                <w:b/>
              </w:rPr>
              <w:t>主要生产设施及设施参数</w:t>
            </w:r>
          </w:p>
          <w:p w14:paraId="38D1B03D">
            <w:pPr>
              <w:keepNext w:val="0"/>
              <w:keepLines w:val="0"/>
              <w:suppressLineNumbers w:val="0"/>
              <w:spacing w:before="0" w:beforeAutospacing="0" w:after="0" w:afterAutospacing="0"/>
              <w:ind w:left="0" w:right="0" w:firstLine="480"/>
              <w:rPr>
                <w:rFonts w:hint="default"/>
              </w:rPr>
            </w:pPr>
            <w:r>
              <w:rPr>
                <w:rFonts w:hint="eastAsia"/>
              </w:rPr>
              <w:t>项目主要生产设施及设施参数列表如下：</w:t>
            </w:r>
          </w:p>
          <w:p w14:paraId="5F62F57E">
            <w:pPr>
              <w:pStyle w:val="40"/>
              <w:keepNext w:val="0"/>
              <w:keepLines w:val="0"/>
              <w:numPr>
                <w:ilvl w:val="0"/>
                <w:numId w:val="8"/>
              </w:numPr>
              <w:suppressLineNumbers w:val="0"/>
              <w:spacing w:before="0" w:beforeAutospacing="0" w:after="0" w:afterAutospacing="0"/>
              <w:ind w:left="0" w:right="0" w:firstLine="0" w:firstLineChars="0"/>
              <w:jc w:val="center"/>
              <w:rPr>
                <w:rFonts w:hint="eastAsia" w:ascii="宋体" w:hAnsi="宋体" w:eastAsia="宋体"/>
                <w:b/>
                <w:sz w:val="21"/>
              </w:rPr>
            </w:pPr>
            <w:r>
              <w:rPr>
                <w:rFonts w:hint="eastAsia" w:ascii="宋体" w:hAnsi="宋体" w:eastAsia="宋体"/>
                <w:b/>
                <w:sz w:val="21"/>
              </w:rPr>
              <w:t>项目主要生产设备使用情况一览表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5"/>
              <w:gridCol w:w="1184"/>
              <w:gridCol w:w="1570"/>
              <w:gridCol w:w="1570"/>
              <w:gridCol w:w="1881"/>
              <w:gridCol w:w="699"/>
              <w:gridCol w:w="593"/>
            </w:tblGrid>
            <w:tr w14:paraId="6EC2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74" w:type="pct"/>
                  <w:vAlign w:val="center"/>
                </w:tcPr>
                <w:p w14:paraId="7270BABD">
                  <w:pPr>
                    <w:pStyle w:val="42"/>
                    <w:keepNext w:val="0"/>
                    <w:keepLines w:val="0"/>
                    <w:widowControl/>
                    <w:suppressLineNumbers w:val="0"/>
                    <w:spacing w:before="0" w:beforeAutospacing="0" w:after="0" w:afterAutospacing="0"/>
                    <w:ind w:left="0" w:right="0"/>
                    <w:rPr>
                      <w:rFonts w:hint="default"/>
                      <w:b/>
                      <w:bCs/>
                    </w:rPr>
                  </w:pPr>
                  <w:r>
                    <w:rPr>
                      <w:b/>
                      <w:bCs/>
                    </w:rPr>
                    <w:t>序号</w:t>
                  </w:r>
                </w:p>
              </w:tc>
              <w:tc>
                <w:tcPr>
                  <w:tcW w:w="746" w:type="pct"/>
                  <w:vAlign w:val="center"/>
                </w:tcPr>
                <w:p w14:paraId="69B8C7F0">
                  <w:pPr>
                    <w:pStyle w:val="42"/>
                    <w:keepNext w:val="0"/>
                    <w:keepLines w:val="0"/>
                    <w:widowControl/>
                    <w:suppressLineNumbers w:val="0"/>
                    <w:spacing w:before="0" w:beforeAutospacing="0" w:after="0" w:afterAutospacing="0"/>
                    <w:ind w:left="0" w:right="0"/>
                    <w:rPr>
                      <w:rFonts w:hint="default"/>
                      <w:b/>
                      <w:bCs/>
                    </w:rPr>
                  </w:pPr>
                  <w:r>
                    <w:rPr>
                      <w:b/>
                      <w:bCs/>
                    </w:rPr>
                    <w:t>生产单元</w:t>
                  </w:r>
                </w:p>
              </w:tc>
              <w:tc>
                <w:tcPr>
                  <w:tcW w:w="989" w:type="pct"/>
                  <w:vAlign w:val="center"/>
                </w:tcPr>
                <w:p w14:paraId="70DB35F3">
                  <w:pPr>
                    <w:pStyle w:val="42"/>
                    <w:keepNext w:val="0"/>
                    <w:keepLines w:val="0"/>
                    <w:widowControl/>
                    <w:suppressLineNumbers w:val="0"/>
                    <w:spacing w:before="0" w:beforeAutospacing="0" w:after="0" w:afterAutospacing="0"/>
                    <w:ind w:left="0" w:right="0"/>
                    <w:rPr>
                      <w:rFonts w:hint="default"/>
                      <w:b/>
                      <w:bCs/>
                    </w:rPr>
                  </w:pPr>
                  <w:r>
                    <w:rPr>
                      <w:b/>
                      <w:bCs/>
                    </w:rPr>
                    <w:t>主要工艺</w:t>
                  </w:r>
                </w:p>
              </w:tc>
              <w:tc>
                <w:tcPr>
                  <w:tcW w:w="989" w:type="pct"/>
                  <w:vAlign w:val="center"/>
                </w:tcPr>
                <w:p w14:paraId="24B19D78">
                  <w:pPr>
                    <w:pStyle w:val="42"/>
                    <w:keepNext w:val="0"/>
                    <w:keepLines w:val="0"/>
                    <w:widowControl/>
                    <w:suppressLineNumbers w:val="0"/>
                    <w:spacing w:before="0" w:beforeAutospacing="0" w:after="0" w:afterAutospacing="0"/>
                    <w:ind w:left="0" w:right="0"/>
                    <w:rPr>
                      <w:rFonts w:hint="default"/>
                      <w:b/>
                      <w:bCs/>
                    </w:rPr>
                  </w:pPr>
                  <w:r>
                    <w:rPr>
                      <w:b/>
                      <w:bCs/>
                    </w:rPr>
                    <w:t>设备名称</w:t>
                  </w:r>
                </w:p>
              </w:tc>
              <w:tc>
                <w:tcPr>
                  <w:tcW w:w="1185" w:type="pct"/>
                  <w:vAlign w:val="center"/>
                </w:tcPr>
                <w:p w14:paraId="4CF2D78A">
                  <w:pPr>
                    <w:pStyle w:val="42"/>
                    <w:keepNext w:val="0"/>
                    <w:keepLines w:val="0"/>
                    <w:widowControl/>
                    <w:suppressLineNumbers w:val="0"/>
                    <w:spacing w:before="0" w:beforeAutospacing="0" w:after="0" w:afterAutospacing="0"/>
                    <w:ind w:left="0" w:right="0"/>
                    <w:rPr>
                      <w:rFonts w:hint="default"/>
                      <w:b/>
                      <w:bCs/>
                    </w:rPr>
                  </w:pPr>
                  <w:r>
                    <w:rPr>
                      <w:b/>
                      <w:bCs/>
                    </w:rPr>
                    <w:t>规格/型号</w:t>
                  </w:r>
                </w:p>
              </w:tc>
              <w:tc>
                <w:tcPr>
                  <w:tcW w:w="440" w:type="pct"/>
                  <w:vAlign w:val="center"/>
                </w:tcPr>
                <w:p w14:paraId="1B43A5E6">
                  <w:pPr>
                    <w:pStyle w:val="42"/>
                    <w:keepNext w:val="0"/>
                    <w:keepLines w:val="0"/>
                    <w:widowControl/>
                    <w:suppressLineNumbers w:val="0"/>
                    <w:spacing w:before="0" w:beforeAutospacing="0" w:after="0" w:afterAutospacing="0"/>
                    <w:ind w:left="0" w:right="0"/>
                    <w:rPr>
                      <w:rFonts w:hint="default"/>
                      <w:b/>
                      <w:bCs/>
                    </w:rPr>
                  </w:pPr>
                  <w:r>
                    <w:rPr>
                      <w:b/>
                      <w:bCs/>
                    </w:rPr>
                    <w:t>数量</w:t>
                  </w:r>
                </w:p>
              </w:tc>
              <w:tc>
                <w:tcPr>
                  <w:tcW w:w="373" w:type="pct"/>
                  <w:vAlign w:val="center"/>
                </w:tcPr>
                <w:p w14:paraId="0D401717">
                  <w:pPr>
                    <w:pStyle w:val="42"/>
                    <w:keepNext w:val="0"/>
                    <w:keepLines w:val="0"/>
                    <w:widowControl/>
                    <w:suppressLineNumbers w:val="0"/>
                    <w:spacing w:before="0" w:beforeAutospacing="0" w:after="0" w:afterAutospacing="0"/>
                    <w:ind w:left="0" w:right="0"/>
                    <w:rPr>
                      <w:rFonts w:hint="default"/>
                      <w:b/>
                      <w:bCs/>
                    </w:rPr>
                  </w:pPr>
                  <w:r>
                    <w:rPr>
                      <w:b/>
                      <w:bCs/>
                    </w:rPr>
                    <w:t>单位</w:t>
                  </w:r>
                </w:p>
              </w:tc>
            </w:tr>
            <w:tr w14:paraId="75D2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74" w:type="pct"/>
                  <w:vAlign w:val="center"/>
                </w:tcPr>
                <w:p w14:paraId="35AD2A5F">
                  <w:pPr>
                    <w:pStyle w:val="42"/>
                    <w:keepNext w:val="0"/>
                    <w:keepLines w:val="0"/>
                    <w:widowControl/>
                    <w:suppressLineNumbers w:val="0"/>
                    <w:spacing w:before="0" w:beforeAutospacing="0" w:after="0" w:afterAutospacing="0"/>
                    <w:ind w:left="0" w:right="0"/>
                    <w:rPr>
                      <w:rFonts w:hint="default"/>
                    </w:rPr>
                  </w:pPr>
                  <w:r>
                    <w:t>1</w:t>
                  </w:r>
                </w:p>
              </w:tc>
              <w:tc>
                <w:tcPr>
                  <w:tcW w:w="746" w:type="pct"/>
                  <w:vAlign w:val="center"/>
                </w:tcPr>
                <w:p w14:paraId="4F3F5A73">
                  <w:pPr>
                    <w:pStyle w:val="42"/>
                    <w:keepNext w:val="0"/>
                    <w:keepLines w:val="0"/>
                    <w:widowControl/>
                    <w:suppressLineNumbers w:val="0"/>
                    <w:spacing w:before="0" w:beforeAutospacing="0" w:after="0" w:afterAutospacing="0"/>
                    <w:ind w:left="0" w:right="0"/>
                    <w:rPr>
                      <w:rFonts w:hint="default"/>
                    </w:rPr>
                  </w:pPr>
                  <w:r>
                    <w:t>混凝土搅拌单元</w:t>
                  </w:r>
                </w:p>
              </w:tc>
              <w:tc>
                <w:tcPr>
                  <w:tcW w:w="989" w:type="pct"/>
                  <w:vAlign w:val="center"/>
                </w:tcPr>
                <w:p w14:paraId="4C7DC2BF">
                  <w:pPr>
                    <w:pStyle w:val="42"/>
                    <w:keepNext w:val="0"/>
                    <w:keepLines w:val="0"/>
                    <w:widowControl/>
                    <w:suppressLineNumbers w:val="0"/>
                    <w:spacing w:before="0" w:beforeAutospacing="0" w:after="0" w:afterAutospacing="0"/>
                    <w:ind w:left="0" w:right="0"/>
                    <w:rPr>
                      <w:rFonts w:hint="default"/>
                    </w:rPr>
                  </w:pPr>
                  <w:r>
                    <w:t>混凝土搅拌</w:t>
                  </w:r>
                </w:p>
              </w:tc>
              <w:tc>
                <w:tcPr>
                  <w:tcW w:w="989" w:type="pct"/>
                  <w:shd w:val="clear" w:color="auto" w:fill="auto"/>
                  <w:vAlign w:val="center"/>
                </w:tcPr>
                <w:p w14:paraId="0FA4F27B">
                  <w:pPr>
                    <w:pStyle w:val="42"/>
                    <w:keepNext w:val="0"/>
                    <w:keepLines w:val="0"/>
                    <w:widowControl/>
                    <w:suppressLineNumbers w:val="0"/>
                    <w:spacing w:before="0" w:beforeAutospacing="0" w:after="0" w:afterAutospacing="0"/>
                    <w:ind w:left="0" w:right="0"/>
                    <w:rPr>
                      <w:rFonts w:hint="default"/>
                    </w:rPr>
                  </w:pPr>
                  <w:r>
                    <w:t>混凝土搅拌机</w:t>
                  </w:r>
                </w:p>
              </w:tc>
              <w:tc>
                <w:tcPr>
                  <w:tcW w:w="1185" w:type="pct"/>
                  <w:shd w:val="clear" w:color="auto" w:fill="auto"/>
                  <w:vAlign w:val="center"/>
                </w:tcPr>
                <w:p w14:paraId="45F70B09">
                  <w:pPr>
                    <w:pStyle w:val="42"/>
                    <w:keepNext w:val="0"/>
                    <w:keepLines w:val="0"/>
                    <w:widowControl/>
                    <w:suppressLineNumbers w:val="0"/>
                    <w:spacing w:before="0" w:beforeAutospacing="0" w:after="0" w:afterAutospacing="0"/>
                    <w:ind w:left="0" w:right="0"/>
                    <w:rPr>
                      <w:rFonts w:hint="default"/>
                    </w:rPr>
                  </w:pPr>
                  <w:r>
                    <w:t>科尼乐CMP750型</w:t>
                  </w:r>
                </w:p>
              </w:tc>
              <w:tc>
                <w:tcPr>
                  <w:tcW w:w="440" w:type="pct"/>
                  <w:vAlign w:val="center"/>
                </w:tcPr>
                <w:p w14:paraId="316F3482">
                  <w:pPr>
                    <w:pStyle w:val="42"/>
                    <w:keepNext w:val="0"/>
                    <w:keepLines w:val="0"/>
                    <w:widowControl/>
                    <w:suppressLineNumbers w:val="0"/>
                    <w:spacing w:before="0" w:beforeAutospacing="0" w:after="0" w:afterAutospacing="0"/>
                    <w:ind w:left="0" w:right="0"/>
                    <w:rPr>
                      <w:rFonts w:hint="default"/>
                    </w:rPr>
                  </w:pPr>
                  <w:r>
                    <w:t>1</w:t>
                  </w:r>
                </w:p>
              </w:tc>
              <w:tc>
                <w:tcPr>
                  <w:tcW w:w="373" w:type="pct"/>
                  <w:vAlign w:val="center"/>
                </w:tcPr>
                <w:p w14:paraId="123E29B5">
                  <w:pPr>
                    <w:pStyle w:val="42"/>
                    <w:keepNext w:val="0"/>
                    <w:keepLines w:val="0"/>
                    <w:widowControl/>
                    <w:suppressLineNumbers w:val="0"/>
                    <w:spacing w:before="0" w:beforeAutospacing="0" w:after="0" w:afterAutospacing="0"/>
                    <w:ind w:left="0" w:right="0"/>
                    <w:rPr>
                      <w:rFonts w:hint="default"/>
                    </w:rPr>
                  </w:pPr>
                  <w:r>
                    <w:t>台</w:t>
                  </w:r>
                </w:p>
              </w:tc>
            </w:tr>
            <w:tr w14:paraId="268D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74" w:type="pct"/>
                  <w:vAlign w:val="center"/>
                </w:tcPr>
                <w:p w14:paraId="331D1CA3">
                  <w:pPr>
                    <w:pStyle w:val="42"/>
                    <w:keepNext w:val="0"/>
                    <w:keepLines w:val="0"/>
                    <w:widowControl/>
                    <w:suppressLineNumbers w:val="0"/>
                    <w:spacing w:before="0" w:beforeAutospacing="0" w:after="0" w:afterAutospacing="0"/>
                    <w:ind w:left="0" w:right="0"/>
                    <w:rPr>
                      <w:rFonts w:hint="default"/>
                    </w:rPr>
                  </w:pPr>
                  <w:r>
                    <w:t>2</w:t>
                  </w:r>
                </w:p>
              </w:tc>
              <w:tc>
                <w:tcPr>
                  <w:tcW w:w="746" w:type="pct"/>
                  <w:vMerge w:val="restart"/>
                  <w:vAlign w:val="center"/>
                </w:tcPr>
                <w:p w14:paraId="7EE0675D">
                  <w:pPr>
                    <w:pStyle w:val="42"/>
                    <w:keepNext w:val="0"/>
                    <w:keepLines w:val="0"/>
                    <w:widowControl/>
                    <w:suppressLineNumbers w:val="0"/>
                    <w:spacing w:before="0" w:beforeAutospacing="0" w:after="0" w:afterAutospacing="0"/>
                    <w:ind w:left="0" w:right="0"/>
                    <w:rPr>
                      <w:rFonts w:hint="default" w:eastAsia="宋体"/>
                      <w:lang w:val="en-US" w:eastAsia="zh-CN"/>
                    </w:rPr>
                  </w:pPr>
                  <w:r>
                    <w:rPr>
                      <w:rFonts w:hint="eastAsia"/>
                      <w:lang w:val="en-US" w:eastAsia="zh-CN"/>
                    </w:rPr>
                    <w:t>混凝土运输单元</w:t>
                  </w:r>
                </w:p>
              </w:tc>
              <w:tc>
                <w:tcPr>
                  <w:tcW w:w="989" w:type="pct"/>
                  <w:vMerge w:val="restart"/>
                  <w:vAlign w:val="center"/>
                </w:tcPr>
                <w:p w14:paraId="01EA45F0">
                  <w:pPr>
                    <w:pStyle w:val="42"/>
                    <w:keepNext w:val="0"/>
                    <w:keepLines w:val="0"/>
                    <w:widowControl/>
                    <w:suppressLineNumbers w:val="0"/>
                    <w:spacing w:before="0" w:beforeAutospacing="0" w:after="0" w:afterAutospacing="0"/>
                    <w:ind w:left="0" w:right="0"/>
                    <w:rPr>
                      <w:rFonts w:hint="default"/>
                    </w:rPr>
                  </w:pPr>
                  <w:r>
                    <w:t>起重</w:t>
                  </w:r>
                </w:p>
              </w:tc>
              <w:tc>
                <w:tcPr>
                  <w:tcW w:w="989" w:type="pct"/>
                  <w:shd w:val="clear" w:color="auto" w:fill="auto"/>
                  <w:vAlign w:val="center"/>
                </w:tcPr>
                <w:p w14:paraId="1389B213">
                  <w:pPr>
                    <w:pStyle w:val="42"/>
                    <w:keepNext w:val="0"/>
                    <w:keepLines w:val="0"/>
                    <w:widowControl/>
                    <w:suppressLineNumbers w:val="0"/>
                    <w:spacing w:before="0" w:beforeAutospacing="0" w:after="0" w:afterAutospacing="0"/>
                    <w:ind w:left="0" w:right="0"/>
                    <w:rPr>
                      <w:rFonts w:hint="default"/>
                    </w:rPr>
                  </w:pPr>
                  <w:r>
                    <w:t>门式起重机</w:t>
                  </w:r>
                </w:p>
              </w:tc>
              <w:tc>
                <w:tcPr>
                  <w:tcW w:w="1185" w:type="pct"/>
                  <w:shd w:val="clear" w:color="auto" w:fill="auto"/>
                  <w:vAlign w:val="center"/>
                </w:tcPr>
                <w:p w14:paraId="24814AFD">
                  <w:pPr>
                    <w:pStyle w:val="42"/>
                    <w:keepNext w:val="0"/>
                    <w:keepLines w:val="0"/>
                    <w:widowControl/>
                    <w:suppressLineNumbers w:val="0"/>
                    <w:spacing w:before="0" w:beforeAutospacing="0" w:after="0" w:afterAutospacing="0"/>
                    <w:ind w:left="0" w:right="0"/>
                    <w:rPr>
                      <w:rFonts w:hint="default"/>
                    </w:rPr>
                  </w:pPr>
                  <w:r>
                    <w:rPr>
                      <w:rFonts w:hint="default"/>
                    </w:rPr>
                    <w:t>MHE16+5-18A3</w:t>
                  </w:r>
                </w:p>
              </w:tc>
              <w:tc>
                <w:tcPr>
                  <w:tcW w:w="440" w:type="pct"/>
                  <w:vAlign w:val="center"/>
                </w:tcPr>
                <w:p w14:paraId="0F268C5A">
                  <w:pPr>
                    <w:pStyle w:val="42"/>
                    <w:keepNext w:val="0"/>
                    <w:keepLines w:val="0"/>
                    <w:widowControl/>
                    <w:suppressLineNumbers w:val="0"/>
                    <w:spacing w:before="0" w:beforeAutospacing="0" w:after="0" w:afterAutospacing="0"/>
                    <w:ind w:left="0" w:right="0"/>
                    <w:rPr>
                      <w:rFonts w:hint="default"/>
                    </w:rPr>
                  </w:pPr>
                  <w:r>
                    <w:t>1</w:t>
                  </w:r>
                </w:p>
              </w:tc>
              <w:tc>
                <w:tcPr>
                  <w:tcW w:w="373" w:type="pct"/>
                  <w:vAlign w:val="center"/>
                </w:tcPr>
                <w:p w14:paraId="54E31443">
                  <w:pPr>
                    <w:pStyle w:val="42"/>
                    <w:keepNext w:val="0"/>
                    <w:keepLines w:val="0"/>
                    <w:widowControl/>
                    <w:suppressLineNumbers w:val="0"/>
                    <w:spacing w:before="0" w:beforeAutospacing="0" w:after="0" w:afterAutospacing="0"/>
                    <w:ind w:left="0" w:right="0"/>
                    <w:rPr>
                      <w:rFonts w:hint="default"/>
                    </w:rPr>
                  </w:pPr>
                  <w:r>
                    <w:t>台</w:t>
                  </w:r>
                </w:p>
              </w:tc>
            </w:tr>
            <w:tr w14:paraId="03D3A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74" w:type="pct"/>
                  <w:vAlign w:val="center"/>
                </w:tcPr>
                <w:p w14:paraId="129E439E">
                  <w:pPr>
                    <w:pStyle w:val="42"/>
                    <w:keepNext w:val="0"/>
                    <w:keepLines w:val="0"/>
                    <w:widowControl/>
                    <w:suppressLineNumbers w:val="0"/>
                    <w:spacing w:before="0" w:beforeAutospacing="0" w:after="0" w:afterAutospacing="0"/>
                    <w:ind w:left="0" w:right="0"/>
                    <w:rPr>
                      <w:rFonts w:hint="default"/>
                    </w:rPr>
                  </w:pPr>
                  <w:r>
                    <w:t>3</w:t>
                  </w:r>
                </w:p>
              </w:tc>
              <w:tc>
                <w:tcPr>
                  <w:tcW w:w="746" w:type="pct"/>
                  <w:vMerge w:val="continue"/>
                  <w:vAlign w:val="center"/>
                </w:tcPr>
                <w:p w14:paraId="5C94AE5B">
                  <w:pPr>
                    <w:pStyle w:val="42"/>
                    <w:keepNext w:val="0"/>
                    <w:keepLines w:val="0"/>
                    <w:widowControl/>
                    <w:suppressLineNumbers w:val="0"/>
                    <w:spacing w:before="0" w:beforeAutospacing="0" w:after="0" w:afterAutospacing="0"/>
                    <w:ind w:left="0" w:right="0"/>
                    <w:rPr>
                      <w:rFonts w:hint="default"/>
                    </w:rPr>
                  </w:pPr>
                </w:p>
              </w:tc>
              <w:tc>
                <w:tcPr>
                  <w:tcW w:w="989" w:type="pct"/>
                  <w:vMerge w:val="continue"/>
                  <w:vAlign w:val="center"/>
                </w:tcPr>
                <w:p w14:paraId="4EF1CE78">
                  <w:pPr>
                    <w:pStyle w:val="42"/>
                    <w:keepNext w:val="0"/>
                    <w:keepLines w:val="0"/>
                    <w:widowControl/>
                    <w:suppressLineNumbers w:val="0"/>
                    <w:spacing w:before="0" w:beforeAutospacing="0" w:after="0" w:afterAutospacing="0"/>
                    <w:ind w:left="0" w:right="0"/>
                    <w:rPr>
                      <w:rFonts w:hint="default"/>
                    </w:rPr>
                  </w:pPr>
                </w:p>
              </w:tc>
              <w:tc>
                <w:tcPr>
                  <w:tcW w:w="989" w:type="pct"/>
                  <w:shd w:val="clear" w:color="auto" w:fill="auto"/>
                  <w:vAlign w:val="center"/>
                </w:tcPr>
                <w:p w14:paraId="2D8AC3A3">
                  <w:pPr>
                    <w:pStyle w:val="42"/>
                    <w:keepNext w:val="0"/>
                    <w:keepLines w:val="0"/>
                    <w:widowControl/>
                    <w:suppressLineNumbers w:val="0"/>
                    <w:spacing w:before="0" w:beforeAutospacing="0" w:after="0" w:afterAutospacing="0"/>
                    <w:ind w:left="0" w:right="0"/>
                    <w:rPr>
                      <w:rFonts w:hint="default"/>
                    </w:rPr>
                  </w:pPr>
                  <w:r>
                    <w:t>门式起重机</w:t>
                  </w:r>
                </w:p>
              </w:tc>
              <w:tc>
                <w:tcPr>
                  <w:tcW w:w="1185" w:type="pct"/>
                  <w:shd w:val="clear" w:color="auto" w:fill="auto"/>
                  <w:vAlign w:val="center"/>
                </w:tcPr>
                <w:p w14:paraId="3F800939">
                  <w:pPr>
                    <w:pStyle w:val="42"/>
                    <w:keepNext w:val="0"/>
                    <w:keepLines w:val="0"/>
                    <w:widowControl/>
                    <w:suppressLineNumbers w:val="0"/>
                    <w:spacing w:before="0" w:beforeAutospacing="0" w:after="0" w:afterAutospacing="0"/>
                    <w:ind w:left="0" w:right="0"/>
                    <w:rPr>
                      <w:rFonts w:hint="default"/>
                    </w:rPr>
                  </w:pPr>
                  <w:r>
                    <w:rPr>
                      <w:rFonts w:hint="default"/>
                    </w:rPr>
                    <w:t>MHH10-18A3</w:t>
                  </w:r>
                </w:p>
              </w:tc>
              <w:tc>
                <w:tcPr>
                  <w:tcW w:w="440" w:type="pct"/>
                  <w:vAlign w:val="center"/>
                </w:tcPr>
                <w:p w14:paraId="2DEEB4B6">
                  <w:pPr>
                    <w:pStyle w:val="42"/>
                    <w:keepNext w:val="0"/>
                    <w:keepLines w:val="0"/>
                    <w:widowControl/>
                    <w:suppressLineNumbers w:val="0"/>
                    <w:spacing w:before="0" w:beforeAutospacing="0" w:after="0" w:afterAutospacing="0"/>
                    <w:ind w:left="0" w:right="0"/>
                    <w:rPr>
                      <w:rFonts w:hint="default"/>
                    </w:rPr>
                  </w:pPr>
                  <w:r>
                    <w:t>1</w:t>
                  </w:r>
                </w:p>
              </w:tc>
              <w:tc>
                <w:tcPr>
                  <w:tcW w:w="373" w:type="pct"/>
                  <w:vAlign w:val="center"/>
                </w:tcPr>
                <w:p w14:paraId="39977E43">
                  <w:pPr>
                    <w:pStyle w:val="42"/>
                    <w:keepNext w:val="0"/>
                    <w:keepLines w:val="0"/>
                    <w:widowControl/>
                    <w:suppressLineNumbers w:val="0"/>
                    <w:spacing w:before="0" w:beforeAutospacing="0" w:after="0" w:afterAutospacing="0"/>
                    <w:ind w:left="0" w:right="0"/>
                    <w:rPr>
                      <w:rFonts w:hint="default"/>
                    </w:rPr>
                  </w:pPr>
                  <w:r>
                    <w:t>台</w:t>
                  </w:r>
                </w:p>
              </w:tc>
            </w:tr>
            <w:tr w14:paraId="4E798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74" w:type="pct"/>
                  <w:vAlign w:val="center"/>
                </w:tcPr>
                <w:p w14:paraId="6A1A998B">
                  <w:pPr>
                    <w:pStyle w:val="42"/>
                    <w:keepNext w:val="0"/>
                    <w:keepLines w:val="0"/>
                    <w:widowControl/>
                    <w:suppressLineNumbers w:val="0"/>
                    <w:spacing w:before="0" w:beforeAutospacing="0" w:after="0" w:afterAutospacing="0"/>
                    <w:ind w:left="0" w:right="0"/>
                    <w:rPr>
                      <w:rFonts w:hint="default"/>
                    </w:rPr>
                  </w:pPr>
                  <w:r>
                    <w:t>4</w:t>
                  </w:r>
                </w:p>
              </w:tc>
              <w:tc>
                <w:tcPr>
                  <w:tcW w:w="746" w:type="pct"/>
                  <w:vMerge w:val="continue"/>
                  <w:vAlign w:val="center"/>
                </w:tcPr>
                <w:p w14:paraId="198167FA">
                  <w:pPr>
                    <w:pStyle w:val="42"/>
                    <w:keepNext w:val="0"/>
                    <w:keepLines w:val="0"/>
                    <w:widowControl/>
                    <w:suppressLineNumbers w:val="0"/>
                    <w:spacing w:before="0" w:beforeAutospacing="0" w:after="0" w:afterAutospacing="0"/>
                    <w:ind w:left="0" w:right="0"/>
                    <w:rPr>
                      <w:rFonts w:hint="default"/>
                    </w:rPr>
                  </w:pPr>
                </w:p>
              </w:tc>
              <w:tc>
                <w:tcPr>
                  <w:tcW w:w="989" w:type="pct"/>
                  <w:vMerge w:val="restart"/>
                  <w:vAlign w:val="center"/>
                </w:tcPr>
                <w:p w14:paraId="147EACAD">
                  <w:pPr>
                    <w:pStyle w:val="42"/>
                    <w:keepNext w:val="0"/>
                    <w:keepLines w:val="0"/>
                    <w:widowControl/>
                    <w:suppressLineNumbers w:val="0"/>
                    <w:spacing w:before="0" w:beforeAutospacing="0" w:after="0" w:afterAutospacing="0"/>
                    <w:ind w:left="0" w:right="0"/>
                    <w:rPr>
                      <w:rFonts w:hint="default"/>
                    </w:rPr>
                  </w:pPr>
                  <w:r>
                    <w:t>混凝土运输</w:t>
                  </w:r>
                </w:p>
              </w:tc>
              <w:tc>
                <w:tcPr>
                  <w:tcW w:w="989" w:type="pct"/>
                  <w:shd w:val="clear" w:color="auto" w:fill="auto"/>
                  <w:vAlign w:val="center"/>
                </w:tcPr>
                <w:p w14:paraId="5AB32DEE">
                  <w:pPr>
                    <w:pStyle w:val="42"/>
                    <w:keepNext w:val="0"/>
                    <w:keepLines w:val="0"/>
                    <w:widowControl/>
                    <w:suppressLineNumbers w:val="0"/>
                    <w:spacing w:before="0" w:beforeAutospacing="0" w:after="0" w:afterAutospacing="0"/>
                    <w:ind w:left="0" w:right="0"/>
                    <w:rPr>
                      <w:rFonts w:hint="default"/>
                    </w:rPr>
                  </w:pPr>
                  <w:r>
                    <w:t>料斗车</w:t>
                  </w:r>
                </w:p>
              </w:tc>
              <w:tc>
                <w:tcPr>
                  <w:tcW w:w="1185" w:type="pct"/>
                  <w:shd w:val="clear" w:color="auto" w:fill="auto"/>
                  <w:vAlign w:val="center"/>
                </w:tcPr>
                <w:p w14:paraId="26F5EF6F">
                  <w:pPr>
                    <w:pStyle w:val="42"/>
                    <w:keepNext w:val="0"/>
                    <w:keepLines w:val="0"/>
                    <w:widowControl/>
                    <w:suppressLineNumbers w:val="0"/>
                    <w:spacing w:before="0" w:beforeAutospacing="0" w:after="0" w:afterAutospacing="0"/>
                    <w:ind w:left="0" w:right="0"/>
                    <w:rPr>
                      <w:rFonts w:hint="default"/>
                    </w:rPr>
                  </w:pPr>
                </w:p>
              </w:tc>
              <w:tc>
                <w:tcPr>
                  <w:tcW w:w="440" w:type="pct"/>
                  <w:shd w:val="clear" w:color="auto" w:fill="auto"/>
                  <w:vAlign w:val="center"/>
                </w:tcPr>
                <w:p w14:paraId="43EF4559">
                  <w:pPr>
                    <w:pStyle w:val="42"/>
                    <w:keepNext w:val="0"/>
                    <w:keepLines w:val="0"/>
                    <w:widowControl/>
                    <w:suppressLineNumbers w:val="0"/>
                    <w:spacing w:before="0" w:beforeAutospacing="0" w:after="0" w:afterAutospacing="0"/>
                    <w:ind w:left="0" w:right="0"/>
                    <w:rPr>
                      <w:rFonts w:hint="default"/>
                    </w:rPr>
                  </w:pPr>
                  <w:r>
                    <w:t>4</w:t>
                  </w:r>
                </w:p>
              </w:tc>
              <w:tc>
                <w:tcPr>
                  <w:tcW w:w="373" w:type="pct"/>
                  <w:vAlign w:val="center"/>
                </w:tcPr>
                <w:p w14:paraId="4D4440DF">
                  <w:pPr>
                    <w:pStyle w:val="42"/>
                    <w:keepNext w:val="0"/>
                    <w:keepLines w:val="0"/>
                    <w:widowControl/>
                    <w:suppressLineNumbers w:val="0"/>
                    <w:spacing w:before="0" w:beforeAutospacing="0" w:after="0" w:afterAutospacing="0"/>
                    <w:ind w:left="0" w:right="0"/>
                    <w:rPr>
                      <w:rFonts w:hint="default"/>
                    </w:rPr>
                  </w:pPr>
                  <w:r>
                    <w:t>辆</w:t>
                  </w:r>
                </w:p>
              </w:tc>
            </w:tr>
            <w:tr w14:paraId="6031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74" w:type="pct"/>
                  <w:vAlign w:val="center"/>
                </w:tcPr>
                <w:p w14:paraId="27438CDC">
                  <w:pPr>
                    <w:pStyle w:val="42"/>
                    <w:keepNext w:val="0"/>
                    <w:keepLines w:val="0"/>
                    <w:widowControl/>
                    <w:suppressLineNumbers w:val="0"/>
                    <w:spacing w:before="0" w:beforeAutospacing="0" w:after="0" w:afterAutospacing="0"/>
                    <w:ind w:left="0" w:right="0"/>
                    <w:rPr>
                      <w:rFonts w:hint="default"/>
                    </w:rPr>
                  </w:pPr>
                  <w:r>
                    <w:t>5</w:t>
                  </w:r>
                </w:p>
              </w:tc>
              <w:tc>
                <w:tcPr>
                  <w:tcW w:w="746" w:type="pct"/>
                  <w:vMerge w:val="continue"/>
                  <w:vAlign w:val="center"/>
                </w:tcPr>
                <w:p w14:paraId="657FA0A6">
                  <w:pPr>
                    <w:pStyle w:val="42"/>
                    <w:keepNext w:val="0"/>
                    <w:keepLines w:val="0"/>
                    <w:widowControl/>
                    <w:suppressLineNumbers w:val="0"/>
                    <w:spacing w:before="0" w:beforeAutospacing="0" w:after="0" w:afterAutospacing="0"/>
                    <w:ind w:left="0" w:right="0"/>
                    <w:rPr>
                      <w:rFonts w:hint="default"/>
                    </w:rPr>
                  </w:pPr>
                </w:p>
              </w:tc>
              <w:tc>
                <w:tcPr>
                  <w:tcW w:w="989" w:type="pct"/>
                  <w:vMerge w:val="continue"/>
                  <w:vAlign w:val="center"/>
                </w:tcPr>
                <w:p w14:paraId="6C42DA24">
                  <w:pPr>
                    <w:pStyle w:val="42"/>
                    <w:keepNext w:val="0"/>
                    <w:keepLines w:val="0"/>
                    <w:widowControl/>
                    <w:suppressLineNumbers w:val="0"/>
                    <w:spacing w:before="0" w:beforeAutospacing="0" w:after="0" w:afterAutospacing="0"/>
                    <w:ind w:left="0" w:right="0"/>
                    <w:rPr>
                      <w:rFonts w:hint="default"/>
                    </w:rPr>
                  </w:pPr>
                </w:p>
              </w:tc>
              <w:tc>
                <w:tcPr>
                  <w:tcW w:w="989" w:type="pct"/>
                  <w:shd w:val="clear" w:color="auto" w:fill="auto"/>
                  <w:vAlign w:val="center"/>
                </w:tcPr>
                <w:p w14:paraId="5BB78F1D">
                  <w:pPr>
                    <w:pStyle w:val="42"/>
                    <w:keepNext w:val="0"/>
                    <w:keepLines w:val="0"/>
                    <w:widowControl/>
                    <w:suppressLineNumbers w:val="0"/>
                    <w:spacing w:before="0" w:beforeAutospacing="0" w:after="0" w:afterAutospacing="0"/>
                    <w:ind w:left="0" w:right="0"/>
                    <w:rPr>
                      <w:rFonts w:hint="default"/>
                    </w:rPr>
                  </w:pPr>
                  <w:r>
                    <w:t>水泥搅拌车</w:t>
                  </w:r>
                </w:p>
              </w:tc>
              <w:tc>
                <w:tcPr>
                  <w:tcW w:w="1185" w:type="pct"/>
                  <w:shd w:val="clear" w:color="auto" w:fill="auto"/>
                  <w:vAlign w:val="center"/>
                </w:tcPr>
                <w:p w14:paraId="2BFA2513">
                  <w:pPr>
                    <w:pStyle w:val="42"/>
                    <w:keepNext w:val="0"/>
                    <w:keepLines w:val="0"/>
                    <w:widowControl/>
                    <w:suppressLineNumbers w:val="0"/>
                    <w:spacing w:before="0" w:beforeAutospacing="0" w:after="0" w:afterAutospacing="0"/>
                    <w:ind w:left="0" w:right="0"/>
                    <w:rPr>
                      <w:rFonts w:hint="default"/>
                    </w:rPr>
                  </w:pPr>
                </w:p>
              </w:tc>
              <w:tc>
                <w:tcPr>
                  <w:tcW w:w="440" w:type="pct"/>
                  <w:shd w:val="clear" w:color="auto" w:fill="auto"/>
                  <w:vAlign w:val="center"/>
                </w:tcPr>
                <w:p w14:paraId="366D2611">
                  <w:pPr>
                    <w:pStyle w:val="42"/>
                    <w:keepNext w:val="0"/>
                    <w:keepLines w:val="0"/>
                    <w:widowControl/>
                    <w:suppressLineNumbers w:val="0"/>
                    <w:spacing w:before="0" w:beforeAutospacing="0" w:after="0" w:afterAutospacing="0"/>
                    <w:ind w:left="0" w:right="0"/>
                    <w:rPr>
                      <w:rFonts w:hint="default"/>
                    </w:rPr>
                  </w:pPr>
                  <w:r>
                    <w:t>1</w:t>
                  </w:r>
                </w:p>
              </w:tc>
              <w:tc>
                <w:tcPr>
                  <w:tcW w:w="373" w:type="pct"/>
                  <w:vAlign w:val="center"/>
                </w:tcPr>
                <w:p w14:paraId="145A1DB0">
                  <w:pPr>
                    <w:pStyle w:val="42"/>
                    <w:keepNext w:val="0"/>
                    <w:keepLines w:val="0"/>
                    <w:widowControl/>
                    <w:suppressLineNumbers w:val="0"/>
                    <w:spacing w:before="0" w:beforeAutospacing="0" w:after="0" w:afterAutospacing="0"/>
                    <w:ind w:left="0" w:right="0"/>
                    <w:rPr>
                      <w:rFonts w:hint="default"/>
                    </w:rPr>
                  </w:pPr>
                  <w:r>
                    <w:t>辆</w:t>
                  </w:r>
                </w:p>
              </w:tc>
            </w:tr>
            <w:tr w14:paraId="29C9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274" w:type="pct"/>
                  <w:vAlign w:val="center"/>
                </w:tcPr>
                <w:p w14:paraId="6E131498">
                  <w:pPr>
                    <w:pStyle w:val="42"/>
                    <w:keepNext w:val="0"/>
                    <w:keepLines w:val="0"/>
                    <w:widowControl/>
                    <w:suppressLineNumbers w:val="0"/>
                    <w:spacing w:before="0" w:beforeAutospacing="0" w:after="0" w:afterAutospacing="0"/>
                    <w:ind w:left="0" w:right="0"/>
                    <w:rPr>
                      <w:rFonts w:hint="default"/>
                    </w:rPr>
                  </w:pPr>
                  <w:r>
                    <w:t>6</w:t>
                  </w:r>
                </w:p>
              </w:tc>
              <w:tc>
                <w:tcPr>
                  <w:tcW w:w="746" w:type="pct"/>
                  <w:vMerge w:val="restart"/>
                  <w:vAlign w:val="center"/>
                </w:tcPr>
                <w:p w14:paraId="6D0A0340">
                  <w:pPr>
                    <w:pStyle w:val="42"/>
                    <w:keepNext w:val="0"/>
                    <w:keepLines w:val="0"/>
                    <w:widowControl/>
                    <w:suppressLineNumbers w:val="0"/>
                    <w:spacing w:before="0" w:beforeAutospacing="0" w:after="0" w:afterAutospacing="0"/>
                    <w:ind w:left="0" w:right="0"/>
                    <w:rPr>
                      <w:rFonts w:hint="default" w:eastAsia="宋体"/>
                      <w:lang w:val="en-US" w:eastAsia="zh-CN"/>
                    </w:rPr>
                  </w:pPr>
                  <w:r>
                    <w:rPr>
                      <w:rFonts w:hint="eastAsia"/>
                      <w:lang w:val="en-US" w:eastAsia="zh-CN"/>
                    </w:rPr>
                    <w:t>储存单元</w:t>
                  </w:r>
                </w:p>
              </w:tc>
              <w:tc>
                <w:tcPr>
                  <w:tcW w:w="989" w:type="pct"/>
                  <w:vAlign w:val="center"/>
                </w:tcPr>
                <w:p w14:paraId="342BAE27">
                  <w:pPr>
                    <w:pStyle w:val="42"/>
                    <w:keepNext w:val="0"/>
                    <w:keepLines w:val="0"/>
                    <w:widowControl/>
                    <w:suppressLineNumbers w:val="0"/>
                    <w:spacing w:before="0" w:beforeAutospacing="0" w:after="0" w:afterAutospacing="0"/>
                    <w:ind w:left="0" w:right="0"/>
                    <w:rPr>
                      <w:rFonts w:hint="default"/>
                    </w:rPr>
                  </w:pPr>
                  <w:r>
                    <w:t>储存搅拌用水</w:t>
                  </w:r>
                </w:p>
              </w:tc>
              <w:tc>
                <w:tcPr>
                  <w:tcW w:w="989" w:type="pct"/>
                  <w:vAlign w:val="center"/>
                </w:tcPr>
                <w:p w14:paraId="0AC4EA69">
                  <w:pPr>
                    <w:pStyle w:val="42"/>
                    <w:keepNext w:val="0"/>
                    <w:keepLines w:val="0"/>
                    <w:widowControl/>
                    <w:suppressLineNumbers w:val="0"/>
                    <w:spacing w:before="0" w:beforeAutospacing="0" w:after="0" w:afterAutospacing="0"/>
                    <w:ind w:left="0" w:right="0"/>
                    <w:rPr>
                      <w:rFonts w:hint="default"/>
                    </w:rPr>
                  </w:pPr>
                  <w:r>
                    <w:t>蓄水箱</w:t>
                  </w:r>
                </w:p>
              </w:tc>
              <w:tc>
                <w:tcPr>
                  <w:tcW w:w="1185" w:type="pct"/>
                  <w:vAlign w:val="center"/>
                </w:tcPr>
                <w:p w14:paraId="3F616243">
                  <w:pPr>
                    <w:pStyle w:val="42"/>
                    <w:keepNext w:val="0"/>
                    <w:keepLines w:val="0"/>
                    <w:widowControl/>
                    <w:suppressLineNumbers w:val="0"/>
                    <w:spacing w:before="0" w:beforeAutospacing="0" w:after="0" w:afterAutospacing="0"/>
                    <w:ind w:left="0" w:right="0"/>
                    <w:rPr>
                      <w:rFonts w:hint="default"/>
                    </w:rPr>
                  </w:pPr>
                  <w:r>
                    <w:t>容积3m</w:t>
                  </w:r>
                  <w:r>
                    <w:rPr>
                      <w:vertAlign w:val="superscript"/>
                    </w:rPr>
                    <w:t>3</w:t>
                  </w:r>
                </w:p>
              </w:tc>
              <w:tc>
                <w:tcPr>
                  <w:tcW w:w="440" w:type="pct"/>
                  <w:vAlign w:val="center"/>
                </w:tcPr>
                <w:p w14:paraId="16036CF3">
                  <w:pPr>
                    <w:pStyle w:val="42"/>
                    <w:keepNext w:val="0"/>
                    <w:keepLines w:val="0"/>
                    <w:widowControl/>
                    <w:suppressLineNumbers w:val="0"/>
                    <w:spacing w:before="0" w:beforeAutospacing="0" w:after="0" w:afterAutospacing="0"/>
                    <w:ind w:left="0" w:right="0"/>
                    <w:rPr>
                      <w:rFonts w:hint="default"/>
                    </w:rPr>
                  </w:pPr>
                  <w:r>
                    <w:t>1</w:t>
                  </w:r>
                </w:p>
              </w:tc>
              <w:tc>
                <w:tcPr>
                  <w:tcW w:w="373" w:type="pct"/>
                  <w:vAlign w:val="center"/>
                </w:tcPr>
                <w:p w14:paraId="1C775A21">
                  <w:pPr>
                    <w:pStyle w:val="42"/>
                    <w:keepNext w:val="0"/>
                    <w:keepLines w:val="0"/>
                    <w:widowControl/>
                    <w:suppressLineNumbers w:val="0"/>
                    <w:spacing w:before="0" w:beforeAutospacing="0" w:after="0" w:afterAutospacing="0"/>
                    <w:ind w:left="0" w:right="0"/>
                    <w:rPr>
                      <w:rFonts w:hint="default"/>
                    </w:rPr>
                  </w:pPr>
                  <w:r>
                    <w:t>个</w:t>
                  </w:r>
                </w:p>
              </w:tc>
            </w:tr>
            <w:tr w14:paraId="4A05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74" w:type="pct"/>
                  <w:vAlign w:val="center"/>
                </w:tcPr>
                <w:p w14:paraId="302C93DD">
                  <w:pPr>
                    <w:pStyle w:val="42"/>
                    <w:keepNext w:val="0"/>
                    <w:keepLines w:val="0"/>
                    <w:widowControl/>
                    <w:suppressLineNumbers w:val="0"/>
                    <w:spacing w:before="0" w:beforeAutospacing="0" w:after="0" w:afterAutospacing="0"/>
                    <w:ind w:left="0" w:right="0"/>
                    <w:rPr>
                      <w:rFonts w:hint="default"/>
                    </w:rPr>
                  </w:pPr>
                  <w:r>
                    <w:t>7</w:t>
                  </w:r>
                </w:p>
              </w:tc>
              <w:tc>
                <w:tcPr>
                  <w:tcW w:w="746" w:type="pct"/>
                  <w:vMerge w:val="continue"/>
                  <w:vAlign w:val="center"/>
                </w:tcPr>
                <w:p w14:paraId="39315562">
                  <w:pPr>
                    <w:pStyle w:val="42"/>
                    <w:keepNext w:val="0"/>
                    <w:keepLines w:val="0"/>
                    <w:widowControl/>
                    <w:suppressLineNumbers w:val="0"/>
                    <w:spacing w:before="0" w:beforeAutospacing="0" w:after="0" w:afterAutospacing="0"/>
                    <w:ind w:left="0" w:right="0"/>
                    <w:rPr>
                      <w:rFonts w:hint="default"/>
                    </w:rPr>
                  </w:pPr>
                </w:p>
              </w:tc>
              <w:tc>
                <w:tcPr>
                  <w:tcW w:w="989" w:type="pct"/>
                  <w:vAlign w:val="center"/>
                </w:tcPr>
                <w:p w14:paraId="34A5711C">
                  <w:pPr>
                    <w:pStyle w:val="42"/>
                    <w:keepNext w:val="0"/>
                    <w:keepLines w:val="0"/>
                    <w:widowControl/>
                    <w:suppressLineNumbers w:val="0"/>
                    <w:spacing w:before="0" w:beforeAutospacing="0" w:after="0" w:afterAutospacing="0"/>
                    <w:ind w:left="0" w:right="0"/>
                    <w:rPr>
                      <w:rFonts w:hint="default"/>
                    </w:rPr>
                  </w:pPr>
                  <w:r>
                    <w:t>抽取搅拌用水</w:t>
                  </w:r>
                </w:p>
              </w:tc>
              <w:tc>
                <w:tcPr>
                  <w:tcW w:w="989" w:type="pct"/>
                  <w:vAlign w:val="center"/>
                </w:tcPr>
                <w:p w14:paraId="49F11736">
                  <w:pPr>
                    <w:pStyle w:val="42"/>
                    <w:keepNext w:val="0"/>
                    <w:keepLines w:val="0"/>
                    <w:widowControl/>
                    <w:suppressLineNumbers w:val="0"/>
                    <w:spacing w:before="0" w:beforeAutospacing="0" w:after="0" w:afterAutospacing="0"/>
                    <w:ind w:left="0" w:right="0"/>
                    <w:rPr>
                      <w:rFonts w:hint="default"/>
                    </w:rPr>
                  </w:pPr>
                  <w:r>
                    <w:t>水泵</w:t>
                  </w:r>
                </w:p>
              </w:tc>
              <w:tc>
                <w:tcPr>
                  <w:tcW w:w="1185" w:type="pct"/>
                  <w:vAlign w:val="center"/>
                </w:tcPr>
                <w:p w14:paraId="41145CDE">
                  <w:pPr>
                    <w:pStyle w:val="42"/>
                    <w:keepNext w:val="0"/>
                    <w:keepLines w:val="0"/>
                    <w:widowControl/>
                    <w:suppressLineNumbers w:val="0"/>
                    <w:spacing w:before="0" w:beforeAutospacing="0" w:after="0" w:afterAutospacing="0"/>
                    <w:ind w:left="0" w:right="0"/>
                    <w:rPr>
                      <w:rFonts w:hint="default"/>
                    </w:rPr>
                  </w:pPr>
                </w:p>
              </w:tc>
              <w:tc>
                <w:tcPr>
                  <w:tcW w:w="440" w:type="pct"/>
                  <w:vAlign w:val="center"/>
                </w:tcPr>
                <w:p w14:paraId="453B79DA">
                  <w:pPr>
                    <w:pStyle w:val="42"/>
                    <w:keepNext w:val="0"/>
                    <w:keepLines w:val="0"/>
                    <w:widowControl/>
                    <w:suppressLineNumbers w:val="0"/>
                    <w:spacing w:before="0" w:beforeAutospacing="0" w:after="0" w:afterAutospacing="0"/>
                    <w:ind w:left="0" w:right="0"/>
                    <w:rPr>
                      <w:rFonts w:hint="default"/>
                    </w:rPr>
                  </w:pPr>
                  <w:r>
                    <w:t>1</w:t>
                  </w:r>
                </w:p>
              </w:tc>
              <w:tc>
                <w:tcPr>
                  <w:tcW w:w="373" w:type="pct"/>
                  <w:vAlign w:val="center"/>
                </w:tcPr>
                <w:p w14:paraId="15BE8BCC">
                  <w:pPr>
                    <w:pStyle w:val="42"/>
                    <w:keepNext w:val="0"/>
                    <w:keepLines w:val="0"/>
                    <w:widowControl/>
                    <w:suppressLineNumbers w:val="0"/>
                    <w:spacing w:before="0" w:beforeAutospacing="0" w:after="0" w:afterAutospacing="0"/>
                    <w:ind w:left="0" w:right="0"/>
                    <w:rPr>
                      <w:rFonts w:hint="default"/>
                    </w:rPr>
                  </w:pPr>
                  <w:r>
                    <w:t>个</w:t>
                  </w:r>
                </w:p>
              </w:tc>
            </w:tr>
          </w:tbl>
          <w:p w14:paraId="59620B07">
            <w:pPr>
              <w:keepNext w:val="0"/>
              <w:keepLines w:val="0"/>
              <w:suppressLineNumbers w:val="0"/>
              <w:spacing w:before="120" w:beforeLines="50" w:beforeAutospacing="0" w:after="0" w:afterAutospacing="0"/>
              <w:ind w:left="0" w:right="0" w:firstLine="482"/>
              <w:rPr>
                <w:rFonts w:hint="default"/>
                <w:b/>
              </w:rPr>
            </w:pPr>
            <w:r>
              <w:rPr>
                <w:rFonts w:hint="default"/>
                <w:b/>
              </w:rPr>
              <w:t>5．</w:t>
            </w:r>
            <w:r>
              <w:rPr>
                <w:rFonts w:hint="eastAsia"/>
                <w:b/>
              </w:rPr>
              <w:t>主要原辅材料及能源、燃料的种类和用量</w:t>
            </w:r>
          </w:p>
          <w:p w14:paraId="214DE5D5">
            <w:pPr>
              <w:keepNext w:val="0"/>
              <w:keepLines w:val="0"/>
              <w:suppressLineNumbers w:val="0"/>
              <w:spacing w:before="0" w:beforeAutospacing="0" w:after="0" w:afterAutospacing="0"/>
              <w:ind w:left="0" w:right="0" w:firstLine="480"/>
              <w:rPr>
                <w:rFonts w:hint="default"/>
              </w:rPr>
            </w:pPr>
            <w:r>
              <w:rPr>
                <w:rFonts w:hint="eastAsia"/>
              </w:rPr>
              <w:t>项目生产使用的主要原辅材料及用量情况列表如下：</w:t>
            </w:r>
          </w:p>
          <w:p w14:paraId="4476F17F">
            <w:pPr>
              <w:pStyle w:val="40"/>
              <w:keepNext w:val="0"/>
              <w:keepLines w:val="0"/>
              <w:numPr>
                <w:ilvl w:val="0"/>
                <w:numId w:val="8"/>
              </w:numPr>
              <w:suppressLineNumbers w:val="0"/>
              <w:spacing w:before="0" w:beforeAutospacing="0" w:after="0" w:afterAutospacing="0"/>
              <w:ind w:left="0" w:right="0" w:firstLine="0" w:firstLineChars="0"/>
              <w:jc w:val="center"/>
              <w:rPr>
                <w:rFonts w:hint="eastAsia" w:ascii="宋体" w:hAnsi="宋体" w:eastAsia="宋体"/>
                <w:b/>
                <w:sz w:val="21"/>
              </w:rPr>
            </w:pPr>
            <w:r>
              <w:rPr>
                <w:rFonts w:hint="eastAsia" w:ascii="宋体" w:hAnsi="宋体" w:eastAsia="宋体"/>
                <w:b/>
                <w:sz w:val="21"/>
              </w:rPr>
              <w:t>项目主要原辅材料及用量情况一览表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4"/>
              <w:gridCol w:w="563"/>
              <w:gridCol w:w="1976"/>
              <w:gridCol w:w="2595"/>
              <w:gridCol w:w="2454"/>
            </w:tblGrid>
            <w:tr w14:paraId="5D34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72" w:type="pct"/>
                  <w:gridSpan w:val="2"/>
                  <w:vAlign w:val="center"/>
                </w:tcPr>
                <w:p w14:paraId="221B7C2A">
                  <w:pPr>
                    <w:pStyle w:val="42"/>
                    <w:keepNext w:val="0"/>
                    <w:keepLines w:val="0"/>
                    <w:widowControl/>
                    <w:suppressLineNumbers w:val="0"/>
                    <w:spacing w:before="0" w:beforeAutospacing="0" w:after="0" w:afterAutospacing="0"/>
                    <w:ind w:left="0" w:right="0"/>
                    <w:rPr>
                      <w:rFonts w:hint="default"/>
                      <w:b/>
                      <w:bCs/>
                    </w:rPr>
                  </w:pPr>
                  <w:r>
                    <w:rPr>
                      <w:b/>
                      <w:bCs/>
                    </w:rPr>
                    <w:t>原料名称</w:t>
                  </w:r>
                </w:p>
              </w:tc>
              <w:tc>
                <w:tcPr>
                  <w:tcW w:w="1245" w:type="pct"/>
                  <w:vAlign w:val="center"/>
                </w:tcPr>
                <w:p w14:paraId="137727BC">
                  <w:pPr>
                    <w:pStyle w:val="42"/>
                    <w:keepNext w:val="0"/>
                    <w:keepLines w:val="0"/>
                    <w:widowControl/>
                    <w:suppressLineNumbers w:val="0"/>
                    <w:spacing w:before="0" w:beforeAutospacing="0" w:after="0" w:afterAutospacing="0"/>
                    <w:ind w:left="0" w:right="0"/>
                    <w:rPr>
                      <w:rFonts w:hint="default"/>
                      <w:b/>
                      <w:bCs/>
                    </w:rPr>
                  </w:pPr>
                  <w:r>
                    <w:rPr>
                      <w:b/>
                      <w:bCs/>
                    </w:rPr>
                    <w:t>单位</w:t>
                  </w:r>
                </w:p>
              </w:tc>
              <w:tc>
                <w:tcPr>
                  <w:tcW w:w="1635" w:type="pct"/>
                  <w:vAlign w:val="center"/>
                </w:tcPr>
                <w:p w14:paraId="5D3C0DEB">
                  <w:pPr>
                    <w:pStyle w:val="42"/>
                    <w:keepNext w:val="0"/>
                    <w:keepLines w:val="0"/>
                    <w:widowControl/>
                    <w:suppressLineNumbers w:val="0"/>
                    <w:spacing w:before="0" w:beforeAutospacing="0" w:after="0" w:afterAutospacing="0"/>
                    <w:ind w:left="0" w:right="0"/>
                    <w:rPr>
                      <w:rFonts w:hint="default"/>
                      <w:b/>
                      <w:bCs/>
                    </w:rPr>
                  </w:pPr>
                  <w:r>
                    <w:rPr>
                      <w:b/>
                      <w:bCs/>
                    </w:rPr>
                    <w:t>项目生产运营期总用量</w:t>
                  </w:r>
                </w:p>
              </w:tc>
              <w:tc>
                <w:tcPr>
                  <w:tcW w:w="1546" w:type="pct"/>
                  <w:vAlign w:val="center"/>
                </w:tcPr>
                <w:p w14:paraId="63EEDA2B">
                  <w:pPr>
                    <w:pStyle w:val="42"/>
                    <w:keepNext w:val="0"/>
                    <w:keepLines w:val="0"/>
                    <w:widowControl/>
                    <w:suppressLineNumbers w:val="0"/>
                    <w:spacing w:before="0" w:beforeAutospacing="0" w:after="0" w:afterAutospacing="0"/>
                    <w:ind w:left="0" w:right="0"/>
                    <w:rPr>
                      <w:rFonts w:hint="default"/>
                      <w:b/>
                      <w:bCs/>
                    </w:rPr>
                  </w:pPr>
                  <w:r>
                    <w:rPr>
                      <w:b/>
                      <w:bCs/>
                    </w:rPr>
                    <w:t>备注</w:t>
                  </w:r>
                </w:p>
              </w:tc>
            </w:tr>
            <w:tr w14:paraId="5DE6B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7" w:type="pct"/>
                  <w:vMerge w:val="restart"/>
                  <w:vAlign w:val="center"/>
                </w:tcPr>
                <w:p w14:paraId="447B49FC">
                  <w:pPr>
                    <w:pStyle w:val="42"/>
                    <w:keepNext w:val="0"/>
                    <w:keepLines w:val="0"/>
                    <w:widowControl/>
                    <w:suppressLineNumbers w:val="0"/>
                    <w:spacing w:before="0" w:beforeAutospacing="0" w:after="0" w:afterAutospacing="0"/>
                    <w:ind w:left="0" w:right="0"/>
                    <w:rPr>
                      <w:rFonts w:hint="default"/>
                    </w:rPr>
                  </w:pPr>
                  <w:r>
                    <w:t>原料</w:t>
                  </w:r>
                </w:p>
                <w:p w14:paraId="48D219D8">
                  <w:pPr>
                    <w:pStyle w:val="42"/>
                    <w:keepNext w:val="0"/>
                    <w:keepLines w:val="0"/>
                    <w:widowControl/>
                    <w:suppressLineNumbers w:val="0"/>
                    <w:spacing w:before="0" w:beforeAutospacing="0" w:after="0" w:afterAutospacing="0"/>
                    <w:ind w:left="0" w:right="0"/>
                    <w:rPr>
                      <w:rFonts w:hint="default"/>
                    </w:rPr>
                  </w:pPr>
                  <w:r>
                    <w:t>消耗</w:t>
                  </w:r>
                </w:p>
              </w:tc>
              <w:tc>
                <w:tcPr>
                  <w:tcW w:w="355" w:type="pct"/>
                  <w:vAlign w:val="center"/>
                </w:tcPr>
                <w:p w14:paraId="3F365061">
                  <w:pPr>
                    <w:pStyle w:val="42"/>
                    <w:keepNext w:val="0"/>
                    <w:keepLines w:val="0"/>
                    <w:widowControl/>
                    <w:suppressLineNumbers w:val="0"/>
                    <w:spacing w:before="0" w:beforeAutospacing="0" w:after="0" w:afterAutospacing="0"/>
                    <w:ind w:left="0" w:right="0"/>
                    <w:rPr>
                      <w:rFonts w:hint="default"/>
                    </w:rPr>
                  </w:pPr>
                  <w:r>
                    <w:t>水泥</w:t>
                  </w:r>
                </w:p>
              </w:tc>
              <w:tc>
                <w:tcPr>
                  <w:tcW w:w="1245" w:type="pct"/>
                  <w:vAlign w:val="center"/>
                </w:tcPr>
                <w:p w14:paraId="21B67C12">
                  <w:pPr>
                    <w:pStyle w:val="42"/>
                    <w:keepNext w:val="0"/>
                    <w:keepLines w:val="0"/>
                    <w:widowControl/>
                    <w:suppressLineNumbers w:val="0"/>
                    <w:spacing w:before="0" w:beforeAutospacing="0" w:after="0" w:afterAutospacing="0"/>
                    <w:ind w:left="0" w:right="0"/>
                    <w:rPr>
                      <w:rFonts w:hint="default"/>
                    </w:rPr>
                  </w:pPr>
                  <w:r>
                    <w:t>t/a</w:t>
                  </w:r>
                </w:p>
              </w:tc>
              <w:tc>
                <w:tcPr>
                  <w:tcW w:w="1635" w:type="pct"/>
                  <w:vAlign w:val="center"/>
                </w:tcPr>
                <w:p w14:paraId="70C2886A">
                  <w:pPr>
                    <w:pStyle w:val="42"/>
                    <w:keepNext w:val="0"/>
                    <w:keepLines w:val="0"/>
                    <w:widowControl/>
                    <w:suppressLineNumbers w:val="0"/>
                    <w:spacing w:before="0" w:beforeAutospacing="0" w:after="0" w:afterAutospacing="0"/>
                    <w:ind w:left="0" w:right="0"/>
                    <w:rPr>
                      <w:rFonts w:hint="default"/>
                    </w:rPr>
                  </w:pPr>
                  <w:r>
                    <w:t>9000</w:t>
                  </w:r>
                </w:p>
              </w:tc>
              <w:tc>
                <w:tcPr>
                  <w:tcW w:w="1546" w:type="pct"/>
                  <w:vAlign w:val="center"/>
                </w:tcPr>
                <w:p w14:paraId="71F84E74">
                  <w:pPr>
                    <w:pStyle w:val="42"/>
                    <w:keepNext w:val="0"/>
                    <w:keepLines w:val="0"/>
                    <w:widowControl/>
                    <w:suppressLineNumbers w:val="0"/>
                    <w:spacing w:before="0" w:beforeAutospacing="0" w:after="0" w:afterAutospacing="0"/>
                    <w:ind w:left="0" w:right="0"/>
                    <w:rPr>
                      <w:rFonts w:hint="default"/>
                    </w:rPr>
                  </w:pPr>
                  <w:r>
                    <w:t>外购</w:t>
                  </w:r>
                </w:p>
              </w:tc>
            </w:tr>
            <w:tr w14:paraId="3FE7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7" w:type="pct"/>
                  <w:vMerge w:val="continue"/>
                  <w:vAlign w:val="center"/>
                </w:tcPr>
                <w:p w14:paraId="767D223F">
                  <w:pPr>
                    <w:pStyle w:val="42"/>
                    <w:keepNext w:val="0"/>
                    <w:keepLines w:val="0"/>
                    <w:widowControl/>
                    <w:suppressLineNumbers w:val="0"/>
                    <w:spacing w:before="0" w:beforeAutospacing="0" w:after="0" w:afterAutospacing="0"/>
                    <w:ind w:left="0" w:right="0"/>
                    <w:rPr>
                      <w:rFonts w:hint="default"/>
                    </w:rPr>
                  </w:pPr>
                </w:p>
              </w:tc>
              <w:tc>
                <w:tcPr>
                  <w:tcW w:w="355" w:type="pct"/>
                  <w:vAlign w:val="center"/>
                </w:tcPr>
                <w:p w14:paraId="3997D50E">
                  <w:pPr>
                    <w:pStyle w:val="42"/>
                    <w:keepNext w:val="0"/>
                    <w:keepLines w:val="0"/>
                    <w:widowControl/>
                    <w:suppressLineNumbers w:val="0"/>
                    <w:spacing w:before="0" w:beforeAutospacing="0" w:after="0" w:afterAutospacing="0"/>
                    <w:ind w:left="0" w:right="0"/>
                    <w:rPr>
                      <w:rFonts w:hint="default"/>
                    </w:rPr>
                  </w:pPr>
                  <w:r>
                    <w:t>石子</w:t>
                  </w:r>
                </w:p>
              </w:tc>
              <w:tc>
                <w:tcPr>
                  <w:tcW w:w="1245" w:type="pct"/>
                  <w:vAlign w:val="center"/>
                </w:tcPr>
                <w:p w14:paraId="10D551D5">
                  <w:pPr>
                    <w:pStyle w:val="42"/>
                    <w:keepNext w:val="0"/>
                    <w:keepLines w:val="0"/>
                    <w:widowControl/>
                    <w:suppressLineNumbers w:val="0"/>
                    <w:spacing w:before="0" w:beforeAutospacing="0" w:after="0" w:afterAutospacing="0"/>
                    <w:ind w:left="0" w:right="0"/>
                    <w:rPr>
                      <w:rFonts w:hint="default"/>
                    </w:rPr>
                  </w:pPr>
                  <w:r>
                    <w:t>t/a</w:t>
                  </w:r>
                </w:p>
              </w:tc>
              <w:tc>
                <w:tcPr>
                  <w:tcW w:w="1635" w:type="pct"/>
                  <w:vAlign w:val="center"/>
                </w:tcPr>
                <w:p w14:paraId="62B10064">
                  <w:pPr>
                    <w:pStyle w:val="42"/>
                    <w:keepNext w:val="0"/>
                    <w:keepLines w:val="0"/>
                    <w:widowControl/>
                    <w:suppressLineNumbers w:val="0"/>
                    <w:spacing w:before="0" w:beforeAutospacing="0" w:after="0" w:afterAutospacing="0"/>
                    <w:ind w:left="0" w:right="0"/>
                    <w:rPr>
                      <w:rFonts w:hint="default"/>
                    </w:rPr>
                  </w:pPr>
                  <w:r>
                    <w:t>42000</w:t>
                  </w:r>
                </w:p>
              </w:tc>
              <w:tc>
                <w:tcPr>
                  <w:tcW w:w="1546" w:type="pct"/>
                  <w:vAlign w:val="center"/>
                </w:tcPr>
                <w:p w14:paraId="3B68D605">
                  <w:pPr>
                    <w:pStyle w:val="42"/>
                    <w:keepNext w:val="0"/>
                    <w:keepLines w:val="0"/>
                    <w:widowControl/>
                    <w:suppressLineNumbers w:val="0"/>
                    <w:spacing w:before="0" w:beforeAutospacing="0" w:after="0" w:afterAutospacing="0"/>
                    <w:ind w:left="0" w:right="0"/>
                    <w:rPr>
                      <w:rFonts w:hint="default"/>
                    </w:rPr>
                  </w:pPr>
                  <w:r>
                    <w:t>外购</w:t>
                  </w:r>
                </w:p>
              </w:tc>
            </w:tr>
            <w:tr w14:paraId="7601A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7" w:type="pct"/>
                  <w:vMerge w:val="continue"/>
                  <w:vAlign w:val="center"/>
                </w:tcPr>
                <w:p w14:paraId="25CA9FDB">
                  <w:pPr>
                    <w:pStyle w:val="42"/>
                    <w:keepNext w:val="0"/>
                    <w:keepLines w:val="0"/>
                    <w:widowControl/>
                    <w:suppressLineNumbers w:val="0"/>
                    <w:spacing w:before="0" w:beforeAutospacing="0" w:after="0" w:afterAutospacing="0"/>
                    <w:ind w:left="0" w:right="0"/>
                    <w:rPr>
                      <w:rFonts w:hint="default"/>
                    </w:rPr>
                  </w:pPr>
                </w:p>
              </w:tc>
              <w:tc>
                <w:tcPr>
                  <w:tcW w:w="355" w:type="pct"/>
                  <w:vAlign w:val="center"/>
                </w:tcPr>
                <w:p w14:paraId="69636208">
                  <w:pPr>
                    <w:pStyle w:val="42"/>
                    <w:keepNext w:val="0"/>
                    <w:keepLines w:val="0"/>
                    <w:widowControl/>
                    <w:suppressLineNumbers w:val="0"/>
                    <w:spacing w:before="0" w:beforeAutospacing="0" w:after="0" w:afterAutospacing="0"/>
                    <w:ind w:left="0" w:right="0"/>
                    <w:rPr>
                      <w:rFonts w:hint="default"/>
                    </w:rPr>
                  </w:pPr>
                  <w:r>
                    <w:t>石粉</w:t>
                  </w:r>
                </w:p>
              </w:tc>
              <w:tc>
                <w:tcPr>
                  <w:tcW w:w="1245" w:type="pct"/>
                  <w:vAlign w:val="center"/>
                </w:tcPr>
                <w:p w14:paraId="24B4C611">
                  <w:pPr>
                    <w:pStyle w:val="42"/>
                    <w:keepNext w:val="0"/>
                    <w:keepLines w:val="0"/>
                    <w:widowControl/>
                    <w:suppressLineNumbers w:val="0"/>
                    <w:spacing w:before="0" w:beforeAutospacing="0" w:after="0" w:afterAutospacing="0"/>
                    <w:ind w:left="0" w:right="0"/>
                    <w:rPr>
                      <w:rFonts w:hint="default"/>
                    </w:rPr>
                  </w:pPr>
                  <w:r>
                    <w:t>t/a</w:t>
                  </w:r>
                </w:p>
              </w:tc>
              <w:tc>
                <w:tcPr>
                  <w:tcW w:w="1635" w:type="pct"/>
                  <w:vAlign w:val="center"/>
                </w:tcPr>
                <w:p w14:paraId="461F4900">
                  <w:pPr>
                    <w:pStyle w:val="42"/>
                    <w:keepNext w:val="0"/>
                    <w:keepLines w:val="0"/>
                    <w:widowControl/>
                    <w:suppressLineNumbers w:val="0"/>
                    <w:spacing w:before="0" w:beforeAutospacing="0" w:after="0" w:afterAutospacing="0"/>
                    <w:ind w:left="0" w:right="0"/>
                    <w:rPr>
                      <w:rFonts w:hint="default"/>
                    </w:rPr>
                  </w:pPr>
                  <w:r>
                    <w:t>25000</w:t>
                  </w:r>
                </w:p>
              </w:tc>
              <w:tc>
                <w:tcPr>
                  <w:tcW w:w="1546" w:type="pct"/>
                  <w:vAlign w:val="center"/>
                </w:tcPr>
                <w:p w14:paraId="39406223">
                  <w:pPr>
                    <w:pStyle w:val="42"/>
                    <w:keepNext w:val="0"/>
                    <w:keepLines w:val="0"/>
                    <w:widowControl/>
                    <w:suppressLineNumbers w:val="0"/>
                    <w:spacing w:before="0" w:beforeAutospacing="0" w:after="0" w:afterAutospacing="0"/>
                    <w:ind w:left="0" w:right="0"/>
                    <w:rPr>
                      <w:rFonts w:hint="default"/>
                    </w:rPr>
                  </w:pPr>
                  <w:r>
                    <w:t>外购</w:t>
                  </w:r>
                </w:p>
              </w:tc>
            </w:tr>
            <w:tr w14:paraId="314E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7" w:type="pct"/>
                  <w:vMerge w:val="continue"/>
                  <w:vAlign w:val="center"/>
                </w:tcPr>
                <w:p w14:paraId="38E6F1DF">
                  <w:pPr>
                    <w:pStyle w:val="42"/>
                    <w:keepNext w:val="0"/>
                    <w:keepLines w:val="0"/>
                    <w:widowControl/>
                    <w:suppressLineNumbers w:val="0"/>
                    <w:spacing w:before="0" w:beforeAutospacing="0" w:after="0" w:afterAutospacing="0"/>
                    <w:ind w:left="0" w:right="0"/>
                    <w:rPr>
                      <w:rFonts w:hint="default"/>
                    </w:rPr>
                  </w:pPr>
                </w:p>
              </w:tc>
              <w:tc>
                <w:tcPr>
                  <w:tcW w:w="355" w:type="pct"/>
                  <w:vAlign w:val="center"/>
                </w:tcPr>
                <w:p w14:paraId="0ED9D6CD">
                  <w:pPr>
                    <w:pStyle w:val="42"/>
                    <w:keepNext w:val="0"/>
                    <w:keepLines w:val="0"/>
                    <w:widowControl/>
                    <w:suppressLineNumbers w:val="0"/>
                    <w:spacing w:before="0" w:beforeAutospacing="0" w:after="0" w:afterAutospacing="0"/>
                    <w:ind w:left="0" w:right="0"/>
                    <w:rPr>
                      <w:rFonts w:hint="default"/>
                    </w:rPr>
                  </w:pPr>
                  <w:r>
                    <w:t>钢筋</w:t>
                  </w:r>
                </w:p>
              </w:tc>
              <w:tc>
                <w:tcPr>
                  <w:tcW w:w="1245" w:type="pct"/>
                  <w:vAlign w:val="center"/>
                </w:tcPr>
                <w:p w14:paraId="56122155">
                  <w:pPr>
                    <w:pStyle w:val="42"/>
                    <w:keepNext w:val="0"/>
                    <w:keepLines w:val="0"/>
                    <w:widowControl/>
                    <w:suppressLineNumbers w:val="0"/>
                    <w:spacing w:before="0" w:beforeAutospacing="0" w:after="0" w:afterAutospacing="0"/>
                    <w:ind w:left="0" w:right="0"/>
                    <w:rPr>
                      <w:rFonts w:hint="default"/>
                    </w:rPr>
                  </w:pPr>
                  <w:r>
                    <w:t>t/a</w:t>
                  </w:r>
                </w:p>
              </w:tc>
              <w:tc>
                <w:tcPr>
                  <w:tcW w:w="1635" w:type="pct"/>
                  <w:vAlign w:val="center"/>
                </w:tcPr>
                <w:p w14:paraId="10958FD3">
                  <w:pPr>
                    <w:pStyle w:val="42"/>
                    <w:keepNext w:val="0"/>
                    <w:keepLines w:val="0"/>
                    <w:widowControl/>
                    <w:suppressLineNumbers w:val="0"/>
                    <w:spacing w:before="0" w:beforeAutospacing="0" w:after="0" w:afterAutospacing="0"/>
                    <w:ind w:left="0" w:right="0"/>
                    <w:rPr>
                      <w:rFonts w:hint="default"/>
                    </w:rPr>
                  </w:pPr>
                  <w:r>
                    <w:t>1000</w:t>
                  </w:r>
                </w:p>
              </w:tc>
              <w:tc>
                <w:tcPr>
                  <w:tcW w:w="1546" w:type="pct"/>
                  <w:vAlign w:val="center"/>
                </w:tcPr>
                <w:p w14:paraId="54BB523D">
                  <w:pPr>
                    <w:pStyle w:val="42"/>
                    <w:keepNext w:val="0"/>
                    <w:keepLines w:val="0"/>
                    <w:widowControl/>
                    <w:suppressLineNumbers w:val="0"/>
                    <w:spacing w:before="0" w:beforeAutospacing="0" w:after="0" w:afterAutospacing="0"/>
                    <w:ind w:left="0" w:right="0"/>
                    <w:rPr>
                      <w:rFonts w:hint="default"/>
                    </w:rPr>
                  </w:pPr>
                  <w:r>
                    <w:t>外购</w:t>
                  </w:r>
                </w:p>
              </w:tc>
            </w:tr>
            <w:tr w14:paraId="40DC1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7" w:type="pct"/>
                  <w:vMerge w:val="restart"/>
                  <w:vAlign w:val="center"/>
                </w:tcPr>
                <w:p w14:paraId="39A893A7">
                  <w:pPr>
                    <w:pStyle w:val="42"/>
                    <w:keepNext w:val="0"/>
                    <w:keepLines w:val="0"/>
                    <w:widowControl/>
                    <w:suppressLineNumbers w:val="0"/>
                    <w:spacing w:before="0" w:beforeAutospacing="0" w:after="0" w:afterAutospacing="0"/>
                    <w:ind w:left="0" w:right="0"/>
                    <w:rPr>
                      <w:rFonts w:hint="default"/>
                    </w:rPr>
                  </w:pPr>
                  <w:r>
                    <w:t>能源</w:t>
                  </w:r>
                </w:p>
              </w:tc>
              <w:tc>
                <w:tcPr>
                  <w:tcW w:w="355" w:type="pct"/>
                  <w:vAlign w:val="center"/>
                </w:tcPr>
                <w:p w14:paraId="133530BB">
                  <w:pPr>
                    <w:pStyle w:val="42"/>
                    <w:keepNext w:val="0"/>
                    <w:keepLines w:val="0"/>
                    <w:widowControl/>
                    <w:suppressLineNumbers w:val="0"/>
                    <w:spacing w:before="0" w:beforeAutospacing="0" w:after="0" w:afterAutospacing="0"/>
                    <w:ind w:left="0" w:right="0"/>
                    <w:rPr>
                      <w:rFonts w:hint="default"/>
                    </w:rPr>
                  </w:pPr>
                  <w:r>
                    <w:t>水</w:t>
                  </w:r>
                </w:p>
              </w:tc>
              <w:tc>
                <w:tcPr>
                  <w:tcW w:w="1245" w:type="pct"/>
                  <w:vAlign w:val="center"/>
                </w:tcPr>
                <w:p w14:paraId="7A9B3F36">
                  <w:pPr>
                    <w:pStyle w:val="42"/>
                    <w:keepNext w:val="0"/>
                    <w:keepLines w:val="0"/>
                    <w:widowControl/>
                    <w:suppressLineNumbers w:val="0"/>
                    <w:spacing w:before="0" w:beforeAutospacing="0" w:after="0" w:afterAutospacing="0"/>
                    <w:ind w:left="0" w:right="0"/>
                    <w:rPr>
                      <w:rFonts w:hint="default"/>
                    </w:rPr>
                  </w:pPr>
                  <w:r>
                    <w:t>m</w:t>
                  </w:r>
                  <w:r>
                    <w:rPr>
                      <w:vertAlign w:val="superscript"/>
                    </w:rPr>
                    <w:t>3</w:t>
                  </w:r>
                  <w:r>
                    <w:t>/a</w:t>
                  </w:r>
                </w:p>
              </w:tc>
              <w:tc>
                <w:tcPr>
                  <w:tcW w:w="1635" w:type="pct"/>
                  <w:vAlign w:val="center"/>
                </w:tcPr>
                <w:p w14:paraId="30D4ED2F">
                  <w:pPr>
                    <w:pStyle w:val="42"/>
                    <w:keepNext w:val="0"/>
                    <w:keepLines w:val="0"/>
                    <w:widowControl/>
                    <w:suppressLineNumbers w:val="0"/>
                    <w:spacing w:before="0" w:beforeAutospacing="0" w:after="0" w:afterAutospacing="0"/>
                    <w:ind w:left="0" w:right="0"/>
                    <w:rPr>
                      <w:rFonts w:hint="eastAsia" w:eastAsia="宋体"/>
                      <w:lang w:eastAsia="zh-CN"/>
                    </w:rPr>
                  </w:pPr>
                  <w:r>
                    <w:rPr>
                      <w:rFonts w:hint="eastAsia"/>
                      <w:lang w:eastAsia="zh-CN"/>
                    </w:rPr>
                    <w:t>4869.6</w:t>
                  </w:r>
                </w:p>
              </w:tc>
              <w:tc>
                <w:tcPr>
                  <w:tcW w:w="1546" w:type="pct"/>
                  <w:vAlign w:val="center"/>
                </w:tcPr>
                <w:p w14:paraId="739BF392">
                  <w:pPr>
                    <w:pStyle w:val="42"/>
                    <w:keepNext w:val="0"/>
                    <w:keepLines w:val="0"/>
                    <w:widowControl/>
                    <w:suppressLineNumbers w:val="0"/>
                    <w:spacing w:before="0" w:beforeAutospacing="0" w:after="0" w:afterAutospacing="0"/>
                    <w:ind w:left="0" w:right="0"/>
                    <w:rPr>
                      <w:rFonts w:hint="default"/>
                    </w:rPr>
                  </w:pPr>
                  <w:r>
                    <w:t>自备水井</w:t>
                  </w:r>
                </w:p>
              </w:tc>
            </w:tr>
            <w:tr w14:paraId="5FEA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7" w:type="pct"/>
                  <w:vMerge w:val="continue"/>
                  <w:vAlign w:val="center"/>
                </w:tcPr>
                <w:p w14:paraId="576596B0">
                  <w:pPr>
                    <w:pStyle w:val="42"/>
                    <w:keepNext w:val="0"/>
                    <w:keepLines w:val="0"/>
                    <w:widowControl/>
                    <w:suppressLineNumbers w:val="0"/>
                    <w:spacing w:before="0" w:beforeAutospacing="0" w:after="0" w:afterAutospacing="0"/>
                    <w:ind w:left="0" w:right="0"/>
                    <w:rPr>
                      <w:rFonts w:hint="default"/>
                    </w:rPr>
                  </w:pPr>
                </w:p>
              </w:tc>
              <w:tc>
                <w:tcPr>
                  <w:tcW w:w="355" w:type="pct"/>
                  <w:vAlign w:val="center"/>
                </w:tcPr>
                <w:p w14:paraId="6F52C530">
                  <w:pPr>
                    <w:pStyle w:val="42"/>
                    <w:keepNext w:val="0"/>
                    <w:keepLines w:val="0"/>
                    <w:widowControl/>
                    <w:suppressLineNumbers w:val="0"/>
                    <w:spacing w:before="0" w:beforeAutospacing="0" w:after="0" w:afterAutospacing="0"/>
                    <w:ind w:left="0" w:right="0"/>
                    <w:rPr>
                      <w:rFonts w:hint="default"/>
                    </w:rPr>
                  </w:pPr>
                  <w:r>
                    <w:t>电</w:t>
                  </w:r>
                </w:p>
              </w:tc>
              <w:tc>
                <w:tcPr>
                  <w:tcW w:w="1245" w:type="pct"/>
                  <w:vAlign w:val="center"/>
                </w:tcPr>
                <w:p w14:paraId="5563A7D1">
                  <w:pPr>
                    <w:pStyle w:val="42"/>
                    <w:keepNext w:val="0"/>
                    <w:keepLines w:val="0"/>
                    <w:widowControl/>
                    <w:suppressLineNumbers w:val="0"/>
                    <w:spacing w:before="0" w:beforeAutospacing="0" w:after="0" w:afterAutospacing="0"/>
                    <w:ind w:left="0" w:right="0"/>
                    <w:rPr>
                      <w:rFonts w:hint="default"/>
                    </w:rPr>
                  </w:pPr>
                  <w:r>
                    <w:t>kWh/a</w:t>
                  </w:r>
                </w:p>
              </w:tc>
              <w:tc>
                <w:tcPr>
                  <w:tcW w:w="1635" w:type="pct"/>
                  <w:vAlign w:val="center"/>
                </w:tcPr>
                <w:p w14:paraId="6B29CD9F">
                  <w:pPr>
                    <w:pStyle w:val="42"/>
                    <w:keepNext w:val="0"/>
                    <w:keepLines w:val="0"/>
                    <w:widowControl/>
                    <w:suppressLineNumbers w:val="0"/>
                    <w:spacing w:before="0" w:beforeAutospacing="0" w:after="0" w:afterAutospacing="0"/>
                    <w:ind w:left="0" w:right="0"/>
                    <w:rPr>
                      <w:rFonts w:hint="default"/>
                    </w:rPr>
                  </w:pPr>
                  <w:r>
                    <w:t>150000</w:t>
                  </w:r>
                </w:p>
              </w:tc>
              <w:tc>
                <w:tcPr>
                  <w:tcW w:w="1546" w:type="pct"/>
                  <w:vAlign w:val="center"/>
                </w:tcPr>
                <w:p w14:paraId="3DC23EA7">
                  <w:pPr>
                    <w:pStyle w:val="42"/>
                    <w:keepNext w:val="0"/>
                    <w:keepLines w:val="0"/>
                    <w:widowControl/>
                    <w:suppressLineNumbers w:val="0"/>
                    <w:spacing w:before="0" w:beforeAutospacing="0" w:after="0" w:afterAutospacing="0"/>
                    <w:ind w:left="0" w:right="0"/>
                    <w:rPr>
                      <w:rFonts w:hint="default"/>
                    </w:rPr>
                  </w:pPr>
                </w:p>
              </w:tc>
            </w:tr>
          </w:tbl>
          <w:p w14:paraId="3EF554B1">
            <w:pPr>
              <w:keepNext w:val="0"/>
              <w:keepLines w:val="0"/>
              <w:suppressLineNumbers w:val="0"/>
              <w:spacing w:before="120" w:beforeLines="50" w:beforeAutospacing="0" w:after="0" w:afterAutospacing="0"/>
              <w:ind w:left="0" w:right="0" w:firstLine="480"/>
              <w:rPr>
                <w:rFonts w:hint="default"/>
              </w:rPr>
            </w:pPr>
            <w:r>
              <w:rPr>
                <w:rFonts w:hint="eastAsia"/>
              </w:rPr>
              <w:t>上述部分原辅材料的特性及相关成分组成情况简述如下：</w:t>
            </w:r>
          </w:p>
          <w:p w14:paraId="64BEDDB2">
            <w:pPr>
              <w:keepNext w:val="0"/>
              <w:keepLines w:val="0"/>
              <w:suppressLineNumbers w:val="0"/>
              <w:spacing w:before="0" w:beforeAutospacing="0" w:after="0" w:afterAutospacing="0"/>
              <w:ind w:left="0" w:right="0" w:firstLine="480"/>
              <w:rPr>
                <w:rFonts w:hint="default"/>
              </w:rPr>
            </w:pPr>
            <w:r>
              <w:rPr>
                <w:rFonts w:hint="default"/>
              </w:rPr>
              <w:t>（1）石子、石粉：石子和石粉粒度规格不同，主要成分为石灰岩石质等，是混凝土的主要骨料。</w:t>
            </w:r>
          </w:p>
          <w:p w14:paraId="094BD5E0">
            <w:pPr>
              <w:keepNext w:val="0"/>
              <w:keepLines w:val="0"/>
              <w:suppressLineNumbers w:val="0"/>
              <w:spacing w:before="0" w:beforeAutospacing="0" w:after="0" w:afterAutospacing="0"/>
              <w:ind w:left="0" w:right="0" w:firstLine="480"/>
              <w:rPr>
                <w:rFonts w:hint="default"/>
              </w:rPr>
            </w:pPr>
            <w:r>
              <w:rPr>
                <w:rFonts w:hint="default"/>
              </w:rPr>
              <w:t>（2）水泥：粉状水硬性无机胶凝材料。加水搅拌后成浆体，能在空气中硬化或者在水中更好的硬化，并能把砂、石等材料牢固地胶结在一起。用水泥胶结碎石制成的混凝土，硬化后不但强度较高，而且还能抵抗淡水或含盐水的侵蚀。长期以来，其作为一种重要的胶凝材料，广泛应用于土木建筑、水利、国防等工程。</w:t>
            </w:r>
          </w:p>
          <w:p w14:paraId="3D58AE8B">
            <w:pPr>
              <w:keepNext w:val="0"/>
              <w:keepLines w:val="0"/>
              <w:suppressLineNumbers w:val="0"/>
              <w:spacing w:before="0" w:beforeAutospacing="0" w:after="0" w:afterAutospacing="0"/>
              <w:ind w:left="0" w:right="0" w:firstLine="482"/>
              <w:rPr>
                <w:rFonts w:hint="default"/>
                <w:b/>
              </w:rPr>
            </w:pPr>
            <w:r>
              <w:rPr>
                <w:rFonts w:hint="eastAsia"/>
                <w:b/>
              </w:rPr>
              <w:t>6</w:t>
            </w:r>
            <w:r>
              <w:rPr>
                <w:rFonts w:hint="default"/>
                <w:b/>
              </w:rPr>
              <w:t>．</w:t>
            </w:r>
            <w:r>
              <w:rPr>
                <w:rFonts w:hint="eastAsia"/>
                <w:b/>
              </w:rPr>
              <w:t>劳动定员及工作制度</w:t>
            </w:r>
          </w:p>
          <w:p w14:paraId="0E2CDEDE">
            <w:pPr>
              <w:keepNext w:val="0"/>
              <w:keepLines w:val="0"/>
              <w:suppressLineNumbers w:val="0"/>
              <w:spacing w:before="0" w:beforeAutospacing="0" w:after="0" w:afterAutospacing="0"/>
              <w:ind w:left="0" w:right="0" w:firstLine="480"/>
              <w:rPr>
                <w:rFonts w:hint="default"/>
              </w:rPr>
            </w:pPr>
            <w:r>
              <w:rPr>
                <w:rFonts w:hint="eastAsia"/>
              </w:rPr>
              <w:t>项目劳动定员为28人。项目年工作时间为240天，工作制度为每天</w:t>
            </w:r>
            <w:r>
              <w:rPr>
                <w:rFonts w:hint="default"/>
              </w:rPr>
              <w:t>1</w:t>
            </w:r>
            <w:r>
              <w:rPr>
                <w:rFonts w:hint="eastAsia"/>
              </w:rPr>
              <w:t>班，每班8小时，项目仅昼间生产。</w:t>
            </w:r>
          </w:p>
          <w:p w14:paraId="6A6EB25A">
            <w:pPr>
              <w:keepNext w:val="0"/>
              <w:keepLines w:val="0"/>
              <w:suppressLineNumbers w:val="0"/>
              <w:spacing w:before="0" w:beforeAutospacing="0" w:after="0" w:afterAutospacing="0"/>
              <w:ind w:left="0" w:right="0" w:firstLine="482"/>
              <w:rPr>
                <w:rFonts w:hint="default"/>
                <w:b/>
              </w:rPr>
            </w:pPr>
            <w:r>
              <w:rPr>
                <w:rFonts w:hint="eastAsia"/>
                <w:b/>
              </w:rPr>
              <w:t>7.</w:t>
            </w:r>
            <w:r>
              <w:rPr>
                <w:rFonts w:hint="default"/>
                <w:b/>
              </w:rPr>
              <w:t>项目占地情况</w:t>
            </w:r>
          </w:p>
          <w:p w14:paraId="33BD2061">
            <w:pPr>
              <w:keepNext w:val="0"/>
              <w:keepLines w:val="0"/>
              <w:suppressLineNumbers w:val="0"/>
              <w:spacing w:before="0" w:beforeAutospacing="0" w:after="0" w:afterAutospacing="0"/>
              <w:ind w:left="0" w:right="0" w:firstLine="480"/>
              <w:rPr>
                <w:rFonts w:hint="default"/>
              </w:rPr>
            </w:pPr>
            <w:r>
              <w:rPr>
                <w:rFonts w:hint="eastAsia"/>
              </w:rPr>
              <w:t>项目总占地面积为20010m</w:t>
            </w:r>
            <w:r>
              <w:rPr>
                <w:rFonts w:hint="eastAsia"/>
                <w:vertAlign w:val="superscript"/>
              </w:rPr>
              <w:t>2</w:t>
            </w:r>
            <w:r>
              <w:rPr>
                <w:rFonts w:hint="eastAsia"/>
              </w:rPr>
              <w:t>，总建筑面积为2550m</w:t>
            </w:r>
            <w:r>
              <w:rPr>
                <w:rFonts w:hint="eastAsia"/>
                <w:vertAlign w:val="superscript"/>
              </w:rPr>
              <w:t>2</w:t>
            </w:r>
            <w:r>
              <w:rPr>
                <w:rFonts w:hint="eastAsia"/>
              </w:rPr>
              <w:t>，包括生产车间及原料库房。</w:t>
            </w:r>
          </w:p>
          <w:p w14:paraId="7990027A">
            <w:pPr>
              <w:keepNext w:val="0"/>
              <w:keepLines w:val="0"/>
              <w:suppressLineNumbers w:val="0"/>
              <w:spacing w:before="0" w:beforeAutospacing="0" w:after="0" w:afterAutospacing="0"/>
              <w:ind w:left="0" w:right="0" w:firstLine="482"/>
              <w:rPr>
                <w:rFonts w:hint="default"/>
                <w:b/>
              </w:rPr>
            </w:pPr>
            <w:r>
              <w:rPr>
                <w:rFonts w:hint="eastAsia"/>
                <w:b/>
              </w:rPr>
              <w:t>8</w:t>
            </w:r>
            <w:r>
              <w:rPr>
                <w:rFonts w:hint="default"/>
                <w:b/>
              </w:rPr>
              <w:t>．</w:t>
            </w:r>
            <w:r>
              <w:rPr>
                <w:rFonts w:hint="eastAsia"/>
                <w:b/>
              </w:rPr>
              <w:t>厂区平面布置情况</w:t>
            </w:r>
          </w:p>
          <w:p w14:paraId="24BBE8F9">
            <w:pPr>
              <w:keepNext w:val="0"/>
              <w:keepLines w:val="0"/>
              <w:suppressLineNumbers w:val="0"/>
              <w:spacing w:before="0" w:beforeAutospacing="0" w:after="0" w:afterAutospacing="0"/>
              <w:ind w:left="0" w:right="0" w:firstLine="480"/>
              <w:rPr>
                <w:rFonts w:hint="default"/>
              </w:rPr>
            </w:pPr>
            <w:r>
              <w:rPr>
                <w:rFonts w:hint="eastAsia"/>
              </w:rPr>
              <w:t>项目大门位于东厂界，大门北侧为石子、石粉堆放库，危险废物贮存间设置在石子、石粉堆放库内部，石子、石粉堆放库西北角隔出6m</w:t>
            </w:r>
            <w:r>
              <w:rPr>
                <w:rFonts w:hint="eastAsia"/>
                <w:vertAlign w:val="superscript"/>
              </w:rPr>
              <w:t>2</w:t>
            </w:r>
            <w:r>
              <w:rPr>
                <w:rFonts w:hint="eastAsia"/>
              </w:rPr>
              <w:t>作为危险废物贮存间，堆放库东侧为搅拌车间，紧邻北厂界，水泥筒仓设置在搅拌车间内部。大门西侧为成品堆放区，成品堆放区南侧为集成构件浇注区。集成构件浇注区西侧及南侧侧为养护区。</w:t>
            </w:r>
          </w:p>
          <w:p w14:paraId="57E56C9A">
            <w:pPr>
              <w:keepNext w:val="0"/>
              <w:keepLines w:val="0"/>
              <w:suppressLineNumbers w:val="0"/>
              <w:spacing w:before="0" w:beforeAutospacing="0" w:after="0" w:afterAutospacing="0"/>
              <w:ind w:left="0" w:right="0" w:firstLine="480"/>
              <w:rPr>
                <w:rFonts w:hint="default"/>
              </w:rPr>
            </w:pPr>
            <w:r>
              <w:rPr>
                <w:rFonts w:hint="eastAsia"/>
              </w:rPr>
              <w:t>详见附图2项目平面布置示意图。</w:t>
            </w:r>
          </w:p>
          <w:p w14:paraId="1784291D">
            <w:pPr>
              <w:keepNext w:val="0"/>
              <w:keepLines w:val="0"/>
              <w:suppressLineNumbers w:val="0"/>
              <w:spacing w:before="0" w:beforeAutospacing="0" w:after="0" w:afterAutospacing="0"/>
              <w:ind w:left="0" w:right="0" w:firstLine="482"/>
              <w:rPr>
                <w:rFonts w:hint="default"/>
                <w:b/>
                <w:color w:val="FF0000"/>
              </w:rPr>
            </w:pPr>
            <w:r>
              <w:rPr>
                <w:rFonts w:hint="eastAsia"/>
                <w:b/>
              </w:rPr>
              <w:t>9</w:t>
            </w:r>
            <w:r>
              <w:rPr>
                <w:rFonts w:hint="default"/>
                <w:b/>
              </w:rPr>
              <w:t>．</w:t>
            </w:r>
            <w:r>
              <w:rPr>
                <w:rFonts w:hint="eastAsia"/>
                <w:b/>
              </w:rPr>
              <w:t>给、排水工程及水平衡分析</w:t>
            </w:r>
          </w:p>
          <w:p w14:paraId="4429F6DB">
            <w:pPr>
              <w:keepNext w:val="0"/>
              <w:keepLines w:val="0"/>
              <w:suppressLineNumbers w:val="0"/>
              <w:spacing w:before="0" w:beforeAutospacing="0" w:after="0" w:afterAutospacing="0"/>
              <w:ind w:left="0" w:right="0" w:firstLine="482"/>
              <w:rPr>
                <w:rFonts w:hint="default"/>
                <w:b/>
                <w:bCs/>
              </w:rPr>
            </w:pPr>
            <w:r>
              <w:rPr>
                <w:rFonts w:hint="eastAsia"/>
                <w:b/>
                <w:bCs/>
              </w:rPr>
              <w:t>（1）给水工程</w:t>
            </w:r>
          </w:p>
          <w:p w14:paraId="18F007AD">
            <w:pPr>
              <w:keepNext w:val="0"/>
              <w:keepLines w:val="0"/>
              <w:suppressLineNumbers w:val="0"/>
              <w:spacing w:before="0" w:beforeAutospacing="0" w:after="0" w:afterAutospacing="0"/>
              <w:ind w:left="0" w:right="0" w:firstLine="480"/>
              <w:rPr>
                <w:rFonts w:hint="default"/>
              </w:rPr>
            </w:pPr>
            <w:r>
              <w:rPr>
                <w:rFonts w:hint="eastAsia"/>
              </w:rPr>
              <w:t>项目用水包括生活用水和生产用水两部分。其中：</w:t>
            </w:r>
          </w:p>
          <w:p w14:paraId="4B6342B3">
            <w:pPr>
              <w:keepNext w:val="0"/>
              <w:keepLines w:val="0"/>
              <w:numPr>
                <w:ilvl w:val="0"/>
                <w:numId w:val="9"/>
              </w:numPr>
              <w:suppressLineNumbers w:val="0"/>
              <w:spacing w:before="0" w:beforeAutospacing="0" w:after="0" w:afterAutospacing="0"/>
              <w:ind w:right="0" w:firstLine="480"/>
              <w:rPr>
                <w:rFonts w:hint="default"/>
              </w:rPr>
            </w:pPr>
            <w:r>
              <w:rPr>
                <w:rFonts w:hint="eastAsia"/>
              </w:rPr>
              <w:t>生活用水</w:t>
            </w:r>
          </w:p>
          <w:p w14:paraId="3A02B87A">
            <w:pPr>
              <w:keepNext w:val="0"/>
              <w:keepLines w:val="0"/>
              <w:suppressLineNumbers w:val="0"/>
              <w:spacing w:before="0" w:beforeAutospacing="0" w:after="0" w:afterAutospacing="0"/>
              <w:ind w:left="0" w:right="0" w:firstLine="480"/>
              <w:rPr>
                <w:rFonts w:hint="default"/>
              </w:rPr>
            </w:pPr>
            <w:r>
              <w:rPr>
                <w:rFonts w:hint="eastAsia"/>
              </w:rPr>
              <w:t>项目生活用水为新鲜水，取自厂区自备水井。</w:t>
            </w:r>
          </w:p>
          <w:p w14:paraId="156BE5EE">
            <w:pPr>
              <w:keepNext w:val="0"/>
              <w:keepLines w:val="0"/>
              <w:suppressLineNumbers w:val="0"/>
              <w:spacing w:before="0" w:beforeAutospacing="0" w:after="0" w:afterAutospacing="0"/>
              <w:ind w:left="0" w:right="0" w:firstLine="480"/>
              <w:rPr>
                <w:rFonts w:hint="default"/>
                <w:color w:val="FF0000"/>
              </w:rPr>
            </w:pPr>
            <w:r>
              <w:rPr>
                <w:rFonts w:hint="eastAsia"/>
              </w:rPr>
              <w:t>职工日常办公生活用水，</w:t>
            </w:r>
            <w:r>
              <w:rPr>
                <w:rFonts w:hint="default"/>
              </w:rPr>
              <w:t>用水量参考河北省地方标准《生活与服务业用水定额第1部分：居民生活》（DB13/T5450.1-2021）并结合当地实际情况，居民生活用水定额：S962农村居民用水</w:t>
            </w:r>
            <w:r>
              <w:rPr>
                <w:rFonts w:hint="eastAsia"/>
              </w:rPr>
              <w:t>定额</w:t>
            </w:r>
            <w:r>
              <w:rPr>
                <w:rFonts w:hint="default"/>
              </w:rPr>
              <w:t>按20m</w:t>
            </w:r>
            <w:r>
              <w:rPr>
                <w:rFonts w:hint="default"/>
                <w:vertAlign w:val="superscript"/>
              </w:rPr>
              <w:t>3</w:t>
            </w:r>
            <w:r>
              <w:rPr>
                <w:rFonts w:hint="default"/>
              </w:rPr>
              <w:t>/人·a</w:t>
            </w:r>
            <w:r>
              <w:rPr>
                <w:rFonts w:hint="eastAsia"/>
              </w:rPr>
              <w:t>（0.055m</w:t>
            </w:r>
            <w:r>
              <w:rPr>
                <w:rFonts w:hint="eastAsia"/>
                <w:vertAlign w:val="superscript"/>
              </w:rPr>
              <w:t>3</w:t>
            </w:r>
            <w:r>
              <w:rPr>
                <w:rFonts w:hint="eastAsia"/>
              </w:rPr>
              <w:t>/人·d）计</w:t>
            </w:r>
            <w:r>
              <w:rPr>
                <w:rFonts w:hint="default"/>
              </w:rPr>
              <w:t>，</w:t>
            </w:r>
            <w:r>
              <w:rPr>
                <w:rFonts w:hint="eastAsia"/>
              </w:rPr>
              <w:t>项目劳动定员28人，年运行24</w:t>
            </w:r>
            <w:r>
              <w:rPr>
                <w:rFonts w:hint="default"/>
              </w:rPr>
              <w:t>0</w:t>
            </w:r>
            <w:r>
              <w:rPr>
                <w:rFonts w:hint="eastAsia"/>
              </w:rPr>
              <w:t>d，则用水量为369.6m</w:t>
            </w:r>
            <w:r>
              <w:rPr>
                <w:rFonts w:hint="default"/>
                <w:vertAlign w:val="superscript"/>
              </w:rPr>
              <w:t>3</w:t>
            </w:r>
            <w:r>
              <w:rPr>
                <w:rFonts w:hint="eastAsia"/>
              </w:rPr>
              <w:t>/a（1.54m</w:t>
            </w:r>
            <w:r>
              <w:rPr>
                <w:rFonts w:hint="default"/>
                <w:vertAlign w:val="superscript"/>
              </w:rPr>
              <w:t>3</w:t>
            </w:r>
            <w:r>
              <w:rPr>
                <w:rFonts w:hint="default"/>
              </w:rPr>
              <w:t>/</w:t>
            </w:r>
            <w:r>
              <w:rPr>
                <w:rFonts w:hint="eastAsia"/>
              </w:rPr>
              <w:t>d）。</w:t>
            </w:r>
          </w:p>
          <w:p w14:paraId="6760AB7B">
            <w:pPr>
              <w:keepNext w:val="0"/>
              <w:keepLines w:val="0"/>
              <w:numPr>
                <w:ilvl w:val="0"/>
                <w:numId w:val="9"/>
              </w:numPr>
              <w:suppressLineNumbers w:val="0"/>
              <w:spacing w:before="0" w:beforeAutospacing="0" w:after="0" w:afterAutospacing="0"/>
              <w:ind w:right="0" w:firstLine="480"/>
              <w:rPr>
                <w:rFonts w:hint="default"/>
              </w:rPr>
            </w:pPr>
            <w:r>
              <w:rPr>
                <w:rFonts w:hint="eastAsia"/>
              </w:rPr>
              <w:t>生产用水</w:t>
            </w:r>
          </w:p>
          <w:p w14:paraId="029F8D97">
            <w:pPr>
              <w:keepNext w:val="0"/>
              <w:keepLines w:val="0"/>
              <w:suppressLineNumbers w:val="0"/>
              <w:spacing w:before="0" w:beforeAutospacing="0" w:after="0" w:afterAutospacing="0"/>
              <w:ind w:left="0" w:right="0" w:firstLine="480"/>
              <w:rPr>
                <w:rFonts w:hint="default"/>
              </w:rPr>
            </w:pPr>
            <w:r>
              <w:rPr>
                <w:rFonts w:hint="default"/>
              </w:rPr>
              <w:t>项目生产用水过程主要</w:t>
            </w:r>
            <w:r>
              <w:rPr>
                <w:rFonts w:hint="eastAsia"/>
              </w:rPr>
              <w:t>是</w:t>
            </w:r>
            <w:r>
              <w:rPr>
                <w:rFonts w:hint="default"/>
              </w:rPr>
              <w:t>混凝土搅拌加水</w:t>
            </w:r>
            <w:r>
              <w:rPr>
                <w:rFonts w:hint="eastAsia"/>
              </w:rPr>
              <w:t>，</w:t>
            </w:r>
            <w:r>
              <w:rPr>
                <w:rFonts w:hint="default"/>
              </w:rPr>
              <w:t>根据</w:t>
            </w:r>
            <w:r>
              <w:rPr>
                <w:rFonts w:hint="eastAsia"/>
                <w:lang w:eastAsia="zh-CN"/>
              </w:rPr>
              <w:t>《</w:t>
            </w:r>
            <w:r>
              <w:rPr>
                <w:rFonts w:hint="eastAsia"/>
                <w:lang w:val="en-US" w:eastAsia="zh-CN"/>
              </w:rPr>
              <w:t>工业用水定额：预拌混凝土及水泥制品</w:t>
            </w:r>
            <w:r>
              <w:rPr>
                <w:rFonts w:hint="eastAsia"/>
                <w:lang w:eastAsia="zh-CN"/>
              </w:rPr>
              <w:t>》</w:t>
            </w:r>
            <w:r>
              <w:rPr>
                <w:rFonts w:hint="default"/>
              </w:rPr>
              <w:t>，每生产一立方米混凝土，需要加水0.1</w:t>
            </w:r>
            <w:r>
              <w:rPr>
                <w:rFonts w:hint="eastAsia"/>
                <w:lang w:val="en-US" w:eastAsia="zh-CN"/>
              </w:rPr>
              <w:t>5</w:t>
            </w:r>
            <w:r>
              <w:rPr>
                <w:rFonts w:hint="default"/>
              </w:rPr>
              <w:t>m</w:t>
            </w:r>
            <w:r>
              <w:rPr>
                <w:rFonts w:hint="default"/>
                <w:vertAlign w:val="superscript"/>
              </w:rPr>
              <w:t>3</w:t>
            </w:r>
            <w:r>
              <w:rPr>
                <w:rFonts w:hint="default"/>
              </w:rPr>
              <w:t>，项目总计生产混凝土</w:t>
            </w:r>
            <w:r>
              <w:rPr>
                <w:rFonts w:hint="eastAsia"/>
              </w:rPr>
              <w:t>3</w:t>
            </w:r>
            <w:r>
              <w:rPr>
                <w:rFonts w:hint="default"/>
              </w:rPr>
              <w:t>0000m</w:t>
            </w:r>
            <w:r>
              <w:rPr>
                <w:rFonts w:hint="default"/>
                <w:vertAlign w:val="superscript"/>
              </w:rPr>
              <w:t>3</w:t>
            </w:r>
            <w:r>
              <w:rPr>
                <w:rFonts w:hint="eastAsia"/>
              </w:rPr>
              <w:t>/a</w:t>
            </w:r>
            <w:r>
              <w:rPr>
                <w:rFonts w:hint="default"/>
              </w:rPr>
              <w:t>，故搅拌时需添加水</w:t>
            </w:r>
            <w:r>
              <w:rPr>
                <w:rFonts w:hint="eastAsia"/>
              </w:rPr>
              <w:t>4</w:t>
            </w:r>
            <w:r>
              <w:rPr>
                <w:rFonts w:hint="eastAsia"/>
                <w:lang w:val="en-US" w:eastAsia="zh-CN"/>
              </w:rPr>
              <w:t>5</w:t>
            </w:r>
            <w:r>
              <w:rPr>
                <w:rFonts w:hint="eastAsia"/>
              </w:rPr>
              <w:t>00</w:t>
            </w:r>
            <w:r>
              <w:rPr>
                <w:rFonts w:hint="default"/>
              </w:rPr>
              <w:t>m</w:t>
            </w:r>
            <w:r>
              <w:rPr>
                <w:rFonts w:hint="default"/>
                <w:vertAlign w:val="superscript"/>
              </w:rPr>
              <w:t>3</w:t>
            </w:r>
            <w:r>
              <w:rPr>
                <w:rFonts w:hint="eastAsia"/>
              </w:rPr>
              <w:t>/a</w:t>
            </w:r>
            <w:r>
              <w:rPr>
                <w:rFonts w:hint="default"/>
              </w:rPr>
              <w:t>（</w:t>
            </w:r>
            <w:r>
              <w:rPr>
                <w:rFonts w:hint="eastAsia"/>
                <w:lang w:val="en-US" w:eastAsia="zh-CN"/>
              </w:rPr>
              <w:t>18.75</w:t>
            </w:r>
            <w:r>
              <w:rPr>
                <w:rFonts w:hint="default"/>
              </w:rPr>
              <w:t>m</w:t>
            </w:r>
            <w:r>
              <w:rPr>
                <w:rFonts w:hint="default"/>
                <w:vertAlign w:val="superscript"/>
              </w:rPr>
              <w:t>3</w:t>
            </w:r>
            <w:r>
              <w:rPr>
                <w:rFonts w:hint="default"/>
              </w:rPr>
              <w:t>/d）。搅拌时添加的水为新鲜水</w:t>
            </w:r>
            <w:r>
              <w:rPr>
                <w:rFonts w:hint="eastAsia"/>
              </w:rPr>
              <w:t>。</w:t>
            </w:r>
          </w:p>
          <w:p w14:paraId="3E078FA8">
            <w:pPr>
              <w:keepNext w:val="0"/>
              <w:keepLines w:val="0"/>
              <w:numPr>
                <w:ilvl w:val="0"/>
                <w:numId w:val="9"/>
              </w:numPr>
              <w:suppressLineNumbers w:val="0"/>
              <w:spacing w:before="0" w:beforeAutospacing="0" w:after="0" w:afterAutospacing="0"/>
              <w:ind w:right="0" w:firstLine="480"/>
              <w:rPr>
                <w:rFonts w:hint="default"/>
              </w:rPr>
            </w:pPr>
            <w:r>
              <w:rPr>
                <w:rFonts w:hint="eastAsia"/>
              </w:rPr>
              <w:t>项目用水情况汇总：</w:t>
            </w:r>
          </w:p>
          <w:p w14:paraId="431EE38B">
            <w:pPr>
              <w:keepNext w:val="0"/>
              <w:keepLines w:val="0"/>
              <w:suppressLineNumbers w:val="0"/>
              <w:spacing w:before="0" w:beforeAutospacing="0" w:after="0" w:afterAutospacing="0"/>
              <w:ind w:left="0" w:right="0" w:firstLine="480"/>
              <w:rPr>
                <w:rFonts w:hint="default"/>
              </w:rPr>
            </w:pPr>
            <w:r>
              <w:rPr>
                <w:rFonts w:hint="eastAsia"/>
              </w:rPr>
              <w:t>综上，项目生产运行阶段总</w:t>
            </w:r>
            <w:r>
              <w:rPr>
                <w:rFonts w:hint="default"/>
              </w:rPr>
              <w:t>用水量为</w:t>
            </w:r>
            <w:r>
              <w:rPr>
                <w:rFonts w:hint="eastAsia"/>
                <w:lang w:val="en-US" w:eastAsia="zh-CN"/>
              </w:rPr>
              <w:t>48</w:t>
            </w:r>
            <w:r>
              <w:rPr>
                <w:rFonts w:hint="eastAsia"/>
              </w:rPr>
              <w:t>69.6</w:t>
            </w:r>
            <w:r>
              <w:rPr>
                <w:rFonts w:hint="default"/>
              </w:rPr>
              <w:t>m</w:t>
            </w:r>
            <w:r>
              <w:rPr>
                <w:rFonts w:hint="default"/>
                <w:vertAlign w:val="superscript"/>
              </w:rPr>
              <w:t>3</w:t>
            </w:r>
            <w:r>
              <w:rPr>
                <w:rFonts w:hint="default"/>
              </w:rPr>
              <w:t>/</w:t>
            </w:r>
            <w:r>
              <w:rPr>
                <w:rFonts w:hint="eastAsia"/>
              </w:rPr>
              <w:t>a（2</w:t>
            </w:r>
            <w:r>
              <w:rPr>
                <w:rFonts w:hint="eastAsia"/>
                <w:lang w:val="en-US" w:eastAsia="zh-CN"/>
              </w:rPr>
              <w:t>0.29</w:t>
            </w:r>
            <w:r>
              <w:rPr>
                <w:rFonts w:hint="default"/>
              </w:rPr>
              <w:t>m</w:t>
            </w:r>
            <w:r>
              <w:rPr>
                <w:rFonts w:hint="default"/>
                <w:vertAlign w:val="superscript"/>
              </w:rPr>
              <w:t>3</w:t>
            </w:r>
            <w:r>
              <w:rPr>
                <w:rFonts w:hint="default"/>
              </w:rPr>
              <w:t>/a</w:t>
            </w:r>
            <w:r>
              <w:rPr>
                <w:rFonts w:hint="eastAsia"/>
              </w:rPr>
              <w:t>），均为新鲜水。</w:t>
            </w:r>
          </w:p>
          <w:p w14:paraId="130C2F3B">
            <w:pPr>
              <w:keepNext w:val="0"/>
              <w:keepLines w:val="0"/>
              <w:suppressLineNumbers w:val="0"/>
              <w:spacing w:before="0" w:beforeAutospacing="0" w:after="0" w:afterAutospacing="0"/>
              <w:ind w:left="0" w:right="0" w:firstLine="482"/>
              <w:rPr>
                <w:rFonts w:hint="default"/>
                <w:b/>
                <w:bCs/>
              </w:rPr>
            </w:pPr>
            <w:r>
              <w:rPr>
                <w:rFonts w:hint="eastAsia"/>
                <w:b/>
                <w:bCs/>
              </w:rPr>
              <w:t>（2）排水过程</w:t>
            </w:r>
          </w:p>
          <w:p w14:paraId="557C94D8">
            <w:pPr>
              <w:keepNext w:val="0"/>
              <w:keepLines w:val="0"/>
              <w:suppressLineNumbers w:val="0"/>
              <w:spacing w:before="0" w:beforeAutospacing="0" w:after="0" w:afterAutospacing="0"/>
              <w:ind w:left="0" w:right="0" w:firstLine="480"/>
              <w:rPr>
                <w:rFonts w:hint="default"/>
              </w:rPr>
            </w:pPr>
            <w:r>
              <w:rPr>
                <w:rFonts w:hint="eastAsia"/>
              </w:rPr>
              <w:t>项目</w:t>
            </w:r>
            <w:r>
              <w:rPr>
                <w:rFonts w:hint="default"/>
              </w:rPr>
              <w:t>实行雨污分流制。雨水采用自排水的方式</w:t>
            </w:r>
            <w:r>
              <w:rPr>
                <w:rFonts w:hint="eastAsia"/>
              </w:rPr>
              <w:t>。</w:t>
            </w:r>
          </w:p>
          <w:p w14:paraId="2766F4F7">
            <w:pPr>
              <w:keepNext w:val="0"/>
              <w:keepLines w:val="0"/>
              <w:suppressLineNumbers w:val="0"/>
              <w:spacing w:before="0" w:beforeAutospacing="0" w:after="0" w:afterAutospacing="0"/>
              <w:ind w:left="0" w:right="0" w:firstLine="480"/>
              <w:rPr>
                <w:rFonts w:hint="default"/>
              </w:rPr>
            </w:pPr>
            <w:r>
              <w:rPr>
                <w:rFonts w:hint="eastAsia"/>
              </w:rPr>
              <w:t>项目产生的污水主要包括：</w:t>
            </w:r>
            <w:r>
              <w:rPr>
                <w:rFonts w:hint="default"/>
              </w:rPr>
              <w:t>生活</w:t>
            </w:r>
            <w:r>
              <w:rPr>
                <w:rFonts w:hint="eastAsia"/>
              </w:rPr>
              <w:t>盥洗</w:t>
            </w:r>
            <w:r>
              <w:rPr>
                <w:rFonts w:hint="default"/>
              </w:rPr>
              <w:t>污水</w:t>
            </w:r>
            <w:r>
              <w:rPr>
                <w:rFonts w:hint="eastAsia"/>
              </w:rPr>
              <w:t>、生产废水。</w:t>
            </w:r>
          </w:p>
          <w:p w14:paraId="33D0810C">
            <w:pPr>
              <w:keepNext w:val="0"/>
              <w:keepLines w:val="0"/>
              <w:numPr>
                <w:ilvl w:val="0"/>
                <w:numId w:val="10"/>
              </w:numPr>
              <w:suppressLineNumbers w:val="0"/>
              <w:spacing w:before="0" w:beforeAutospacing="0" w:after="0" w:afterAutospacing="0"/>
              <w:ind w:right="0" w:firstLine="480"/>
              <w:rPr>
                <w:rFonts w:hint="default"/>
              </w:rPr>
            </w:pPr>
            <w:r>
              <w:rPr>
                <w:rFonts w:hint="eastAsia"/>
              </w:rPr>
              <w:t>生活污水</w:t>
            </w:r>
          </w:p>
          <w:p w14:paraId="60F3709D">
            <w:pPr>
              <w:keepNext w:val="0"/>
              <w:keepLines w:val="0"/>
              <w:suppressLineNumbers w:val="0"/>
              <w:spacing w:before="0" w:beforeAutospacing="0" w:after="0" w:afterAutospacing="0"/>
              <w:ind w:left="0" w:right="0" w:firstLine="480"/>
              <w:rPr>
                <w:rFonts w:hint="default"/>
              </w:rPr>
            </w:pPr>
            <w:r>
              <w:rPr>
                <w:rFonts w:hint="eastAsia"/>
              </w:rPr>
              <w:t>生活污水主要是职工日常盥洗污水。</w:t>
            </w:r>
            <w:r>
              <w:rPr>
                <w:rFonts w:hint="default"/>
              </w:rPr>
              <w:t>污水量按用水量的80%计，产生量为</w:t>
            </w:r>
            <w:r>
              <w:rPr>
                <w:rFonts w:hint="eastAsia"/>
              </w:rPr>
              <w:t>295.7m</w:t>
            </w:r>
            <w:r>
              <w:rPr>
                <w:rFonts w:hint="default"/>
                <w:vertAlign w:val="superscript"/>
              </w:rPr>
              <w:t>3</w:t>
            </w:r>
            <w:r>
              <w:rPr>
                <w:rFonts w:hint="eastAsia"/>
              </w:rPr>
              <w:t>/a（1.23m</w:t>
            </w:r>
            <w:r>
              <w:rPr>
                <w:rFonts w:hint="default"/>
                <w:vertAlign w:val="superscript"/>
              </w:rPr>
              <w:t>3</w:t>
            </w:r>
            <w:r>
              <w:rPr>
                <w:rFonts w:hint="default"/>
              </w:rPr>
              <w:t>/</w:t>
            </w:r>
            <w:r>
              <w:rPr>
                <w:rFonts w:hint="eastAsia"/>
              </w:rPr>
              <w:t>d）</w:t>
            </w:r>
            <w:r>
              <w:rPr>
                <w:rFonts w:hint="default"/>
              </w:rPr>
              <w:t>。</w:t>
            </w:r>
            <w:r>
              <w:rPr>
                <w:rFonts w:hint="eastAsia"/>
              </w:rPr>
              <w:t>生活盥洗污水产生量不大，水质简单，定期泼洒至厂区地面用于洒水降尘使用，不外排</w:t>
            </w:r>
            <w:r>
              <w:rPr>
                <w:rFonts w:hint="default"/>
              </w:rPr>
              <w:t>。</w:t>
            </w:r>
          </w:p>
          <w:p w14:paraId="76342D45">
            <w:pPr>
              <w:keepNext w:val="0"/>
              <w:keepLines w:val="0"/>
              <w:numPr>
                <w:ilvl w:val="0"/>
                <w:numId w:val="10"/>
              </w:numPr>
              <w:suppressLineNumbers w:val="0"/>
              <w:spacing w:before="0" w:beforeAutospacing="0" w:after="0" w:afterAutospacing="0"/>
              <w:ind w:right="0" w:firstLine="480"/>
              <w:rPr>
                <w:rFonts w:hint="default"/>
              </w:rPr>
            </w:pPr>
            <w:r>
              <w:rPr>
                <w:rFonts w:hint="eastAsia"/>
              </w:rPr>
              <w:t>生产废水</w:t>
            </w:r>
          </w:p>
          <w:p w14:paraId="4AB9A208">
            <w:pPr>
              <w:keepNext w:val="0"/>
              <w:keepLines w:val="0"/>
              <w:suppressLineNumbers w:val="0"/>
              <w:spacing w:before="0" w:beforeAutospacing="0" w:after="0" w:afterAutospacing="0"/>
              <w:ind w:left="0" w:right="0" w:firstLine="480"/>
              <w:rPr>
                <w:rFonts w:hint="default"/>
              </w:rPr>
            </w:pPr>
            <w:r>
              <w:rPr>
                <w:rFonts w:hint="default"/>
              </w:rPr>
              <w:t>混凝土搅拌时所加入的水全部进入混凝土产品，无废水产生。</w:t>
            </w:r>
          </w:p>
          <w:p w14:paraId="4E89F162">
            <w:pPr>
              <w:keepNext w:val="0"/>
              <w:keepLines w:val="0"/>
              <w:suppressLineNumbers w:val="0"/>
              <w:spacing w:before="0" w:beforeAutospacing="0" w:after="0" w:afterAutospacing="0"/>
              <w:ind w:left="0" w:right="0" w:firstLine="480"/>
              <w:rPr>
                <w:rFonts w:hint="default"/>
              </w:rPr>
            </w:pPr>
            <w:r>
              <w:rPr>
                <w:rFonts w:hint="eastAsia"/>
              </w:rPr>
              <w:t>综上所述，项目生产运行阶段各工序产生的废水均可实现综合利用，项目废水不外排。</w:t>
            </w:r>
          </w:p>
          <w:p w14:paraId="1CFE2CB2">
            <w:pPr>
              <w:keepNext w:val="0"/>
              <w:keepLines w:val="0"/>
              <w:suppressLineNumbers w:val="0"/>
              <w:spacing w:before="0" w:beforeAutospacing="0" w:after="0" w:afterAutospacing="0"/>
              <w:ind w:left="0" w:right="0" w:firstLine="482"/>
              <w:rPr>
                <w:rFonts w:hint="default"/>
                <w:b/>
                <w:bCs/>
              </w:rPr>
            </w:pPr>
            <w:r>
              <w:rPr>
                <w:rFonts w:hint="eastAsia"/>
                <w:b/>
                <w:bCs/>
              </w:rPr>
              <w:t>（</w:t>
            </w:r>
            <w:r>
              <w:rPr>
                <w:rFonts w:hint="default"/>
                <w:b/>
                <w:bCs/>
              </w:rPr>
              <w:t>3</w:t>
            </w:r>
            <w:r>
              <w:rPr>
                <w:rFonts w:hint="eastAsia"/>
                <w:b/>
                <w:bCs/>
              </w:rPr>
              <w:t>）水平衡分析</w:t>
            </w:r>
          </w:p>
          <w:p w14:paraId="5E057850">
            <w:pPr>
              <w:keepNext w:val="0"/>
              <w:keepLines w:val="0"/>
              <w:suppressLineNumbers w:val="0"/>
              <w:spacing w:before="0" w:beforeAutospacing="0" w:after="0" w:afterAutospacing="0"/>
              <w:ind w:left="0" w:right="0" w:firstLine="480"/>
              <w:rPr>
                <w:rFonts w:hint="default"/>
              </w:rPr>
            </w:pPr>
            <w:r>
              <w:rPr>
                <w:rFonts w:hint="default"/>
              </w:rPr>
              <w:t>项目水平衡</w:t>
            </w:r>
            <w:r>
              <w:rPr>
                <w:rFonts w:hint="eastAsia"/>
              </w:rPr>
              <w:t>情况见下表。</w:t>
            </w:r>
          </w:p>
          <w:p w14:paraId="12E57220">
            <w:pPr>
              <w:pStyle w:val="40"/>
              <w:keepNext w:val="0"/>
              <w:keepLines w:val="0"/>
              <w:numPr>
                <w:ilvl w:val="0"/>
                <w:numId w:val="8"/>
              </w:numPr>
              <w:suppressLineNumbers w:val="0"/>
              <w:spacing w:before="0" w:beforeAutospacing="0" w:after="0" w:afterAutospacing="0"/>
              <w:ind w:left="0" w:right="0" w:firstLine="0" w:firstLineChars="0"/>
              <w:jc w:val="center"/>
              <w:rPr>
                <w:rFonts w:hint="default" w:ascii="Times New Roman" w:hAnsi="Times New Roman" w:eastAsia="宋体"/>
                <w:b/>
                <w:sz w:val="21"/>
              </w:rPr>
            </w:pPr>
            <w:r>
              <w:rPr>
                <w:rFonts w:hint="eastAsia" w:ascii="宋体" w:hAnsi="宋体" w:eastAsia="宋体"/>
                <w:b/>
                <w:sz w:val="21"/>
              </w:rPr>
              <w:t>项目水平衡情况一览表</w:t>
            </w:r>
            <w:r>
              <w:rPr>
                <w:rFonts w:hint="default" w:ascii="Times New Roman" w:hAnsi="Times New Roman" w:eastAsia="宋体"/>
                <w:b/>
                <w:sz w:val="21"/>
              </w:rPr>
              <w:t>（单位：m</w:t>
            </w:r>
            <w:r>
              <w:rPr>
                <w:rFonts w:hint="default" w:ascii="Times New Roman" w:hAnsi="Times New Roman" w:eastAsia="宋体"/>
                <w:b/>
                <w:sz w:val="21"/>
                <w:vertAlign w:val="superscript"/>
              </w:rPr>
              <w:t>3</w:t>
            </w:r>
            <w:r>
              <w:rPr>
                <w:rFonts w:hint="default" w:ascii="Times New Roman" w:hAnsi="Times New Roman" w:eastAsia="宋体"/>
                <w:b/>
                <w:sz w:val="21"/>
              </w:rPr>
              <w:t>/d）</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2313"/>
              <w:gridCol w:w="1076"/>
              <w:gridCol w:w="920"/>
              <w:gridCol w:w="1076"/>
              <w:gridCol w:w="966"/>
              <w:gridCol w:w="868"/>
            </w:tblGrid>
            <w:tr w14:paraId="73186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Align w:val="center"/>
                </w:tcPr>
                <w:p w14:paraId="07580008">
                  <w:pPr>
                    <w:pStyle w:val="42"/>
                    <w:keepNext w:val="0"/>
                    <w:keepLines w:val="0"/>
                    <w:widowControl/>
                    <w:suppressLineNumbers w:val="0"/>
                    <w:spacing w:before="0" w:beforeAutospacing="0" w:after="0" w:afterAutospacing="0"/>
                    <w:ind w:left="0" w:right="0"/>
                    <w:rPr>
                      <w:rFonts w:hint="default"/>
                      <w:b/>
                      <w:bCs/>
                    </w:rPr>
                  </w:pPr>
                  <w:r>
                    <w:rPr>
                      <w:b/>
                      <w:bCs/>
                    </w:rPr>
                    <w:t>序号</w:t>
                  </w:r>
                </w:p>
              </w:tc>
              <w:tc>
                <w:tcPr>
                  <w:tcW w:w="1457" w:type="pct"/>
                  <w:vAlign w:val="center"/>
                </w:tcPr>
                <w:p w14:paraId="5605F48B">
                  <w:pPr>
                    <w:pStyle w:val="42"/>
                    <w:keepNext w:val="0"/>
                    <w:keepLines w:val="0"/>
                    <w:widowControl/>
                    <w:suppressLineNumbers w:val="0"/>
                    <w:spacing w:before="0" w:beforeAutospacing="0" w:after="0" w:afterAutospacing="0"/>
                    <w:ind w:left="0" w:right="0"/>
                    <w:rPr>
                      <w:rFonts w:hint="default"/>
                      <w:b/>
                      <w:bCs/>
                    </w:rPr>
                  </w:pPr>
                  <w:r>
                    <w:rPr>
                      <w:b/>
                      <w:bCs/>
                    </w:rPr>
                    <w:t>类别</w:t>
                  </w:r>
                </w:p>
              </w:tc>
              <w:tc>
                <w:tcPr>
                  <w:tcW w:w="678" w:type="pct"/>
                  <w:vAlign w:val="center"/>
                </w:tcPr>
                <w:p w14:paraId="3D8356D5">
                  <w:pPr>
                    <w:pStyle w:val="42"/>
                    <w:keepNext w:val="0"/>
                    <w:keepLines w:val="0"/>
                    <w:widowControl/>
                    <w:suppressLineNumbers w:val="0"/>
                    <w:spacing w:before="0" w:beforeAutospacing="0" w:after="0" w:afterAutospacing="0"/>
                    <w:ind w:left="0" w:right="0"/>
                    <w:rPr>
                      <w:rFonts w:hint="default"/>
                      <w:b/>
                      <w:bCs/>
                    </w:rPr>
                  </w:pPr>
                  <w:r>
                    <w:rPr>
                      <w:b/>
                      <w:bCs/>
                    </w:rPr>
                    <w:t>总用水量</w:t>
                  </w:r>
                </w:p>
              </w:tc>
              <w:tc>
                <w:tcPr>
                  <w:tcW w:w="580" w:type="pct"/>
                  <w:vAlign w:val="center"/>
                </w:tcPr>
                <w:p w14:paraId="72A6F727">
                  <w:pPr>
                    <w:pStyle w:val="42"/>
                    <w:keepNext w:val="0"/>
                    <w:keepLines w:val="0"/>
                    <w:widowControl/>
                    <w:suppressLineNumbers w:val="0"/>
                    <w:spacing w:before="0" w:beforeAutospacing="0" w:after="0" w:afterAutospacing="0"/>
                    <w:ind w:left="0" w:right="0"/>
                    <w:rPr>
                      <w:rFonts w:hint="default"/>
                      <w:b/>
                      <w:bCs/>
                    </w:rPr>
                  </w:pPr>
                  <w:r>
                    <w:rPr>
                      <w:b/>
                      <w:bCs/>
                    </w:rPr>
                    <w:t>循环水量</w:t>
                  </w:r>
                </w:p>
              </w:tc>
              <w:tc>
                <w:tcPr>
                  <w:tcW w:w="678" w:type="pct"/>
                  <w:vAlign w:val="center"/>
                </w:tcPr>
                <w:p w14:paraId="0A6481D7">
                  <w:pPr>
                    <w:pStyle w:val="42"/>
                    <w:keepNext w:val="0"/>
                    <w:keepLines w:val="0"/>
                    <w:widowControl/>
                    <w:suppressLineNumbers w:val="0"/>
                    <w:spacing w:before="0" w:beforeAutospacing="0" w:after="0" w:afterAutospacing="0"/>
                    <w:ind w:left="0" w:right="0"/>
                    <w:rPr>
                      <w:rFonts w:hint="default"/>
                      <w:b/>
                      <w:bCs/>
                    </w:rPr>
                  </w:pPr>
                  <w:r>
                    <w:rPr>
                      <w:b/>
                      <w:bCs/>
                    </w:rPr>
                    <w:t>消耗量</w:t>
                  </w:r>
                </w:p>
              </w:tc>
              <w:tc>
                <w:tcPr>
                  <w:tcW w:w="609" w:type="pct"/>
                  <w:vAlign w:val="center"/>
                </w:tcPr>
                <w:p w14:paraId="4CD5D385">
                  <w:pPr>
                    <w:pStyle w:val="42"/>
                    <w:keepNext w:val="0"/>
                    <w:keepLines w:val="0"/>
                    <w:widowControl/>
                    <w:suppressLineNumbers w:val="0"/>
                    <w:spacing w:before="0" w:beforeAutospacing="0" w:after="0" w:afterAutospacing="0"/>
                    <w:ind w:left="0" w:right="0"/>
                    <w:rPr>
                      <w:rFonts w:hint="default"/>
                      <w:b/>
                      <w:bCs/>
                    </w:rPr>
                  </w:pPr>
                  <w:r>
                    <w:rPr>
                      <w:b/>
                      <w:bCs/>
                    </w:rPr>
                    <w:t>综合利用水量</w:t>
                  </w:r>
                </w:p>
              </w:tc>
              <w:tc>
                <w:tcPr>
                  <w:tcW w:w="547" w:type="pct"/>
                  <w:vAlign w:val="center"/>
                </w:tcPr>
                <w:p w14:paraId="42207AEB">
                  <w:pPr>
                    <w:pStyle w:val="42"/>
                    <w:keepNext w:val="0"/>
                    <w:keepLines w:val="0"/>
                    <w:widowControl/>
                    <w:suppressLineNumbers w:val="0"/>
                    <w:spacing w:before="0" w:beforeAutospacing="0" w:after="0" w:afterAutospacing="0"/>
                    <w:ind w:left="0" w:right="0"/>
                    <w:rPr>
                      <w:rFonts w:hint="default"/>
                      <w:b/>
                      <w:bCs/>
                    </w:rPr>
                  </w:pPr>
                  <w:r>
                    <w:rPr>
                      <w:b/>
                      <w:bCs/>
                    </w:rPr>
                    <w:t>排放量</w:t>
                  </w:r>
                </w:p>
              </w:tc>
            </w:tr>
            <w:tr w14:paraId="4B304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Align w:val="center"/>
                </w:tcPr>
                <w:p w14:paraId="0B634C1E">
                  <w:pPr>
                    <w:pStyle w:val="42"/>
                    <w:keepNext w:val="0"/>
                    <w:keepLines w:val="0"/>
                    <w:widowControl/>
                    <w:suppressLineNumbers w:val="0"/>
                    <w:spacing w:before="0" w:beforeAutospacing="0" w:after="0" w:afterAutospacing="0"/>
                    <w:ind w:left="0" w:right="0"/>
                    <w:rPr>
                      <w:rFonts w:hint="default"/>
                    </w:rPr>
                  </w:pPr>
                  <w:r>
                    <w:t>1</w:t>
                  </w:r>
                </w:p>
              </w:tc>
              <w:tc>
                <w:tcPr>
                  <w:tcW w:w="1457" w:type="pct"/>
                  <w:vAlign w:val="center"/>
                </w:tcPr>
                <w:p w14:paraId="7B6BD75D">
                  <w:pPr>
                    <w:pStyle w:val="42"/>
                    <w:keepNext w:val="0"/>
                    <w:keepLines w:val="0"/>
                    <w:widowControl/>
                    <w:suppressLineNumbers w:val="0"/>
                    <w:spacing w:before="0" w:beforeAutospacing="0" w:after="0" w:afterAutospacing="0"/>
                    <w:ind w:left="0" w:right="0"/>
                    <w:rPr>
                      <w:rFonts w:hint="default"/>
                    </w:rPr>
                  </w:pPr>
                  <w:r>
                    <w:t>职工日常办公生活</w:t>
                  </w:r>
                </w:p>
              </w:tc>
              <w:tc>
                <w:tcPr>
                  <w:tcW w:w="678" w:type="pct"/>
                  <w:vAlign w:val="center"/>
                </w:tcPr>
                <w:p w14:paraId="7331FB06">
                  <w:pPr>
                    <w:pStyle w:val="42"/>
                    <w:keepNext w:val="0"/>
                    <w:keepLines w:val="0"/>
                    <w:widowControl/>
                    <w:suppressLineNumbers w:val="0"/>
                    <w:spacing w:before="0" w:beforeAutospacing="0" w:after="0" w:afterAutospacing="0"/>
                    <w:ind w:left="0" w:right="0"/>
                    <w:rPr>
                      <w:rFonts w:hint="default"/>
                    </w:rPr>
                  </w:pPr>
                  <w:r>
                    <w:t>1.54</w:t>
                  </w:r>
                </w:p>
              </w:tc>
              <w:tc>
                <w:tcPr>
                  <w:tcW w:w="580" w:type="pct"/>
                  <w:vAlign w:val="center"/>
                </w:tcPr>
                <w:p w14:paraId="5F781947">
                  <w:pPr>
                    <w:pStyle w:val="42"/>
                    <w:keepNext w:val="0"/>
                    <w:keepLines w:val="0"/>
                    <w:widowControl/>
                    <w:suppressLineNumbers w:val="0"/>
                    <w:spacing w:before="0" w:beforeAutospacing="0" w:after="0" w:afterAutospacing="0"/>
                    <w:ind w:left="0" w:right="0"/>
                    <w:rPr>
                      <w:rFonts w:hint="default"/>
                    </w:rPr>
                  </w:pPr>
                  <w:r>
                    <w:t>0.00</w:t>
                  </w:r>
                </w:p>
              </w:tc>
              <w:tc>
                <w:tcPr>
                  <w:tcW w:w="678" w:type="pct"/>
                  <w:vAlign w:val="center"/>
                </w:tcPr>
                <w:p w14:paraId="1D6E9BA0">
                  <w:pPr>
                    <w:pStyle w:val="42"/>
                    <w:keepNext w:val="0"/>
                    <w:keepLines w:val="0"/>
                    <w:widowControl/>
                    <w:suppressLineNumbers w:val="0"/>
                    <w:spacing w:before="0" w:beforeAutospacing="0" w:after="0" w:afterAutospacing="0"/>
                    <w:ind w:left="0" w:right="0"/>
                    <w:rPr>
                      <w:rFonts w:hint="default"/>
                    </w:rPr>
                  </w:pPr>
                  <w:r>
                    <w:t>0.31</w:t>
                  </w:r>
                </w:p>
              </w:tc>
              <w:tc>
                <w:tcPr>
                  <w:tcW w:w="609" w:type="pct"/>
                  <w:vAlign w:val="center"/>
                </w:tcPr>
                <w:p w14:paraId="37551301">
                  <w:pPr>
                    <w:pStyle w:val="42"/>
                    <w:keepNext w:val="0"/>
                    <w:keepLines w:val="0"/>
                    <w:widowControl/>
                    <w:suppressLineNumbers w:val="0"/>
                    <w:spacing w:before="0" w:beforeAutospacing="0" w:after="0" w:afterAutospacing="0"/>
                    <w:ind w:left="0" w:right="0"/>
                    <w:rPr>
                      <w:rFonts w:hint="default"/>
                    </w:rPr>
                  </w:pPr>
                  <w:r>
                    <w:t>1.23</w:t>
                  </w:r>
                </w:p>
              </w:tc>
              <w:tc>
                <w:tcPr>
                  <w:tcW w:w="547" w:type="pct"/>
                  <w:vAlign w:val="center"/>
                </w:tcPr>
                <w:p w14:paraId="55C6EAF3">
                  <w:pPr>
                    <w:pStyle w:val="42"/>
                    <w:keepNext w:val="0"/>
                    <w:keepLines w:val="0"/>
                    <w:widowControl/>
                    <w:suppressLineNumbers w:val="0"/>
                    <w:spacing w:before="0" w:beforeAutospacing="0" w:after="0" w:afterAutospacing="0"/>
                    <w:ind w:left="0" w:right="0"/>
                    <w:rPr>
                      <w:rFonts w:hint="default"/>
                    </w:rPr>
                  </w:pPr>
                  <w:r>
                    <w:t>0.00</w:t>
                  </w:r>
                </w:p>
              </w:tc>
            </w:tr>
            <w:tr w14:paraId="14AE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Align w:val="center"/>
                </w:tcPr>
                <w:p w14:paraId="153E273D">
                  <w:pPr>
                    <w:pStyle w:val="42"/>
                    <w:keepNext w:val="0"/>
                    <w:keepLines w:val="0"/>
                    <w:widowControl/>
                    <w:suppressLineNumbers w:val="0"/>
                    <w:spacing w:before="0" w:beforeAutospacing="0" w:after="0" w:afterAutospacing="0"/>
                    <w:ind w:left="0" w:right="0"/>
                    <w:rPr>
                      <w:rFonts w:hint="default"/>
                    </w:rPr>
                  </w:pPr>
                  <w:r>
                    <w:t>2</w:t>
                  </w:r>
                </w:p>
              </w:tc>
              <w:tc>
                <w:tcPr>
                  <w:tcW w:w="1457" w:type="pct"/>
                  <w:vAlign w:val="center"/>
                </w:tcPr>
                <w:p w14:paraId="0C7409C2">
                  <w:pPr>
                    <w:pStyle w:val="42"/>
                    <w:keepNext w:val="0"/>
                    <w:keepLines w:val="0"/>
                    <w:widowControl/>
                    <w:suppressLineNumbers w:val="0"/>
                    <w:spacing w:before="0" w:beforeAutospacing="0" w:after="0" w:afterAutospacing="0"/>
                    <w:ind w:left="0" w:right="0"/>
                    <w:rPr>
                      <w:rFonts w:hint="default"/>
                    </w:rPr>
                  </w:pPr>
                  <w:r>
                    <w:t>混凝土搅拌</w:t>
                  </w:r>
                </w:p>
              </w:tc>
              <w:tc>
                <w:tcPr>
                  <w:tcW w:w="678" w:type="pct"/>
                  <w:vAlign w:val="center"/>
                </w:tcPr>
                <w:p w14:paraId="5AA70C99">
                  <w:pPr>
                    <w:pStyle w:val="42"/>
                    <w:keepNext w:val="0"/>
                    <w:keepLines w:val="0"/>
                    <w:widowControl/>
                    <w:suppressLineNumbers w:val="0"/>
                    <w:spacing w:before="0" w:beforeAutospacing="0" w:after="0" w:afterAutospacing="0"/>
                    <w:ind w:left="0" w:right="0"/>
                    <w:rPr>
                      <w:rFonts w:hint="default" w:eastAsia="宋体"/>
                      <w:lang w:val="en-US" w:eastAsia="zh-CN"/>
                    </w:rPr>
                  </w:pPr>
                  <w:r>
                    <w:rPr>
                      <w:rFonts w:hint="eastAsia"/>
                      <w:lang w:val="en-US" w:eastAsia="zh-CN"/>
                    </w:rPr>
                    <w:t>18.75</w:t>
                  </w:r>
                </w:p>
              </w:tc>
              <w:tc>
                <w:tcPr>
                  <w:tcW w:w="580" w:type="pct"/>
                  <w:vAlign w:val="center"/>
                </w:tcPr>
                <w:p w14:paraId="559B4177">
                  <w:pPr>
                    <w:pStyle w:val="42"/>
                    <w:keepNext w:val="0"/>
                    <w:keepLines w:val="0"/>
                    <w:widowControl/>
                    <w:suppressLineNumbers w:val="0"/>
                    <w:spacing w:before="0" w:beforeAutospacing="0" w:after="0" w:afterAutospacing="0"/>
                    <w:ind w:left="0" w:right="0"/>
                    <w:rPr>
                      <w:rFonts w:hint="default"/>
                    </w:rPr>
                  </w:pPr>
                  <w:r>
                    <w:t>0.00</w:t>
                  </w:r>
                </w:p>
              </w:tc>
              <w:tc>
                <w:tcPr>
                  <w:tcW w:w="678" w:type="pct"/>
                  <w:vAlign w:val="center"/>
                </w:tcPr>
                <w:p w14:paraId="402B640C">
                  <w:pPr>
                    <w:pStyle w:val="42"/>
                    <w:keepNext w:val="0"/>
                    <w:keepLines w:val="0"/>
                    <w:widowControl/>
                    <w:suppressLineNumbers w:val="0"/>
                    <w:spacing w:before="0" w:beforeAutospacing="0" w:after="0" w:afterAutospacing="0"/>
                    <w:ind w:left="0" w:right="0"/>
                    <w:rPr>
                      <w:rFonts w:hint="default"/>
                    </w:rPr>
                  </w:pPr>
                  <w:r>
                    <w:t>0.00</w:t>
                  </w:r>
                </w:p>
              </w:tc>
              <w:tc>
                <w:tcPr>
                  <w:tcW w:w="609" w:type="pct"/>
                  <w:vAlign w:val="center"/>
                </w:tcPr>
                <w:p w14:paraId="5BA9F6D3">
                  <w:pPr>
                    <w:pStyle w:val="42"/>
                    <w:keepNext w:val="0"/>
                    <w:keepLines w:val="0"/>
                    <w:widowControl/>
                    <w:suppressLineNumbers w:val="0"/>
                    <w:spacing w:before="0" w:beforeAutospacing="0" w:after="0" w:afterAutospacing="0"/>
                    <w:ind w:left="0" w:right="0"/>
                    <w:rPr>
                      <w:rFonts w:hint="default" w:eastAsia="宋体"/>
                      <w:lang w:val="en-US" w:eastAsia="zh-CN"/>
                    </w:rPr>
                  </w:pPr>
                  <w:r>
                    <w:rPr>
                      <w:rFonts w:hint="eastAsia"/>
                      <w:lang w:val="en-US" w:eastAsia="zh-CN"/>
                    </w:rPr>
                    <w:t>18.75</w:t>
                  </w:r>
                </w:p>
              </w:tc>
              <w:tc>
                <w:tcPr>
                  <w:tcW w:w="547" w:type="pct"/>
                  <w:vAlign w:val="center"/>
                </w:tcPr>
                <w:p w14:paraId="226EEE05">
                  <w:pPr>
                    <w:pStyle w:val="42"/>
                    <w:keepNext w:val="0"/>
                    <w:keepLines w:val="0"/>
                    <w:widowControl/>
                    <w:suppressLineNumbers w:val="0"/>
                    <w:spacing w:before="0" w:beforeAutospacing="0" w:after="0" w:afterAutospacing="0"/>
                    <w:ind w:left="0" w:right="0"/>
                    <w:rPr>
                      <w:rFonts w:hint="default"/>
                    </w:rPr>
                  </w:pPr>
                  <w:r>
                    <w:t>0.00</w:t>
                  </w:r>
                </w:p>
              </w:tc>
            </w:tr>
            <w:tr w14:paraId="5DBB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6" w:type="pct"/>
                  <w:gridSpan w:val="2"/>
                  <w:vAlign w:val="center"/>
                </w:tcPr>
                <w:p w14:paraId="7395DD78">
                  <w:pPr>
                    <w:pStyle w:val="42"/>
                    <w:keepNext w:val="0"/>
                    <w:keepLines w:val="0"/>
                    <w:widowControl/>
                    <w:suppressLineNumbers w:val="0"/>
                    <w:spacing w:before="0" w:beforeAutospacing="0" w:after="0" w:afterAutospacing="0"/>
                    <w:ind w:left="0" w:right="0"/>
                    <w:rPr>
                      <w:rFonts w:hint="default"/>
                    </w:rPr>
                  </w:pPr>
                  <w:r>
                    <w:t>合计</w:t>
                  </w:r>
                </w:p>
              </w:tc>
              <w:tc>
                <w:tcPr>
                  <w:tcW w:w="678" w:type="pct"/>
                  <w:vAlign w:val="center"/>
                </w:tcPr>
                <w:p w14:paraId="575E3BBB">
                  <w:pPr>
                    <w:pStyle w:val="42"/>
                    <w:keepNext w:val="0"/>
                    <w:keepLines w:val="0"/>
                    <w:widowControl/>
                    <w:suppressLineNumbers w:val="0"/>
                    <w:spacing w:before="0" w:beforeAutospacing="0" w:after="0" w:afterAutospacing="0"/>
                    <w:ind w:left="0" w:right="0"/>
                    <w:rPr>
                      <w:rFonts w:hint="default" w:eastAsia="宋体"/>
                      <w:lang w:val="en-US" w:eastAsia="zh-CN"/>
                    </w:rPr>
                  </w:pPr>
                  <w:r>
                    <w:t>2</w:t>
                  </w:r>
                  <w:r>
                    <w:rPr>
                      <w:rFonts w:hint="eastAsia"/>
                      <w:lang w:val="en-US" w:eastAsia="zh-CN"/>
                    </w:rPr>
                    <w:t>0.29</w:t>
                  </w:r>
                </w:p>
              </w:tc>
              <w:tc>
                <w:tcPr>
                  <w:tcW w:w="580" w:type="pct"/>
                  <w:vAlign w:val="center"/>
                </w:tcPr>
                <w:p w14:paraId="55264794">
                  <w:pPr>
                    <w:pStyle w:val="42"/>
                    <w:keepNext w:val="0"/>
                    <w:keepLines w:val="0"/>
                    <w:widowControl/>
                    <w:suppressLineNumbers w:val="0"/>
                    <w:spacing w:before="0" w:beforeAutospacing="0" w:after="0" w:afterAutospacing="0"/>
                    <w:ind w:left="0" w:right="0"/>
                    <w:rPr>
                      <w:rFonts w:hint="default"/>
                    </w:rPr>
                  </w:pPr>
                  <w:r>
                    <w:t>0.00</w:t>
                  </w:r>
                </w:p>
              </w:tc>
              <w:tc>
                <w:tcPr>
                  <w:tcW w:w="678" w:type="pct"/>
                  <w:vAlign w:val="center"/>
                </w:tcPr>
                <w:p w14:paraId="3894E005">
                  <w:pPr>
                    <w:pStyle w:val="42"/>
                    <w:keepNext w:val="0"/>
                    <w:keepLines w:val="0"/>
                    <w:widowControl/>
                    <w:suppressLineNumbers w:val="0"/>
                    <w:spacing w:before="0" w:beforeAutospacing="0" w:after="0" w:afterAutospacing="0"/>
                    <w:ind w:left="0" w:right="0"/>
                    <w:rPr>
                      <w:rFonts w:hint="default"/>
                    </w:rPr>
                  </w:pPr>
                  <w:r>
                    <w:t>0.31</w:t>
                  </w:r>
                </w:p>
              </w:tc>
              <w:tc>
                <w:tcPr>
                  <w:tcW w:w="609" w:type="pct"/>
                  <w:vAlign w:val="center"/>
                </w:tcPr>
                <w:p w14:paraId="4262DED5">
                  <w:pPr>
                    <w:pStyle w:val="42"/>
                    <w:keepNext w:val="0"/>
                    <w:keepLines w:val="0"/>
                    <w:widowControl/>
                    <w:suppressLineNumbers w:val="0"/>
                    <w:spacing w:before="0" w:beforeAutospacing="0" w:after="0" w:afterAutospacing="0"/>
                    <w:ind w:left="0" w:right="0"/>
                    <w:rPr>
                      <w:rFonts w:hint="eastAsia" w:eastAsia="宋体"/>
                      <w:lang w:eastAsia="zh-CN"/>
                    </w:rPr>
                  </w:pPr>
                  <w:r>
                    <w:rPr>
                      <w:rFonts w:hint="eastAsia"/>
                      <w:lang w:eastAsia="zh-CN"/>
                    </w:rPr>
                    <w:t>20.29</w:t>
                  </w:r>
                </w:p>
              </w:tc>
              <w:tc>
                <w:tcPr>
                  <w:tcW w:w="547" w:type="pct"/>
                  <w:vAlign w:val="center"/>
                </w:tcPr>
                <w:p w14:paraId="660B6200">
                  <w:pPr>
                    <w:pStyle w:val="42"/>
                    <w:keepNext w:val="0"/>
                    <w:keepLines w:val="0"/>
                    <w:widowControl/>
                    <w:suppressLineNumbers w:val="0"/>
                    <w:spacing w:before="0" w:beforeAutospacing="0" w:after="0" w:afterAutospacing="0"/>
                    <w:ind w:left="0" w:right="0"/>
                    <w:rPr>
                      <w:rFonts w:hint="default"/>
                    </w:rPr>
                  </w:pPr>
                  <w:r>
                    <w:t>0.00</w:t>
                  </w:r>
                </w:p>
              </w:tc>
            </w:tr>
          </w:tbl>
          <w:p w14:paraId="7DE7334A">
            <w:pPr>
              <w:keepNext w:val="0"/>
              <w:keepLines w:val="0"/>
              <w:suppressLineNumbers w:val="0"/>
              <w:spacing w:before="120" w:beforeLines="50" w:beforeAutospacing="0" w:after="0" w:afterAutospacing="0"/>
              <w:ind w:left="0" w:right="0" w:firstLine="480"/>
              <w:rPr>
                <w:rFonts w:hint="default"/>
              </w:rPr>
            </w:pPr>
            <w:r>
              <w:rPr>
                <w:rFonts w:hint="eastAsia"/>
              </w:rPr>
              <w:t>绘制项目水平衡情况示意图如下图所示：</w:t>
            </w:r>
          </w:p>
          <w:p w14:paraId="29A78AC1">
            <w:pPr>
              <w:keepNext w:val="0"/>
              <w:keepLines w:val="0"/>
              <w:suppressLineNumbers w:val="0"/>
              <w:spacing w:before="0" w:beforeAutospacing="0" w:after="0" w:afterAutospacing="0"/>
              <w:ind w:left="0" w:right="0" w:firstLine="0" w:firstLineChars="0"/>
              <w:jc w:val="both"/>
              <w:rPr>
                <w:rFonts w:hint="default"/>
              </w:rPr>
            </w:pPr>
            <w:r>
              <w:rPr>
                <w:rFonts w:hint="eastAsia"/>
              </w:rPr>
              <w:drawing>
                <wp:inline distT="0" distB="0" distL="114300" distR="114300">
                  <wp:extent cx="5042535" cy="2477135"/>
                  <wp:effectExtent l="0" t="0" r="0" b="0"/>
                  <wp:docPr id="2" name="ECB019B1-382A-4266-B25C-5B523AA43C14-1" descr="C:/Users/Lenovo/AppData/Local/Temp/wps.VGLDe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C:/Users/Lenovo/AppData/Local/Temp/wps.VGLDeHwps"/>
                          <pic:cNvPicPr>
                            <a:picLocks noChangeAspect="1"/>
                          </pic:cNvPicPr>
                        </pic:nvPicPr>
                        <pic:blipFill>
                          <a:blip r:embed="rId19"/>
                          <a:stretch>
                            <a:fillRect/>
                          </a:stretch>
                        </pic:blipFill>
                        <pic:spPr>
                          <a:xfrm>
                            <a:off x="0" y="0"/>
                            <a:ext cx="5042535" cy="2477135"/>
                          </a:xfrm>
                          <a:prstGeom prst="rect">
                            <a:avLst/>
                          </a:prstGeom>
                        </pic:spPr>
                      </pic:pic>
                    </a:graphicData>
                  </a:graphic>
                </wp:inline>
              </w:drawing>
            </w:r>
          </w:p>
          <w:p w14:paraId="1B82E51C">
            <w:pPr>
              <w:keepNext w:val="0"/>
              <w:keepLines w:val="0"/>
              <w:numPr>
                <w:ilvl w:val="0"/>
                <w:numId w:val="11"/>
              </w:numPr>
              <w:suppressLineNumbers w:val="0"/>
              <w:spacing w:before="0" w:beforeAutospacing="0" w:after="0" w:afterAutospacing="0"/>
              <w:ind w:left="0" w:right="0" w:firstLine="422"/>
              <w:jc w:val="center"/>
              <w:rPr>
                <w:rFonts w:hint="eastAsia" w:ascii="宋体" w:hAnsi="宋体" w:cs="宋体"/>
                <w:bCs/>
                <w:sz w:val="21"/>
                <w:szCs w:val="21"/>
              </w:rPr>
            </w:pPr>
            <w:r>
              <w:rPr>
                <w:rFonts w:hint="eastAsia"/>
                <w:b/>
                <w:sz w:val="21"/>
              </w:rPr>
              <w:t>项目水平衡情况示意图（单位：m</w:t>
            </w:r>
            <w:r>
              <w:rPr>
                <w:rFonts w:hint="default"/>
                <w:b/>
                <w:sz w:val="21"/>
                <w:vertAlign w:val="superscript"/>
              </w:rPr>
              <w:t>3</w:t>
            </w:r>
            <w:r>
              <w:rPr>
                <w:rFonts w:hint="default"/>
                <w:b/>
                <w:sz w:val="21"/>
              </w:rPr>
              <w:t>/d</w:t>
            </w:r>
            <w:r>
              <w:rPr>
                <w:rFonts w:hint="eastAsia"/>
                <w:b/>
                <w:sz w:val="21"/>
              </w:rPr>
              <w:t>）</w:t>
            </w:r>
          </w:p>
        </w:tc>
      </w:tr>
      <w:tr w14:paraId="22FBD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vAlign w:val="center"/>
          </w:tcPr>
          <w:p w14:paraId="0974179C">
            <w:pPr>
              <w:pStyle w:val="42"/>
              <w:keepNext w:val="0"/>
              <w:keepLines w:val="0"/>
              <w:widowControl/>
              <w:suppressLineNumbers w:val="0"/>
              <w:spacing w:before="0" w:beforeAutospacing="0" w:after="0" w:afterAutospacing="0"/>
              <w:ind w:left="0" w:right="0"/>
              <w:rPr>
                <w:rFonts w:hint="default"/>
              </w:rPr>
            </w:pPr>
            <w:r>
              <w:rPr>
                <w:sz w:val="24"/>
                <w:szCs w:val="24"/>
              </w:rPr>
              <w:t>工艺流程和产排污环节</w:t>
            </w:r>
          </w:p>
        </w:tc>
        <w:tc>
          <w:tcPr>
            <w:tcW w:w="8161" w:type="dxa"/>
          </w:tcPr>
          <w:p w14:paraId="45BA7BA9">
            <w:pPr>
              <w:keepNext w:val="0"/>
              <w:keepLines w:val="0"/>
              <w:suppressLineNumbers w:val="0"/>
              <w:spacing w:before="0" w:beforeAutospacing="0" w:after="0" w:afterAutospacing="0"/>
              <w:ind w:left="0" w:right="0" w:firstLine="482"/>
              <w:rPr>
                <w:rFonts w:hint="default"/>
                <w:b/>
                <w:color w:val="FF0000"/>
              </w:rPr>
            </w:pPr>
            <w:r>
              <w:rPr>
                <w:rFonts w:hint="default"/>
                <w:b/>
                <w:szCs w:val="21"/>
              </w:rPr>
              <w:t>1</w:t>
            </w:r>
            <w:r>
              <w:rPr>
                <w:rFonts w:hint="eastAsia"/>
                <w:b/>
                <w:szCs w:val="21"/>
              </w:rPr>
              <w:t>.</w:t>
            </w:r>
            <w:r>
              <w:rPr>
                <w:rFonts w:hint="default"/>
                <w:b/>
              </w:rPr>
              <w:t>施工期：</w:t>
            </w:r>
          </w:p>
          <w:p w14:paraId="1E26E0E2">
            <w:pPr>
              <w:keepNext w:val="0"/>
              <w:keepLines w:val="0"/>
              <w:suppressLineNumbers w:val="0"/>
              <w:spacing w:before="0" w:beforeAutospacing="0" w:after="0" w:afterAutospacing="0"/>
              <w:ind w:left="0" w:right="0" w:firstLine="420" w:firstLineChars="175"/>
              <w:rPr>
                <w:rFonts w:hint="default"/>
              </w:rPr>
            </w:pPr>
            <w:r>
              <w:rPr>
                <w:rFonts w:hint="default"/>
              </w:rPr>
              <w:t>本项目施工期主要涉及土地平整、地表挖方等工程，</w:t>
            </w:r>
            <w:r>
              <w:rPr>
                <w:rFonts w:hint="eastAsia"/>
              </w:rPr>
              <w:t>具体工程内容新建原料仓储库房、生产车间，生产车间内安装集成构件生产线一条，</w:t>
            </w:r>
            <w:r>
              <w:rPr>
                <w:rFonts w:hint="default"/>
              </w:rPr>
              <w:t>产污环节主要为土地平整、土方挖掘过程中产生的施工扬尘、施工废水、施工设备噪声、废弃土方等污染物。</w:t>
            </w:r>
          </w:p>
          <w:p w14:paraId="548DF373">
            <w:pPr>
              <w:keepNext w:val="0"/>
              <w:keepLines w:val="0"/>
              <w:suppressLineNumbers w:val="0"/>
              <w:spacing w:before="0" w:beforeAutospacing="0" w:after="0" w:afterAutospacing="0"/>
              <w:ind w:left="0" w:right="0" w:firstLine="0" w:firstLineChars="0"/>
              <w:jc w:val="center"/>
              <w:rPr>
                <w:rFonts w:hint="default"/>
              </w:rPr>
            </w:pPr>
            <w:r>
              <w:rPr>
                <w:rFonts w:hint="default"/>
              </w:rPr>
              <w:drawing>
                <wp:inline distT="0" distB="0" distL="114300" distR="114300">
                  <wp:extent cx="4629150" cy="1514475"/>
                  <wp:effectExtent l="0" t="0" r="0" b="9525"/>
                  <wp:docPr id="20" name="图片 20" descr="b0d188be2522591683d25062a438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0d188be2522591683d25062a4385159"/>
                          <pic:cNvPicPr>
                            <a:picLocks noChangeAspect="1"/>
                          </pic:cNvPicPr>
                        </pic:nvPicPr>
                        <pic:blipFill>
                          <a:blip r:embed="rId20"/>
                          <a:stretch>
                            <a:fillRect/>
                          </a:stretch>
                        </pic:blipFill>
                        <pic:spPr>
                          <a:xfrm>
                            <a:off x="0" y="0"/>
                            <a:ext cx="4629150" cy="1514475"/>
                          </a:xfrm>
                          <a:prstGeom prst="rect">
                            <a:avLst/>
                          </a:prstGeom>
                        </pic:spPr>
                      </pic:pic>
                    </a:graphicData>
                  </a:graphic>
                </wp:inline>
              </w:drawing>
            </w:r>
          </w:p>
          <w:p w14:paraId="64C16934">
            <w:pPr>
              <w:keepNext w:val="0"/>
              <w:keepLines w:val="0"/>
              <w:suppressLineNumbers w:val="0"/>
              <w:spacing w:before="0" w:beforeAutospacing="0" w:after="0" w:afterAutospacing="0"/>
              <w:ind w:left="0" w:right="0" w:firstLine="0" w:firstLineChars="0"/>
              <w:jc w:val="center"/>
              <w:rPr>
                <w:rFonts w:hint="default"/>
              </w:rPr>
            </w:pPr>
            <w:r>
              <w:rPr>
                <w:rFonts w:hint="default" w:ascii="宋体" w:hAnsi="宋体" w:cs="宋体"/>
                <w:b/>
                <w:color w:val="000000"/>
                <w:sz w:val="21"/>
                <w:szCs w:val="21"/>
              </w:rPr>
              <w:t>（排污节点：</w:t>
            </w:r>
            <w:r>
              <w:rPr>
                <w:rFonts w:hint="default" w:cs="宋体"/>
                <w:b/>
                <w:color w:val="000000"/>
                <w:sz w:val="21"/>
                <w:szCs w:val="21"/>
              </w:rPr>
              <w:t>G</w:t>
            </w:r>
            <w:r>
              <w:rPr>
                <w:rFonts w:hint="default" w:ascii="宋体" w:hAnsi="宋体" w:cs="宋体"/>
                <w:b/>
                <w:color w:val="000000"/>
                <w:sz w:val="21"/>
                <w:szCs w:val="21"/>
              </w:rPr>
              <w:t>废气；</w:t>
            </w:r>
            <w:r>
              <w:rPr>
                <w:rFonts w:hint="default" w:cs="宋体"/>
                <w:b/>
                <w:color w:val="000000"/>
                <w:sz w:val="21"/>
                <w:szCs w:val="21"/>
              </w:rPr>
              <w:t>N</w:t>
            </w:r>
            <w:r>
              <w:rPr>
                <w:rFonts w:hint="default" w:ascii="宋体" w:hAnsi="宋体" w:cs="宋体"/>
                <w:b/>
                <w:color w:val="000000"/>
                <w:sz w:val="21"/>
                <w:szCs w:val="21"/>
              </w:rPr>
              <w:t>噪声;</w:t>
            </w:r>
            <w:r>
              <w:rPr>
                <w:rFonts w:hint="default" w:cs="宋体"/>
                <w:b/>
                <w:color w:val="000000"/>
                <w:sz w:val="21"/>
                <w:szCs w:val="21"/>
              </w:rPr>
              <w:t>S</w:t>
            </w:r>
            <w:r>
              <w:rPr>
                <w:rFonts w:hint="default" w:ascii="宋体" w:hAnsi="宋体" w:cs="宋体"/>
                <w:b/>
                <w:color w:val="000000"/>
                <w:sz w:val="21"/>
                <w:szCs w:val="21"/>
              </w:rPr>
              <w:t>固废）</w:t>
            </w:r>
          </w:p>
          <w:p w14:paraId="6AEDD557">
            <w:pPr>
              <w:keepNext w:val="0"/>
              <w:keepLines w:val="0"/>
              <w:numPr>
                <w:ilvl w:val="0"/>
                <w:numId w:val="11"/>
              </w:numPr>
              <w:suppressLineNumbers w:val="0"/>
              <w:spacing w:before="0" w:beforeAutospacing="0" w:after="0" w:afterAutospacing="0"/>
              <w:ind w:left="0" w:right="0" w:firstLine="422"/>
              <w:jc w:val="center"/>
              <w:rPr>
                <w:rFonts w:hint="default"/>
                <w:b/>
                <w:sz w:val="21"/>
              </w:rPr>
            </w:pPr>
            <w:r>
              <w:rPr>
                <w:rFonts w:hint="default"/>
                <w:b/>
                <w:sz w:val="21"/>
              </w:rPr>
              <w:t>施工期工艺流程图</w:t>
            </w:r>
          </w:p>
          <w:p w14:paraId="411E688F">
            <w:pPr>
              <w:keepNext w:val="0"/>
              <w:keepLines w:val="0"/>
              <w:suppressLineNumbers w:val="0"/>
              <w:spacing w:before="0" w:beforeAutospacing="0" w:after="0" w:afterAutospacing="0"/>
              <w:ind w:left="0" w:right="0" w:firstLine="422" w:firstLineChars="175"/>
              <w:rPr>
                <w:rFonts w:hint="default"/>
                <w:b/>
              </w:rPr>
            </w:pPr>
            <w:r>
              <w:rPr>
                <w:rFonts w:hint="eastAsia"/>
                <w:b/>
              </w:rPr>
              <w:t>2.</w:t>
            </w:r>
            <w:r>
              <w:rPr>
                <w:rFonts w:hint="default"/>
                <w:b/>
              </w:rPr>
              <w:t>运营期：</w:t>
            </w:r>
          </w:p>
          <w:p w14:paraId="469E1CD3">
            <w:pPr>
              <w:keepNext w:val="0"/>
              <w:keepLines w:val="0"/>
              <w:suppressLineNumbers w:val="0"/>
              <w:spacing w:before="0" w:beforeAutospacing="0" w:after="0" w:afterAutospacing="0"/>
              <w:ind w:left="0" w:right="0" w:firstLine="482"/>
              <w:rPr>
                <w:rFonts w:hint="default"/>
                <w:b/>
                <w:bCs/>
              </w:rPr>
            </w:pPr>
            <w:r>
              <w:rPr>
                <w:rFonts w:hint="eastAsia"/>
                <w:b/>
                <w:bCs/>
              </w:rPr>
              <w:t>（1）工艺流程</w:t>
            </w:r>
          </w:p>
          <w:p w14:paraId="3AC4B38D">
            <w:pPr>
              <w:keepNext w:val="0"/>
              <w:keepLines w:val="0"/>
              <w:suppressLineNumbers w:val="0"/>
              <w:spacing w:before="0" w:beforeAutospacing="0" w:after="0" w:afterAutospacing="0"/>
              <w:ind w:left="0" w:right="0" w:firstLine="480"/>
              <w:rPr>
                <w:rFonts w:hint="default"/>
              </w:rPr>
            </w:pPr>
            <w:r>
              <w:rPr>
                <w:rFonts w:hint="eastAsia"/>
              </w:rPr>
              <w:t>项目水泥贮存于水泥筒仓中，石子、石粉等原料贮存于原料库房中，生产时石子、石粉等原料由铲车送入相应料仓中，水泥由管道输送进搅拌机，搅拌过程由水箱加水，搅拌过程密闭进行。搅拌完成的混凝土由料斗车卸下，由料斗车倒入模具中成型，部分模具中提前放好钢筋，待模具中混凝土凝固成型后由人工进行脱模，脱模后的集成构件露天养护，养护完成后放入由叉车放入成品堆放地待售。</w:t>
            </w:r>
          </w:p>
          <w:p w14:paraId="27290D74">
            <w:pPr>
              <w:keepNext w:val="0"/>
              <w:keepLines w:val="0"/>
              <w:suppressLineNumbers w:val="0"/>
              <w:spacing w:before="0" w:beforeAutospacing="0" w:after="0" w:afterAutospacing="0"/>
              <w:ind w:left="0" w:right="0" w:firstLine="0" w:firstLineChars="0"/>
              <w:rPr>
                <w:rFonts w:hint="default"/>
                <w:b/>
                <w:bCs/>
                <w:color w:val="0000FF"/>
              </w:rPr>
            </w:pPr>
            <w:r>
              <w:rPr>
                <w:rFonts w:hint="eastAsia"/>
                <w:b/>
                <w:bCs/>
                <w:color w:val="0000FF"/>
              </w:rPr>
              <w:drawing>
                <wp:inline distT="0" distB="0" distL="114300" distR="114300">
                  <wp:extent cx="4987290" cy="3813175"/>
                  <wp:effectExtent l="0" t="0" r="0" b="0"/>
                  <wp:docPr id="1" name="ECB019B1-382A-4266-B25C-5B523AA43C14-2" descr="C:/Users/Lenovo/AppData/Local/Temp/wps.NZlct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2" descr="C:/Users/Lenovo/AppData/Local/Temp/wps.NZlctWwps"/>
                          <pic:cNvPicPr>
                            <a:picLocks noChangeAspect="1"/>
                          </pic:cNvPicPr>
                        </pic:nvPicPr>
                        <pic:blipFill>
                          <a:blip r:embed="rId21"/>
                          <a:stretch>
                            <a:fillRect/>
                          </a:stretch>
                        </pic:blipFill>
                        <pic:spPr>
                          <a:xfrm>
                            <a:off x="0" y="0"/>
                            <a:ext cx="4987290" cy="3813175"/>
                          </a:xfrm>
                          <a:prstGeom prst="rect">
                            <a:avLst/>
                          </a:prstGeom>
                        </pic:spPr>
                      </pic:pic>
                    </a:graphicData>
                  </a:graphic>
                </wp:inline>
              </w:drawing>
            </w:r>
          </w:p>
          <w:p w14:paraId="6CF5DDD3">
            <w:pPr>
              <w:keepNext w:val="0"/>
              <w:keepLines w:val="0"/>
              <w:suppressLineNumbers w:val="0"/>
              <w:spacing w:before="0" w:beforeAutospacing="0" w:after="0" w:afterAutospacing="0"/>
              <w:ind w:left="0" w:right="0" w:firstLine="0" w:firstLineChars="0"/>
              <w:jc w:val="center"/>
              <w:rPr>
                <w:rFonts w:hint="default"/>
                <w:b/>
                <w:sz w:val="21"/>
                <w:szCs w:val="21"/>
              </w:rPr>
            </w:pPr>
            <w:r>
              <w:rPr>
                <w:rFonts w:hint="eastAsia"/>
                <w:b/>
                <w:sz w:val="21"/>
                <w:szCs w:val="21"/>
              </w:rPr>
              <w:t>（注：G废气、</w:t>
            </w:r>
            <w:r>
              <w:rPr>
                <w:rFonts w:hint="default"/>
                <w:b/>
                <w:sz w:val="21"/>
                <w:szCs w:val="21"/>
              </w:rPr>
              <w:t>N</w:t>
            </w:r>
            <w:r>
              <w:rPr>
                <w:rFonts w:hint="eastAsia"/>
                <w:b/>
                <w:sz w:val="21"/>
                <w:szCs w:val="21"/>
              </w:rPr>
              <w:t>噪声）</w:t>
            </w:r>
          </w:p>
          <w:p w14:paraId="2F4BDAD2">
            <w:pPr>
              <w:keepNext w:val="0"/>
              <w:keepLines w:val="0"/>
              <w:numPr>
                <w:ilvl w:val="0"/>
                <w:numId w:val="11"/>
              </w:numPr>
              <w:suppressLineNumbers w:val="0"/>
              <w:spacing w:before="0" w:beforeAutospacing="0" w:after="0" w:afterAutospacing="0"/>
              <w:ind w:left="0" w:right="0" w:firstLine="422"/>
              <w:jc w:val="center"/>
              <w:rPr>
                <w:rFonts w:hint="default"/>
              </w:rPr>
            </w:pPr>
            <w:r>
              <w:rPr>
                <w:rFonts w:hint="eastAsia"/>
                <w:b/>
                <w:sz w:val="21"/>
              </w:rPr>
              <w:t>项目运行阶段集成构件生产工艺流程及产排污节点示意图</w:t>
            </w:r>
          </w:p>
          <w:p w14:paraId="0C1664D0">
            <w:pPr>
              <w:keepNext w:val="0"/>
              <w:keepLines w:val="0"/>
              <w:suppressLineNumbers w:val="0"/>
              <w:spacing w:before="0" w:beforeAutospacing="0" w:after="0" w:afterAutospacing="0"/>
              <w:ind w:left="0" w:right="0" w:firstLine="482"/>
              <w:rPr>
                <w:rFonts w:hint="default"/>
                <w:b/>
                <w:bCs/>
                <w:color w:val="FF0000"/>
              </w:rPr>
            </w:pPr>
            <w:r>
              <w:rPr>
                <w:rFonts w:hint="eastAsia"/>
                <w:b/>
                <w:bCs/>
              </w:rPr>
              <w:t>（2）产排污环节分析</w:t>
            </w:r>
          </w:p>
          <w:p w14:paraId="52262DB8">
            <w:pPr>
              <w:keepNext w:val="0"/>
              <w:keepLines w:val="0"/>
              <w:suppressLineNumbers w:val="0"/>
              <w:spacing w:before="0" w:beforeAutospacing="0" w:after="0" w:afterAutospacing="0"/>
              <w:ind w:left="0" w:right="0" w:firstLine="480"/>
              <w:rPr>
                <w:rFonts w:hint="default"/>
              </w:rPr>
            </w:pPr>
            <w:r>
              <w:rPr>
                <w:rFonts w:hint="eastAsia"/>
              </w:rPr>
              <w:t>现将上述产品生产过程的产排污环节汇总如下：</w:t>
            </w:r>
          </w:p>
          <w:p w14:paraId="1DB4C17D">
            <w:pPr>
              <w:pStyle w:val="40"/>
              <w:keepNext w:val="0"/>
              <w:keepLines w:val="0"/>
              <w:numPr>
                <w:ilvl w:val="0"/>
                <w:numId w:val="8"/>
              </w:numPr>
              <w:suppressLineNumbers w:val="0"/>
              <w:spacing w:before="0" w:beforeAutospacing="0" w:after="0" w:afterAutospacing="0"/>
              <w:ind w:left="0" w:right="0" w:firstLine="0" w:firstLineChars="0"/>
              <w:jc w:val="center"/>
              <w:rPr>
                <w:rFonts w:hint="eastAsia" w:ascii="宋体" w:hAnsi="宋体" w:eastAsia="宋体"/>
                <w:b/>
                <w:sz w:val="21"/>
              </w:rPr>
            </w:pPr>
            <w:r>
              <w:rPr>
                <w:rFonts w:hint="eastAsia" w:ascii="宋体" w:hAnsi="宋体" w:eastAsia="宋体"/>
                <w:b/>
                <w:sz w:val="21"/>
              </w:rPr>
              <w:t>生产过程产排污环节一览表</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31"/>
              <w:gridCol w:w="1021"/>
              <w:gridCol w:w="967"/>
              <w:gridCol w:w="584"/>
              <w:gridCol w:w="1018"/>
              <w:gridCol w:w="1018"/>
              <w:gridCol w:w="584"/>
              <w:gridCol w:w="2406"/>
            </w:tblGrid>
            <w:tr w14:paraId="6573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tcBorders>
                    <w:top w:val="single" w:color="auto" w:sz="4" w:space="0"/>
                    <w:left w:val="single" w:color="auto" w:sz="4" w:space="0"/>
                    <w:bottom w:val="single" w:color="auto" w:sz="4" w:space="0"/>
                    <w:right w:val="single" w:color="auto" w:sz="4" w:space="0"/>
                  </w:tcBorders>
                  <w:vAlign w:val="center"/>
                </w:tcPr>
                <w:p w14:paraId="3A6FA37D">
                  <w:pPr>
                    <w:pStyle w:val="42"/>
                    <w:keepNext w:val="0"/>
                    <w:keepLines w:val="0"/>
                    <w:widowControl/>
                    <w:suppressLineNumbers w:val="0"/>
                    <w:spacing w:before="0" w:beforeAutospacing="0" w:after="0" w:afterAutospacing="0"/>
                    <w:ind w:left="0" w:right="0"/>
                    <w:rPr>
                      <w:rFonts w:hint="default"/>
                      <w:b/>
                      <w:bCs/>
                    </w:rPr>
                  </w:pPr>
                  <w:r>
                    <w:rPr>
                      <w:b/>
                      <w:bCs/>
                    </w:rPr>
                    <w:t>类别</w:t>
                  </w:r>
                </w:p>
              </w:tc>
              <w:tc>
                <w:tcPr>
                  <w:tcW w:w="643" w:type="pct"/>
                  <w:tcBorders>
                    <w:top w:val="single" w:color="auto" w:sz="4" w:space="0"/>
                    <w:left w:val="nil"/>
                    <w:bottom w:val="single" w:color="auto" w:sz="4" w:space="0"/>
                    <w:right w:val="single" w:color="auto" w:sz="4" w:space="0"/>
                  </w:tcBorders>
                  <w:vAlign w:val="center"/>
                </w:tcPr>
                <w:p w14:paraId="67DFCC66">
                  <w:pPr>
                    <w:pStyle w:val="42"/>
                    <w:keepNext w:val="0"/>
                    <w:keepLines w:val="0"/>
                    <w:widowControl/>
                    <w:suppressLineNumbers w:val="0"/>
                    <w:spacing w:before="0" w:beforeAutospacing="0" w:after="0" w:afterAutospacing="0"/>
                    <w:ind w:left="0" w:right="0"/>
                    <w:rPr>
                      <w:rFonts w:hint="default"/>
                      <w:b/>
                      <w:bCs/>
                    </w:rPr>
                  </w:pPr>
                  <w:r>
                    <w:rPr>
                      <w:b/>
                      <w:bCs/>
                    </w:rPr>
                    <w:t>产生单元</w:t>
                  </w:r>
                </w:p>
              </w:tc>
              <w:tc>
                <w:tcPr>
                  <w:tcW w:w="609" w:type="pct"/>
                  <w:tcBorders>
                    <w:top w:val="single" w:color="auto" w:sz="4" w:space="0"/>
                    <w:left w:val="nil"/>
                    <w:bottom w:val="single" w:color="auto" w:sz="4" w:space="0"/>
                    <w:right w:val="single" w:color="auto" w:sz="4" w:space="0"/>
                  </w:tcBorders>
                  <w:vAlign w:val="center"/>
                </w:tcPr>
                <w:p w14:paraId="0FB144AB">
                  <w:pPr>
                    <w:pStyle w:val="42"/>
                    <w:keepNext w:val="0"/>
                    <w:keepLines w:val="0"/>
                    <w:widowControl/>
                    <w:suppressLineNumbers w:val="0"/>
                    <w:spacing w:before="0" w:beforeAutospacing="0" w:after="0" w:afterAutospacing="0"/>
                    <w:ind w:left="0" w:right="0"/>
                    <w:rPr>
                      <w:rFonts w:hint="default"/>
                      <w:b/>
                      <w:bCs/>
                    </w:rPr>
                  </w:pPr>
                  <w:r>
                    <w:rPr>
                      <w:b/>
                      <w:bCs/>
                    </w:rPr>
                    <w:t>生产工序</w:t>
                  </w:r>
                </w:p>
              </w:tc>
              <w:tc>
                <w:tcPr>
                  <w:tcW w:w="368" w:type="pct"/>
                  <w:tcBorders>
                    <w:top w:val="single" w:color="auto" w:sz="4" w:space="0"/>
                    <w:left w:val="nil"/>
                    <w:bottom w:val="single" w:color="auto" w:sz="4" w:space="0"/>
                    <w:right w:val="single" w:color="auto" w:sz="4" w:space="0"/>
                  </w:tcBorders>
                  <w:vAlign w:val="center"/>
                </w:tcPr>
                <w:p w14:paraId="1EA3FEE8">
                  <w:pPr>
                    <w:pStyle w:val="42"/>
                    <w:keepNext w:val="0"/>
                    <w:keepLines w:val="0"/>
                    <w:widowControl/>
                    <w:suppressLineNumbers w:val="0"/>
                    <w:spacing w:before="0" w:beforeAutospacing="0" w:after="0" w:afterAutospacing="0"/>
                    <w:ind w:left="0" w:right="0"/>
                    <w:rPr>
                      <w:rFonts w:hint="default"/>
                      <w:b/>
                      <w:bCs/>
                    </w:rPr>
                  </w:pPr>
                  <w:r>
                    <w:rPr>
                      <w:b/>
                      <w:bCs/>
                    </w:rPr>
                    <w:t>序号</w:t>
                  </w:r>
                </w:p>
              </w:tc>
              <w:tc>
                <w:tcPr>
                  <w:tcW w:w="641" w:type="pct"/>
                  <w:tcBorders>
                    <w:top w:val="single" w:color="auto" w:sz="4" w:space="0"/>
                    <w:left w:val="nil"/>
                    <w:bottom w:val="single" w:color="auto" w:sz="4" w:space="0"/>
                    <w:right w:val="single" w:color="auto" w:sz="4" w:space="0"/>
                  </w:tcBorders>
                  <w:vAlign w:val="center"/>
                </w:tcPr>
                <w:p w14:paraId="1476D942">
                  <w:pPr>
                    <w:pStyle w:val="42"/>
                    <w:keepNext w:val="0"/>
                    <w:keepLines w:val="0"/>
                    <w:widowControl/>
                    <w:suppressLineNumbers w:val="0"/>
                    <w:spacing w:before="0" w:beforeAutospacing="0" w:after="0" w:afterAutospacing="0"/>
                    <w:ind w:left="0" w:right="0"/>
                    <w:rPr>
                      <w:rFonts w:hint="default"/>
                      <w:b/>
                      <w:bCs/>
                    </w:rPr>
                  </w:pPr>
                  <w:r>
                    <w:rPr>
                      <w:b/>
                      <w:bCs/>
                    </w:rPr>
                    <w:t>污染物名称</w:t>
                  </w:r>
                </w:p>
              </w:tc>
              <w:tc>
                <w:tcPr>
                  <w:tcW w:w="641" w:type="pct"/>
                  <w:tcBorders>
                    <w:top w:val="single" w:color="auto" w:sz="4" w:space="0"/>
                    <w:left w:val="nil"/>
                    <w:bottom w:val="single" w:color="auto" w:sz="4" w:space="0"/>
                    <w:right w:val="single" w:color="auto" w:sz="4" w:space="0"/>
                  </w:tcBorders>
                  <w:vAlign w:val="center"/>
                </w:tcPr>
                <w:p w14:paraId="2E797DB0">
                  <w:pPr>
                    <w:pStyle w:val="42"/>
                    <w:keepNext w:val="0"/>
                    <w:keepLines w:val="0"/>
                    <w:widowControl/>
                    <w:suppressLineNumbers w:val="0"/>
                    <w:spacing w:before="0" w:beforeAutospacing="0" w:after="0" w:afterAutospacing="0"/>
                    <w:ind w:left="0" w:right="0"/>
                    <w:rPr>
                      <w:rFonts w:hint="default"/>
                      <w:b/>
                      <w:bCs/>
                    </w:rPr>
                  </w:pPr>
                  <w:r>
                    <w:rPr>
                      <w:b/>
                      <w:bCs/>
                    </w:rPr>
                    <w:t>污染因子</w:t>
                  </w:r>
                </w:p>
              </w:tc>
              <w:tc>
                <w:tcPr>
                  <w:tcW w:w="368" w:type="pct"/>
                  <w:tcBorders>
                    <w:top w:val="single" w:color="auto" w:sz="4" w:space="0"/>
                    <w:left w:val="nil"/>
                    <w:bottom w:val="single" w:color="auto" w:sz="4" w:space="0"/>
                    <w:right w:val="single" w:color="auto" w:sz="4" w:space="0"/>
                  </w:tcBorders>
                  <w:vAlign w:val="center"/>
                </w:tcPr>
                <w:p w14:paraId="05D79212">
                  <w:pPr>
                    <w:pStyle w:val="42"/>
                    <w:keepNext w:val="0"/>
                    <w:keepLines w:val="0"/>
                    <w:widowControl/>
                    <w:suppressLineNumbers w:val="0"/>
                    <w:spacing w:before="0" w:beforeAutospacing="0" w:after="0" w:afterAutospacing="0"/>
                    <w:ind w:left="0" w:right="0"/>
                    <w:rPr>
                      <w:rFonts w:hint="default"/>
                      <w:b/>
                      <w:bCs/>
                    </w:rPr>
                  </w:pPr>
                  <w:r>
                    <w:rPr>
                      <w:b/>
                      <w:bCs/>
                    </w:rPr>
                    <w:t>产生特征</w:t>
                  </w:r>
                </w:p>
              </w:tc>
              <w:tc>
                <w:tcPr>
                  <w:tcW w:w="1516" w:type="pct"/>
                  <w:tcBorders>
                    <w:top w:val="single" w:color="auto" w:sz="4" w:space="0"/>
                    <w:left w:val="nil"/>
                    <w:bottom w:val="single" w:color="auto" w:sz="4" w:space="0"/>
                    <w:right w:val="single" w:color="auto" w:sz="4" w:space="0"/>
                  </w:tcBorders>
                  <w:vAlign w:val="center"/>
                </w:tcPr>
                <w:p w14:paraId="3A0B7ACE">
                  <w:pPr>
                    <w:pStyle w:val="42"/>
                    <w:keepNext w:val="0"/>
                    <w:keepLines w:val="0"/>
                    <w:widowControl/>
                    <w:suppressLineNumbers w:val="0"/>
                    <w:spacing w:before="0" w:beforeAutospacing="0" w:after="0" w:afterAutospacing="0"/>
                    <w:ind w:left="0" w:right="0"/>
                    <w:rPr>
                      <w:rFonts w:hint="default"/>
                      <w:b/>
                      <w:bCs/>
                    </w:rPr>
                  </w:pPr>
                  <w:r>
                    <w:rPr>
                      <w:b/>
                      <w:bCs/>
                    </w:rPr>
                    <w:t>拟采取的治理措施</w:t>
                  </w:r>
                </w:p>
              </w:tc>
            </w:tr>
            <w:tr w14:paraId="71EA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vMerge w:val="restart"/>
                  <w:tcBorders>
                    <w:top w:val="nil"/>
                    <w:left w:val="single" w:color="auto" w:sz="4" w:space="0"/>
                    <w:right w:val="single" w:color="auto" w:sz="4" w:space="0"/>
                  </w:tcBorders>
                  <w:vAlign w:val="center"/>
                </w:tcPr>
                <w:p w14:paraId="091A0446">
                  <w:pPr>
                    <w:pStyle w:val="42"/>
                    <w:keepNext w:val="0"/>
                    <w:keepLines w:val="0"/>
                    <w:widowControl/>
                    <w:suppressLineNumbers w:val="0"/>
                    <w:spacing w:before="0" w:beforeAutospacing="0" w:after="0" w:afterAutospacing="0"/>
                    <w:ind w:left="0" w:right="0"/>
                    <w:rPr>
                      <w:rFonts w:hint="default"/>
                    </w:rPr>
                  </w:pPr>
                  <w:r>
                    <w:t>废气</w:t>
                  </w:r>
                </w:p>
              </w:tc>
              <w:tc>
                <w:tcPr>
                  <w:tcW w:w="643" w:type="pct"/>
                  <w:vMerge w:val="restart"/>
                  <w:tcBorders>
                    <w:top w:val="nil"/>
                    <w:left w:val="nil"/>
                    <w:right w:val="single" w:color="auto" w:sz="4" w:space="0"/>
                  </w:tcBorders>
                  <w:shd w:val="clear" w:color="auto" w:fill="auto"/>
                  <w:vAlign w:val="center"/>
                </w:tcPr>
                <w:p w14:paraId="4622A8E0">
                  <w:pPr>
                    <w:pStyle w:val="42"/>
                    <w:keepNext w:val="0"/>
                    <w:keepLines w:val="0"/>
                    <w:widowControl/>
                    <w:suppressLineNumbers w:val="0"/>
                    <w:spacing w:before="0" w:beforeAutospacing="0" w:after="0" w:afterAutospacing="0"/>
                    <w:ind w:left="0" w:right="0"/>
                    <w:rPr>
                      <w:rFonts w:hint="default"/>
                    </w:rPr>
                  </w:pPr>
                  <w:r>
                    <w:t>储存单元</w:t>
                  </w:r>
                </w:p>
              </w:tc>
              <w:tc>
                <w:tcPr>
                  <w:tcW w:w="609" w:type="pct"/>
                  <w:tcBorders>
                    <w:top w:val="single" w:color="auto" w:sz="4" w:space="0"/>
                    <w:left w:val="nil"/>
                    <w:bottom w:val="single" w:color="auto" w:sz="4" w:space="0"/>
                    <w:right w:val="single" w:color="auto" w:sz="4" w:space="0"/>
                  </w:tcBorders>
                  <w:shd w:val="clear" w:color="auto" w:fill="auto"/>
                  <w:vAlign w:val="center"/>
                </w:tcPr>
                <w:p w14:paraId="3AB58319">
                  <w:pPr>
                    <w:pStyle w:val="42"/>
                    <w:keepNext w:val="0"/>
                    <w:keepLines w:val="0"/>
                    <w:widowControl/>
                    <w:suppressLineNumbers w:val="0"/>
                    <w:spacing w:before="0" w:beforeAutospacing="0" w:after="0" w:afterAutospacing="0"/>
                    <w:ind w:left="0" w:right="0"/>
                    <w:rPr>
                      <w:rFonts w:hint="default"/>
                    </w:rPr>
                  </w:pPr>
                  <w:r>
                    <w:t>石子、石粉装卸</w:t>
                  </w:r>
                </w:p>
              </w:tc>
              <w:tc>
                <w:tcPr>
                  <w:tcW w:w="368" w:type="pct"/>
                  <w:tcBorders>
                    <w:top w:val="single" w:color="auto" w:sz="4" w:space="0"/>
                    <w:left w:val="nil"/>
                    <w:right w:val="single" w:color="auto" w:sz="4" w:space="0"/>
                  </w:tcBorders>
                  <w:shd w:val="clear" w:color="auto" w:fill="auto"/>
                  <w:vAlign w:val="center"/>
                </w:tcPr>
                <w:p w14:paraId="60733B3C">
                  <w:pPr>
                    <w:pStyle w:val="42"/>
                    <w:keepNext w:val="0"/>
                    <w:keepLines w:val="0"/>
                    <w:widowControl/>
                    <w:suppressLineNumbers w:val="0"/>
                    <w:spacing w:before="0" w:beforeAutospacing="0" w:after="0" w:afterAutospacing="0"/>
                    <w:ind w:left="0" w:right="0"/>
                    <w:rPr>
                      <w:rFonts w:hint="default"/>
                    </w:rPr>
                  </w:pPr>
                  <w:r>
                    <w:t>G1</w:t>
                  </w:r>
                </w:p>
              </w:tc>
              <w:tc>
                <w:tcPr>
                  <w:tcW w:w="641" w:type="pct"/>
                  <w:tcBorders>
                    <w:top w:val="single" w:color="auto" w:sz="4" w:space="0"/>
                    <w:left w:val="nil"/>
                    <w:bottom w:val="single" w:color="auto" w:sz="4" w:space="0"/>
                    <w:right w:val="single" w:color="auto" w:sz="4" w:space="0"/>
                  </w:tcBorders>
                  <w:shd w:val="clear" w:color="auto" w:fill="auto"/>
                  <w:vAlign w:val="center"/>
                </w:tcPr>
                <w:p w14:paraId="3FB44EE1">
                  <w:pPr>
                    <w:pStyle w:val="42"/>
                    <w:keepNext w:val="0"/>
                    <w:keepLines w:val="0"/>
                    <w:widowControl/>
                    <w:suppressLineNumbers w:val="0"/>
                    <w:spacing w:before="0" w:beforeAutospacing="0" w:after="0" w:afterAutospacing="0"/>
                    <w:ind w:left="0" w:right="0"/>
                    <w:rPr>
                      <w:rFonts w:hint="default"/>
                    </w:rPr>
                  </w:pPr>
                  <w:r>
                    <w:t>装卸起尘</w:t>
                  </w:r>
                </w:p>
              </w:tc>
              <w:tc>
                <w:tcPr>
                  <w:tcW w:w="641" w:type="pct"/>
                  <w:tcBorders>
                    <w:top w:val="single" w:color="auto" w:sz="4" w:space="0"/>
                    <w:left w:val="nil"/>
                    <w:bottom w:val="single" w:color="auto" w:sz="4" w:space="0"/>
                    <w:right w:val="single" w:color="auto" w:sz="4" w:space="0"/>
                  </w:tcBorders>
                  <w:shd w:val="clear" w:color="auto" w:fill="auto"/>
                  <w:vAlign w:val="center"/>
                </w:tcPr>
                <w:p w14:paraId="0342DEAA">
                  <w:pPr>
                    <w:pStyle w:val="42"/>
                    <w:keepNext w:val="0"/>
                    <w:keepLines w:val="0"/>
                    <w:widowControl/>
                    <w:suppressLineNumbers w:val="0"/>
                    <w:spacing w:before="0" w:beforeAutospacing="0" w:after="0" w:afterAutospacing="0"/>
                    <w:ind w:left="0" w:right="0"/>
                    <w:rPr>
                      <w:rFonts w:hint="default"/>
                    </w:rPr>
                  </w:pPr>
                  <w:r>
                    <w:t>颗粒物</w:t>
                  </w:r>
                </w:p>
              </w:tc>
              <w:tc>
                <w:tcPr>
                  <w:tcW w:w="368" w:type="pct"/>
                  <w:tcBorders>
                    <w:top w:val="single" w:color="auto" w:sz="4" w:space="0"/>
                    <w:left w:val="nil"/>
                    <w:bottom w:val="single" w:color="auto" w:sz="4" w:space="0"/>
                    <w:right w:val="single" w:color="auto" w:sz="4" w:space="0"/>
                  </w:tcBorders>
                  <w:shd w:val="clear" w:color="auto" w:fill="auto"/>
                  <w:vAlign w:val="center"/>
                </w:tcPr>
                <w:p w14:paraId="3764D9D4">
                  <w:pPr>
                    <w:pStyle w:val="42"/>
                    <w:keepNext w:val="0"/>
                    <w:keepLines w:val="0"/>
                    <w:widowControl/>
                    <w:suppressLineNumbers w:val="0"/>
                    <w:spacing w:before="0" w:beforeAutospacing="0" w:after="0" w:afterAutospacing="0"/>
                    <w:ind w:left="0" w:right="0"/>
                    <w:rPr>
                      <w:rFonts w:hint="default"/>
                    </w:rPr>
                  </w:pPr>
                  <w:r>
                    <w:t>间断面源</w:t>
                  </w:r>
                </w:p>
              </w:tc>
              <w:tc>
                <w:tcPr>
                  <w:tcW w:w="1516" w:type="pct"/>
                  <w:tcBorders>
                    <w:top w:val="single" w:color="auto" w:sz="4" w:space="0"/>
                    <w:left w:val="nil"/>
                    <w:bottom w:val="single" w:color="auto" w:sz="4" w:space="0"/>
                    <w:right w:val="single" w:color="auto" w:sz="4" w:space="0"/>
                  </w:tcBorders>
                  <w:shd w:val="clear" w:color="auto" w:fill="auto"/>
                  <w:vAlign w:val="center"/>
                </w:tcPr>
                <w:p w14:paraId="33056B17">
                  <w:pPr>
                    <w:pStyle w:val="42"/>
                    <w:keepNext w:val="0"/>
                    <w:keepLines w:val="0"/>
                    <w:widowControl/>
                    <w:suppressLineNumbers w:val="0"/>
                    <w:spacing w:before="0" w:beforeAutospacing="0" w:after="0" w:afterAutospacing="0"/>
                    <w:ind w:left="0" w:right="0"/>
                    <w:rPr>
                      <w:rFonts w:hint="default"/>
                    </w:rPr>
                  </w:pPr>
                  <w:r>
                    <w:t>堆存库封闭，堆存区设置喷淋抑尘装置抑尘</w:t>
                  </w:r>
                </w:p>
              </w:tc>
            </w:tr>
            <w:tr w14:paraId="2F0E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vMerge w:val="continue"/>
                  <w:tcBorders>
                    <w:left w:val="single" w:color="auto" w:sz="4" w:space="0"/>
                    <w:right w:val="single" w:color="auto" w:sz="4" w:space="0"/>
                  </w:tcBorders>
                  <w:vAlign w:val="center"/>
                </w:tcPr>
                <w:p w14:paraId="404E45EA">
                  <w:pPr>
                    <w:pStyle w:val="42"/>
                    <w:keepNext w:val="0"/>
                    <w:keepLines w:val="0"/>
                    <w:widowControl/>
                    <w:suppressLineNumbers w:val="0"/>
                    <w:spacing w:before="0" w:beforeAutospacing="0" w:after="0" w:afterAutospacing="0"/>
                    <w:ind w:left="0" w:right="0"/>
                    <w:rPr>
                      <w:rFonts w:hint="default"/>
                    </w:rPr>
                  </w:pPr>
                </w:p>
              </w:tc>
              <w:tc>
                <w:tcPr>
                  <w:tcW w:w="643" w:type="pct"/>
                  <w:vMerge w:val="continue"/>
                  <w:tcBorders>
                    <w:left w:val="nil"/>
                    <w:right w:val="single" w:color="auto" w:sz="4" w:space="0"/>
                  </w:tcBorders>
                  <w:shd w:val="clear" w:color="auto" w:fill="auto"/>
                  <w:vAlign w:val="center"/>
                </w:tcPr>
                <w:p w14:paraId="15DCEBAA">
                  <w:pPr>
                    <w:pStyle w:val="42"/>
                    <w:keepNext w:val="0"/>
                    <w:keepLines w:val="0"/>
                    <w:widowControl/>
                    <w:suppressLineNumbers w:val="0"/>
                    <w:spacing w:before="0" w:beforeAutospacing="0" w:after="0" w:afterAutospacing="0"/>
                    <w:ind w:left="0" w:right="0"/>
                    <w:rPr>
                      <w:rFonts w:hint="default"/>
                    </w:rPr>
                  </w:pPr>
                </w:p>
              </w:tc>
              <w:tc>
                <w:tcPr>
                  <w:tcW w:w="609" w:type="pct"/>
                  <w:tcBorders>
                    <w:top w:val="single" w:color="auto" w:sz="4" w:space="0"/>
                    <w:left w:val="nil"/>
                    <w:bottom w:val="single" w:color="auto" w:sz="4" w:space="0"/>
                    <w:right w:val="single" w:color="auto" w:sz="4" w:space="0"/>
                  </w:tcBorders>
                  <w:shd w:val="clear" w:color="auto" w:fill="auto"/>
                  <w:vAlign w:val="center"/>
                </w:tcPr>
                <w:p w14:paraId="5749A170">
                  <w:pPr>
                    <w:pStyle w:val="42"/>
                    <w:keepNext w:val="0"/>
                    <w:keepLines w:val="0"/>
                    <w:widowControl/>
                    <w:suppressLineNumbers w:val="0"/>
                    <w:spacing w:before="0" w:beforeAutospacing="0" w:after="0" w:afterAutospacing="0"/>
                    <w:ind w:left="0" w:right="0"/>
                    <w:rPr>
                      <w:rFonts w:hint="default"/>
                    </w:rPr>
                  </w:pPr>
                  <w:r>
                    <w:t>水泥装卸</w:t>
                  </w:r>
                </w:p>
              </w:tc>
              <w:tc>
                <w:tcPr>
                  <w:tcW w:w="368" w:type="pct"/>
                  <w:tcBorders>
                    <w:top w:val="single" w:color="auto" w:sz="4" w:space="0"/>
                    <w:left w:val="nil"/>
                    <w:right w:val="single" w:color="auto" w:sz="4" w:space="0"/>
                  </w:tcBorders>
                  <w:shd w:val="clear" w:color="auto" w:fill="auto"/>
                  <w:vAlign w:val="center"/>
                </w:tcPr>
                <w:p w14:paraId="3EC326DF">
                  <w:pPr>
                    <w:pStyle w:val="42"/>
                    <w:keepNext w:val="0"/>
                    <w:keepLines w:val="0"/>
                    <w:widowControl/>
                    <w:suppressLineNumbers w:val="0"/>
                    <w:spacing w:before="0" w:beforeAutospacing="0" w:after="0" w:afterAutospacing="0"/>
                    <w:ind w:left="0" w:right="0"/>
                    <w:rPr>
                      <w:rFonts w:hint="default"/>
                    </w:rPr>
                  </w:pPr>
                  <w:r>
                    <w:t>G2</w:t>
                  </w:r>
                </w:p>
              </w:tc>
              <w:tc>
                <w:tcPr>
                  <w:tcW w:w="641" w:type="pct"/>
                  <w:tcBorders>
                    <w:top w:val="single" w:color="auto" w:sz="4" w:space="0"/>
                    <w:left w:val="nil"/>
                    <w:bottom w:val="single" w:color="auto" w:sz="4" w:space="0"/>
                    <w:right w:val="single" w:color="auto" w:sz="4" w:space="0"/>
                  </w:tcBorders>
                  <w:shd w:val="clear" w:color="auto" w:fill="auto"/>
                  <w:vAlign w:val="center"/>
                </w:tcPr>
                <w:p w14:paraId="5FB7030A">
                  <w:pPr>
                    <w:pStyle w:val="42"/>
                    <w:keepNext w:val="0"/>
                    <w:keepLines w:val="0"/>
                    <w:widowControl/>
                    <w:suppressLineNumbers w:val="0"/>
                    <w:spacing w:before="0" w:beforeAutospacing="0" w:after="0" w:afterAutospacing="0"/>
                    <w:ind w:left="0" w:right="0"/>
                    <w:rPr>
                      <w:rFonts w:hint="default"/>
                    </w:rPr>
                  </w:pPr>
                  <w:r>
                    <w:t>水泥装卸废气</w:t>
                  </w:r>
                </w:p>
              </w:tc>
              <w:tc>
                <w:tcPr>
                  <w:tcW w:w="641" w:type="pct"/>
                  <w:tcBorders>
                    <w:top w:val="single" w:color="auto" w:sz="4" w:space="0"/>
                    <w:left w:val="nil"/>
                    <w:bottom w:val="single" w:color="auto" w:sz="4" w:space="0"/>
                    <w:right w:val="single" w:color="auto" w:sz="4" w:space="0"/>
                  </w:tcBorders>
                  <w:shd w:val="clear" w:color="auto" w:fill="auto"/>
                  <w:vAlign w:val="center"/>
                </w:tcPr>
                <w:p w14:paraId="0AFC8229">
                  <w:pPr>
                    <w:pStyle w:val="42"/>
                    <w:keepNext w:val="0"/>
                    <w:keepLines w:val="0"/>
                    <w:widowControl/>
                    <w:suppressLineNumbers w:val="0"/>
                    <w:spacing w:before="0" w:beforeAutospacing="0" w:after="0" w:afterAutospacing="0"/>
                    <w:ind w:left="0" w:right="0"/>
                    <w:rPr>
                      <w:rFonts w:hint="default"/>
                    </w:rPr>
                  </w:pPr>
                  <w:r>
                    <w:t>颗粒物</w:t>
                  </w:r>
                </w:p>
              </w:tc>
              <w:tc>
                <w:tcPr>
                  <w:tcW w:w="368" w:type="pct"/>
                  <w:tcBorders>
                    <w:top w:val="single" w:color="auto" w:sz="4" w:space="0"/>
                    <w:left w:val="nil"/>
                    <w:bottom w:val="single" w:color="auto" w:sz="4" w:space="0"/>
                    <w:right w:val="single" w:color="auto" w:sz="4" w:space="0"/>
                  </w:tcBorders>
                  <w:shd w:val="clear" w:color="auto" w:fill="auto"/>
                  <w:vAlign w:val="center"/>
                </w:tcPr>
                <w:p w14:paraId="141A051C">
                  <w:pPr>
                    <w:pStyle w:val="42"/>
                    <w:keepNext w:val="0"/>
                    <w:keepLines w:val="0"/>
                    <w:widowControl/>
                    <w:suppressLineNumbers w:val="0"/>
                    <w:spacing w:before="0" w:beforeAutospacing="0" w:after="0" w:afterAutospacing="0"/>
                    <w:ind w:left="0" w:right="0"/>
                    <w:rPr>
                      <w:rFonts w:hint="default"/>
                    </w:rPr>
                  </w:pPr>
                  <w:r>
                    <w:t>间断点源</w:t>
                  </w:r>
                </w:p>
              </w:tc>
              <w:tc>
                <w:tcPr>
                  <w:tcW w:w="1516" w:type="pct"/>
                  <w:tcBorders>
                    <w:top w:val="single" w:color="auto" w:sz="4" w:space="0"/>
                    <w:left w:val="nil"/>
                    <w:bottom w:val="single" w:color="auto" w:sz="4" w:space="0"/>
                    <w:right w:val="single" w:color="auto" w:sz="4" w:space="0"/>
                  </w:tcBorders>
                  <w:shd w:val="clear" w:color="auto" w:fill="auto"/>
                  <w:vAlign w:val="center"/>
                </w:tcPr>
                <w:p w14:paraId="4542CF13">
                  <w:pPr>
                    <w:pStyle w:val="42"/>
                    <w:keepNext w:val="0"/>
                    <w:keepLines w:val="0"/>
                    <w:widowControl/>
                    <w:suppressLineNumbers w:val="0"/>
                    <w:spacing w:before="0" w:beforeAutospacing="0" w:after="0" w:afterAutospacing="0"/>
                    <w:ind w:left="0" w:right="0"/>
                    <w:rPr>
                      <w:rFonts w:hint="default"/>
                    </w:rPr>
                  </w:pPr>
                  <w:r>
                    <w:t>水泥筒仓上设置泄压式布袋除尘器，水泥装卸时产生的呼吸尘经泄压式布袋除尘器处理后由呼吸口排放</w:t>
                  </w:r>
                </w:p>
              </w:tc>
            </w:tr>
            <w:tr w14:paraId="239F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vMerge w:val="continue"/>
                  <w:tcBorders>
                    <w:left w:val="single" w:color="auto" w:sz="4" w:space="0"/>
                    <w:right w:val="single" w:color="auto" w:sz="4" w:space="0"/>
                  </w:tcBorders>
                  <w:vAlign w:val="center"/>
                </w:tcPr>
                <w:p w14:paraId="69935B90">
                  <w:pPr>
                    <w:pStyle w:val="42"/>
                    <w:keepNext w:val="0"/>
                    <w:keepLines w:val="0"/>
                    <w:widowControl/>
                    <w:suppressLineNumbers w:val="0"/>
                    <w:spacing w:before="0" w:beforeAutospacing="0" w:after="0" w:afterAutospacing="0"/>
                    <w:ind w:left="0" w:right="0"/>
                    <w:rPr>
                      <w:rFonts w:hint="default"/>
                    </w:rPr>
                  </w:pPr>
                </w:p>
              </w:tc>
              <w:tc>
                <w:tcPr>
                  <w:tcW w:w="643" w:type="pct"/>
                  <w:vMerge w:val="restart"/>
                  <w:tcBorders>
                    <w:left w:val="nil"/>
                    <w:right w:val="single" w:color="auto" w:sz="4" w:space="0"/>
                  </w:tcBorders>
                  <w:shd w:val="clear" w:color="auto" w:fill="auto"/>
                  <w:vAlign w:val="center"/>
                </w:tcPr>
                <w:p w14:paraId="552C9EF1">
                  <w:pPr>
                    <w:pStyle w:val="42"/>
                    <w:keepNext w:val="0"/>
                    <w:keepLines w:val="0"/>
                    <w:widowControl/>
                    <w:suppressLineNumbers w:val="0"/>
                    <w:spacing w:before="0" w:beforeAutospacing="0" w:after="0" w:afterAutospacing="0"/>
                    <w:ind w:left="0" w:right="0"/>
                    <w:rPr>
                      <w:rFonts w:hint="default"/>
                    </w:rPr>
                  </w:pPr>
                  <w:r>
                    <w:t>上料单元</w:t>
                  </w:r>
                </w:p>
              </w:tc>
              <w:tc>
                <w:tcPr>
                  <w:tcW w:w="609" w:type="pct"/>
                  <w:tcBorders>
                    <w:top w:val="single" w:color="auto" w:sz="4" w:space="0"/>
                    <w:left w:val="nil"/>
                    <w:bottom w:val="single" w:color="auto" w:sz="4" w:space="0"/>
                    <w:right w:val="single" w:color="auto" w:sz="4" w:space="0"/>
                  </w:tcBorders>
                  <w:shd w:val="clear" w:color="auto" w:fill="auto"/>
                  <w:vAlign w:val="center"/>
                </w:tcPr>
                <w:p w14:paraId="2BDA7884">
                  <w:pPr>
                    <w:pStyle w:val="42"/>
                    <w:keepNext w:val="0"/>
                    <w:keepLines w:val="0"/>
                    <w:widowControl/>
                    <w:suppressLineNumbers w:val="0"/>
                    <w:spacing w:before="0" w:beforeAutospacing="0" w:after="0" w:afterAutospacing="0"/>
                    <w:ind w:left="0" w:right="0"/>
                    <w:rPr>
                      <w:rFonts w:hint="default"/>
                    </w:rPr>
                  </w:pPr>
                  <w:r>
                    <w:t>石子料仓上料</w:t>
                  </w:r>
                </w:p>
              </w:tc>
              <w:tc>
                <w:tcPr>
                  <w:tcW w:w="368" w:type="pct"/>
                  <w:tcBorders>
                    <w:top w:val="single" w:color="auto" w:sz="4" w:space="0"/>
                    <w:left w:val="nil"/>
                    <w:right w:val="single" w:color="auto" w:sz="4" w:space="0"/>
                  </w:tcBorders>
                  <w:shd w:val="clear" w:color="auto" w:fill="auto"/>
                  <w:vAlign w:val="center"/>
                </w:tcPr>
                <w:p w14:paraId="774E282E">
                  <w:pPr>
                    <w:pStyle w:val="42"/>
                    <w:keepNext w:val="0"/>
                    <w:keepLines w:val="0"/>
                    <w:widowControl/>
                    <w:suppressLineNumbers w:val="0"/>
                    <w:spacing w:before="0" w:beforeAutospacing="0" w:after="0" w:afterAutospacing="0"/>
                    <w:ind w:left="0" w:right="0"/>
                    <w:rPr>
                      <w:rFonts w:hint="default"/>
                    </w:rPr>
                  </w:pPr>
                  <w:r>
                    <w:t>G3</w:t>
                  </w:r>
                </w:p>
              </w:tc>
              <w:tc>
                <w:tcPr>
                  <w:tcW w:w="641" w:type="pct"/>
                  <w:tcBorders>
                    <w:top w:val="single" w:color="auto" w:sz="4" w:space="0"/>
                    <w:left w:val="nil"/>
                    <w:bottom w:val="single" w:color="auto" w:sz="4" w:space="0"/>
                    <w:right w:val="single" w:color="auto" w:sz="4" w:space="0"/>
                  </w:tcBorders>
                  <w:shd w:val="clear" w:color="auto" w:fill="auto"/>
                  <w:vAlign w:val="center"/>
                </w:tcPr>
                <w:p w14:paraId="0C6870D0">
                  <w:pPr>
                    <w:pStyle w:val="42"/>
                    <w:keepNext w:val="0"/>
                    <w:keepLines w:val="0"/>
                    <w:widowControl/>
                    <w:suppressLineNumbers w:val="0"/>
                    <w:spacing w:before="0" w:beforeAutospacing="0" w:after="0" w:afterAutospacing="0"/>
                    <w:ind w:left="0" w:right="0"/>
                    <w:rPr>
                      <w:rFonts w:hint="default"/>
                    </w:rPr>
                  </w:pPr>
                  <w:r>
                    <w:t>上料起尘</w:t>
                  </w:r>
                </w:p>
              </w:tc>
              <w:tc>
                <w:tcPr>
                  <w:tcW w:w="641" w:type="pct"/>
                  <w:tcBorders>
                    <w:top w:val="single" w:color="auto" w:sz="4" w:space="0"/>
                    <w:left w:val="nil"/>
                    <w:bottom w:val="single" w:color="auto" w:sz="4" w:space="0"/>
                    <w:right w:val="single" w:color="auto" w:sz="4" w:space="0"/>
                  </w:tcBorders>
                  <w:shd w:val="clear" w:color="auto" w:fill="auto"/>
                  <w:vAlign w:val="center"/>
                </w:tcPr>
                <w:p w14:paraId="1DBC9808">
                  <w:pPr>
                    <w:pStyle w:val="42"/>
                    <w:keepNext w:val="0"/>
                    <w:keepLines w:val="0"/>
                    <w:widowControl/>
                    <w:suppressLineNumbers w:val="0"/>
                    <w:spacing w:before="0" w:beforeAutospacing="0" w:after="0" w:afterAutospacing="0"/>
                    <w:ind w:left="0" w:right="0"/>
                    <w:rPr>
                      <w:rFonts w:hint="default"/>
                    </w:rPr>
                  </w:pPr>
                  <w:r>
                    <w:t>颗粒物</w:t>
                  </w:r>
                </w:p>
              </w:tc>
              <w:tc>
                <w:tcPr>
                  <w:tcW w:w="368" w:type="pct"/>
                  <w:tcBorders>
                    <w:top w:val="single" w:color="auto" w:sz="4" w:space="0"/>
                    <w:left w:val="nil"/>
                    <w:bottom w:val="single" w:color="auto" w:sz="4" w:space="0"/>
                    <w:right w:val="single" w:color="auto" w:sz="4" w:space="0"/>
                  </w:tcBorders>
                  <w:shd w:val="clear" w:color="auto" w:fill="auto"/>
                  <w:vAlign w:val="center"/>
                </w:tcPr>
                <w:p w14:paraId="672134C9">
                  <w:pPr>
                    <w:pStyle w:val="42"/>
                    <w:keepNext w:val="0"/>
                    <w:keepLines w:val="0"/>
                    <w:widowControl/>
                    <w:suppressLineNumbers w:val="0"/>
                    <w:spacing w:before="0" w:beforeAutospacing="0" w:after="0" w:afterAutospacing="0"/>
                    <w:ind w:left="0" w:right="0"/>
                    <w:rPr>
                      <w:rFonts w:hint="default"/>
                    </w:rPr>
                  </w:pPr>
                  <w:r>
                    <w:t>连续点源</w:t>
                  </w:r>
                </w:p>
              </w:tc>
              <w:tc>
                <w:tcPr>
                  <w:tcW w:w="1516" w:type="pct"/>
                  <w:vMerge w:val="restart"/>
                  <w:tcBorders>
                    <w:top w:val="single" w:color="auto" w:sz="4" w:space="0"/>
                    <w:left w:val="nil"/>
                    <w:right w:val="single" w:color="auto" w:sz="4" w:space="0"/>
                  </w:tcBorders>
                  <w:shd w:val="clear" w:color="auto" w:fill="auto"/>
                  <w:vAlign w:val="center"/>
                </w:tcPr>
                <w:p w14:paraId="7FF2E09A">
                  <w:pPr>
                    <w:pStyle w:val="42"/>
                    <w:keepNext w:val="0"/>
                    <w:keepLines w:val="0"/>
                    <w:widowControl/>
                    <w:suppressLineNumbers w:val="0"/>
                    <w:spacing w:before="0" w:beforeAutospacing="0" w:after="0" w:afterAutospacing="0"/>
                    <w:ind w:left="0" w:right="0"/>
                    <w:rPr>
                      <w:rFonts w:hint="default"/>
                    </w:rPr>
                  </w:pPr>
                  <w:r>
                    <w:t>料仓上部设置集气罩，将上料时产生的废气收集，通向布袋除尘器，废气由布袋除尘器处理后由15m高排气筒P1排放</w:t>
                  </w:r>
                </w:p>
              </w:tc>
            </w:tr>
            <w:tr w14:paraId="6D8C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vMerge w:val="continue"/>
                  <w:tcBorders>
                    <w:left w:val="single" w:color="auto" w:sz="4" w:space="0"/>
                    <w:right w:val="single" w:color="auto" w:sz="4" w:space="0"/>
                  </w:tcBorders>
                  <w:vAlign w:val="center"/>
                </w:tcPr>
                <w:p w14:paraId="36771024">
                  <w:pPr>
                    <w:pStyle w:val="42"/>
                    <w:keepNext w:val="0"/>
                    <w:keepLines w:val="0"/>
                    <w:widowControl/>
                    <w:suppressLineNumbers w:val="0"/>
                    <w:spacing w:before="0" w:beforeAutospacing="0" w:after="0" w:afterAutospacing="0"/>
                    <w:ind w:left="0" w:right="0"/>
                    <w:rPr>
                      <w:rFonts w:hint="default"/>
                    </w:rPr>
                  </w:pPr>
                </w:p>
              </w:tc>
              <w:tc>
                <w:tcPr>
                  <w:tcW w:w="643" w:type="pct"/>
                  <w:vMerge w:val="continue"/>
                  <w:tcBorders>
                    <w:left w:val="nil"/>
                    <w:right w:val="single" w:color="auto" w:sz="4" w:space="0"/>
                  </w:tcBorders>
                  <w:shd w:val="clear" w:color="auto" w:fill="auto"/>
                  <w:vAlign w:val="center"/>
                </w:tcPr>
                <w:p w14:paraId="10B3160A">
                  <w:pPr>
                    <w:pStyle w:val="42"/>
                    <w:keepNext w:val="0"/>
                    <w:keepLines w:val="0"/>
                    <w:widowControl/>
                    <w:suppressLineNumbers w:val="0"/>
                    <w:spacing w:before="0" w:beforeAutospacing="0" w:after="0" w:afterAutospacing="0"/>
                    <w:ind w:left="0" w:right="0"/>
                    <w:rPr>
                      <w:rFonts w:hint="default"/>
                    </w:rPr>
                  </w:pPr>
                </w:p>
              </w:tc>
              <w:tc>
                <w:tcPr>
                  <w:tcW w:w="609" w:type="pct"/>
                  <w:tcBorders>
                    <w:top w:val="single" w:color="auto" w:sz="4" w:space="0"/>
                    <w:left w:val="nil"/>
                    <w:bottom w:val="single" w:color="auto" w:sz="4" w:space="0"/>
                    <w:right w:val="single" w:color="auto" w:sz="4" w:space="0"/>
                  </w:tcBorders>
                  <w:shd w:val="clear" w:color="auto" w:fill="auto"/>
                  <w:vAlign w:val="center"/>
                </w:tcPr>
                <w:p w14:paraId="416132C2">
                  <w:pPr>
                    <w:pStyle w:val="42"/>
                    <w:keepNext w:val="0"/>
                    <w:keepLines w:val="0"/>
                    <w:widowControl/>
                    <w:suppressLineNumbers w:val="0"/>
                    <w:spacing w:before="0" w:beforeAutospacing="0" w:after="0" w:afterAutospacing="0"/>
                    <w:ind w:left="0" w:right="0"/>
                    <w:rPr>
                      <w:rFonts w:hint="default"/>
                    </w:rPr>
                  </w:pPr>
                  <w:r>
                    <w:t>石粉料仓上料</w:t>
                  </w:r>
                </w:p>
              </w:tc>
              <w:tc>
                <w:tcPr>
                  <w:tcW w:w="368" w:type="pct"/>
                  <w:tcBorders>
                    <w:top w:val="single" w:color="auto" w:sz="4" w:space="0"/>
                    <w:left w:val="nil"/>
                    <w:right w:val="single" w:color="auto" w:sz="4" w:space="0"/>
                  </w:tcBorders>
                  <w:shd w:val="clear" w:color="auto" w:fill="auto"/>
                  <w:vAlign w:val="center"/>
                </w:tcPr>
                <w:p w14:paraId="48E50E00">
                  <w:pPr>
                    <w:pStyle w:val="42"/>
                    <w:keepNext w:val="0"/>
                    <w:keepLines w:val="0"/>
                    <w:widowControl/>
                    <w:suppressLineNumbers w:val="0"/>
                    <w:spacing w:before="0" w:beforeAutospacing="0" w:after="0" w:afterAutospacing="0"/>
                    <w:ind w:left="0" w:right="0"/>
                    <w:rPr>
                      <w:rFonts w:hint="default"/>
                    </w:rPr>
                  </w:pPr>
                  <w:r>
                    <w:t>G4</w:t>
                  </w:r>
                </w:p>
              </w:tc>
              <w:tc>
                <w:tcPr>
                  <w:tcW w:w="641" w:type="pct"/>
                  <w:tcBorders>
                    <w:top w:val="single" w:color="auto" w:sz="4" w:space="0"/>
                    <w:left w:val="nil"/>
                    <w:bottom w:val="single" w:color="auto" w:sz="4" w:space="0"/>
                    <w:right w:val="single" w:color="auto" w:sz="4" w:space="0"/>
                  </w:tcBorders>
                  <w:shd w:val="clear" w:color="auto" w:fill="auto"/>
                  <w:vAlign w:val="center"/>
                </w:tcPr>
                <w:p w14:paraId="1656E175">
                  <w:pPr>
                    <w:pStyle w:val="42"/>
                    <w:keepNext w:val="0"/>
                    <w:keepLines w:val="0"/>
                    <w:widowControl/>
                    <w:suppressLineNumbers w:val="0"/>
                    <w:spacing w:before="0" w:beforeAutospacing="0" w:after="0" w:afterAutospacing="0"/>
                    <w:ind w:left="0" w:right="0"/>
                    <w:rPr>
                      <w:rFonts w:hint="default"/>
                    </w:rPr>
                  </w:pPr>
                  <w:r>
                    <w:t>上料起尘</w:t>
                  </w:r>
                </w:p>
              </w:tc>
              <w:tc>
                <w:tcPr>
                  <w:tcW w:w="641" w:type="pct"/>
                  <w:tcBorders>
                    <w:top w:val="single" w:color="auto" w:sz="4" w:space="0"/>
                    <w:left w:val="nil"/>
                    <w:bottom w:val="single" w:color="auto" w:sz="4" w:space="0"/>
                    <w:right w:val="single" w:color="auto" w:sz="4" w:space="0"/>
                  </w:tcBorders>
                  <w:shd w:val="clear" w:color="auto" w:fill="auto"/>
                  <w:vAlign w:val="center"/>
                </w:tcPr>
                <w:p w14:paraId="1E13F59C">
                  <w:pPr>
                    <w:pStyle w:val="42"/>
                    <w:keepNext w:val="0"/>
                    <w:keepLines w:val="0"/>
                    <w:widowControl/>
                    <w:suppressLineNumbers w:val="0"/>
                    <w:spacing w:before="0" w:beforeAutospacing="0" w:after="0" w:afterAutospacing="0"/>
                    <w:ind w:left="0" w:right="0"/>
                    <w:rPr>
                      <w:rFonts w:hint="default"/>
                    </w:rPr>
                  </w:pPr>
                  <w:r>
                    <w:t>颗粒物</w:t>
                  </w:r>
                </w:p>
              </w:tc>
              <w:tc>
                <w:tcPr>
                  <w:tcW w:w="368" w:type="pct"/>
                  <w:tcBorders>
                    <w:top w:val="single" w:color="auto" w:sz="4" w:space="0"/>
                    <w:left w:val="nil"/>
                    <w:bottom w:val="single" w:color="auto" w:sz="4" w:space="0"/>
                    <w:right w:val="single" w:color="auto" w:sz="4" w:space="0"/>
                  </w:tcBorders>
                  <w:shd w:val="clear" w:color="auto" w:fill="auto"/>
                  <w:vAlign w:val="center"/>
                </w:tcPr>
                <w:p w14:paraId="7EC22CAC">
                  <w:pPr>
                    <w:pStyle w:val="42"/>
                    <w:keepNext w:val="0"/>
                    <w:keepLines w:val="0"/>
                    <w:widowControl/>
                    <w:suppressLineNumbers w:val="0"/>
                    <w:spacing w:before="0" w:beforeAutospacing="0" w:after="0" w:afterAutospacing="0"/>
                    <w:ind w:left="0" w:right="0"/>
                    <w:rPr>
                      <w:rFonts w:hint="default"/>
                    </w:rPr>
                  </w:pPr>
                  <w:r>
                    <w:t>连续点源</w:t>
                  </w:r>
                </w:p>
              </w:tc>
              <w:tc>
                <w:tcPr>
                  <w:tcW w:w="1516" w:type="pct"/>
                  <w:vMerge w:val="continue"/>
                  <w:tcBorders>
                    <w:left w:val="nil"/>
                    <w:bottom w:val="single" w:color="auto" w:sz="4" w:space="0"/>
                    <w:right w:val="single" w:color="auto" w:sz="4" w:space="0"/>
                  </w:tcBorders>
                  <w:shd w:val="clear" w:color="auto" w:fill="auto"/>
                  <w:vAlign w:val="center"/>
                </w:tcPr>
                <w:p w14:paraId="7A38BBDD">
                  <w:pPr>
                    <w:pStyle w:val="42"/>
                    <w:keepNext w:val="0"/>
                    <w:keepLines w:val="0"/>
                    <w:widowControl/>
                    <w:suppressLineNumbers w:val="0"/>
                    <w:spacing w:before="0" w:beforeAutospacing="0" w:after="0" w:afterAutospacing="0"/>
                    <w:ind w:left="0" w:right="0"/>
                    <w:rPr>
                      <w:rFonts w:hint="default"/>
                    </w:rPr>
                  </w:pPr>
                </w:p>
              </w:tc>
            </w:tr>
            <w:tr w14:paraId="046E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vMerge w:val="continue"/>
                  <w:tcBorders>
                    <w:left w:val="single" w:color="auto" w:sz="4" w:space="0"/>
                    <w:right w:val="single" w:color="auto" w:sz="4" w:space="0"/>
                  </w:tcBorders>
                  <w:vAlign w:val="center"/>
                </w:tcPr>
                <w:p w14:paraId="3269B516">
                  <w:pPr>
                    <w:pStyle w:val="42"/>
                    <w:keepNext w:val="0"/>
                    <w:keepLines w:val="0"/>
                    <w:widowControl/>
                    <w:suppressLineNumbers w:val="0"/>
                    <w:spacing w:before="0" w:beforeAutospacing="0" w:after="0" w:afterAutospacing="0"/>
                    <w:ind w:left="0" w:right="0"/>
                    <w:rPr>
                      <w:rFonts w:hint="default"/>
                    </w:rPr>
                  </w:pPr>
                </w:p>
              </w:tc>
              <w:tc>
                <w:tcPr>
                  <w:tcW w:w="643" w:type="pct"/>
                  <w:tcBorders>
                    <w:top w:val="nil"/>
                    <w:left w:val="nil"/>
                    <w:right w:val="single" w:color="auto" w:sz="4" w:space="0"/>
                  </w:tcBorders>
                  <w:shd w:val="clear" w:color="auto" w:fill="auto"/>
                  <w:vAlign w:val="center"/>
                </w:tcPr>
                <w:p w14:paraId="1C54E689">
                  <w:pPr>
                    <w:pStyle w:val="42"/>
                    <w:keepNext w:val="0"/>
                    <w:keepLines w:val="0"/>
                    <w:widowControl/>
                    <w:suppressLineNumbers w:val="0"/>
                    <w:spacing w:before="0" w:beforeAutospacing="0" w:after="0" w:afterAutospacing="0"/>
                    <w:ind w:left="0" w:right="0"/>
                    <w:rPr>
                      <w:rFonts w:hint="default"/>
                    </w:rPr>
                  </w:pPr>
                  <w:r>
                    <w:t>搅拌单元</w:t>
                  </w:r>
                </w:p>
              </w:tc>
              <w:tc>
                <w:tcPr>
                  <w:tcW w:w="609" w:type="pct"/>
                  <w:tcBorders>
                    <w:top w:val="single" w:color="auto" w:sz="4" w:space="0"/>
                    <w:left w:val="nil"/>
                    <w:bottom w:val="single" w:color="auto" w:sz="4" w:space="0"/>
                    <w:right w:val="single" w:color="auto" w:sz="4" w:space="0"/>
                  </w:tcBorders>
                  <w:shd w:val="clear" w:color="auto" w:fill="auto"/>
                  <w:vAlign w:val="center"/>
                </w:tcPr>
                <w:p w14:paraId="001CCB93">
                  <w:pPr>
                    <w:pStyle w:val="42"/>
                    <w:keepNext w:val="0"/>
                    <w:keepLines w:val="0"/>
                    <w:widowControl/>
                    <w:suppressLineNumbers w:val="0"/>
                    <w:spacing w:before="0" w:beforeAutospacing="0" w:after="0" w:afterAutospacing="0"/>
                    <w:ind w:left="0" w:right="0"/>
                    <w:rPr>
                      <w:rFonts w:hint="default"/>
                    </w:rPr>
                  </w:pPr>
                  <w:r>
                    <w:t>搅拌机入料</w:t>
                  </w:r>
                </w:p>
              </w:tc>
              <w:tc>
                <w:tcPr>
                  <w:tcW w:w="368" w:type="pct"/>
                  <w:tcBorders>
                    <w:top w:val="single" w:color="auto" w:sz="4" w:space="0"/>
                    <w:left w:val="nil"/>
                    <w:right w:val="single" w:color="auto" w:sz="4" w:space="0"/>
                  </w:tcBorders>
                  <w:shd w:val="clear" w:color="auto" w:fill="auto"/>
                  <w:vAlign w:val="center"/>
                </w:tcPr>
                <w:p w14:paraId="6BBA638C">
                  <w:pPr>
                    <w:pStyle w:val="42"/>
                    <w:keepNext w:val="0"/>
                    <w:keepLines w:val="0"/>
                    <w:widowControl/>
                    <w:suppressLineNumbers w:val="0"/>
                    <w:spacing w:before="0" w:beforeAutospacing="0" w:after="0" w:afterAutospacing="0"/>
                    <w:ind w:left="0" w:right="0"/>
                    <w:rPr>
                      <w:rFonts w:hint="default"/>
                    </w:rPr>
                  </w:pPr>
                  <w:r>
                    <w:t>G5</w:t>
                  </w:r>
                </w:p>
              </w:tc>
              <w:tc>
                <w:tcPr>
                  <w:tcW w:w="641" w:type="pct"/>
                  <w:tcBorders>
                    <w:top w:val="single" w:color="auto" w:sz="4" w:space="0"/>
                    <w:left w:val="nil"/>
                    <w:bottom w:val="single" w:color="auto" w:sz="4" w:space="0"/>
                    <w:right w:val="single" w:color="auto" w:sz="4" w:space="0"/>
                  </w:tcBorders>
                  <w:shd w:val="clear" w:color="auto" w:fill="auto"/>
                  <w:vAlign w:val="center"/>
                </w:tcPr>
                <w:p w14:paraId="6889E4F3">
                  <w:pPr>
                    <w:pStyle w:val="42"/>
                    <w:keepNext w:val="0"/>
                    <w:keepLines w:val="0"/>
                    <w:widowControl/>
                    <w:suppressLineNumbers w:val="0"/>
                    <w:spacing w:before="0" w:beforeAutospacing="0" w:after="0" w:afterAutospacing="0"/>
                    <w:ind w:left="0" w:right="0"/>
                    <w:rPr>
                      <w:rFonts w:hint="default"/>
                    </w:rPr>
                  </w:pPr>
                  <w:r>
                    <w:t>搅拌废气</w:t>
                  </w:r>
                </w:p>
              </w:tc>
              <w:tc>
                <w:tcPr>
                  <w:tcW w:w="641" w:type="pct"/>
                  <w:tcBorders>
                    <w:top w:val="single" w:color="auto" w:sz="4" w:space="0"/>
                    <w:left w:val="nil"/>
                    <w:bottom w:val="single" w:color="auto" w:sz="4" w:space="0"/>
                    <w:right w:val="single" w:color="auto" w:sz="4" w:space="0"/>
                  </w:tcBorders>
                  <w:shd w:val="clear" w:color="auto" w:fill="auto"/>
                  <w:vAlign w:val="center"/>
                </w:tcPr>
                <w:p w14:paraId="0D212682">
                  <w:pPr>
                    <w:pStyle w:val="42"/>
                    <w:keepNext w:val="0"/>
                    <w:keepLines w:val="0"/>
                    <w:widowControl/>
                    <w:suppressLineNumbers w:val="0"/>
                    <w:spacing w:before="0" w:beforeAutospacing="0" w:after="0" w:afterAutospacing="0"/>
                    <w:ind w:left="0" w:right="0"/>
                    <w:rPr>
                      <w:rFonts w:hint="default"/>
                    </w:rPr>
                  </w:pPr>
                  <w:r>
                    <w:t>颗粒物</w:t>
                  </w:r>
                </w:p>
              </w:tc>
              <w:tc>
                <w:tcPr>
                  <w:tcW w:w="368" w:type="pct"/>
                  <w:tcBorders>
                    <w:top w:val="single" w:color="auto" w:sz="4" w:space="0"/>
                    <w:left w:val="nil"/>
                    <w:bottom w:val="single" w:color="auto" w:sz="4" w:space="0"/>
                    <w:right w:val="single" w:color="auto" w:sz="4" w:space="0"/>
                  </w:tcBorders>
                  <w:shd w:val="clear" w:color="auto" w:fill="auto"/>
                  <w:vAlign w:val="center"/>
                </w:tcPr>
                <w:p w14:paraId="4BCEEFBD">
                  <w:pPr>
                    <w:pStyle w:val="42"/>
                    <w:keepNext w:val="0"/>
                    <w:keepLines w:val="0"/>
                    <w:widowControl/>
                    <w:suppressLineNumbers w:val="0"/>
                    <w:spacing w:before="0" w:beforeAutospacing="0" w:after="0" w:afterAutospacing="0"/>
                    <w:ind w:left="0" w:right="0"/>
                    <w:rPr>
                      <w:rFonts w:hint="default"/>
                    </w:rPr>
                  </w:pPr>
                  <w:r>
                    <w:t>连续</w:t>
                  </w:r>
                </w:p>
                <w:p w14:paraId="5CD00D6F">
                  <w:pPr>
                    <w:pStyle w:val="42"/>
                    <w:keepNext w:val="0"/>
                    <w:keepLines w:val="0"/>
                    <w:widowControl/>
                    <w:suppressLineNumbers w:val="0"/>
                    <w:spacing w:before="0" w:beforeAutospacing="0" w:after="0" w:afterAutospacing="0"/>
                    <w:ind w:left="0" w:right="0"/>
                    <w:rPr>
                      <w:rFonts w:hint="default"/>
                    </w:rPr>
                  </w:pPr>
                  <w:r>
                    <w:t>点源</w:t>
                  </w:r>
                </w:p>
              </w:tc>
              <w:tc>
                <w:tcPr>
                  <w:tcW w:w="1516" w:type="pct"/>
                  <w:tcBorders>
                    <w:top w:val="single" w:color="auto" w:sz="4" w:space="0"/>
                    <w:left w:val="nil"/>
                    <w:bottom w:val="single" w:color="auto" w:sz="4" w:space="0"/>
                    <w:right w:val="single" w:color="auto" w:sz="4" w:space="0"/>
                  </w:tcBorders>
                  <w:shd w:val="clear" w:color="auto" w:fill="auto"/>
                  <w:vAlign w:val="center"/>
                </w:tcPr>
                <w:p w14:paraId="34A04B1E">
                  <w:pPr>
                    <w:pStyle w:val="42"/>
                    <w:keepNext w:val="0"/>
                    <w:keepLines w:val="0"/>
                    <w:widowControl/>
                    <w:suppressLineNumbers w:val="0"/>
                    <w:spacing w:before="0" w:beforeAutospacing="0" w:after="0" w:afterAutospacing="0"/>
                    <w:ind w:left="0" w:right="0"/>
                    <w:rPr>
                      <w:rFonts w:hint="default"/>
                    </w:rPr>
                  </w:pPr>
                  <w:r>
                    <w:t>搅拌机上部设置集气罩，将上料时产生的废气收集，通向布袋除尘器，布袋除尘器处理后由15m高排气筒P1排放</w:t>
                  </w:r>
                </w:p>
              </w:tc>
            </w:tr>
            <w:tr w14:paraId="67CB3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vMerge w:val="continue"/>
                  <w:tcBorders>
                    <w:left w:val="single" w:color="auto" w:sz="4" w:space="0"/>
                    <w:bottom w:val="single" w:color="auto" w:sz="4" w:space="0"/>
                    <w:right w:val="single" w:color="auto" w:sz="4" w:space="0"/>
                  </w:tcBorders>
                  <w:vAlign w:val="center"/>
                </w:tcPr>
                <w:p w14:paraId="21CB7ED1">
                  <w:pPr>
                    <w:pStyle w:val="42"/>
                    <w:keepNext w:val="0"/>
                    <w:keepLines w:val="0"/>
                    <w:widowControl/>
                    <w:suppressLineNumbers w:val="0"/>
                    <w:spacing w:before="0" w:beforeAutospacing="0" w:after="0" w:afterAutospacing="0"/>
                    <w:ind w:left="0" w:right="0"/>
                    <w:rPr>
                      <w:rFonts w:hint="default"/>
                    </w:rPr>
                  </w:pPr>
                </w:p>
              </w:tc>
              <w:tc>
                <w:tcPr>
                  <w:tcW w:w="643" w:type="pct"/>
                  <w:tcBorders>
                    <w:top w:val="nil"/>
                    <w:left w:val="nil"/>
                    <w:right w:val="single" w:color="auto" w:sz="4" w:space="0"/>
                  </w:tcBorders>
                  <w:shd w:val="clear" w:color="auto" w:fill="auto"/>
                  <w:vAlign w:val="center"/>
                </w:tcPr>
                <w:p w14:paraId="16CCE0D5">
                  <w:pPr>
                    <w:pStyle w:val="42"/>
                    <w:keepNext w:val="0"/>
                    <w:keepLines w:val="0"/>
                    <w:widowControl/>
                    <w:suppressLineNumbers w:val="0"/>
                    <w:spacing w:before="0" w:beforeAutospacing="0" w:after="0" w:afterAutospacing="0"/>
                    <w:ind w:left="0" w:right="0"/>
                    <w:rPr>
                      <w:rFonts w:hint="default"/>
                    </w:rPr>
                  </w:pPr>
                  <w:r>
                    <w:t>道路运输</w:t>
                  </w:r>
                </w:p>
              </w:tc>
              <w:tc>
                <w:tcPr>
                  <w:tcW w:w="609" w:type="pct"/>
                  <w:tcBorders>
                    <w:top w:val="single" w:color="auto" w:sz="4" w:space="0"/>
                    <w:left w:val="nil"/>
                    <w:right w:val="single" w:color="auto" w:sz="4" w:space="0"/>
                  </w:tcBorders>
                  <w:shd w:val="clear" w:color="auto" w:fill="auto"/>
                  <w:vAlign w:val="center"/>
                </w:tcPr>
                <w:p w14:paraId="4CDA1B1A">
                  <w:pPr>
                    <w:pStyle w:val="42"/>
                    <w:keepNext w:val="0"/>
                    <w:keepLines w:val="0"/>
                    <w:widowControl/>
                    <w:suppressLineNumbers w:val="0"/>
                    <w:spacing w:before="0" w:beforeAutospacing="0" w:after="0" w:afterAutospacing="0"/>
                    <w:ind w:left="0" w:right="0"/>
                    <w:rPr>
                      <w:rFonts w:hint="default"/>
                    </w:rPr>
                  </w:pPr>
                  <w:r>
                    <w:t>车辆行驶</w:t>
                  </w:r>
                </w:p>
              </w:tc>
              <w:tc>
                <w:tcPr>
                  <w:tcW w:w="368" w:type="pct"/>
                  <w:tcBorders>
                    <w:top w:val="single" w:color="auto" w:sz="4" w:space="0"/>
                    <w:left w:val="nil"/>
                    <w:right w:val="single" w:color="auto" w:sz="4" w:space="0"/>
                  </w:tcBorders>
                  <w:shd w:val="clear" w:color="auto" w:fill="auto"/>
                  <w:vAlign w:val="center"/>
                </w:tcPr>
                <w:p w14:paraId="664E9879">
                  <w:pPr>
                    <w:pStyle w:val="42"/>
                    <w:keepNext w:val="0"/>
                    <w:keepLines w:val="0"/>
                    <w:widowControl/>
                    <w:suppressLineNumbers w:val="0"/>
                    <w:spacing w:before="0" w:beforeAutospacing="0" w:after="0" w:afterAutospacing="0"/>
                    <w:ind w:left="0" w:right="0"/>
                    <w:rPr>
                      <w:rFonts w:hint="default"/>
                    </w:rPr>
                  </w:pPr>
                  <w:r>
                    <w:t>/</w:t>
                  </w:r>
                </w:p>
              </w:tc>
              <w:tc>
                <w:tcPr>
                  <w:tcW w:w="641" w:type="pct"/>
                  <w:tcBorders>
                    <w:top w:val="single" w:color="auto" w:sz="4" w:space="0"/>
                    <w:left w:val="nil"/>
                    <w:right w:val="single" w:color="auto" w:sz="4" w:space="0"/>
                  </w:tcBorders>
                  <w:shd w:val="clear" w:color="auto" w:fill="auto"/>
                  <w:vAlign w:val="center"/>
                </w:tcPr>
                <w:p w14:paraId="703C469A">
                  <w:pPr>
                    <w:pStyle w:val="42"/>
                    <w:keepNext w:val="0"/>
                    <w:keepLines w:val="0"/>
                    <w:widowControl/>
                    <w:suppressLineNumbers w:val="0"/>
                    <w:spacing w:before="0" w:beforeAutospacing="0" w:after="0" w:afterAutospacing="0"/>
                    <w:ind w:left="0" w:right="0"/>
                    <w:rPr>
                      <w:rFonts w:hint="default"/>
                    </w:rPr>
                  </w:pPr>
                  <w:r>
                    <w:t>道路扬尘</w:t>
                  </w:r>
                </w:p>
              </w:tc>
              <w:tc>
                <w:tcPr>
                  <w:tcW w:w="641" w:type="pct"/>
                  <w:tcBorders>
                    <w:top w:val="single" w:color="auto" w:sz="4" w:space="0"/>
                    <w:left w:val="nil"/>
                    <w:right w:val="single" w:color="auto" w:sz="4" w:space="0"/>
                  </w:tcBorders>
                  <w:shd w:val="clear" w:color="auto" w:fill="auto"/>
                  <w:vAlign w:val="center"/>
                </w:tcPr>
                <w:p w14:paraId="536D6A52">
                  <w:pPr>
                    <w:pStyle w:val="42"/>
                    <w:keepNext w:val="0"/>
                    <w:keepLines w:val="0"/>
                    <w:widowControl/>
                    <w:suppressLineNumbers w:val="0"/>
                    <w:spacing w:before="0" w:beforeAutospacing="0" w:after="0" w:afterAutospacing="0"/>
                    <w:ind w:left="0" w:right="0"/>
                    <w:rPr>
                      <w:rFonts w:hint="default"/>
                    </w:rPr>
                  </w:pPr>
                  <w:r>
                    <w:t>颗粒物</w:t>
                  </w:r>
                </w:p>
              </w:tc>
              <w:tc>
                <w:tcPr>
                  <w:tcW w:w="368" w:type="pct"/>
                  <w:tcBorders>
                    <w:top w:val="single" w:color="auto" w:sz="4" w:space="0"/>
                    <w:left w:val="nil"/>
                    <w:right w:val="single" w:color="auto" w:sz="4" w:space="0"/>
                  </w:tcBorders>
                  <w:shd w:val="clear" w:color="auto" w:fill="auto"/>
                  <w:vAlign w:val="center"/>
                </w:tcPr>
                <w:p w14:paraId="2794A6AE">
                  <w:pPr>
                    <w:pStyle w:val="42"/>
                    <w:keepNext w:val="0"/>
                    <w:keepLines w:val="0"/>
                    <w:widowControl/>
                    <w:suppressLineNumbers w:val="0"/>
                    <w:spacing w:before="0" w:beforeAutospacing="0" w:after="0" w:afterAutospacing="0"/>
                    <w:ind w:left="0" w:right="0"/>
                    <w:rPr>
                      <w:rFonts w:hint="default"/>
                    </w:rPr>
                  </w:pPr>
                  <w:r>
                    <w:t>间断面源</w:t>
                  </w:r>
                </w:p>
              </w:tc>
              <w:tc>
                <w:tcPr>
                  <w:tcW w:w="1516" w:type="pct"/>
                  <w:tcBorders>
                    <w:top w:val="single" w:color="auto" w:sz="4" w:space="0"/>
                    <w:left w:val="nil"/>
                    <w:right w:val="single" w:color="auto" w:sz="4" w:space="0"/>
                  </w:tcBorders>
                  <w:shd w:val="clear" w:color="auto" w:fill="auto"/>
                  <w:vAlign w:val="center"/>
                </w:tcPr>
                <w:p w14:paraId="0CCB215A">
                  <w:pPr>
                    <w:pStyle w:val="42"/>
                    <w:keepNext w:val="0"/>
                    <w:keepLines w:val="0"/>
                    <w:widowControl/>
                    <w:suppressLineNumbers w:val="0"/>
                    <w:spacing w:before="0" w:beforeAutospacing="0" w:after="0" w:afterAutospacing="0"/>
                    <w:ind w:left="0" w:right="0"/>
                    <w:rPr>
                      <w:rFonts w:hint="default"/>
                    </w:rPr>
                  </w:pPr>
                  <w:r>
                    <w:t>道路硬化，洒水降尘，车辆苫盖</w:t>
                  </w:r>
                </w:p>
              </w:tc>
            </w:tr>
            <w:tr w14:paraId="550C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tcBorders>
                    <w:top w:val="nil"/>
                    <w:left w:val="single" w:color="auto" w:sz="4" w:space="0"/>
                    <w:bottom w:val="single" w:color="auto" w:sz="4" w:space="0"/>
                    <w:right w:val="single" w:color="auto" w:sz="4" w:space="0"/>
                  </w:tcBorders>
                  <w:vAlign w:val="center"/>
                </w:tcPr>
                <w:p w14:paraId="7B59A295">
                  <w:pPr>
                    <w:pStyle w:val="42"/>
                    <w:keepNext w:val="0"/>
                    <w:keepLines w:val="0"/>
                    <w:widowControl/>
                    <w:suppressLineNumbers w:val="0"/>
                    <w:spacing w:before="0" w:beforeAutospacing="0" w:after="0" w:afterAutospacing="0"/>
                    <w:ind w:left="0" w:right="0"/>
                    <w:rPr>
                      <w:rFonts w:hint="default"/>
                    </w:rPr>
                  </w:pPr>
                  <w:r>
                    <w:t>废水</w:t>
                  </w:r>
                </w:p>
              </w:tc>
              <w:tc>
                <w:tcPr>
                  <w:tcW w:w="643" w:type="pct"/>
                  <w:tcBorders>
                    <w:top w:val="nil"/>
                    <w:left w:val="nil"/>
                    <w:right w:val="single" w:color="auto" w:sz="4" w:space="0"/>
                  </w:tcBorders>
                  <w:shd w:val="clear" w:color="auto" w:fill="auto"/>
                  <w:vAlign w:val="center"/>
                </w:tcPr>
                <w:p w14:paraId="38BF154E">
                  <w:pPr>
                    <w:pStyle w:val="42"/>
                    <w:keepNext w:val="0"/>
                    <w:keepLines w:val="0"/>
                    <w:widowControl/>
                    <w:suppressLineNumbers w:val="0"/>
                    <w:spacing w:before="0" w:beforeAutospacing="0" w:after="0" w:afterAutospacing="0"/>
                    <w:ind w:left="0" w:right="0"/>
                    <w:rPr>
                      <w:rFonts w:hint="default"/>
                    </w:rPr>
                  </w:pPr>
                  <w:r>
                    <w:t>职工</w:t>
                  </w:r>
                </w:p>
              </w:tc>
              <w:tc>
                <w:tcPr>
                  <w:tcW w:w="609" w:type="pct"/>
                  <w:tcBorders>
                    <w:top w:val="single" w:color="auto" w:sz="4" w:space="0"/>
                    <w:left w:val="nil"/>
                    <w:right w:val="single" w:color="auto" w:sz="4" w:space="0"/>
                  </w:tcBorders>
                  <w:shd w:val="clear" w:color="auto" w:fill="auto"/>
                  <w:vAlign w:val="center"/>
                </w:tcPr>
                <w:p w14:paraId="15A12FD3">
                  <w:pPr>
                    <w:pStyle w:val="42"/>
                    <w:keepNext w:val="0"/>
                    <w:keepLines w:val="0"/>
                    <w:widowControl/>
                    <w:suppressLineNumbers w:val="0"/>
                    <w:spacing w:before="0" w:beforeAutospacing="0" w:after="0" w:afterAutospacing="0"/>
                    <w:ind w:left="0" w:right="0"/>
                    <w:rPr>
                      <w:rFonts w:hint="default"/>
                    </w:rPr>
                  </w:pPr>
                  <w:r>
                    <w:t>职工盥洗</w:t>
                  </w:r>
                </w:p>
              </w:tc>
              <w:tc>
                <w:tcPr>
                  <w:tcW w:w="368" w:type="pct"/>
                  <w:tcBorders>
                    <w:top w:val="single" w:color="auto" w:sz="4" w:space="0"/>
                    <w:left w:val="nil"/>
                    <w:right w:val="single" w:color="auto" w:sz="4" w:space="0"/>
                  </w:tcBorders>
                  <w:shd w:val="clear" w:color="auto" w:fill="auto"/>
                  <w:vAlign w:val="center"/>
                </w:tcPr>
                <w:p w14:paraId="63B46700">
                  <w:pPr>
                    <w:pStyle w:val="42"/>
                    <w:keepNext w:val="0"/>
                    <w:keepLines w:val="0"/>
                    <w:widowControl/>
                    <w:suppressLineNumbers w:val="0"/>
                    <w:spacing w:before="0" w:beforeAutospacing="0" w:after="0" w:afterAutospacing="0"/>
                    <w:ind w:left="0" w:right="0"/>
                    <w:rPr>
                      <w:rFonts w:hint="default"/>
                    </w:rPr>
                  </w:pPr>
                  <w:r>
                    <w:t>/</w:t>
                  </w:r>
                </w:p>
              </w:tc>
              <w:tc>
                <w:tcPr>
                  <w:tcW w:w="641" w:type="pct"/>
                  <w:tcBorders>
                    <w:top w:val="single" w:color="auto" w:sz="4" w:space="0"/>
                    <w:left w:val="nil"/>
                    <w:right w:val="single" w:color="auto" w:sz="4" w:space="0"/>
                  </w:tcBorders>
                  <w:shd w:val="clear" w:color="auto" w:fill="auto"/>
                  <w:vAlign w:val="center"/>
                </w:tcPr>
                <w:p w14:paraId="1AE0516E">
                  <w:pPr>
                    <w:pStyle w:val="42"/>
                    <w:keepNext w:val="0"/>
                    <w:keepLines w:val="0"/>
                    <w:widowControl/>
                    <w:suppressLineNumbers w:val="0"/>
                    <w:spacing w:before="0" w:beforeAutospacing="0" w:after="0" w:afterAutospacing="0"/>
                    <w:ind w:left="0" w:right="0"/>
                    <w:rPr>
                      <w:rFonts w:hint="default"/>
                    </w:rPr>
                  </w:pPr>
                  <w:r>
                    <w:t>生活污水</w:t>
                  </w:r>
                </w:p>
              </w:tc>
              <w:tc>
                <w:tcPr>
                  <w:tcW w:w="641" w:type="pct"/>
                  <w:tcBorders>
                    <w:top w:val="single" w:color="auto" w:sz="4" w:space="0"/>
                    <w:left w:val="nil"/>
                    <w:right w:val="single" w:color="auto" w:sz="4" w:space="0"/>
                  </w:tcBorders>
                  <w:shd w:val="clear" w:color="auto" w:fill="auto"/>
                  <w:vAlign w:val="center"/>
                </w:tcPr>
                <w:p w14:paraId="2AA0A80D">
                  <w:pPr>
                    <w:pStyle w:val="42"/>
                    <w:keepNext w:val="0"/>
                    <w:keepLines w:val="0"/>
                    <w:widowControl/>
                    <w:suppressLineNumbers w:val="0"/>
                    <w:spacing w:before="0" w:beforeAutospacing="0" w:after="0" w:afterAutospacing="0"/>
                    <w:ind w:left="0" w:right="0"/>
                    <w:rPr>
                      <w:rFonts w:hint="default"/>
                    </w:rPr>
                  </w:pPr>
                  <w:r>
                    <w:t>pH、COD、BOD</w:t>
                  </w:r>
                  <w:r>
                    <w:rPr>
                      <w:vertAlign w:val="subscript"/>
                    </w:rPr>
                    <w:t>5</w:t>
                  </w:r>
                  <w:r>
                    <w:t>、SS、氨氮等</w:t>
                  </w:r>
                </w:p>
              </w:tc>
              <w:tc>
                <w:tcPr>
                  <w:tcW w:w="368" w:type="pct"/>
                  <w:tcBorders>
                    <w:top w:val="single" w:color="auto" w:sz="4" w:space="0"/>
                    <w:left w:val="nil"/>
                    <w:right w:val="single" w:color="auto" w:sz="4" w:space="0"/>
                  </w:tcBorders>
                  <w:shd w:val="clear" w:color="auto" w:fill="auto"/>
                  <w:vAlign w:val="center"/>
                </w:tcPr>
                <w:p w14:paraId="705BD250">
                  <w:pPr>
                    <w:pStyle w:val="42"/>
                    <w:keepNext w:val="0"/>
                    <w:keepLines w:val="0"/>
                    <w:widowControl/>
                    <w:suppressLineNumbers w:val="0"/>
                    <w:spacing w:before="0" w:beforeAutospacing="0" w:after="0" w:afterAutospacing="0"/>
                    <w:ind w:left="0" w:right="0"/>
                    <w:rPr>
                      <w:rFonts w:hint="default"/>
                    </w:rPr>
                  </w:pPr>
                  <w:r>
                    <w:t>间断</w:t>
                  </w:r>
                </w:p>
              </w:tc>
              <w:tc>
                <w:tcPr>
                  <w:tcW w:w="1516" w:type="pct"/>
                  <w:tcBorders>
                    <w:top w:val="single" w:color="auto" w:sz="4" w:space="0"/>
                    <w:left w:val="nil"/>
                    <w:right w:val="single" w:color="auto" w:sz="4" w:space="0"/>
                  </w:tcBorders>
                  <w:shd w:val="clear" w:color="auto" w:fill="auto"/>
                  <w:vAlign w:val="center"/>
                </w:tcPr>
                <w:p w14:paraId="0DA02DDE">
                  <w:pPr>
                    <w:pStyle w:val="42"/>
                    <w:keepNext w:val="0"/>
                    <w:keepLines w:val="0"/>
                    <w:widowControl/>
                    <w:suppressLineNumbers w:val="0"/>
                    <w:spacing w:before="0" w:beforeAutospacing="0" w:after="0" w:afterAutospacing="0"/>
                    <w:ind w:left="0" w:right="0"/>
                    <w:rPr>
                      <w:rFonts w:hint="default"/>
                    </w:rPr>
                  </w:pPr>
                  <w:r>
                    <w:t>生活盥洗污水，水质简单，泼洒至厂区地面洒水降尘使用</w:t>
                  </w:r>
                </w:p>
              </w:tc>
            </w:tr>
            <w:tr w14:paraId="08AD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vMerge w:val="restart"/>
                  <w:tcBorders>
                    <w:top w:val="nil"/>
                    <w:left w:val="single" w:color="auto" w:sz="4" w:space="0"/>
                    <w:right w:val="single" w:color="auto" w:sz="4" w:space="0"/>
                  </w:tcBorders>
                  <w:vAlign w:val="center"/>
                </w:tcPr>
                <w:p w14:paraId="55C77C54">
                  <w:pPr>
                    <w:pStyle w:val="42"/>
                    <w:keepNext w:val="0"/>
                    <w:keepLines w:val="0"/>
                    <w:widowControl/>
                    <w:suppressLineNumbers w:val="0"/>
                    <w:spacing w:before="0" w:beforeAutospacing="0" w:after="0" w:afterAutospacing="0"/>
                    <w:ind w:left="0" w:right="0"/>
                    <w:rPr>
                      <w:rFonts w:hint="default"/>
                    </w:rPr>
                  </w:pPr>
                  <w:r>
                    <w:t>噪声</w:t>
                  </w:r>
                </w:p>
              </w:tc>
              <w:tc>
                <w:tcPr>
                  <w:tcW w:w="643" w:type="pct"/>
                  <w:vMerge w:val="restart"/>
                  <w:tcBorders>
                    <w:top w:val="nil"/>
                    <w:left w:val="nil"/>
                    <w:right w:val="single" w:color="auto" w:sz="4" w:space="0"/>
                  </w:tcBorders>
                  <w:shd w:val="clear" w:color="auto" w:fill="auto"/>
                  <w:vAlign w:val="center"/>
                </w:tcPr>
                <w:p w14:paraId="60F98B30">
                  <w:pPr>
                    <w:pStyle w:val="42"/>
                    <w:keepNext w:val="0"/>
                    <w:keepLines w:val="0"/>
                    <w:widowControl/>
                    <w:suppressLineNumbers w:val="0"/>
                    <w:spacing w:before="0" w:beforeAutospacing="0" w:after="0" w:afterAutospacing="0"/>
                    <w:ind w:left="0" w:right="0"/>
                    <w:rPr>
                      <w:rFonts w:hint="default"/>
                    </w:rPr>
                  </w:pPr>
                  <w:r>
                    <w:t>储存单元</w:t>
                  </w:r>
                </w:p>
              </w:tc>
              <w:tc>
                <w:tcPr>
                  <w:tcW w:w="609" w:type="pct"/>
                  <w:tcBorders>
                    <w:top w:val="single" w:color="auto" w:sz="4" w:space="0"/>
                    <w:left w:val="nil"/>
                    <w:bottom w:val="single" w:color="auto" w:sz="4" w:space="0"/>
                    <w:right w:val="single" w:color="auto" w:sz="4" w:space="0"/>
                  </w:tcBorders>
                  <w:shd w:val="clear" w:color="auto" w:fill="auto"/>
                  <w:vAlign w:val="center"/>
                </w:tcPr>
                <w:p w14:paraId="605DA71F">
                  <w:pPr>
                    <w:pStyle w:val="42"/>
                    <w:keepNext w:val="0"/>
                    <w:keepLines w:val="0"/>
                    <w:widowControl/>
                    <w:suppressLineNumbers w:val="0"/>
                    <w:spacing w:before="0" w:beforeAutospacing="0" w:after="0" w:afterAutospacing="0"/>
                    <w:ind w:left="0" w:right="0"/>
                    <w:rPr>
                      <w:rFonts w:hint="default"/>
                    </w:rPr>
                  </w:pPr>
                  <w:r>
                    <w:t>石子、石粉卸料</w:t>
                  </w:r>
                </w:p>
              </w:tc>
              <w:tc>
                <w:tcPr>
                  <w:tcW w:w="368" w:type="pct"/>
                  <w:tcBorders>
                    <w:top w:val="single" w:color="auto" w:sz="4" w:space="0"/>
                    <w:left w:val="nil"/>
                    <w:bottom w:val="single" w:color="auto" w:sz="4" w:space="0"/>
                    <w:right w:val="single" w:color="auto" w:sz="4" w:space="0"/>
                  </w:tcBorders>
                  <w:shd w:val="clear" w:color="auto" w:fill="auto"/>
                  <w:vAlign w:val="center"/>
                </w:tcPr>
                <w:p w14:paraId="03E145AE">
                  <w:pPr>
                    <w:pStyle w:val="42"/>
                    <w:keepNext w:val="0"/>
                    <w:keepLines w:val="0"/>
                    <w:widowControl/>
                    <w:suppressLineNumbers w:val="0"/>
                    <w:spacing w:before="0" w:beforeAutospacing="0" w:after="0" w:afterAutospacing="0"/>
                    <w:ind w:left="0" w:right="0"/>
                    <w:rPr>
                      <w:rFonts w:hint="default"/>
                    </w:rPr>
                  </w:pPr>
                  <w:r>
                    <w:t>N1</w:t>
                  </w:r>
                </w:p>
              </w:tc>
              <w:tc>
                <w:tcPr>
                  <w:tcW w:w="641" w:type="pct"/>
                  <w:tcBorders>
                    <w:top w:val="nil"/>
                    <w:left w:val="nil"/>
                    <w:bottom w:val="single" w:color="auto" w:sz="4" w:space="0"/>
                    <w:right w:val="single" w:color="auto" w:sz="4" w:space="0"/>
                  </w:tcBorders>
                  <w:shd w:val="clear" w:color="auto" w:fill="auto"/>
                  <w:vAlign w:val="center"/>
                </w:tcPr>
                <w:p w14:paraId="743AC986">
                  <w:pPr>
                    <w:pStyle w:val="42"/>
                    <w:keepNext w:val="0"/>
                    <w:keepLines w:val="0"/>
                    <w:widowControl/>
                    <w:suppressLineNumbers w:val="0"/>
                    <w:spacing w:before="0" w:beforeAutospacing="0" w:after="0" w:afterAutospacing="0"/>
                    <w:ind w:left="0" w:right="0"/>
                    <w:rPr>
                      <w:rFonts w:hint="default"/>
                    </w:rPr>
                  </w:pPr>
                  <w:r>
                    <w:t>卸料噪声</w:t>
                  </w:r>
                </w:p>
              </w:tc>
              <w:tc>
                <w:tcPr>
                  <w:tcW w:w="641" w:type="pct"/>
                  <w:tcBorders>
                    <w:top w:val="nil"/>
                    <w:left w:val="nil"/>
                    <w:bottom w:val="single" w:color="auto" w:sz="4" w:space="0"/>
                    <w:right w:val="single" w:color="auto" w:sz="4" w:space="0"/>
                  </w:tcBorders>
                  <w:shd w:val="clear" w:color="auto" w:fill="auto"/>
                  <w:vAlign w:val="center"/>
                </w:tcPr>
                <w:p w14:paraId="0E52050E">
                  <w:pPr>
                    <w:pStyle w:val="42"/>
                    <w:keepNext w:val="0"/>
                    <w:keepLines w:val="0"/>
                    <w:widowControl/>
                    <w:suppressLineNumbers w:val="0"/>
                    <w:spacing w:before="0" w:beforeAutospacing="0" w:after="0" w:afterAutospacing="0"/>
                    <w:ind w:left="0" w:right="0"/>
                    <w:rPr>
                      <w:rFonts w:hint="default"/>
                    </w:rPr>
                  </w:pPr>
                  <w:r>
                    <w:rPr>
                      <w:rFonts w:hint="default"/>
                    </w:rPr>
                    <w:t>L</w:t>
                  </w:r>
                  <w:r>
                    <w:rPr>
                      <w:rFonts w:hint="default"/>
                      <w:vertAlign w:val="subscript"/>
                    </w:rPr>
                    <w:t>Aeq,T</w:t>
                  </w:r>
                </w:p>
              </w:tc>
              <w:tc>
                <w:tcPr>
                  <w:tcW w:w="368" w:type="pct"/>
                  <w:tcBorders>
                    <w:top w:val="single" w:color="auto" w:sz="4" w:space="0"/>
                    <w:left w:val="nil"/>
                    <w:bottom w:val="single" w:color="auto" w:sz="4" w:space="0"/>
                    <w:right w:val="single" w:color="auto" w:sz="4" w:space="0"/>
                  </w:tcBorders>
                  <w:shd w:val="clear" w:color="auto" w:fill="auto"/>
                  <w:vAlign w:val="center"/>
                </w:tcPr>
                <w:p w14:paraId="7B98A8CC">
                  <w:pPr>
                    <w:pStyle w:val="42"/>
                    <w:keepNext w:val="0"/>
                    <w:keepLines w:val="0"/>
                    <w:widowControl/>
                    <w:suppressLineNumbers w:val="0"/>
                    <w:spacing w:before="0" w:beforeAutospacing="0" w:after="0" w:afterAutospacing="0"/>
                    <w:ind w:left="0" w:right="0"/>
                    <w:rPr>
                      <w:rFonts w:hint="default"/>
                    </w:rPr>
                  </w:pPr>
                  <w:r>
                    <w:t>间断</w:t>
                  </w:r>
                </w:p>
              </w:tc>
              <w:tc>
                <w:tcPr>
                  <w:tcW w:w="1516" w:type="pct"/>
                  <w:vMerge w:val="restart"/>
                  <w:tcBorders>
                    <w:left w:val="nil"/>
                    <w:right w:val="single" w:color="auto" w:sz="4" w:space="0"/>
                  </w:tcBorders>
                  <w:shd w:val="clear" w:color="auto" w:fill="auto"/>
                  <w:vAlign w:val="center"/>
                </w:tcPr>
                <w:p w14:paraId="2A909B96">
                  <w:pPr>
                    <w:pStyle w:val="42"/>
                    <w:keepNext w:val="0"/>
                    <w:keepLines w:val="0"/>
                    <w:widowControl/>
                    <w:suppressLineNumbers w:val="0"/>
                    <w:spacing w:before="0" w:beforeAutospacing="0" w:after="0" w:afterAutospacing="0"/>
                    <w:ind w:left="0" w:right="0"/>
                    <w:rPr>
                      <w:rFonts w:hint="default"/>
                    </w:rPr>
                  </w:pPr>
                  <w:r>
                    <w:t>生产车间厂房封闭隔声，选用低噪声设备，设备基础减振，厂区四周种植植被</w:t>
                  </w:r>
                </w:p>
              </w:tc>
            </w:tr>
            <w:tr w14:paraId="0848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vMerge w:val="continue"/>
                  <w:tcBorders>
                    <w:top w:val="nil"/>
                    <w:left w:val="single" w:color="auto" w:sz="4" w:space="0"/>
                    <w:bottom w:val="single" w:color="auto" w:sz="4" w:space="0"/>
                    <w:right w:val="single" w:color="auto" w:sz="4" w:space="0"/>
                  </w:tcBorders>
                  <w:vAlign w:val="center"/>
                </w:tcPr>
                <w:p w14:paraId="07A7CDD5">
                  <w:pPr>
                    <w:pStyle w:val="42"/>
                    <w:keepNext w:val="0"/>
                    <w:keepLines w:val="0"/>
                    <w:widowControl/>
                    <w:suppressLineNumbers w:val="0"/>
                    <w:spacing w:before="0" w:beforeAutospacing="0" w:after="0" w:afterAutospacing="0"/>
                    <w:ind w:left="0" w:right="0"/>
                    <w:rPr>
                      <w:rFonts w:hint="default"/>
                    </w:rPr>
                  </w:pPr>
                </w:p>
              </w:tc>
              <w:tc>
                <w:tcPr>
                  <w:tcW w:w="643" w:type="pct"/>
                  <w:vMerge w:val="continue"/>
                  <w:tcBorders>
                    <w:left w:val="nil"/>
                    <w:right w:val="single" w:color="auto" w:sz="4" w:space="0"/>
                  </w:tcBorders>
                  <w:shd w:val="clear" w:color="auto" w:fill="auto"/>
                  <w:vAlign w:val="center"/>
                </w:tcPr>
                <w:p w14:paraId="4B90129C">
                  <w:pPr>
                    <w:pStyle w:val="42"/>
                    <w:keepNext w:val="0"/>
                    <w:keepLines w:val="0"/>
                    <w:widowControl/>
                    <w:suppressLineNumbers w:val="0"/>
                    <w:spacing w:before="0" w:beforeAutospacing="0" w:after="0" w:afterAutospacing="0"/>
                    <w:ind w:left="0" w:right="0"/>
                    <w:rPr>
                      <w:rFonts w:hint="default"/>
                    </w:rPr>
                  </w:pPr>
                </w:p>
              </w:tc>
              <w:tc>
                <w:tcPr>
                  <w:tcW w:w="609" w:type="pct"/>
                  <w:tcBorders>
                    <w:top w:val="single" w:color="auto" w:sz="4" w:space="0"/>
                    <w:left w:val="nil"/>
                    <w:bottom w:val="single" w:color="auto" w:sz="4" w:space="0"/>
                    <w:right w:val="single" w:color="auto" w:sz="4" w:space="0"/>
                  </w:tcBorders>
                  <w:shd w:val="clear" w:color="auto" w:fill="auto"/>
                  <w:vAlign w:val="center"/>
                </w:tcPr>
                <w:p w14:paraId="7126C748">
                  <w:pPr>
                    <w:pStyle w:val="42"/>
                    <w:keepNext w:val="0"/>
                    <w:keepLines w:val="0"/>
                    <w:widowControl/>
                    <w:suppressLineNumbers w:val="0"/>
                    <w:spacing w:before="0" w:beforeAutospacing="0" w:after="0" w:afterAutospacing="0"/>
                    <w:ind w:left="0" w:right="0"/>
                    <w:rPr>
                      <w:rFonts w:hint="default"/>
                    </w:rPr>
                  </w:pPr>
                  <w:r>
                    <w:t>水泥卸料</w:t>
                  </w:r>
                </w:p>
              </w:tc>
              <w:tc>
                <w:tcPr>
                  <w:tcW w:w="368" w:type="pct"/>
                  <w:tcBorders>
                    <w:top w:val="single" w:color="auto" w:sz="4" w:space="0"/>
                    <w:left w:val="nil"/>
                    <w:bottom w:val="single" w:color="auto" w:sz="4" w:space="0"/>
                    <w:right w:val="single" w:color="auto" w:sz="4" w:space="0"/>
                  </w:tcBorders>
                  <w:shd w:val="clear" w:color="auto" w:fill="auto"/>
                  <w:vAlign w:val="center"/>
                </w:tcPr>
                <w:p w14:paraId="77B80279">
                  <w:pPr>
                    <w:pStyle w:val="42"/>
                    <w:keepNext w:val="0"/>
                    <w:keepLines w:val="0"/>
                    <w:widowControl/>
                    <w:suppressLineNumbers w:val="0"/>
                    <w:spacing w:before="0" w:beforeAutospacing="0" w:after="0" w:afterAutospacing="0"/>
                    <w:ind w:left="0" w:right="0"/>
                    <w:rPr>
                      <w:rFonts w:hint="default"/>
                    </w:rPr>
                  </w:pPr>
                  <w:r>
                    <w:t>N2</w:t>
                  </w:r>
                </w:p>
              </w:tc>
              <w:tc>
                <w:tcPr>
                  <w:tcW w:w="641" w:type="pct"/>
                  <w:tcBorders>
                    <w:top w:val="nil"/>
                    <w:left w:val="nil"/>
                    <w:bottom w:val="single" w:color="auto" w:sz="4" w:space="0"/>
                    <w:right w:val="single" w:color="auto" w:sz="4" w:space="0"/>
                  </w:tcBorders>
                  <w:shd w:val="clear" w:color="auto" w:fill="auto"/>
                  <w:vAlign w:val="center"/>
                </w:tcPr>
                <w:p w14:paraId="6943DCC2">
                  <w:pPr>
                    <w:pStyle w:val="42"/>
                    <w:keepNext w:val="0"/>
                    <w:keepLines w:val="0"/>
                    <w:widowControl/>
                    <w:suppressLineNumbers w:val="0"/>
                    <w:spacing w:before="0" w:beforeAutospacing="0" w:after="0" w:afterAutospacing="0"/>
                    <w:ind w:left="0" w:right="0"/>
                    <w:rPr>
                      <w:rFonts w:hint="default"/>
                    </w:rPr>
                  </w:pPr>
                  <w:r>
                    <w:t>卸料噪声</w:t>
                  </w:r>
                </w:p>
              </w:tc>
              <w:tc>
                <w:tcPr>
                  <w:tcW w:w="641" w:type="pct"/>
                  <w:tcBorders>
                    <w:top w:val="nil"/>
                    <w:left w:val="nil"/>
                    <w:bottom w:val="single" w:color="auto" w:sz="4" w:space="0"/>
                    <w:right w:val="single" w:color="auto" w:sz="4" w:space="0"/>
                  </w:tcBorders>
                  <w:shd w:val="clear" w:color="auto" w:fill="auto"/>
                  <w:vAlign w:val="center"/>
                </w:tcPr>
                <w:p w14:paraId="6B78E19B">
                  <w:pPr>
                    <w:pStyle w:val="42"/>
                    <w:keepNext w:val="0"/>
                    <w:keepLines w:val="0"/>
                    <w:widowControl/>
                    <w:suppressLineNumbers w:val="0"/>
                    <w:spacing w:before="0" w:beforeAutospacing="0" w:after="0" w:afterAutospacing="0"/>
                    <w:ind w:left="0" w:right="0"/>
                    <w:rPr>
                      <w:rFonts w:hint="default"/>
                    </w:rPr>
                  </w:pPr>
                  <w:r>
                    <w:rPr>
                      <w:rFonts w:hint="default"/>
                    </w:rPr>
                    <w:t>L</w:t>
                  </w:r>
                  <w:r>
                    <w:rPr>
                      <w:rFonts w:hint="default"/>
                      <w:vertAlign w:val="subscript"/>
                    </w:rPr>
                    <w:t>Aeq,T</w:t>
                  </w:r>
                </w:p>
              </w:tc>
              <w:tc>
                <w:tcPr>
                  <w:tcW w:w="368" w:type="pct"/>
                  <w:tcBorders>
                    <w:top w:val="single" w:color="auto" w:sz="4" w:space="0"/>
                    <w:left w:val="nil"/>
                    <w:bottom w:val="single" w:color="auto" w:sz="4" w:space="0"/>
                    <w:right w:val="single" w:color="auto" w:sz="4" w:space="0"/>
                  </w:tcBorders>
                  <w:shd w:val="clear" w:color="auto" w:fill="auto"/>
                  <w:vAlign w:val="center"/>
                </w:tcPr>
                <w:p w14:paraId="1773DD10">
                  <w:pPr>
                    <w:pStyle w:val="42"/>
                    <w:keepNext w:val="0"/>
                    <w:keepLines w:val="0"/>
                    <w:widowControl/>
                    <w:suppressLineNumbers w:val="0"/>
                    <w:spacing w:before="0" w:beforeAutospacing="0" w:after="0" w:afterAutospacing="0"/>
                    <w:ind w:left="0" w:right="0"/>
                    <w:rPr>
                      <w:rFonts w:hint="default"/>
                    </w:rPr>
                  </w:pPr>
                  <w:r>
                    <w:t>间断</w:t>
                  </w:r>
                </w:p>
              </w:tc>
              <w:tc>
                <w:tcPr>
                  <w:tcW w:w="1516" w:type="pct"/>
                  <w:vMerge w:val="continue"/>
                  <w:tcBorders>
                    <w:left w:val="nil"/>
                    <w:right w:val="single" w:color="auto" w:sz="4" w:space="0"/>
                  </w:tcBorders>
                  <w:shd w:val="clear" w:color="auto" w:fill="auto"/>
                  <w:vAlign w:val="center"/>
                </w:tcPr>
                <w:p w14:paraId="52F47C10">
                  <w:pPr>
                    <w:pStyle w:val="42"/>
                    <w:keepNext w:val="0"/>
                    <w:keepLines w:val="0"/>
                    <w:widowControl/>
                    <w:suppressLineNumbers w:val="0"/>
                    <w:spacing w:before="0" w:beforeAutospacing="0" w:after="0" w:afterAutospacing="0"/>
                    <w:ind w:left="0" w:right="0"/>
                    <w:rPr>
                      <w:rFonts w:hint="default"/>
                    </w:rPr>
                  </w:pPr>
                </w:p>
              </w:tc>
            </w:tr>
            <w:tr w14:paraId="5860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vMerge w:val="continue"/>
                  <w:tcBorders>
                    <w:top w:val="nil"/>
                    <w:left w:val="single" w:color="auto" w:sz="4" w:space="0"/>
                    <w:bottom w:val="single" w:color="auto" w:sz="4" w:space="0"/>
                    <w:right w:val="single" w:color="auto" w:sz="4" w:space="0"/>
                  </w:tcBorders>
                  <w:vAlign w:val="center"/>
                </w:tcPr>
                <w:p w14:paraId="5A1AA55D">
                  <w:pPr>
                    <w:pStyle w:val="42"/>
                    <w:keepNext w:val="0"/>
                    <w:keepLines w:val="0"/>
                    <w:widowControl/>
                    <w:suppressLineNumbers w:val="0"/>
                    <w:spacing w:before="0" w:beforeAutospacing="0" w:after="0" w:afterAutospacing="0"/>
                    <w:ind w:left="0" w:right="0"/>
                    <w:rPr>
                      <w:rFonts w:hint="default"/>
                    </w:rPr>
                  </w:pPr>
                </w:p>
              </w:tc>
              <w:tc>
                <w:tcPr>
                  <w:tcW w:w="643" w:type="pct"/>
                  <w:vMerge w:val="continue"/>
                  <w:tcBorders>
                    <w:left w:val="nil"/>
                    <w:right w:val="single" w:color="auto" w:sz="4" w:space="0"/>
                  </w:tcBorders>
                  <w:shd w:val="clear" w:color="auto" w:fill="auto"/>
                  <w:vAlign w:val="center"/>
                </w:tcPr>
                <w:p w14:paraId="4B46BCCC">
                  <w:pPr>
                    <w:pStyle w:val="42"/>
                    <w:keepNext w:val="0"/>
                    <w:keepLines w:val="0"/>
                    <w:widowControl/>
                    <w:suppressLineNumbers w:val="0"/>
                    <w:spacing w:before="0" w:beforeAutospacing="0" w:after="0" w:afterAutospacing="0"/>
                    <w:ind w:left="0" w:right="0"/>
                    <w:rPr>
                      <w:rFonts w:hint="default"/>
                    </w:rPr>
                  </w:pPr>
                </w:p>
              </w:tc>
              <w:tc>
                <w:tcPr>
                  <w:tcW w:w="609" w:type="pct"/>
                  <w:tcBorders>
                    <w:top w:val="single" w:color="auto" w:sz="4" w:space="0"/>
                    <w:left w:val="nil"/>
                    <w:bottom w:val="single" w:color="auto" w:sz="4" w:space="0"/>
                    <w:right w:val="single" w:color="auto" w:sz="4" w:space="0"/>
                  </w:tcBorders>
                  <w:shd w:val="clear" w:color="auto" w:fill="auto"/>
                  <w:vAlign w:val="center"/>
                </w:tcPr>
                <w:p w14:paraId="73C5BA0B">
                  <w:pPr>
                    <w:pStyle w:val="42"/>
                    <w:keepNext w:val="0"/>
                    <w:keepLines w:val="0"/>
                    <w:widowControl/>
                    <w:suppressLineNumbers w:val="0"/>
                    <w:spacing w:before="0" w:beforeAutospacing="0" w:after="0" w:afterAutospacing="0"/>
                    <w:ind w:left="0" w:right="0"/>
                    <w:rPr>
                      <w:rFonts w:hint="default"/>
                    </w:rPr>
                  </w:pPr>
                  <w:r>
                    <w:t>水箱</w:t>
                  </w:r>
                </w:p>
              </w:tc>
              <w:tc>
                <w:tcPr>
                  <w:tcW w:w="368" w:type="pct"/>
                  <w:tcBorders>
                    <w:top w:val="single" w:color="auto" w:sz="4" w:space="0"/>
                    <w:left w:val="nil"/>
                    <w:bottom w:val="single" w:color="auto" w:sz="4" w:space="0"/>
                    <w:right w:val="single" w:color="auto" w:sz="4" w:space="0"/>
                  </w:tcBorders>
                  <w:shd w:val="clear" w:color="auto" w:fill="auto"/>
                  <w:vAlign w:val="center"/>
                </w:tcPr>
                <w:p w14:paraId="037F3355">
                  <w:pPr>
                    <w:pStyle w:val="42"/>
                    <w:keepNext w:val="0"/>
                    <w:keepLines w:val="0"/>
                    <w:widowControl/>
                    <w:suppressLineNumbers w:val="0"/>
                    <w:spacing w:before="0" w:beforeAutospacing="0" w:after="0" w:afterAutospacing="0"/>
                    <w:ind w:left="0" w:right="0"/>
                    <w:rPr>
                      <w:rFonts w:hint="default"/>
                    </w:rPr>
                  </w:pPr>
                  <w:r>
                    <w:t>N3</w:t>
                  </w:r>
                </w:p>
              </w:tc>
              <w:tc>
                <w:tcPr>
                  <w:tcW w:w="641" w:type="pct"/>
                  <w:tcBorders>
                    <w:top w:val="nil"/>
                    <w:left w:val="nil"/>
                    <w:bottom w:val="single" w:color="auto" w:sz="4" w:space="0"/>
                    <w:right w:val="single" w:color="auto" w:sz="4" w:space="0"/>
                  </w:tcBorders>
                  <w:shd w:val="clear" w:color="auto" w:fill="auto"/>
                  <w:vAlign w:val="center"/>
                </w:tcPr>
                <w:p w14:paraId="41E0F6C1">
                  <w:pPr>
                    <w:pStyle w:val="42"/>
                    <w:keepNext w:val="0"/>
                    <w:keepLines w:val="0"/>
                    <w:widowControl/>
                    <w:suppressLineNumbers w:val="0"/>
                    <w:spacing w:before="0" w:beforeAutospacing="0" w:after="0" w:afterAutospacing="0"/>
                    <w:ind w:left="0" w:right="0"/>
                    <w:rPr>
                      <w:rFonts w:hint="default"/>
                    </w:rPr>
                  </w:pPr>
                  <w:r>
                    <w:t>水泵噪声</w:t>
                  </w:r>
                </w:p>
              </w:tc>
              <w:tc>
                <w:tcPr>
                  <w:tcW w:w="641" w:type="pct"/>
                  <w:tcBorders>
                    <w:top w:val="nil"/>
                    <w:left w:val="nil"/>
                    <w:bottom w:val="single" w:color="auto" w:sz="4" w:space="0"/>
                    <w:right w:val="single" w:color="auto" w:sz="4" w:space="0"/>
                  </w:tcBorders>
                  <w:shd w:val="clear" w:color="auto" w:fill="auto"/>
                  <w:vAlign w:val="center"/>
                </w:tcPr>
                <w:p w14:paraId="6E6730C3">
                  <w:pPr>
                    <w:pStyle w:val="42"/>
                    <w:keepNext w:val="0"/>
                    <w:keepLines w:val="0"/>
                    <w:widowControl/>
                    <w:suppressLineNumbers w:val="0"/>
                    <w:spacing w:before="0" w:beforeAutospacing="0" w:after="0" w:afterAutospacing="0"/>
                    <w:ind w:left="0" w:right="0"/>
                    <w:rPr>
                      <w:rFonts w:hint="default"/>
                    </w:rPr>
                  </w:pPr>
                  <w:r>
                    <w:rPr>
                      <w:rFonts w:hint="default"/>
                    </w:rPr>
                    <w:t>L</w:t>
                  </w:r>
                  <w:r>
                    <w:rPr>
                      <w:rFonts w:hint="default"/>
                      <w:vertAlign w:val="subscript"/>
                    </w:rPr>
                    <w:t>Aeq,T</w:t>
                  </w:r>
                </w:p>
              </w:tc>
              <w:tc>
                <w:tcPr>
                  <w:tcW w:w="368" w:type="pct"/>
                  <w:tcBorders>
                    <w:top w:val="single" w:color="auto" w:sz="4" w:space="0"/>
                    <w:left w:val="nil"/>
                    <w:bottom w:val="single" w:color="auto" w:sz="4" w:space="0"/>
                    <w:right w:val="single" w:color="auto" w:sz="4" w:space="0"/>
                  </w:tcBorders>
                  <w:shd w:val="clear" w:color="auto" w:fill="auto"/>
                  <w:vAlign w:val="center"/>
                </w:tcPr>
                <w:p w14:paraId="07C6A334">
                  <w:pPr>
                    <w:pStyle w:val="42"/>
                    <w:keepNext w:val="0"/>
                    <w:keepLines w:val="0"/>
                    <w:widowControl/>
                    <w:suppressLineNumbers w:val="0"/>
                    <w:spacing w:before="0" w:beforeAutospacing="0" w:after="0" w:afterAutospacing="0"/>
                    <w:ind w:left="0" w:right="0"/>
                    <w:rPr>
                      <w:rFonts w:hint="default"/>
                    </w:rPr>
                  </w:pPr>
                  <w:r>
                    <w:t>间断</w:t>
                  </w:r>
                </w:p>
              </w:tc>
              <w:tc>
                <w:tcPr>
                  <w:tcW w:w="1516" w:type="pct"/>
                  <w:vMerge w:val="continue"/>
                  <w:tcBorders>
                    <w:left w:val="nil"/>
                    <w:right w:val="single" w:color="auto" w:sz="4" w:space="0"/>
                  </w:tcBorders>
                  <w:shd w:val="clear" w:color="auto" w:fill="auto"/>
                  <w:vAlign w:val="center"/>
                </w:tcPr>
                <w:p w14:paraId="6A6FA6D4">
                  <w:pPr>
                    <w:pStyle w:val="42"/>
                    <w:keepNext w:val="0"/>
                    <w:keepLines w:val="0"/>
                    <w:widowControl/>
                    <w:suppressLineNumbers w:val="0"/>
                    <w:spacing w:before="0" w:beforeAutospacing="0" w:after="0" w:afterAutospacing="0"/>
                    <w:ind w:left="0" w:right="0"/>
                    <w:rPr>
                      <w:rFonts w:hint="default"/>
                    </w:rPr>
                  </w:pPr>
                </w:p>
              </w:tc>
            </w:tr>
            <w:tr w14:paraId="30AF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vMerge w:val="continue"/>
                  <w:tcBorders>
                    <w:top w:val="nil"/>
                    <w:left w:val="single" w:color="auto" w:sz="4" w:space="0"/>
                    <w:bottom w:val="single" w:color="auto" w:sz="4" w:space="0"/>
                    <w:right w:val="single" w:color="auto" w:sz="4" w:space="0"/>
                  </w:tcBorders>
                  <w:vAlign w:val="center"/>
                </w:tcPr>
                <w:p w14:paraId="76361AE3">
                  <w:pPr>
                    <w:pStyle w:val="42"/>
                    <w:keepNext w:val="0"/>
                    <w:keepLines w:val="0"/>
                    <w:widowControl/>
                    <w:suppressLineNumbers w:val="0"/>
                    <w:spacing w:before="0" w:beforeAutospacing="0" w:after="0" w:afterAutospacing="0"/>
                    <w:ind w:left="0" w:right="0"/>
                    <w:rPr>
                      <w:rFonts w:hint="default"/>
                    </w:rPr>
                  </w:pPr>
                </w:p>
              </w:tc>
              <w:tc>
                <w:tcPr>
                  <w:tcW w:w="643" w:type="pct"/>
                  <w:vMerge w:val="restart"/>
                  <w:tcBorders>
                    <w:top w:val="nil"/>
                    <w:left w:val="nil"/>
                    <w:right w:val="single" w:color="auto" w:sz="4" w:space="0"/>
                  </w:tcBorders>
                  <w:shd w:val="clear" w:color="auto" w:fill="auto"/>
                  <w:vAlign w:val="center"/>
                </w:tcPr>
                <w:p w14:paraId="14B26F1A">
                  <w:pPr>
                    <w:pStyle w:val="42"/>
                    <w:keepNext w:val="0"/>
                    <w:keepLines w:val="0"/>
                    <w:widowControl/>
                    <w:suppressLineNumbers w:val="0"/>
                    <w:spacing w:before="0" w:beforeAutospacing="0" w:after="0" w:afterAutospacing="0"/>
                    <w:ind w:left="0" w:right="0"/>
                    <w:rPr>
                      <w:rFonts w:hint="default"/>
                    </w:rPr>
                  </w:pPr>
                  <w:r>
                    <w:t>上料单元</w:t>
                  </w:r>
                </w:p>
              </w:tc>
              <w:tc>
                <w:tcPr>
                  <w:tcW w:w="609" w:type="pct"/>
                  <w:tcBorders>
                    <w:top w:val="single" w:color="auto" w:sz="4" w:space="0"/>
                    <w:left w:val="nil"/>
                    <w:bottom w:val="single" w:color="auto" w:sz="4" w:space="0"/>
                    <w:right w:val="single" w:color="auto" w:sz="4" w:space="0"/>
                  </w:tcBorders>
                  <w:shd w:val="clear" w:color="auto" w:fill="auto"/>
                  <w:vAlign w:val="center"/>
                </w:tcPr>
                <w:p w14:paraId="1C5CFD02">
                  <w:pPr>
                    <w:pStyle w:val="42"/>
                    <w:keepNext w:val="0"/>
                    <w:keepLines w:val="0"/>
                    <w:widowControl/>
                    <w:suppressLineNumbers w:val="0"/>
                    <w:spacing w:before="0" w:beforeAutospacing="0" w:after="0" w:afterAutospacing="0"/>
                    <w:ind w:left="0" w:right="0"/>
                    <w:rPr>
                      <w:rFonts w:hint="default"/>
                    </w:rPr>
                  </w:pPr>
                  <w:r>
                    <w:t>石子料仓上料</w:t>
                  </w:r>
                </w:p>
              </w:tc>
              <w:tc>
                <w:tcPr>
                  <w:tcW w:w="368" w:type="pct"/>
                  <w:tcBorders>
                    <w:top w:val="single" w:color="auto" w:sz="4" w:space="0"/>
                    <w:left w:val="nil"/>
                    <w:bottom w:val="single" w:color="auto" w:sz="4" w:space="0"/>
                    <w:right w:val="single" w:color="auto" w:sz="4" w:space="0"/>
                  </w:tcBorders>
                  <w:shd w:val="clear" w:color="auto" w:fill="auto"/>
                  <w:vAlign w:val="center"/>
                </w:tcPr>
                <w:p w14:paraId="3662F0EC">
                  <w:pPr>
                    <w:pStyle w:val="42"/>
                    <w:keepNext w:val="0"/>
                    <w:keepLines w:val="0"/>
                    <w:widowControl/>
                    <w:suppressLineNumbers w:val="0"/>
                    <w:spacing w:before="0" w:beforeAutospacing="0" w:after="0" w:afterAutospacing="0"/>
                    <w:ind w:left="0" w:right="0"/>
                    <w:rPr>
                      <w:rFonts w:hint="default"/>
                    </w:rPr>
                  </w:pPr>
                  <w:r>
                    <w:t>N4</w:t>
                  </w:r>
                </w:p>
              </w:tc>
              <w:tc>
                <w:tcPr>
                  <w:tcW w:w="641" w:type="pct"/>
                  <w:tcBorders>
                    <w:top w:val="nil"/>
                    <w:left w:val="nil"/>
                    <w:bottom w:val="single" w:color="auto" w:sz="4" w:space="0"/>
                    <w:right w:val="single" w:color="auto" w:sz="4" w:space="0"/>
                  </w:tcBorders>
                  <w:shd w:val="clear" w:color="auto" w:fill="auto"/>
                  <w:vAlign w:val="center"/>
                </w:tcPr>
                <w:p w14:paraId="0CC1543F">
                  <w:pPr>
                    <w:pStyle w:val="42"/>
                    <w:keepNext w:val="0"/>
                    <w:keepLines w:val="0"/>
                    <w:widowControl/>
                    <w:suppressLineNumbers w:val="0"/>
                    <w:spacing w:before="0" w:beforeAutospacing="0" w:after="0" w:afterAutospacing="0"/>
                    <w:ind w:left="0" w:right="0"/>
                    <w:rPr>
                      <w:rFonts w:hint="default"/>
                    </w:rPr>
                  </w:pPr>
                  <w:r>
                    <w:t>上料噪声</w:t>
                  </w:r>
                </w:p>
              </w:tc>
              <w:tc>
                <w:tcPr>
                  <w:tcW w:w="641" w:type="pct"/>
                  <w:tcBorders>
                    <w:top w:val="nil"/>
                    <w:left w:val="nil"/>
                    <w:bottom w:val="single" w:color="auto" w:sz="4" w:space="0"/>
                    <w:right w:val="single" w:color="auto" w:sz="4" w:space="0"/>
                  </w:tcBorders>
                  <w:shd w:val="clear" w:color="auto" w:fill="auto"/>
                  <w:vAlign w:val="center"/>
                </w:tcPr>
                <w:p w14:paraId="6FC9A570">
                  <w:pPr>
                    <w:pStyle w:val="42"/>
                    <w:keepNext w:val="0"/>
                    <w:keepLines w:val="0"/>
                    <w:widowControl/>
                    <w:suppressLineNumbers w:val="0"/>
                    <w:spacing w:before="0" w:beforeAutospacing="0" w:after="0" w:afterAutospacing="0"/>
                    <w:ind w:left="0" w:right="0"/>
                    <w:rPr>
                      <w:rFonts w:hint="default"/>
                    </w:rPr>
                  </w:pPr>
                  <w:r>
                    <w:rPr>
                      <w:rFonts w:hint="default"/>
                    </w:rPr>
                    <w:t>L</w:t>
                  </w:r>
                  <w:r>
                    <w:rPr>
                      <w:rFonts w:hint="default"/>
                      <w:vertAlign w:val="subscript"/>
                    </w:rPr>
                    <w:t>Aeq,T</w:t>
                  </w:r>
                </w:p>
              </w:tc>
              <w:tc>
                <w:tcPr>
                  <w:tcW w:w="368" w:type="pct"/>
                  <w:tcBorders>
                    <w:top w:val="single" w:color="auto" w:sz="4" w:space="0"/>
                    <w:left w:val="nil"/>
                    <w:bottom w:val="single" w:color="auto" w:sz="4" w:space="0"/>
                    <w:right w:val="single" w:color="auto" w:sz="4" w:space="0"/>
                  </w:tcBorders>
                  <w:shd w:val="clear" w:color="auto" w:fill="auto"/>
                  <w:vAlign w:val="center"/>
                </w:tcPr>
                <w:p w14:paraId="25DCAE81">
                  <w:pPr>
                    <w:pStyle w:val="42"/>
                    <w:keepNext w:val="0"/>
                    <w:keepLines w:val="0"/>
                    <w:widowControl/>
                    <w:suppressLineNumbers w:val="0"/>
                    <w:spacing w:before="0" w:beforeAutospacing="0" w:after="0" w:afterAutospacing="0"/>
                    <w:ind w:left="0" w:right="0"/>
                    <w:rPr>
                      <w:rFonts w:hint="default"/>
                    </w:rPr>
                  </w:pPr>
                  <w:r>
                    <w:t>连续</w:t>
                  </w:r>
                </w:p>
              </w:tc>
              <w:tc>
                <w:tcPr>
                  <w:tcW w:w="1516" w:type="pct"/>
                  <w:vMerge w:val="continue"/>
                  <w:tcBorders>
                    <w:left w:val="nil"/>
                    <w:right w:val="single" w:color="auto" w:sz="4" w:space="0"/>
                  </w:tcBorders>
                  <w:shd w:val="clear" w:color="auto" w:fill="auto"/>
                  <w:vAlign w:val="center"/>
                </w:tcPr>
                <w:p w14:paraId="1E1F453C">
                  <w:pPr>
                    <w:pStyle w:val="42"/>
                    <w:keepNext w:val="0"/>
                    <w:keepLines w:val="0"/>
                    <w:widowControl/>
                    <w:suppressLineNumbers w:val="0"/>
                    <w:spacing w:before="0" w:beforeAutospacing="0" w:after="0" w:afterAutospacing="0"/>
                    <w:ind w:left="0" w:right="0"/>
                    <w:rPr>
                      <w:rFonts w:hint="default"/>
                    </w:rPr>
                  </w:pPr>
                </w:p>
              </w:tc>
            </w:tr>
            <w:tr w14:paraId="616B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vMerge w:val="continue"/>
                  <w:tcBorders>
                    <w:top w:val="nil"/>
                    <w:left w:val="single" w:color="auto" w:sz="4" w:space="0"/>
                    <w:bottom w:val="single" w:color="auto" w:sz="4" w:space="0"/>
                    <w:right w:val="single" w:color="auto" w:sz="4" w:space="0"/>
                  </w:tcBorders>
                  <w:vAlign w:val="center"/>
                </w:tcPr>
                <w:p w14:paraId="6499C81F">
                  <w:pPr>
                    <w:pStyle w:val="42"/>
                    <w:keepNext w:val="0"/>
                    <w:keepLines w:val="0"/>
                    <w:widowControl/>
                    <w:suppressLineNumbers w:val="0"/>
                    <w:spacing w:before="0" w:beforeAutospacing="0" w:after="0" w:afterAutospacing="0"/>
                    <w:ind w:left="0" w:right="0"/>
                    <w:rPr>
                      <w:rFonts w:hint="default"/>
                    </w:rPr>
                  </w:pPr>
                </w:p>
              </w:tc>
              <w:tc>
                <w:tcPr>
                  <w:tcW w:w="643" w:type="pct"/>
                  <w:vMerge w:val="continue"/>
                  <w:tcBorders>
                    <w:left w:val="nil"/>
                    <w:right w:val="single" w:color="auto" w:sz="4" w:space="0"/>
                  </w:tcBorders>
                  <w:shd w:val="clear" w:color="auto" w:fill="auto"/>
                  <w:vAlign w:val="center"/>
                </w:tcPr>
                <w:p w14:paraId="7A9F3DF3">
                  <w:pPr>
                    <w:pStyle w:val="42"/>
                    <w:keepNext w:val="0"/>
                    <w:keepLines w:val="0"/>
                    <w:widowControl/>
                    <w:suppressLineNumbers w:val="0"/>
                    <w:spacing w:before="0" w:beforeAutospacing="0" w:after="0" w:afterAutospacing="0"/>
                    <w:ind w:left="0" w:right="0"/>
                    <w:rPr>
                      <w:rFonts w:hint="default"/>
                    </w:rPr>
                  </w:pPr>
                </w:p>
              </w:tc>
              <w:tc>
                <w:tcPr>
                  <w:tcW w:w="609" w:type="pct"/>
                  <w:tcBorders>
                    <w:top w:val="single" w:color="auto" w:sz="4" w:space="0"/>
                    <w:left w:val="nil"/>
                    <w:bottom w:val="single" w:color="auto" w:sz="4" w:space="0"/>
                    <w:right w:val="single" w:color="auto" w:sz="4" w:space="0"/>
                  </w:tcBorders>
                  <w:shd w:val="clear" w:color="auto" w:fill="auto"/>
                  <w:vAlign w:val="center"/>
                </w:tcPr>
                <w:p w14:paraId="4A189AAC">
                  <w:pPr>
                    <w:pStyle w:val="42"/>
                    <w:keepNext w:val="0"/>
                    <w:keepLines w:val="0"/>
                    <w:widowControl/>
                    <w:suppressLineNumbers w:val="0"/>
                    <w:spacing w:before="0" w:beforeAutospacing="0" w:after="0" w:afterAutospacing="0"/>
                    <w:ind w:left="0" w:right="0"/>
                    <w:rPr>
                      <w:rFonts w:hint="default"/>
                    </w:rPr>
                  </w:pPr>
                  <w:r>
                    <w:t>石粉料仓上料</w:t>
                  </w:r>
                </w:p>
              </w:tc>
              <w:tc>
                <w:tcPr>
                  <w:tcW w:w="368" w:type="pct"/>
                  <w:tcBorders>
                    <w:top w:val="single" w:color="auto" w:sz="4" w:space="0"/>
                    <w:left w:val="nil"/>
                    <w:bottom w:val="single" w:color="auto" w:sz="4" w:space="0"/>
                    <w:right w:val="single" w:color="auto" w:sz="4" w:space="0"/>
                  </w:tcBorders>
                  <w:shd w:val="clear" w:color="auto" w:fill="auto"/>
                  <w:vAlign w:val="center"/>
                </w:tcPr>
                <w:p w14:paraId="2CF29B04">
                  <w:pPr>
                    <w:pStyle w:val="42"/>
                    <w:keepNext w:val="0"/>
                    <w:keepLines w:val="0"/>
                    <w:widowControl/>
                    <w:suppressLineNumbers w:val="0"/>
                    <w:spacing w:before="0" w:beforeAutospacing="0" w:after="0" w:afterAutospacing="0"/>
                    <w:ind w:left="0" w:right="0"/>
                    <w:rPr>
                      <w:rFonts w:hint="default"/>
                    </w:rPr>
                  </w:pPr>
                  <w:r>
                    <w:t>N5</w:t>
                  </w:r>
                </w:p>
              </w:tc>
              <w:tc>
                <w:tcPr>
                  <w:tcW w:w="641" w:type="pct"/>
                  <w:tcBorders>
                    <w:top w:val="nil"/>
                    <w:left w:val="nil"/>
                    <w:bottom w:val="single" w:color="auto" w:sz="4" w:space="0"/>
                    <w:right w:val="single" w:color="auto" w:sz="4" w:space="0"/>
                  </w:tcBorders>
                  <w:shd w:val="clear" w:color="auto" w:fill="auto"/>
                  <w:vAlign w:val="center"/>
                </w:tcPr>
                <w:p w14:paraId="7231BCD2">
                  <w:pPr>
                    <w:pStyle w:val="42"/>
                    <w:keepNext w:val="0"/>
                    <w:keepLines w:val="0"/>
                    <w:widowControl/>
                    <w:suppressLineNumbers w:val="0"/>
                    <w:spacing w:before="0" w:beforeAutospacing="0" w:after="0" w:afterAutospacing="0"/>
                    <w:ind w:left="0" w:right="0"/>
                    <w:rPr>
                      <w:rFonts w:hint="default"/>
                    </w:rPr>
                  </w:pPr>
                  <w:r>
                    <w:t>上料噪声</w:t>
                  </w:r>
                </w:p>
              </w:tc>
              <w:tc>
                <w:tcPr>
                  <w:tcW w:w="641" w:type="pct"/>
                  <w:tcBorders>
                    <w:top w:val="nil"/>
                    <w:left w:val="nil"/>
                    <w:bottom w:val="single" w:color="auto" w:sz="4" w:space="0"/>
                    <w:right w:val="single" w:color="auto" w:sz="4" w:space="0"/>
                  </w:tcBorders>
                  <w:shd w:val="clear" w:color="auto" w:fill="auto"/>
                  <w:vAlign w:val="center"/>
                </w:tcPr>
                <w:p w14:paraId="7925B25B">
                  <w:pPr>
                    <w:pStyle w:val="42"/>
                    <w:keepNext w:val="0"/>
                    <w:keepLines w:val="0"/>
                    <w:widowControl/>
                    <w:suppressLineNumbers w:val="0"/>
                    <w:spacing w:before="0" w:beforeAutospacing="0" w:after="0" w:afterAutospacing="0"/>
                    <w:ind w:left="0" w:right="0"/>
                    <w:rPr>
                      <w:rFonts w:hint="default"/>
                    </w:rPr>
                  </w:pPr>
                  <w:r>
                    <w:rPr>
                      <w:rFonts w:hint="default"/>
                    </w:rPr>
                    <w:t>L</w:t>
                  </w:r>
                  <w:r>
                    <w:rPr>
                      <w:rFonts w:hint="default"/>
                      <w:vertAlign w:val="subscript"/>
                    </w:rPr>
                    <w:t>Aeq,T</w:t>
                  </w:r>
                </w:p>
              </w:tc>
              <w:tc>
                <w:tcPr>
                  <w:tcW w:w="368" w:type="pct"/>
                  <w:tcBorders>
                    <w:top w:val="single" w:color="auto" w:sz="4" w:space="0"/>
                    <w:left w:val="nil"/>
                    <w:bottom w:val="single" w:color="auto" w:sz="4" w:space="0"/>
                    <w:right w:val="single" w:color="auto" w:sz="4" w:space="0"/>
                  </w:tcBorders>
                  <w:shd w:val="clear" w:color="auto" w:fill="auto"/>
                  <w:vAlign w:val="center"/>
                </w:tcPr>
                <w:p w14:paraId="363846D1">
                  <w:pPr>
                    <w:pStyle w:val="42"/>
                    <w:keepNext w:val="0"/>
                    <w:keepLines w:val="0"/>
                    <w:widowControl/>
                    <w:suppressLineNumbers w:val="0"/>
                    <w:spacing w:before="0" w:beforeAutospacing="0" w:after="0" w:afterAutospacing="0"/>
                    <w:ind w:left="0" w:right="0"/>
                    <w:rPr>
                      <w:rFonts w:hint="default"/>
                    </w:rPr>
                  </w:pPr>
                  <w:r>
                    <w:t>连续</w:t>
                  </w:r>
                </w:p>
              </w:tc>
              <w:tc>
                <w:tcPr>
                  <w:tcW w:w="1516" w:type="pct"/>
                  <w:vMerge w:val="continue"/>
                  <w:tcBorders>
                    <w:left w:val="nil"/>
                    <w:right w:val="single" w:color="auto" w:sz="4" w:space="0"/>
                  </w:tcBorders>
                  <w:shd w:val="clear" w:color="auto" w:fill="auto"/>
                  <w:vAlign w:val="center"/>
                </w:tcPr>
                <w:p w14:paraId="2801A036">
                  <w:pPr>
                    <w:pStyle w:val="42"/>
                    <w:keepNext w:val="0"/>
                    <w:keepLines w:val="0"/>
                    <w:widowControl/>
                    <w:suppressLineNumbers w:val="0"/>
                    <w:spacing w:before="0" w:beforeAutospacing="0" w:after="0" w:afterAutospacing="0"/>
                    <w:ind w:left="0" w:right="0"/>
                    <w:rPr>
                      <w:rFonts w:hint="default"/>
                    </w:rPr>
                  </w:pPr>
                </w:p>
              </w:tc>
            </w:tr>
            <w:tr w14:paraId="5DE04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vMerge w:val="continue"/>
                  <w:tcBorders>
                    <w:top w:val="nil"/>
                    <w:left w:val="single" w:color="auto" w:sz="4" w:space="0"/>
                    <w:bottom w:val="single" w:color="auto" w:sz="4" w:space="0"/>
                    <w:right w:val="single" w:color="auto" w:sz="4" w:space="0"/>
                  </w:tcBorders>
                  <w:vAlign w:val="center"/>
                </w:tcPr>
                <w:p w14:paraId="067F8E5E">
                  <w:pPr>
                    <w:pStyle w:val="42"/>
                    <w:keepNext w:val="0"/>
                    <w:keepLines w:val="0"/>
                    <w:widowControl/>
                    <w:suppressLineNumbers w:val="0"/>
                    <w:spacing w:before="0" w:beforeAutospacing="0" w:after="0" w:afterAutospacing="0"/>
                    <w:ind w:left="0" w:right="0"/>
                    <w:rPr>
                      <w:rFonts w:hint="default"/>
                    </w:rPr>
                  </w:pPr>
                </w:p>
              </w:tc>
              <w:tc>
                <w:tcPr>
                  <w:tcW w:w="643" w:type="pct"/>
                  <w:tcBorders>
                    <w:left w:val="nil"/>
                    <w:right w:val="single" w:color="auto" w:sz="4" w:space="0"/>
                  </w:tcBorders>
                  <w:shd w:val="clear" w:color="auto" w:fill="auto"/>
                  <w:vAlign w:val="center"/>
                </w:tcPr>
                <w:p w14:paraId="66854DDD">
                  <w:pPr>
                    <w:pStyle w:val="42"/>
                    <w:keepNext w:val="0"/>
                    <w:keepLines w:val="0"/>
                    <w:widowControl/>
                    <w:suppressLineNumbers w:val="0"/>
                    <w:spacing w:before="0" w:beforeAutospacing="0" w:after="0" w:afterAutospacing="0"/>
                    <w:ind w:left="0" w:right="0"/>
                    <w:rPr>
                      <w:rFonts w:hint="default"/>
                    </w:rPr>
                  </w:pPr>
                  <w:r>
                    <w:t>搅拌单元</w:t>
                  </w:r>
                </w:p>
              </w:tc>
              <w:tc>
                <w:tcPr>
                  <w:tcW w:w="609" w:type="pct"/>
                  <w:tcBorders>
                    <w:top w:val="single" w:color="auto" w:sz="4" w:space="0"/>
                    <w:left w:val="nil"/>
                    <w:bottom w:val="single" w:color="auto" w:sz="4" w:space="0"/>
                    <w:right w:val="single" w:color="auto" w:sz="4" w:space="0"/>
                  </w:tcBorders>
                  <w:shd w:val="clear" w:color="auto" w:fill="auto"/>
                  <w:vAlign w:val="center"/>
                </w:tcPr>
                <w:p w14:paraId="23090D73">
                  <w:pPr>
                    <w:pStyle w:val="42"/>
                    <w:keepNext w:val="0"/>
                    <w:keepLines w:val="0"/>
                    <w:widowControl/>
                    <w:suppressLineNumbers w:val="0"/>
                    <w:spacing w:before="0" w:beforeAutospacing="0" w:after="0" w:afterAutospacing="0"/>
                    <w:ind w:left="0" w:right="0"/>
                    <w:rPr>
                      <w:rFonts w:hint="default"/>
                    </w:rPr>
                  </w:pPr>
                  <w:r>
                    <w:t>搅拌机</w:t>
                  </w:r>
                </w:p>
              </w:tc>
              <w:tc>
                <w:tcPr>
                  <w:tcW w:w="368" w:type="pct"/>
                  <w:tcBorders>
                    <w:top w:val="single" w:color="auto" w:sz="4" w:space="0"/>
                    <w:left w:val="nil"/>
                    <w:bottom w:val="single" w:color="auto" w:sz="4" w:space="0"/>
                    <w:right w:val="single" w:color="auto" w:sz="4" w:space="0"/>
                  </w:tcBorders>
                  <w:shd w:val="clear" w:color="auto" w:fill="auto"/>
                  <w:vAlign w:val="center"/>
                </w:tcPr>
                <w:p w14:paraId="2D55B96A">
                  <w:pPr>
                    <w:pStyle w:val="42"/>
                    <w:keepNext w:val="0"/>
                    <w:keepLines w:val="0"/>
                    <w:widowControl/>
                    <w:suppressLineNumbers w:val="0"/>
                    <w:spacing w:before="0" w:beforeAutospacing="0" w:after="0" w:afterAutospacing="0"/>
                    <w:ind w:left="0" w:right="0"/>
                    <w:rPr>
                      <w:rFonts w:hint="default"/>
                    </w:rPr>
                  </w:pPr>
                  <w:r>
                    <w:t>N6</w:t>
                  </w:r>
                </w:p>
              </w:tc>
              <w:tc>
                <w:tcPr>
                  <w:tcW w:w="641" w:type="pct"/>
                  <w:tcBorders>
                    <w:top w:val="nil"/>
                    <w:left w:val="nil"/>
                    <w:bottom w:val="single" w:color="auto" w:sz="4" w:space="0"/>
                    <w:right w:val="single" w:color="auto" w:sz="4" w:space="0"/>
                  </w:tcBorders>
                  <w:shd w:val="clear" w:color="auto" w:fill="auto"/>
                  <w:vAlign w:val="center"/>
                </w:tcPr>
                <w:p w14:paraId="4CB6D9AB">
                  <w:pPr>
                    <w:pStyle w:val="42"/>
                    <w:keepNext w:val="0"/>
                    <w:keepLines w:val="0"/>
                    <w:widowControl/>
                    <w:suppressLineNumbers w:val="0"/>
                    <w:spacing w:before="0" w:beforeAutospacing="0" w:after="0" w:afterAutospacing="0"/>
                    <w:ind w:left="0" w:right="0"/>
                    <w:rPr>
                      <w:rFonts w:hint="default"/>
                    </w:rPr>
                  </w:pPr>
                  <w:r>
                    <w:t>搅拌噪声</w:t>
                  </w:r>
                </w:p>
              </w:tc>
              <w:tc>
                <w:tcPr>
                  <w:tcW w:w="641" w:type="pct"/>
                  <w:tcBorders>
                    <w:top w:val="nil"/>
                    <w:left w:val="nil"/>
                    <w:bottom w:val="single" w:color="auto" w:sz="4" w:space="0"/>
                    <w:right w:val="single" w:color="auto" w:sz="4" w:space="0"/>
                  </w:tcBorders>
                  <w:shd w:val="clear" w:color="auto" w:fill="auto"/>
                  <w:vAlign w:val="center"/>
                </w:tcPr>
                <w:p w14:paraId="1DC95DE0">
                  <w:pPr>
                    <w:pStyle w:val="42"/>
                    <w:keepNext w:val="0"/>
                    <w:keepLines w:val="0"/>
                    <w:widowControl/>
                    <w:suppressLineNumbers w:val="0"/>
                    <w:spacing w:before="0" w:beforeAutospacing="0" w:after="0" w:afterAutospacing="0"/>
                    <w:ind w:left="0" w:right="0"/>
                    <w:rPr>
                      <w:rFonts w:hint="default"/>
                    </w:rPr>
                  </w:pPr>
                  <w:r>
                    <w:rPr>
                      <w:rFonts w:hint="default"/>
                    </w:rPr>
                    <w:t>L</w:t>
                  </w:r>
                  <w:r>
                    <w:rPr>
                      <w:rFonts w:hint="default"/>
                      <w:vertAlign w:val="subscript"/>
                    </w:rPr>
                    <w:t>Aeq,T</w:t>
                  </w:r>
                </w:p>
              </w:tc>
              <w:tc>
                <w:tcPr>
                  <w:tcW w:w="368" w:type="pct"/>
                  <w:tcBorders>
                    <w:top w:val="single" w:color="auto" w:sz="4" w:space="0"/>
                    <w:left w:val="nil"/>
                    <w:bottom w:val="single" w:color="auto" w:sz="4" w:space="0"/>
                    <w:right w:val="single" w:color="auto" w:sz="4" w:space="0"/>
                  </w:tcBorders>
                  <w:shd w:val="clear" w:color="auto" w:fill="auto"/>
                  <w:vAlign w:val="center"/>
                </w:tcPr>
                <w:p w14:paraId="51230B4D">
                  <w:pPr>
                    <w:pStyle w:val="42"/>
                    <w:keepNext w:val="0"/>
                    <w:keepLines w:val="0"/>
                    <w:widowControl/>
                    <w:suppressLineNumbers w:val="0"/>
                    <w:spacing w:before="0" w:beforeAutospacing="0" w:after="0" w:afterAutospacing="0"/>
                    <w:ind w:left="0" w:right="0"/>
                    <w:rPr>
                      <w:rFonts w:hint="default"/>
                    </w:rPr>
                  </w:pPr>
                  <w:r>
                    <w:t>连续</w:t>
                  </w:r>
                </w:p>
              </w:tc>
              <w:tc>
                <w:tcPr>
                  <w:tcW w:w="1516" w:type="pct"/>
                  <w:vMerge w:val="continue"/>
                  <w:tcBorders>
                    <w:left w:val="nil"/>
                    <w:right w:val="single" w:color="auto" w:sz="4" w:space="0"/>
                  </w:tcBorders>
                  <w:shd w:val="clear" w:color="auto" w:fill="auto"/>
                  <w:vAlign w:val="center"/>
                </w:tcPr>
                <w:p w14:paraId="48757A44">
                  <w:pPr>
                    <w:pStyle w:val="42"/>
                    <w:keepNext w:val="0"/>
                    <w:keepLines w:val="0"/>
                    <w:widowControl/>
                    <w:suppressLineNumbers w:val="0"/>
                    <w:spacing w:before="0" w:beforeAutospacing="0" w:after="0" w:afterAutospacing="0"/>
                    <w:ind w:left="0" w:right="0"/>
                    <w:rPr>
                      <w:rFonts w:hint="default"/>
                    </w:rPr>
                  </w:pPr>
                </w:p>
              </w:tc>
            </w:tr>
            <w:tr w14:paraId="377D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vMerge w:val="continue"/>
                  <w:tcBorders>
                    <w:top w:val="nil"/>
                    <w:left w:val="single" w:color="auto" w:sz="4" w:space="0"/>
                    <w:bottom w:val="single" w:color="auto" w:sz="4" w:space="0"/>
                    <w:right w:val="single" w:color="auto" w:sz="4" w:space="0"/>
                  </w:tcBorders>
                  <w:vAlign w:val="center"/>
                </w:tcPr>
                <w:p w14:paraId="013A29F8">
                  <w:pPr>
                    <w:pStyle w:val="42"/>
                    <w:keepNext w:val="0"/>
                    <w:keepLines w:val="0"/>
                    <w:widowControl/>
                    <w:suppressLineNumbers w:val="0"/>
                    <w:spacing w:before="0" w:beforeAutospacing="0" w:after="0" w:afterAutospacing="0"/>
                    <w:ind w:left="0" w:right="0"/>
                    <w:rPr>
                      <w:rFonts w:hint="default"/>
                    </w:rPr>
                  </w:pPr>
                </w:p>
              </w:tc>
              <w:tc>
                <w:tcPr>
                  <w:tcW w:w="643" w:type="pct"/>
                  <w:tcBorders>
                    <w:top w:val="nil"/>
                    <w:left w:val="nil"/>
                    <w:right w:val="single" w:color="auto" w:sz="4" w:space="0"/>
                  </w:tcBorders>
                  <w:shd w:val="clear" w:color="auto" w:fill="auto"/>
                  <w:vAlign w:val="center"/>
                </w:tcPr>
                <w:p w14:paraId="2F68B921">
                  <w:pPr>
                    <w:pStyle w:val="42"/>
                    <w:keepNext w:val="0"/>
                    <w:keepLines w:val="0"/>
                    <w:widowControl/>
                    <w:suppressLineNumbers w:val="0"/>
                    <w:spacing w:before="0" w:beforeAutospacing="0" w:after="0" w:afterAutospacing="0"/>
                    <w:ind w:left="0" w:right="0"/>
                    <w:rPr>
                      <w:rFonts w:hint="default"/>
                    </w:rPr>
                  </w:pPr>
                  <w:r>
                    <w:t>模具成型</w:t>
                  </w:r>
                </w:p>
              </w:tc>
              <w:tc>
                <w:tcPr>
                  <w:tcW w:w="609" w:type="pct"/>
                  <w:tcBorders>
                    <w:top w:val="single" w:color="auto" w:sz="4" w:space="0"/>
                    <w:left w:val="nil"/>
                    <w:bottom w:val="single" w:color="auto" w:sz="4" w:space="0"/>
                    <w:right w:val="single" w:color="auto" w:sz="4" w:space="0"/>
                  </w:tcBorders>
                  <w:shd w:val="clear" w:color="auto" w:fill="auto"/>
                  <w:vAlign w:val="center"/>
                </w:tcPr>
                <w:p w14:paraId="5F92FD01">
                  <w:pPr>
                    <w:pStyle w:val="42"/>
                    <w:keepNext w:val="0"/>
                    <w:keepLines w:val="0"/>
                    <w:widowControl/>
                    <w:suppressLineNumbers w:val="0"/>
                    <w:spacing w:before="0" w:beforeAutospacing="0" w:after="0" w:afterAutospacing="0"/>
                    <w:ind w:left="0" w:right="0"/>
                    <w:rPr>
                      <w:rFonts w:hint="default"/>
                    </w:rPr>
                  </w:pPr>
                  <w:r>
                    <w:t>混凝土倒入模具</w:t>
                  </w:r>
                </w:p>
              </w:tc>
              <w:tc>
                <w:tcPr>
                  <w:tcW w:w="368" w:type="pct"/>
                  <w:tcBorders>
                    <w:top w:val="single" w:color="auto" w:sz="4" w:space="0"/>
                    <w:left w:val="nil"/>
                    <w:bottom w:val="single" w:color="auto" w:sz="4" w:space="0"/>
                    <w:right w:val="single" w:color="auto" w:sz="4" w:space="0"/>
                  </w:tcBorders>
                  <w:shd w:val="clear" w:color="auto" w:fill="auto"/>
                  <w:vAlign w:val="center"/>
                </w:tcPr>
                <w:p w14:paraId="250108C9">
                  <w:pPr>
                    <w:pStyle w:val="42"/>
                    <w:keepNext w:val="0"/>
                    <w:keepLines w:val="0"/>
                    <w:widowControl/>
                    <w:suppressLineNumbers w:val="0"/>
                    <w:spacing w:before="0" w:beforeAutospacing="0" w:after="0" w:afterAutospacing="0"/>
                    <w:ind w:left="0" w:right="0"/>
                    <w:rPr>
                      <w:rFonts w:hint="default"/>
                    </w:rPr>
                  </w:pPr>
                  <w:r>
                    <w:t>N7</w:t>
                  </w:r>
                </w:p>
              </w:tc>
              <w:tc>
                <w:tcPr>
                  <w:tcW w:w="641" w:type="pct"/>
                  <w:tcBorders>
                    <w:top w:val="nil"/>
                    <w:left w:val="nil"/>
                    <w:bottom w:val="single" w:color="auto" w:sz="4" w:space="0"/>
                    <w:right w:val="single" w:color="auto" w:sz="4" w:space="0"/>
                  </w:tcBorders>
                  <w:shd w:val="clear" w:color="auto" w:fill="auto"/>
                  <w:vAlign w:val="center"/>
                </w:tcPr>
                <w:p w14:paraId="33BADB17">
                  <w:pPr>
                    <w:pStyle w:val="42"/>
                    <w:keepNext w:val="0"/>
                    <w:keepLines w:val="0"/>
                    <w:widowControl/>
                    <w:suppressLineNumbers w:val="0"/>
                    <w:spacing w:before="0" w:beforeAutospacing="0" w:after="0" w:afterAutospacing="0"/>
                    <w:ind w:left="0" w:right="0"/>
                    <w:rPr>
                      <w:rFonts w:hint="default"/>
                    </w:rPr>
                  </w:pPr>
                  <w:r>
                    <w:t>混凝土倒入模具噪声</w:t>
                  </w:r>
                </w:p>
              </w:tc>
              <w:tc>
                <w:tcPr>
                  <w:tcW w:w="641" w:type="pct"/>
                  <w:tcBorders>
                    <w:top w:val="nil"/>
                    <w:left w:val="nil"/>
                    <w:bottom w:val="single" w:color="auto" w:sz="4" w:space="0"/>
                    <w:right w:val="single" w:color="auto" w:sz="4" w:space="0"/>
                  </w:tcBorders>
                  <w:shd w:val="clear" w:color="auto" w:fill="auto"/>
                  <w:vAlign w:val="center"/>
                </w:tcPr>
                <w:p w14:paraId="2273D38E">
                  <w:pPr>
                    <w:pStyle w:val="42"/>
                    <w:keepNext w:val="0"/>
                    <w:keepLines w:val="0"/>
                    <w:widowControl/>
                    <w:suppressLineNumbers w:val="0"/>
                    <w:spacing w:before="0" w:beforeAutospacing="0" w:after="0" w:afterAutospacing="0"/>
                    <w:ind w:left="0" w:right="0"/>
                    <w:rPr>
                      <w:rFonts w:hint="default"/>
                    </w:rPr>
                  </w:pPr>
                  <w:r>
                    <w:rPr>
                      <w:rFonts w:hint="default"/>
                    </w:rPr>
                    <w:t>L</w:t>
                  </w:r>
                  <w:r>
                    <w:rPr>
                      <w:rFonts w:hint="default"/>
                      <w:vertAlign w:val="subscript"/>
                    </w:rPr>
                    <w:t>Aeq,T</w:t>
                  </w:r>
                </w:p>
              </w:tc>
              <w:tc>
                <w:tcPr>
                  <w:tcW w:w="368" w:type="pct"/>
                  <w:tcBorders>
                    <w:top w:val="single" w:color="auto" w:sz="4" w:space="0"/>
                    <w:left w:val="nil"/>
                    <w:bottom w:val="single" w:color="auto" w:sz="4" w:space="0"/>
                    <w:right w:val="single" w:color="auto" w:sz="4" w:space="0"/>
                  </w:tcBorders>
                  <w:shd w:val="clear" w:color="auto" w:fill="auto"/>
                  <w:vAlign w:val="center"/>
                </w:tcPr>
                <w:p w14:paraId="5087AC07">
                  <w:pPr>
                    <w:pStyle w:val="42"/>
                    <w:keepNext w:val="0"/>
                    <w:keepLines w:val="0"/>
                    <w:widowControl/>
                    <w:suppressLineNumbers w:val="0"/>
                    <w:spacing w:before="0" w:beforeAutospacing="0" w:after="0" w:afterAutospacing="0"/>
                    <w:ind w:left="0" w:right="0"/>
                    <w:rPr>
                      <w:rFonts w:hint="default"/>
                    </w:rPr>
                  </w:pPr>
                  <w:r>
                    <w:t>间断</w:t>
                  </w:r>
                </w:p>
              </w:tc>
              <w:tc>
                <w:tcPr>
                  <w:tcW w:w="1516" w:type="pct"/>
                  <w:vMerge w:val="continue"/>
                  <w:tcBorders>
                    <w:left w:val="nil"/>
                    <w:right w:val="single" w:color="auto" w:sz="4" w:space="0"/>
                  </w:tcBorders>
                  <w:shd w:val="clear" w:color="auto" w:fill="auto"/>
                  <w:vAlign w:val="center"/>
                </w:tcPr>
                <w:p w14:paraId="7FDF6048">
                  <w:pPr>
                    <w:pStyle w:val="42"/>
                    <w:keepNext w:val="0"/>
                    <w:keepLines w:val="0"/>
                    <w:widowControl/>
                    <w:suppressLineNumbers w:val="0"/>
                    <w:spacing w:before="0" w:beforeAutospacing="0" w:after="0" w:afterAutospacing="0"/>
                    <w:ind w:left="0" w:right="0"/>
                    <w:rPr>
                      <w:rFonts w:hint="default"/>
                    </w:rPr>
                  </w:pPr>
                </w:p>
              </w:tc>
            </w:tr>
            <w:tr w14:paraId="157E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vMerge w:val="continue"/>
                  <w:tcBorders>
                    <w:top w:val="nil"/>
                    <w:left w:val="single" w:color="auto" w:sz="4" w:space="0"/>
                    <w:bottom w:val="single" w:color="auto" w:sz="4" w:space="0"/>
                    <w:right w:val="single" w:color="auto" w:sz="4" w:space="0"/>
                  </w:tcBorders>
                  <w:vAlign w:val="center"/>
                </w:tcPr>
                <w:p w14:paraId="69459107">
                  <w:pPr>
                    <w:pStyle w:val="42"/>
                    <w:keepNext w:val="0"/>
                    <w:keepLines w:val="0"/>
                    <w:widowControl/>
                    <w:suppressLineNumbers w:val="0"/>
                    <w:spacing w:before="0" w:beforeAutospacing="0" w:after="0" w:afterAutospacing="0"/>
                    <w:ind w:left="0" w:right="0"/>
                    <w:rPr>
                      <w:rFonts w:hint="default"/>
                    </w:rPr>
                  </w:pPr>
                </w:p>
              </w:tc>
              <w:tc>
                <w:tcPr>
                  <w:tcW w:w="643" w:type="pct"/>
                  <w:tcBorders>
                    <w:left w:val="nil"/>
                    <w:right w:val="single" w:color="auto" w:sz="4" w:space="0"/>
                  </w:tcBorders>
                  <w:shd w:val="clear" w:color="auto" w:fill="auto"/>
                  <w:vAlign w:val="center"/>
                </w:tcPr>
                <w:p w14:paraId="2CD9B194">
                  <w:pPr>
                    <w:pStyle w:val="42"/>
                    <w:keepNext w:val="0"/>
                    <w:keepLines w:val="0"/>
                    <w:widowControl/>
                    <w:suppressLineNumbers w:val="0"/>
                    <w:spacing w:before="0" w:beforeAutospacing="0" w:after="0" w:afterAutospacing="0"/>
                    <w:ind w:left="0" w:right="0"/>
                    <w:rPr>
                      <w:rFonts w:hint="default"/>
                    </w:rPr>
                  </w:pPr>
                  <w:r>
                    <w:t>码垛</w:t>
                  </w:r>
                </w:p>
              </w:tc>
              <w:tc>
                <w:tcPr>
                  <w:tcW w:w="609" w:type="pct"/>
                  <w:tcBorders>
                    <w:top w:val="single" w:color="auto" w:sz="4" w:space="0"/>
                    <w:left w:val="nil"/>
                    <w:bottom w:val="single" w:color="auto" w:sz="4" w:space="0"/>
                    <w:right w:val="single" w:color="auto" w:sz="4" w:space="0"/>
                  </w:tcBorders>
                  <w:shd w:val="clear" w:color="auto" w:fill="auto"/>
                  <w:vAlign w:val="center"/>
                </w:tcPr>
                <w:p w14:paraId="367E5428">
                  <w:pPr>
                    <w:pStyle w:val="42"/>
                    <w:keepNext w:val="0"/>
                    <w:keepLines w:val="0"/>
                    <w:widowControl/>
                    <w:suppressLineNumbers w:val="0"/>
                    <w:spacing w:before="0" w:beforeAutospacing="0" w:after="0" w:afterAutospacing="0"/>
                    <w:ind w:left="0" w:right="0"/>
                    <w:rPr>
                      <w:rFonts w:hint="default"/>
                    </w:rPr>
                  </w:pPr>
                  <w:r>
                    <w:t>码垛</w:t>
                  </w:r>
                </w:p>
              </w:tc>
              <w:tc>
                <w:tcPr>
                  <w:tcW w:w="368" w:type="pct"/>
                  <w:tcBorders>
                    <w:top w:val="single" w:color="auto" w:sz="4" w:space="0"/>
                    <w:left w:val="nil"/>
                    <w:bottom w:val="single" w:color="auto" w:sz="4" w:space="0"/>
                    <w:right w:val="single" w:color="auto" w:sz="4" w:space="0"/>
                  </w:tcBorders>
                  <w:shd w:val="clear" w:color="auto" w:fill="auto"/>
                  <w:vAlign w:val="center"/>
                </w:tcPr>
                <w:p w14:paraId="276F50C2">
                  <w:pPr>
                    <w:pStyle w:val="42"/>
                    <w:keepNext w:val="0"/>
                    <w:keepLines w:val="0"/>
                    <w:widowControl/>
                    <w:suppressLineNumbers w:val="0"/>
                    <w:spacing w:before="0" w:beforeAutospacing="0" w:after="0" w:afterAutospacing="0"/>
                    <w:ind w:left="0" w:right="0"/>
                    <w:rPr>
                      <w:rFonts w:hint="default"/>
                    </w:rPr>
                  </w:pPr>
                  <w:r>
                    <w:t>N8</w:t>
                  </w:r>
                </w:p>
              </w:tc>
              <w:tc>
                <w:tcPr>
                  <w:tcW w:w="641" w:type="pct"/>
                  <w:tcBorders>
                    <w:top w:val="nil"/>
                    <w:left w:val="nil"/>
                    <w:bottom w:val="single" w:color="auto" w:sz="4" w:space="0"/>
                    <w:right w:val="single" w:color="auto" w:sz="4" w:space="0"/>
                  </w:tcBorders>
                  <w:shd w:val="clear" w:color="auto" w:fill="auto"/>
                  <w:vAlign w:val="center"/>
                </w:tcPr>
                <w:p w14:paraId="7479EE3A">
                  <w:pPr>
                    <w:pStyle w:val="42"/>
                    <w:keepNext w:val="0"/>
                    <w:keepLines w:val="0"/>
                    <w:widowControl/>
                    <w:suppressLineNumbers w:val="0"/>
                    <w:spacing w:before="0" w:beforeAutospacing="0" w:after="0" w:afterAutospacing="0"/>
                    <w:ind w:left="0" w:right="0"/>
                    <w:rPr>
                      <w:rFonts w:hint="default"/>
                    </w:rPr>
                  </w:pPr>
                  <w:r>
                    <w:t>码垛噪声</w:t>
                  </w:r>
                </w:p>
              </w:tc>
              <w:tc>
                <w:tcPr>
                  <w:tcW w:w="641" w:type="pct"/>
                  <w:tcBorders>
                    <w:top w:val="nil"/>
                    <w:left w:val="nil"/>
                    <w:bottom w:val="single" w:color="auto" w:sz="4" w:space="0"/>
                    <w:right w:val="single" w:color="auto" w:sz="4" w:space="0"/>
                  </w:tcBorders>
                  <w:shd w:val="clear" w:color="auto" w:fill="auto"/>
                  <w:vAlign w:val="center"/>
                </w:tcPr>
                <w:p w14:paraId="04B5196A">
                  <w:pPr>
                    <w:pStyle w:val="42"/>
                    <w:keepNext w:val="0"/>
                    <w:keepLines w:val="0"/>
                    <w:widowControl/>
                    <w:suppressLineNumbers w:val="0"/>
                    <w:spacing w:before="0" w:beforeAutospacing="0" w:after="0" w:afterAutospacing="0"/>
                    <w:ind w:left="0" w:right="0"/>
                    <w:rPr>
                      <w:rFonts w:hint="default"/>
                    </w:rPr>
                  </w:pPr>
                  <w:r>
                    <w:rPr>
                      <w:rFonts w:hint="default"/>
                    </w:rPr>
                    <w:t>L</w:t>
                  </w:r>
                  <w:r>
                    <w:rPr>
                      <w:rFonts w:hint="default"/>
                      <w:vertAlign w:val="subscript"/>
                    </w:rPr>
                    <w:t>Aeq,T</w:t>
                  </w:r>
                </w:p>
              </w:tc>
              <w:tc>
                <w:tcPr>
                  <w:tcW w:w="368" w:type="pct"/>
                  <w:tcBorders>
                    <w:top w:val="single" w:color="auto" w:sz="4" w:space="0"/>
                    <w:left w:val="nil"/>
                    <w:bottom w:val="single" w:color="auto" w:sz="4" w:space="0"/>
                    <w:right w:val="single" w:color="auto" w:sz="4" w:space="0"/>
                  </w:tcBorders>
                  <w:shd w:val="clear" w:color="auto" w:fill="auto"/>
                  <w:vAlign w:val="center"/>
                </w:tcPr>
                <w:p w14:paraId="329CB22E">
                  <w:pPr>
                    <w:pStyle w:val="42"/>
                    <w:keepNext w:val="0"/>
                    <w:keepLines w:val="0"/>
                    <w:widowControl/>
                    <w:suppressLineNumbers w:val="0"/>
                    <w:spacing w:before="0" w:beforeAutospacing="0" w:after="0" w:afterAutospacing="0"/>
                    <w:ind w:left="0" w:right="0"/>
                    <w:rPr>
                      <w:rFonts w:hint="default"/>
                    </w:rPr>
                  </w:pPr>
                  <w:r>
                    <w:t>间断</w:t>
                  </w:r>
                </w:p>
              </w:tc>
              <w:tc>
                <w:tcPr>
                  <w:tcW w:w="1516" w:type="pct"/>
                  <w:vMerge w:val="continue"/>
                  <w:tcBorders>
                    <w:left w:val="nil"/>
                    <w:right w:val="single" w:color="auto" w:sz="4" w:space="0"/>
                  </w:tcBorders>
                  <w:shd w:val="clear" w:color="auto" w:fill="auto"/>
                  <w:vAlign w:val="center"/>
                </w:tcPr>
                <w:p w14:paraId="406C4ACE">
                  <w:pPr>
                    <w:pStyle w:val="42"/>
                    <w:keepNext w:val="0"/>
                    <w:keepLines w:val="0"/>
                    <w:widowControl/>
                    <w:suppressLineNumbers w:val="0"/>
                    <w:spacing w:before="0" w:beforeAutospacing="0" w:after="0" w:afterAutospacing="0"/>
                    <w:ind w:left="0" w:right="0"/>
                    <w:rPr>
                      <w:rFonts w:hint="default"/>
                    </w:rPr>
                  </w:pPr>
                </w:p>
              </w:tc>
            </w:tr>
            <w:tr w14:paraId="553B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vMerge w:val="continue"/>
                  <w:tcBorders>
                    <w:top w:val="nil"/>
                    <w:left w:val="single" w:color="auto" w:sz="4" w:space="0"/>
                    <w:bottom w:val="single" w:color="auto" w:sz="4" w:space="0"/>
                    <w:right w:val="single" w:color="auto" w:sz="4" w:space="0"/>
                  </w:tcBorders>
                  <w:vAlign w:val="center"/>
                </w:tcPr>
                <w:p w14:paraId="332385FD">
                  <w:pPr>
                    <w:pStyle w:val="42"/>
                    <w:keepNext w:val="0"/>
                    <w:keepLines w:val="0"/>
                    <w:widowControl/>
                    <w:suppressLineNumbers w:val="0"/>
                    <w:spacing w:before="0" w:beforeAutospacing="0" w:after="0" w:afterAutospacing="0"/>
                    <w:ind w:left="0" w:right="0"/>
                    <w:rPr>
                      <w:rFonts w:hint="default"/>
                    </w:rPr>
                  </w:pPr>
                </w:p>
              </w:tc>
              <w:tc>
                <w:tcPr>
                  <w:tcW w:w="643" w:type="pct"/>
                  <w:tcBorders>
                    <w:left w:val="nil"/>
                    <w:bottom w:val="single" w:color="auto" w:sz="4" w:space="0"/>
                    <w:right w:val="single" w:color="auto" w:sz="4" w:space="0"/>
                  </w:tcBorders>
                  <w:shd w:val="clear" w:color="auto" w:fill="auto"/>
                  <w:vAlign w:val="center"/>
                </w:tcPr>
                <w:p w14:paraId="74D80DDA">
                  <w:pPr>
                    <w:pStyle w:val="42"/>
                    <w:keepNext w:val="0"/>
                    <w:keepLines w:val="0"/>
                    <w:widowControl/>
                    <w:suppressLineNumbers w:val="0"/>
                    <w:spacing w:before="0" w:beforeAutospacing="0" w:after="0" w:afterAutospacing="0"/>
                    <w:ind w:left="0" w:right="0"/>
                    <w:rPr>
                      <w:rFonts w:hint="default"/>
                    </w:rPr>
                  </w:pPr>
                  <w:r>
                    <w:t>道路运输</w:t>
                  </w:r>
                </w:p>
              </w:tc>
              <w:tc>
                <w:tcPr>
                  <w:tcW w:w="609" w:type="pct"/>
                  <w:tcBorders>
                    <w:top w:val="single" w:color="auto" w:sz="4" w:space="0"/>
                    <w:left w:val="nil"/>
                    <w:bottom w:val="single" w:color="auto" w:sz="4" w:space="0"/>
                    <w:right w:val="single" w:color="auto" w:sz="4" w:space="0"/>
                  </w:tcBorders>
                  <w:shd w:val="clear" w:color="auto" w:fill="auto"/>
                  <w:vAlign w:val="center"/>
                </w:tcPr>
                <w:p w14:paraId="1F986752">
                  <w:pPr>
                    <w:pStyle w:val="42"/>
                    <w:keepNext w:val="0"/>
                    <w:keepLines w:val="0"/>
                    <w:widowControl/>
                    <w:suppressLineNumbers w:val="0"/>
                    <w:spacing w:before="0" w:beforeAutospacing="0" w:after="0" w:afterAutospacing="0"/>
                    <w:ind w:left="0" w:right="0"/>
                    <w:rPr>
                      <w:rFonts w:hint="default"/>
                    </w:rPr>
                  </w:pPr>
                  <w:r>
                    <w:t>车辆行驶</w:t>
                  </w:r>
                </w:p>
              </w:tc>
              <w:tc>
                <w:tcPr>
                  <w:tcW w:w="368" w:type="pct"/>
                  <w:tcBorders>
                    <w:top w:val="single" w:color="auto" w:sz="4" w:space="0"/>
                    <w:left w:val="nil"/>
                    <w:bottom w:val="single" w:color="auto" w:sz="4" w:space="0"/>
                    <w:right w:val="single" w:color="auto" w:sz="4" w:space="0"/>
                  </w:tcBorders>
                  <w:shd w:val="clear" w:color="auto" w:fill="auto"/>
                  <w:vAlign w:val="center"/>
                </w:tcPr>
                <w:p w14:paraId="34C089D5">
                  <w:pPr>
                    <w:pStyle w:val="42"/>
                    <w:keepNext w:val="0"/>
                    <w:keepLines w:val="0"/>
                    <w:widowControl/>
                    <w:suppressLineNumbers w:val="0"/>
                    <w:spacing w:before="0" w:beforeAutospacing="0" w:after="0" w:afterAutospacing="0"/>
                    <w:ind w:left="0" w:right="0"/>
                    <w:rPr>
                      <w:rFonts w:hint="default"/>
                    </w:rPr>
                  </w:pPr>
                  <w:r>
                    <w:t>/</w:t>
                  </w:r>
                </w:p>
              </w:tc>
              <w:tc>
                <w:tcPr>
                  <w:tcW w:w="641" w:type="pct"/>
                  <w:tcBorders>
                    <w:top w:val="nil"/>
                    <w:left w:val="nil"/>
                    <w:bottom w:val="single" w:color="auto" w:sz="4" w:space="0"/>
                    <w:right w:val="single" w:color="auto" w:sz="4" w:space="0"/>
                  </w:tcBorders>
                  <w:shd w:val="clear" w:color="auto" w:fill="auto"/>
                  <w:vAlign w:val="center"/>
                </w:tcPr>
                <w:p w14:paraId="59749070">
                  <w:pPr>
                    <w:pStyle w:val="42"/>
                    <w:keepNext w:val="0"/>
                    <w:keepLines w:val="0"/>
                    <w:widowControl/>
                    <w:suppressLineNumbers w:val="0"/>
                    <w:spacing w:before="0" w:beforeAutospacing="0" w:after="0" w:afterAutospacing="0"/>
                    <w:ind w:left="0" w:right="0"/>
                    <w:rPr>
                      <w:rFonts w:hint="default"/>
                    </w:rPr>
                  </w:pPr>
                  <w:r>
                    <w:t>车辆噪声</w:t>
                  </w:r>
                </w:p>
              </w:tc>
              <w:tc>
                <w:tcPr>
                  <w:tcW w:w="641" w:type="pct"/>
                  <w:tcBorders>
                    <w:top w:val="nil"/>
                    <w:left w:val="nil"/>
                    <w:bottom w:val="single" w:color="auto" w:sz="4" w:space="0"/>
                    <w:right w:val="single" w:color="auto" w:sz="4" w:space="0"/>
                  </w:tcBorders>
                  <w:shd w:val="clear" w:color="auto" w:fill="auto"/>
                  <w:vAlign w:val="center"/>
                </w:tcPr>
                <w:p w14:paraId="67D5ED48">
                  <w:pPr>
                    <w:pStyle w:val="42"/>
                    <w:keepNext w:val="0"/>
                    <w:keepLines w:val="0"/>
                    <w:widowControl/>
                    <w:suppressLineNumbers w:val="0"/>
                    <w:spacing w:before="0" w:beforeAutospacing="0" w:after="0" w:afterAutospacing="0"/>
                    <w:ind w:left="0" w:right="0"/>
                    <w:rPr>
                      <w:rFonts w:hint="default"/>
                    </w:rPr>
                  </w:pPr>
                  <w:r>
                    <w:rPr>
                      <w:rFonts w:hint="default"/>
                    </w:rPr>
                    <w:t>L</w:t>
                  </w:r>
                  <w:r>
                    <w:rPr>
                      <w:rFonts w:hint="default"/>
                      <w:vertAlign w:val="subscript"/>
                    </w:rPr>
                    <w:t>Aeq,T</w:t>
                  </w:r>
                </w:p>
              </w:tc>
              <w:tc>
                <w:tcPr>
                  <w:tcW w:w="368" w:type="pct"/>
                  <w:tcBorders>
                    <w:top w:val="single" w:color="auto" w:sz="4" w:space="0"/>
                    <w:left w:val="nil"/>
                    <w:bottom w:val="single" w:color="auto" w:sz="4" w:space="0"/>
                    <w:right w:val="single" w:color="auto" w:sz="4" w:space="0"/>
                  </w:tcBorders>
                  <w:shd w:val="clear" w:color="auto" w:fill="auto"/>
                  <w:vAlign w:val="center"/>
                </w:tcPr>
                <w:p w14:paraId="14FCBFC5">
                  <w:pPr>
                    <w:pStyle w:val="42"/>
                    <w:keepNext w:val="0"/>
                    <w:keepLines w:val="0"/>
                    <w:widowControl/>
                    <w:suppressLineNumbers w:val="0"/>
                    <w:spacing w:before="0" w:beforeAutospacing="0" w:after="0" w:afterAutospacing="0"/>
                    <w:ind w:left="0" w:right="0"/>
                    <w:rPr>
                      <w:rFonts w:hint="default"/>
                    </w:rPr>
                  </w:pPr>
                  <w:r>
                    <w:t>间断</w:t>
                  </w:r>
                </w:p>
              </w:tc>
              <w:tc>
                <w:tcPr>
                  <w:tcW w:w="1516" w:type="pct"/>
                  <w:tcBorders>
                    <w:top w:val="single" w:color="auto" w:sz="4" w:space="0"/>
                    <w:left w:val="nil"/>
                    <w:bottom w:val="single" w:color="auto" w:sz="4" w:space="0"/>
                    <w:right w:val="single" w:color="auto" w:sz="4" w:space="0"/>
                  </w:tcBorders>
                  <w:shd w:val="clear" w:color="auto" w:fill="auto"/>
                  <w:vAlign w:val="center"/>
                </w:tcPr>
                <w:p w14:paraId="3F55AF86">
                  <w:pPr>
                    <w:pStyle w:val="42"/>
                    <w:keepNext w:val="0"/>
                    <w:keepLines w:val="0"/>
                    <w:widowControl/>
                    <w:suppressLineNumbers w:val="0"/>
                    <w:spacing w:before="0" w:beforeAutospacing="0" w:after="0" w:afterAutospacing="0"/>
                    <w:ind w:left="0" w:right="0"/>
                    <w:rPr>
                      <w:rFonts w:hint="default"/>
                    </w:rPr>
                  </w:pPr>
                  <w:r>
                    <w:t>车辆减速慢行，不鸣笛</w:t>
                  </w:r>
                </w:p>
              </w:tc>
            </w:tr>
            <w:tr w14:paraId="35F3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vMerge w:val="restart"/>
                  <w:tcBorders>
                    <w:top w:val="nil"/>
                    <w:left w:val="single" w:color="auto" w:sz="4" w:space="0"/>
                    <w:bottom w:val="single" w:color="auto" w:sz="4" w:space="0"/>
                    <w:right w:val="single" w:color="auto" w:sz="4" w:space="0"/>
                  </w:tcBorders>
                  <w:vAlign w:val="center"/>
                </w:tcPr>
                <w:p w14:paraId="66F8BC15">
                  <w:pPr>
                    <w:pStyle w:val="42"/>
                    <w:keepNext w:val="0"/>
                    <w:keepLines w:val="0"/>
                    <w:widowControl/>
                    <w:suppressLineNumbers w:val="0"/>
                    <w:spacing w:before="0" w:beforeAutospacing="0" w:after="0" w:afterAutospacing="0"/>
                    <w:ind w:left="0" w:right="0"/>
                    <w:rPr>
                      <w:rFonts w:hint="default"/>
                    </w:rPr>
                  </w:pPr>
                  <w:r>
                    <w:t>固体废物</w:t>
                  </w:r>
                </w:p>
              </w:tc>
              <w:tc>
                <w:tcPr>
                  <w:tcW w:w="643" w:type="pct"/>
                  <w:tcBorders>
                    <w:top w:val="nil"/>
                    <w:left w:val="nil"/>
                    <w:bottom w:val="single" w:color="auto" w:sz="4" w:space="0"/>
                    <w:right w:val="single" w:color="auto" w:sz="4" w:space="0"/>
                  </w:tcBorders>
                  <w:shd w:val="clear" w:color="auto" w:fill="auto"/>
                  <w:vAlign w:val="center"/>
                </w:tcPr>
                <w:p w14:paraId="6F545488">
                  <w:pPr>
                    <w:pStyle w:val="42"/>
                    <w:keepNext w:val="0"/>
                    <w:keepLines w:val="0"/>
                    <w:widowControl/>
                    <w:suppressLineNumbers w:val="0"/>
                    <w:spacing w:before="0" w:beforeAutospacing="0" w:after="0" w:afterAutospacing="0"/>
                    <w:ind w:left="0" w:right="0"/>
                    <w:rPr>
                      <w:rFonts w:hint="default"/>
                    </w:rPr>
                  </w:pPr>
                  <w:r>
                    <w:t>废气处理</w:t>
                  </w:r>
                </w:p>
              </w:tc>
              <w:tc>
                <w:tcPr>
                  <w:tcW w:w="609" w:type="pct"/>
                  <w:tcBorders>
                    <w:top w:val="single" w:color="auto" w:sz="4" w:space="0"/>
                    <w:left w:val="nil"/>
                    <w:bottom w:val="single" w:color="auto" w:sz="4" w:space="0"/>
                    <w:right w:val="single" w:color="auto" w:sz="4" w:space="0"/>
                  </w:tcBorders>
                  <w:shd w:val="clear" w:color="auto" w:fill="auto"/>
                  <w:vAlign w:val="center"/>
                </w:tcPr>
                <w:p w14:paraId="113BDC9F">
                  <w:pPr>
                    <w:pStyle w:val="42"/>
                    <w:keepNext w:val="0"/>
                    <w:keepLines w:val="0"/>
                    <w:widowControl/>
                    <w:suppressLineNumbers w:val="0"/>
                    <w:spacing w:before="0" w:beforeAutospacing="0" w:after="0" w:afterAutospacing="0"/>
                    <w:ind w:left="0" w:right="0"/>
                    <w:rPr>
                      <w:rFonts w:hint="default"/>
                    </w:rPr>
                  </w:pPr>
                  <w:r>
                    <w:t>除尘器</w:t>
                  </w:r>
                </w:p>
              </w:tc>
              <w:tc>
                <w:tcPr>
                  <w:tcW w:w="368" w:type="pct"/>
                  <w:tcBorders>
                    <w:top w:val="single" w:color="auto" w:sz="4" w:space="0"/>
                    <w:left w:val="nil"/>
                    <w:bottom w:val="single" w:color="auto" w:sz="4" w:space="0"/>
                    <w:right w:val="single" w:color="auto" w:sz="4" w:space="0"/>
                  </w:tcBorders>
                  <w:shd w:val="clear" w:color="auto" w:fill="auto"/>
                  <w:vAlign w:val="center"/>
                </w:tcPr>
                <w:p w14:paraId="408B72F0">
                  <w:pPr>
                    <w:pStyle w:val="42"/>
                    <w:keepNext w:val="0"/>
                    <w:keepLines w:val="0"/>
                    <w:widowControl/>
                    <w:suppressLineNumbers w:val="0"/>
                    <w:spacing w:before="0" w:beforeAutospacing="0" w:after="0" w:afterAutospacing="0"/>
                    <w:ind w:left="0" w:right="0"/>
                    <w:rPr>
                      <w:rFonts w:hint="default"/>
                    </w:rPr>
                  </w:pPr>
                  <w:r>
                    <w:t>/</w:t>
                  </w:r>
                </w:p>
              </w:tc>
              <w:tc>
                <w:tcPr>
                  <w:tcW w:w="641" w:type="pct"/>
                  <w:tcBorders>
                    <w:top w:val="single" w:color="auto" w:sz="4" w:space="0"/>
                    <w:left w:val="nil"/>
                    <w:bottom w:val="single" w:color="auto" w:sz="4" w:space="0"/>
                    <w:right w:val="single" w:color="auto" w:sz="4" w:space="0"/>
                  </w:tcBorders>
                  <w:shd w:val="clear" w:color="auto" w:fill="auto"/>
                  <w:vAlign w:val="center"/>
                </w:tcPr>
                <w:p w14:paraId="40C53D59">
                  <w:pPr>
                    <w:pStyle w:val="42"/>
                    <w:keepNext w:val="0"/>
                    <w:keepLines w:val="0"/>
                    <w:widowControl/>
                    <w:suppressLineNumbers w:val="0"/>
                    <w:spacing w:before="0" w:beforeAutospacing="0" w:after="0" w:afterAutospacing="0"/>
                    <w:ind w:left="0" w:right="0"/>
                    <w:rPr>
                      <w:rFonts w:hint="default"/>
                    </w:rPr>
                  </w:pPr>
                  <w:r>
                    <w:t>除尘器收集尘</w:t>
                  </w:r>
                </w:p>
              </w:tc>
              <w:tc>
                <w:tcPr>
                  <w:tcW w:w="641" w:type="pct"/>
                  <w:tcBorders>
                    <w:top w:val="single" w:color="auto" w:sz="4" w:space="0"/>
                    <w:left w:val="nil"/>
                    <w:bottom w:val="single" w:color="auto" w:sz="4" w:space="0"/>
                    <w:right w:val="single" w:color="auto" w:sz="4" w:space="0"/>
                  </w:tcBorders>
                  <w:shd w:val="clear" w:color="auto" w:fill="auto"/>
                  <w:vAlign w:val="center"/>
                </w:tcPr>
                <w:p w14:paraId="69CF6934">
                  <w:pPr>
                    <w:pStyle w:val="42"/>
                    <w:keepNext w:val="0"/>
                    <w:keepLines w:val="0"/>
                    <w:widowControl/>
                    <w:suppressLineNumbers w:val="0"/>
                    <w:spacing w:before="0" w:beforeAutospacing="0" w:after="0" w:afterAutospacing="0"/>
                    <w:ind w:left="0" w:right="0"/>
                    <w:rPr>
                      <w:rFonts w:hint="default"/>
                    </w:rPr>
                  </w:pPr>
                  <w:r>
                    <w:t>收集尘</w:t>
                  </w:r>
                </w:p>
              </w:tc>
              <w:tc>
                <w:tcPr>
                  <w:tcW w:w="368" w:type="pct"/>
                  <w:tcBorders>
                    <w:top w:val="single" w:color="auto" w:sz="4" w:space="0"/>
                    <w:left w:val="nil"/>
                    <w:bottom w:val="single" w:color="auto" w:sz="4" w:space="0"/>
                    <w:right w:val="single" w:color="auto" w:sz="4" w:space="0"/>
                  </w:tcBorders>
                  <w:shd w:val="clear" w:color="auto" w:fill="auto"/>
                  <w:vAlign w:val="center"/>
                </w:tcPr>
                <w:p w14:paraId="5503E2FB">
                  <w:pPr>
                    <w:pStyle w:val="42"/>
                    <w:keepNext w:val="0"/>
                    <w:keepLines w:val="0"/>
                    <w:widowControl/>
                    <w:suppressLineNumbers w:val="0"/>
                    <w:spacing w:before="0" w:beforeAutospacing="0" w:after="0" w:afterAutospacing="0"/>
                    <w:ind w:left="0" w:right="0"/>
                    <w:rPr>
                      <w:rFonts w:hint="default"/>
                    </w:rPr>
                  </w:pPr>
                  <w:r>
                    <w:t>间断</w:t>
                  </w:r>
                </w:p>
              </w:tc>
              <w:tc>
                <w:tcPr>
                  <w:tcW w:w="1516" w:type="pct"/>
                  <w:tcBorders>
                    <w:top w:val="single" w:color="auto" w:sz="4" w:space="0"/>
                    <w:left w:val="nil"/>
                    <w:bottom w:val="single" w:color="auto" w:sz="4" w:space="0"/>
                    <w:right w:val="single" w:color="auto" w:sz="4" w:space="0"/>
                  </w:tcBorders>
                  <w:shd w:val="clear" w:color="auto" w:fill="auto"/>
                  <w:vAlign w:val="center"/>
                </w:tcPr>
                <w:p w14:paraId="11279107">
                  <w:pPr>
                    <w:pStyle w:val="42"/>
                    <w:keepNext w:val="0"/>
                    <w:keepLines w:val="0"/>
                    <w:widowControl/>
                    <w:suppressLineNumbers w:val="0"/>
                    <w:spacing w:before="0" w:beforeAutospacing="0" w:after="0" w:afterAutospacing="0"/>
                    <w:ind w:left="0" w:right="0"/>
                    <w:rPr>
                      <w:rFonts w:hint="default"/>
                    </w:rPr>
                  </w:pPr>
                  <w:r>
                    <w:t>收集后，作为石粉原料利用</w:t>
                  </w:r>
                </w:p>
              </w:tc>
            </w:tr>
            <w:tr w14:paraId="5A19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vMerge w:val="continue"/>
                  <w:tcBorders>
                    <w:top w:val="nil"/>
                    <w:left w:val="single" w:color="auto" w:sz="4" w:space="0"/>
                    <w:bottom w:val="single" w:color="auto" w:sz="4" w:space="0"/>
                    <w:right w:val="single" w:color="auto" w:sz="4" w:space="0"/>
                  </w:tcBorders>
                  <w:vAlign w:val="center"/>
                </w:tcPr>
                <w:p w14:paraId="5570D895">
                  <w:pPr>
                    <w:pStyle w:val="42"/>
                    <w:keepNext w:val="0"/>
                    <w:keepLines w:val="0"/>
                    <w:widowControl/>
                    <w:suppressLineNumbers w:val="0"/>
                    <w:spacing w:before="0" w:beforeAutospacing="0" w:after="0" w:afterAutospacing="0"/>
                    <w:ind w:left="0" w:right="0"/>
                    <w:rPr>
                      <w:rFonts w:hint="default"/>
                    </w:rPr>
                  </w:pPr>
                </w:p>
              </w:tc>
              <w:tc>
                <w:tcPr>
                  <w:tcW w:w="643" w:type="pct"/>
                  <w:tcBorders>
                    <w:top w:val="nil"/>
                    <w:left w:val="nil"/>
                    <w:bottom w:val="single" w:color="auto" w:sz="4" w:space="0"/>
                    <w:right w:val="single" w:color="auto" w:sz="4" w:space="0"/>
                  </w:tcBorders>
                  <w:shd w:val="clear" w:color="auto" w:fill="auto"/>
                  <w:vAlign w:val="center"/>
                </w:tcPr>
                <w:p w14:paraId="6531C0B7">
                  <w:pPr>
                    <w:pStyle w:val="42"/>
                    <w:keepNext w:val="0"/>
                    <w:keepLines w:val="0"/>
                    <w:widowControl/>
                    <w:suppressLineNumbers w:val="0"/>
                    <w:spacing w:before="0" w:beforeAutospacing="0" w:after="0" w:afterAutospacing="0"/>
                    <w:ind w:left="0" w:right="0"/>
                    <w:rPr>
                      <w:rFonts w:hint="default"/>
                    </w:rPr>
                  </w:pPr>
                  <w:r>
                    <w:t>设备维护</w:t>
                  </w:r>
                </w:p>
              </w:tc>
              <w:tc>
                <w:tcPr>
                  <w:tcW w:w="609" w:type="pct"/>
                  <w:tcBorders>
                    <w:top w:val="single" w:color="auto" w:sz="4" w:space="0"/>
                    <w:left w:val="nil"/>
                    <w:bottom w:val="single" w:color="auto" w:sz="4" w:space="0"/>
                    <w:right w:val="single" w:color="auto" w:sz="4" w:space="0"/>
                  </w:tcBorders>
                  <w:shd w:val="clear" w:color="auto" w:fill="auto"/>
                  <w:vAlign w:val="center"/>
                </w:tcPr>
                <w:p w14:paraId="40BB1E99">
                  <w:pPr>
                    <w:pStyle w:val="42"/>
                    <w:keepNext w:val="0"/>
                    <w:keepLines w:val="0"/>
                    <w:widowControl/>
                    <w:suppressLineNumbers w:val="0"/>
                    <w:spacing w:before="0" w:beforeAutospacing="0" w:after="0" w:afterAutospacing="0"/>
                    <w:ind w:left="0" w:right="0"/>
                    <w:rPr>
                      <w:rFonts w:hint="default"/>
                    </w:rPr>
                  </w:pPr>
                  <w:r>
                    <w:t>设备维护</w:t>
                  </w:r>
                </w:p>
              </w:tc>
              <w:tc>
                <w:tcPr>
                  <w:tcW w:w="368" w:type="pct"/>
                  <w:tcBorders>
                    <w:top w:val="single" w:color="auto" w:sz="4" w:space="0"/>
                    <w:left w:val="nil"/>
                    <w:bottom w:val="single" w:color="auto" w:sz="4" w:space="0"/>
                    <w:right w:val="single" w:color="auto" w:sz="4" w:space="0"/>
                  </w:tcBorders>
                  <w:shd w:val="clear" w:color="auto" w:fill="auto"/>
                  <w:vAlign w:val="center"/>
                </w:tcPr>
                <w:p w14:paraId="65919F8F">
                  <w:pPr>
                    <w:pStyle w:val="42"/>
                    <w:keepNext w:val="0"/>
                    <w:keepLines w:val="0"/>
                    <w:widowControl/>
                    <w:suppressLineNumbers w:val="0"/>
                    <w:spacing w:before="0" w:beforeAutospacing="0" w:after="0" w:afterAutospacing="0"/>
                    <w:ind w:left="0" w:right="0"/>
                    <w:rPr>
                      <w:rFonts w:hint="default"/>
                    </w:rPr>
                  </w:pPr>
                  <w:r>
                    <w:t>/</w:t>
                  </w:r>
                </w:p>
              </w:tc>
              <w:tc>
                <w:tcPr>
                  <w:tcW w:w="641" w:type="pct"/>
                  <w:tcBorders>
                    <w:top w:val="single" w:color="auto" w:sz="4" w:space="0"/>
                    <w:left w:val="nil"/>
                    <w:bottom w:val="single" w:color="auto" w:sz="4" w:space="0"/>
                    <w:right w:val="single" w:color="auto" w:sz="4" w:space="0"/>
                  </w:tcBorders>
                  <w:shd w:val="clear" w:color="auto" w:fill="auto"/>
                  <w:vAlign w:val="center"/>
                </w:tcPr>
                <w:p w14:paraId="1EA311D5">
                  <w:pPr>
                    <w:pStyle w:val="42"/>
                    <w:keepNext w:val="0"/>
                    <w:keepLines w:val="0"/>
                    <w:widowControl/>
                    <w:suppressLineNumbers w:val="0"/>
                    <w:spacing w:before="0" w:beforeAutospacing="0" w:after="0" w:afterAutospacing="0"/>
                    <w:ind w:left="0" w:right="0"/>
                    <w:rPr>
                      <w:rFonts w:hint="default"/>
                    </w:rPr>
                  </w:pPr>
                  <w:r>
                    <w:t>危险废物</w:t>
                  </w:r>
                </w:p>
              </w:tc>
              <w:tc>
                <w:tcPr>
                  <w:tcW w:w="641" w:type="pct"/>
                  <w:tcBorders>
                    <w:top w:val="single" w:color="auto" w:sz="4" w:space="0"/>
                    <w:left w:val="nil"/>
                    <w:bottom w:val="single" w:color="auto" w:sz="4" w:space="0"/>
                    <w:right w:val="single" w:color="auto" w:sz="4" w:space="0"/>
                  </w:tcBorders>
                  <w:shd w:val="clear" w:color="auto" w:fill="auto"/>
                  <w:vAlign w:val="center"/>
                </w:tcPr>
                <w:p w14:paraId="70EFECE5">
                  <w:pPr>
                    <w:pStyle w:val="42"/>
                    <w:keepNext w:val="0"/>
                    <w:keepLines w:val="0"/>
                    <w:widowControl/>
                    <w:suppressLineNumbers w:val="0"/>
                    <w:spacing w:before="0" w:beforeAutospacing="0" w:after="0" w:afterAutospacing="0"/>
                    <w:ind w:left="0" w:right="0"/>
                    <w:rPr>
                      <w:rFonts w:hint="default"/>
                    </w:rPr>
                  </w:pPr>
                  <w:r>
                    <w:t>废润滑油和废油桶</w:t>
                  </w:r>
                </w:p>
              </w:tc>
              <w:tc>
                <w:tcPr>
                  <w:tcW w:w="368" w:type="pct"/>
                  <w:tcBorders>
                    <w:top w:val="single" w:color="auto" w:sz="4" w:space="0"/>
                    <w:left w:val="nil"/>
                    <w:bottom w:val="single" w:color="auto" w:sz="4" w:space="0"/>
                    <w:right w:val="single" w:color="auto" w:sz="4" w:space="0"/>
                  </w:tcBorders>
                  <w:shd w:val="clear" w:color="auto" w:fill="auto"/>
                  <w:vAlign w:val="center"/>
                </w:tcPr>
                <w:p w14:paraId="3F600933">
                  <w:pPr>
                    <w:pStyle w:val="42"/>
                    <w:keepNext w:val="0"/>
                    <w:keepLines w:val="0"/>
                    <w:widowControl/>
                    <w:suppressLineNumbers w:val="0"/>
                    <w:spacing w:before="0" w:beforeAutospacing="0" w:after="0" w:afterAutospacing="0"/>
                    <w:ind w:left="0" w:right="0"/>
                    <w:rPr>
                      <w:rFonts w:hint="default"/>
                    </w:rPr>
                  </w:pPr>
                  <w:r>
                    <w:t>间断</w:t>
                  </w:r>
                </w:p>
              </w:tc>
              <w:tc>
                <w:tcPr>
                  <w:tcW w:w="1516" w:type="pct"/>
                  <w:tcBorders>
                    <w:top w:val="single" w:color="auto" w:sz="4" w:space="0"/>
                    <w:left w:val="nil"/>
                    <w:bottom w:val="single" w:color="auto" w:sz="4" w:space="0"/>
                    <w:right w:val="single" w:color="auto" w:sz="4" w:space="0"/>
                  </w:tcBorders>
                  <w:shd w:val="clear" w:color="auto" w:fill="auto"/>
                  <w:vAlign w:val="center"/>
                </w:tcPr>
                <w:p w14:paraId="624DB4AE">
                  <w:pPr>
                    <w:pStyle w:val="42"/>
                    <w:keepNext w:val="0"/>
                    <w:keepLines w:val="0"/>
                    <w:widowControl/>
                    <w:suppressLineNumbers w:val="0"/>
                    <w:spacing w:before="0" w:beforeAutospacing="0" w:after="0" w:afterAutospacing="0"/>
                    <w:ind w:left="0" w:right="0"/>
                    <w:rPr>
                      <w:rFonts w:hint="default"/>
                    </w:rPr>
                  </w:pPr>
                  <w:r>
                    <w:t>贮存于危险废物贮存间内，定期委托有资质单位转运和处置</w:t>
                  </w:r>
                </w:p>
              </w:tc>
            </w:tr>
            <w:tr w14:paraId="21FE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09" w:type="pct"/>
                  <w:vMerge w:val="continue"/>
                  <w:tcBorders>
                    <w:top w:val="nil"/>
                    <w:left w:val="single" w:color="auto" w:sz="4" w:space="0"/>
                    <w:bottom w:val="single" w:color="auto" w:sz="4" w:space="0"/>
                    <w:right w:val="single" w:color="auto" w:sz="4" w:space="0"/>
                  </w:tcBorders>
                  <w:vAlign w:val="center"/>
                </w:tcPr>
                <w:p w14:paraId="1958451C">
                  <w:pPr>
                    <w:pStyle w:val="42"/>
                    <w:keepNext w:val="0"/>
                    <w:keepLines w:val="0"/>
                    <w:widowControl/>
                    <w:suppressLineNumbers w:val="0"/>
                    <w:spacing w:before="0" w:beforeAutospacing="0" w:after="0" w:afterAutospacing="0"/>
                    <w:ind w:left="0" w:right="0"/>
                    <w:rPr>
                      <w:rFonts w:hint="default"/>
                    </w:rPr>
                  </w:pPr>
                </w:p>
              </w:tc>
              <w:tc>
                <w:tcPr>
                  <w:tcW w:w="643" w:type="pct"/>
                  <w:tcBorders>
                    <w:top w:val="nil"/>
                    <w:left w:val="nil"/>
                    <w:bottom w:val="single" w:color="auto" w:sz="4" w:space="0"/>
                    <w:right w:val="single" w:color="auto" w:sz="4" w:space="0"/>
                  </w:tcBorders>
                  <w:shd w:val="clear" w:color="auto" w:fill="auto"/>
                  <w:vAlign w:val="center"/>
                </w:tcPr>
                <w:p w14:paraId="6A6014B1">
                  <w:pPr>
                    <w:pStyle w:val="42"/>
                    <w:keepNext w:val="0"/>
                    <w:keepLines w:val="0"/>
                    <w:widowControl/>
                    <w:suppressLineNumbers w:val="0"/>
                    <w:spacing w:before="0" w:beforeAutospacing="0" w:after="0" w:afterAutospacing="0"/>
                    <w:ind w:left="0" w:right="0"/>
                    <w:rPr>
                      <w:rFonts w:hint="default"/>
                    </w:rPr>
                  </w:pPr>
                  <w:r>
                    <w:t>职工</w:t>
                  </w:r>
                </w:p>
              </w:tc>
              <w:tc>
                <w:tcPr>
                  <w:tcW w:w="609" w:type="pct"/>
                  <w:tcBorders>
                    <w:top w:val="single" w:color="auto" w:sz="4" w:space="0"/>
                    <w:left w:val="nil"/>
                    <w:bottom w:val="single" w:color="auto" w:sz="4" w:space="0"/>
                    <w:right w:val="single" w:color="auto" w:sz="4" w:space="0"/>
                  </w:tcBorders>
                  <w:shd w:val="clear" w:color="auto" w:fill="auto"/>
                  <w:vAlign w:val="center"/>
                </w:tcPr>
                <w:p w14:paraId="0306BC1F">
                  <w:pPr>
                    <w:pStyle w:val="42"/>
                    <w:keepNext w:val="0"/>
                    <w:keepLines w:val="0"/>
                    <w:widowControl/>
                    <w:suppressLineNumbers w:val="0"/>
                    <w:spacing w:before="0" w:beforeAutospacing="0" w:after="0" w:afterAutospacing="0"/>
                    <w:ind w:left="0" w:right="0"/>
                    <w:rPr>
                      <w:rFonts w:hint="default"/>
                    </w:rPr>
                  </w:pPr>
                  <w:r>
                    <w:t>办公生活</w:t>
                  </w:r>
                </w:p>
              </w:tc>
              <w:tc>
                <w:tcPr>
                  <w:tcW w:w="368" w:type="pct"/>
                  <w:tcBorders>
                    <w:top w:val="single" w:color="auto" w:sz="4" w:space="0"/>
                    <w:left w:val="nil"/>
                    <w:bottom w:val="single" w:color="auto" w:sz="4" w:space="0"/>
                    <w:right w:val="single" w:color="auto" w:sz="4" w:space="0"/>
                  </w:tcBorders>
                  <w:shd w:val="clear" w:color="auto" w:fill="auto"/>
                  <w:vAlign w:val="center"/>
                </w:tcPr>
                <w:p w14:paraId="346BA15E">
                  <w:pPr>
                    <w:pStyle w:val="42"/>
                    <w:keepNext w:val="0"/>
                    <w:keepLines w:val="0"/>
                    <w:widowControl/>
                    <w:suppressLineNumbers w:val="0"/>
                    <w:spacing w:before="0" w:beforeAutospacing="0" w:after="0" w:afterAutospacing="0"/>
                    <w:ind w:left="0" w:right="0"/>
                    <w:rPr>
                      <w:rFonts w:hint="default"/>
                    </w:rPr>
                  </w:pPr>
                  <w:r>
                    <w:t>/</w:t>
                  </w:r>
                </w:p>
              </w:tc>
              <w:tc>
                <w:tcPr>
                  <w:tcW w:w="641" w:type="pct"/>
                  <w:tcBorders>
                    <w:top w:val="single" w:color="auto" w:sz="4" w:space="0"/>
                    <w:left w:val="nil"/>
                    <w:bottom w:val="single" w:color="auto" w:sz="4" w:space="0"/>
                    <w:right w:val="single" w:color="auto" w:sz="4" w:space="0"/>
                  </w:tcBorders>
                  <w:shd w:val="clear" w:color="auto" w:fill="auto"/>
                  <w:vAlign w:val="center"/>
                </w:tcPr>
                <w:p w14:paraId="201A5E28">
                  <w:pPr>
                    <w:pStyle w:val="42"/>
                    <w:keepNext w:val="0"/>
                    <w:keepLines w:val="0"/>
                    <w:widowControl/>
                    <w:suppressLineNumbers w:val="0"/>
                    <w:spacing w:before="0" w:beforeAutospacing="0" w:after="0" w:afterAutospacing="0"/>
                    <w:ind w:left="0" w:right="0"/>
                    <w:rPr>
                      <w:rFonts w:hint="default"/>
                    </w:rPr>
                  </w:pPr>
                  <w:r>
                    <w:t>生活垃圾</w:t>
                  </w:r>
                </w:p>
              </w:tc>
              <w:tc>
                <w:tcPr>
                  <w:tcW w:w="641" w:type="pct"/>
                  <w:tcBorders>
                    <w:top w:val="single" w:color="auto" w:sz="4" w:space="0"/>
                    <w:left w:val="nil"/>
                    <w:bottom w:val="single" w:color="auto" w:sz="4" w:space="0"/>
                    <w:right w:val="single" w:color="auto" w:sz="4" w:space="0"/>
                  </w:tcBorders>
                  <w:shd w:val="clear" w:color="auto" w:fill="auto"/>
                  <w:vAlign w:val="center"/>
                </w:tcPr>
                <w:p w14:paraId="2E9AE831">
                  <w:pPr>
                    <w:pStyle w:val="42"/>
                    <w:keepNext w:val="0"/>
                    <w:keepLines w:val="0"/>
                    <w:widowControl/>
                    <w:suppressLineNumbers w:val="0"/>
                    <w:spacing w:before="0" w:beforeAutospacing="0" w:after="0" w:afterAutospacing="0"/>
                    <w:ind w:left="0" w:right="0"/>
                    <w:rPr>
                      <w:rFonts w:hint="default"/>
                    </w:rPr>
                  </w:pPr>
                  <w:r>
                    <w:t>生活垃圾</w:t>
                  </w:r>
                </w:p>
              </w:tc>
              <w:tc>
                <w:tcPr>
                  <w:tcW w:w="368" w:type="pct"/>
                  <w:tcBorders>
                    <w:top w:val="single" w:color="auto" w:sz="4" w:space="0"/>
                    <w:left w:val="nil"/>
                    <w:bottom w:val="single" w:color="auto" w:sz="4" w:space="0"/>
                    <w:right w:val="single" w:color="auto" w:sz="4" w:space="0"/>
                  </w:tcBorders>
                  <w:shd w:val="clear" w:color="auto" w:fill="auto"/>
                  <w:vAlign w:val="center"/>
                </w:tcPr>
                <w:p w14:paraId="07CA7A78">
                  <w:pPr>
                    <w:pStyle w:val="42"/>
                    <w:keepNext w:val="0"/>
                    <w:keepLines w:val="0"/>
                    <w:widowControl/>
                    <w:suppressLineNumbers w:val="0"/>
                    <w:spacing w:before="0" w:beforeAutospacing="0" w:after="0" w:afterAutospacing="0"/>
                    <w:ind w:left="0" w:right="0"/>
                    <w:rPr>
                      <w:rFonts w:hint="default"/>
                    </w:rPr>
                  </w:pPr>
                  <w:r>
                    <w:t>间断</w:t>
                  </w:r>
                </w:p>
              </w:tc>
              <w:tc>
                <w:tcPr>
                  <w:tcW w:w="1516" w:type="pct"/>
                  <w:tcBorders>
                    <w:top w:val="single" w:color="auto" w:sz="4" w:space="0"/>
                    <w:left w:val="nil"/>
                    <w:bottom w:val="single" w:color="auto" w:sz="4" w:space="0"/>
                    <w:right w:val="single" w:color="auto" w:sz="4" w:space="0"/>
                  </w:tcBorders>
                  <w:shd w:val="clear" w:color="auto" w:fill="auto"/>
                  <w:vAlign w:val="center"/>
                </w:tcPr>
                <w:p w14:paraId="7DC8F8D3">
                  <w:pPr>
                    <w:pStyle w:val="42"/>
                    <w:keepNext w:val="0"/>
                    <w:keepLines w:val="0"/>
                    <w:widowControl/>
                    <w:suppressLineNumbers w:val="0"/>
                    <w:spacing w:before="0" w:beforeAutospacing="0" w:after="0" w:afterAutospacing="0"/>
                    <w:ind w:left="0" w:right="0"/>
                    <w:rPr>
                      <w:rFonts w:hint="default"/>
                    </w:rPr>
                  </w:pPr>
                  <w:r>
                    <w:t>垃圾箱分类收集，环卫部门清运</w:t>
                  </w:r>
                </w:p>
              </w:tc>
            </w:tr>
          </w:tbl>
          <w:p w14:paraId="429D2E09">
            <w:pPr>
              <w:keepNext w:val="0"/>
              <w:keepLines w:val="0"/>
              <w:suppressLineNumbers w:val="0"/>
              <w:spacing w:before="0" w:beforeAutospacing="0" w:after="0" w:afterAutospacing="0"/>
              <w:ind w:left="0" w:right="0" w:firstLine="480"/>
              <w:rPr>
                <w:rFonts w:hint="eastAsia" w:ascii="宋体" w:hAnsi="宋体"/>
                <w:bCs/>
                <w:szCs w:val="21"/>
              </w:rPr>
            </w:pPr>
          </w:p>
        </w:tc>
      </w:tr>
      <w:tr w14:paraId="5D058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14:paraId="32FFE1CE">
            <w:pPr>
              <w:pStyle w:val="42"/>
              <w:keepNext w:val="0"/>
              <w:keepLines w:val="0"/>
              <w:widowControl/>
              <w:suppressLineNumbers w:val="0"/>
              <w:spacing w:before="0" w:beforeAutospacing="0" w:after="0" w:afterAutospacing="0"/>
              <w:ind w:left="0" w:right="0"/>
              <w:rPr>
                <w:rFonts w:hint="default"/>
              </w:rPr>
            </w:pPr>
            <w:r>
              <w:rPr>
                <w:sz w:val="24"/>
                <w:szCs w:val="24"/>
              </w:rPr>
              <w:t>与项目有关的原有环境污染问题</w:t>
            </w:r>
          </w:p>
        </w:tc>
        <w:tc>
          <w:tcPr>
            <w:tcW w:w="8161" w:type="dxa"/>
          </w:tcPr>
          <w:p w14:paraId="1D866AF6">
            <w:pPr>
              <w:keepNext w:val="0"/>
              <w:keepLines w:val="0"/>
              <w:suppressLineNumbers w:val="0"/>
              <w:spacing w:before="0" w:beforeAutospacing="0" w:after="0" w:afterAutospacing="0"/>
              <w:ind w:left="0" w:right="0" w:firstLine="0" w:firstLineChars="0"/>
              <w:rPr>
                <w:rFonts w:hint="default"/>
                <w:b/>
                <w:bCs/>
              </w:rPr>
            </w:pPr>
            <w:r>
              <w:rPr>
                <w:rFonts w:hint="default"/>
                <w:b/>
                <w:bCs/>
              </w:rPr>
              <w:t>与本项目有关的原有污染情况及主要环境问题:</w:t>
            </w:r>
          </w:p>
          <w:p w14:paraId="48C23203">
            <w:pPr>
              <w:keepNext w:val="0"/>
              <w:keepLines w:val="0"/>
              <w:suppressLineNumbers w:val="0"/>
              <w:spacing w:before="0" w:beforeAutospacing="0" w:after="0" w:afterAutospacing="0"/>
              <w:ind w:left="0" w:right="0" w:firstLine="480"/>
              <w:rPr>
                <w:rFonts w:hint="eastAsia" w:ascii="宋体" w:hAnsi="宋体"/>
                <w:bCs/>
                <w:szCs w:val="21"/>
              </w:rPr>
            </w:pPr>
            <w:r>
              <w:rPr>
                <w:rFonts w:hint="default"/>
              </w:rPr>
              <w:t>本项目为新建项目，项目占地原为空地，不存在原有环境问题。</w:t>
            </w:r>
          </w:p>
        </w:tc>
      </w:tr>
    </w:tbl>
    <w:p w14:paraId="743F3C2A">
      <w:pPr>
        <w:pStyle w:val="19"/>
        <w:jc w:val="center"/>
        <w:rPr>
          <w:rFonts w:hint="eastAsia" w:ascii="黑体" w:hAnsi="黑体" w:eastAsia="黑体"/>
          <w:snapToGrid w:val="0"/>
          <w:sz w:val="36"/>
          <w:szCs w:val="36"/>
        </w:rPr>
        <w:sectPr>
          <w:footerReference r:id="rId12" w:type="default"/>
          <w:pgSz w:w="11906" w:h="16838"/>
          <w:pgMar w:top="1701" w:right="1531" w:bottom="1701" w:left="1531" w:header="851" w:footer="851" w:gutter="0"/>
          <w:cols w:space="720" w:num="1"/>
          <w:docGrid w:linePitch="312" w:charSpace="0"/>
        </w:sectPr>
      </w:pPr>
    </w:p>
    <w:p w14:paraId="64BAAE2B">
      <w:pPr>
        <w:pStyle w:val="19"/>
        <w:spacing w:before="0" w:beforeAutospacing="0" w:after="0" w:afterAutospacing="0" w:line="14" w:lineRule="auto"/>
        <w:ind w:firstLine="600"/>
        <w:jc w:val="center"/>
        <w:outlineLvl w:val="0"/>
        <w:rPr>
          <w:rFonts w:hint="eastAsia" w:ascii="黑体" w:hAnsi="黑体" w:eastAsia="黑体"/>
          <w:snapToGrid w:val="0"/>
          <w:sz w:val="30"/>
          <w:szCs w:val="30"/>
        </w:rPr>
      </w:pPr>
    </w:p>
    <w:p w14:paraId="68B8928B">
      <w:pPr>
        <w:pStyle w:val="2"/>
      </w:pPr>
      <w:r>
        <w:rPr>
          <w:rFonts w:hint="eastAsia"/>
        </w:rPr>
        <w:t>区域环境质量现状、环境保护目标及评价标准</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8545"/>
      </w:tblGrid>
      <w:tr w14:paraId="5E0417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7" w:hRule="atLeast"/>
          <w:jc w:val="center"/>
        </w:trPr>
        <w:tc>
          <w:tcPr>
            <w:tcW w:w="516" w:type="dxa"/>
            <w:vAlign w:val="center"/>
          </w:tcPr>
          <w:p w14:paraId="0BDAC00E">
            <w:pPr>
              <w:pStyle w:val="42"/>
              <w:keepNext w:val="0"/>
              <w:keepLines w:val="0"/>
              <w:widowControl/>
              <w:suppressLineNumbers w:val="0"/>
              <w:spacing w:before="0" w:beforeAutospacing="0" w:after="0" w:afterAutospacing="0"/>
              <w:ind w:left="0" w:right="0"/>
              <w:rPr>
                <w:rFonts w:hint="default"/>
                <w:sz w:val="24"/>
                <w:szCs w:val="24"/>
              </w:rPr>
            </w:pPr>
            <w:r>
              <w:rPr>
                <w:sz w:val="24"/>
                <w:szCs w:val="24"/>
              </w:rPr>
              <w:t>区域</w:t>
            </w:r>
          </w:p>
          <w:p w14:paraId="62069F97">
            <w:pPr>
              <w:pStyle w:val="42"/>
              <w:keepNext w:val="0"/>
              <w:keepLines w:val="0"/>
              <w:widowControl/>
              <w:suppressLineNumbers w:val="0"/>
              <w:spacing w:before="0" w:beforeAutospacing="0" w:after="0" w:afterAutospacing="0"/>
              <w:ind w:left="0" w:right="0"/>
              <w:rPr>
                <w:rFonts w:hint="default"/>
                <w:sz w:val="24"/>
                <w:szCs w:val="24"/>
              </w:rPr>
            </w:pPr>
            <w:r>
              <w:rPr>
                <w:sz w:val="24"/>
                <w:szCs w:val="24"/>
              </w:rPr>
              <w:t>环境</w:t>
            </w:r>
          </w:p>
          <w:p w14:paraId="33256123">
            <w:pPr>
              <w:pStyle w:val="42"/>
              <w:keepNext w:val="0"/>
              <w:keepLines w:val="0"/>
              <w:widowControl/>
              <w:suppressLineNumbers w:val="0"/>
              <w:spacing w:before="0" w:beforeAutospacing="0" w:after="0" w:afterAutospacing="0"/>
              <w:ind w:left="0" w:right="0"/>
              <w:rPr>
                <w:rFonts w:hint="default"/>
                <w:sz w:val="24"/>
                <w:szCs w:val="24"/>
              </w:rPr>
            </w:pPr>
            <w:r>
              <w:rPr>
                <w:sz w:val="24"/>
                <w:szCs w:val="24"/>
              </w:rPr>
              <w:t>质量</w:t>
            </w:r>
          </w:p>
          <w:p w14:paraId="3C0C4A2A">
            <w:pPr>
              <w:pStyle w:val="42"/>
              <w:keepNext w:val="0"/>
              <w:keepLines w:val="0"/>
              <w:widowControl/>
              <w:suppressLineNumbers w:val="0"/>
              <w:spacing w:before="0" w:beforeAutospacing="0" w:after="0" w:afterAutospacing="0"/>
              <w:ind w:left="0" w:right="0"/>
              <w:rPr>
                <w:rFonts w:hint="default"/>
              </w:rPr>
            </w:pPr>
            <w:r>
              <w:rPr>
                <w:sz w:val="24"/>
                <w:szCs w:val="24"/>
              </w:rPr>
              <w:t>现状</w:t>
            </w:r>
          </w:p>
        </w:tc>
        <w:tc>
          <w:tcPr>
            <w:tcW w:w="8545" w:type="dxa"/>
            <w:vAlign w:val="center"/>
          </w:tcPr>
          <w:p w14:paraId="3E860DEA">
            <w:pPr>
              <w:pStyle w:val="3"/>
              <w:keepNext w:val="0"/>
              <w:keepLines w:val="0"/>
              <w:numPr>
                <w:ilvl w:val="1"/>
                <w:numId w:val="12"/>
              </w:numPr>
              <w:suppressLineNumbers w:val="0"/>
              <w:tabs>
                <w:tab w:val="left" w:pos="0"/>
              </w:tabs>
              <w:spacing w:before="0" w:beforeAutospacing="0" w:after="0" w:afterAutospacing="0"/>
              <w:ind w:right="0" w:firstLine="482"/>
              <w:rPr>
                <w:rFonts w:hint="default"/>
              </w:rPr>
            </w:pPr>
            <w:r>
              <w:rPr>
                <w:rFonts w:hint="eastAsia"/>
              </w:rPr>
              <w:t>环境空气质量现状</w:t>
            </w:r>
          </w:p>
          <w:p w14:paraId="37D0AFFC">
            <w:pPr>
              <w:pStyle w:val="4"/>
              <w:keepNext w:val="0"/>
              <w:keepLines w:val="0"/>
              <w:numPr>
                <w:ilvl w:val="2"/>
                <w:numId w:val="12"/>
              </w:numPr>
              <w:suppressLineNumbers w:val="0"/>
              <w:tabs>
                <w:tab w:val="left" w:pos="0"/>
              </w:tabs>
              <w:spacing w:beforeAutospacing="0" w:afterAutospacing="0"/>
              <w:ind w:left="-242" w:leftChars="0" w:right="0" w:firstLine="720" w:firstLineChars="0"/>
              <w:rPr>
                <w:rFonts w:hint="default"/>
              </w:rPr>
            </w:pPr>
            <w:r>
              <w:rPr>
                <w:rFonts w:hint="eastAsia"/>
              </w:rPr>
              <w:t>评价适用标准</w:t>
            </w:r>
          </w:p>
          <w:p w14:paraId="5BFC388D">
            <w:pPr>
              <w:keepNext w:val="0"/>
              <w:keepLines w:val="0"/>
              <w:suppressLineNumbers w:val="0"/>
              <w:tabs>
                <w:tab w:val="left" w:pos="420"/>
              </w:tabs>
              <w:spacing w:before="0" w:beforeAutospacing="0" w:after="0" w:afterAutospacing="0"/>
              <w:ind w:left="0" w:right="0" w:firstLine="480"/>
              <w:rPr>
                <w:rFonts w:hint="default"/>
                <w:color w:val="FF0000"/>
              </w:rPr>
            </w:pPr>
            <w:r>
              <w:rPr>
                <w:rFonts w:hint="eastAsia"/>
              </w:rPr>
              <w:t>①环境功能区划</w:t>
            </w:r>
          </w:p>
          <w:p w14:paraId="7612698A">
            <w:pPr>
              <w:keepNext w:val="0"/>
              <w:keepLines w:val="0"/>
              <w:suppressLineNumbers w:val="0"/>
              <w:tabs>
                <w:tab w:val="left" w:pos="420"/>
              </w:tabs>
              <w:spacing w:before="0" w:beforeAutospacing="0" w:after="0" w:afterAutospacing="0"/>
              <w:ind w:left="0" w:right="0" w:firstLine="480"/>
              <w:rPr>
                <w:rFonts w:hint="default"/>
              </w:rPr>
            </w:pPr>
            <w:r>
              <w:rPr>
                <w:rFonts w:hint="eastAsia"/>
              </w:rPr>
              <w:t>项目位于河北宽城经济开发区内，根据《河北宽城经济开发区总体规划(2022-2035年)环境影响报告书》中环境功能区划，项目所在位置属于环境空气质量二类功能区。</w:t>
            </w:r>
          </w:p>
          <w:p w14:paraId="3B67B7B0">
            <w:pPr>
              <w:keepNext w:val="0"/>
              <w:keepLines w:val="0"/>
              <w:suppressLineNumbers w:val="0"/>
              <w:tabs>
                <w:tab w:val="left" w:pos="420"/>
              </w:tabs>
              <w:spacing w:before="0" w:beforeAutospacing="0" w:after="0" w:afterAutospacing="0"/>
              <w:ind w:left="0" w:right="0" w:firstLine="480"/>
              <w:rPr>
                <w:rFonts w:hint="default"/>
                <w:color w:val="FF0000"/>
              </w:rPr>
            </w:pPr>
            <w:r>
              <w:rPr>
                <w:rFonts w:hint="eastAsia"/>
              </w:rPr>
              <w:t>②国家、地方相关环境质量标准</w:t>
            </w:r>
          </w:p>
          <w:p w14:paraId="14FEABCA">
            <w:pPr>
              <w:keepNext w:val="0"/>
              <w:keepLines w:val="0"/>
              <w:suppressLineNumbers w:val="0"/>
              <w:tabs>
                <w:tab w:val="left" w:pos="420"/>
              </w:tabs>
              <w:spacing w:before="0" w:beforeAutospacing="0" w:after="0" w:afterAutospacing="0"/>
              <w:ind w:left="0" w:right="0" w:firstLine="480"/>
              <w:rPr>
                <w:rFonts w:hint="default"/>
              </w:rPr>
            </w:pPr>
            <w:r>
              <w:rPr>
                <w:rFonts w:hint="default"/>
              </w:rPr>
              <w:t>《环境空气质量标准》（GB3095-2012）</w:t>
            </w:r>
            <w:r>
              <w:rPr>
                <w:rFonts w:hint="eastAsia"/>
              </w:rPr>
              <w:t>及其修改单</w:t>
            </w:r>
            <w:r>
              <w:rPr>
                <w:rFonts w:hint="default"/>
              </w:rPr>
              <w:t>中的二级标准</w:t>
            </w:r>
            <w:r>
              <w:rPr>
                <w:rFonts w:hint="eastAsia"/>
              </w:rPr>
              <w:t>。</w:t>
            </w:r>
          </w:p>
          <w:p w14:paraId="0911177D">
            <w:pPr>
              <w:pStyle w:val="4"/>
              <w:keepNext w:val="0"/>
              <w:keepLines w:val="0"/>
              <w:numPr>
                <w:ilvl w:val="2"/>
                <w:numId w:val="12"/>
              </w:numPr>
              <w:suppressLineNumbers w:val="0"/>
              <w:tabs>
                <w:tab w:val="left" w:pos="0"/>
              </w:tabs>
              <w:spacing w:beforeAutospacing="0" w:afterAutospacing="0"/>
              <w:ind w:left="-242" w:leftChars="0" w:right="0" w:firstLine="720" w:firstLineChars="0"/>
              <w:rPr>
                <w:rFonts w:hint="default"/>
              </w:rPr>
            </w:pPr>
            <w:r>
              <w:rPr>
                <w:rFonts w:hint="eastAsia"/>
              </w:rPr>
              <w:t>大气污染物基本项目环境空气质量现状</w:t>
            </w:r>
          </w:p>
          <w:p w14:paraId="6FBEC53D">
            <w:pPr>
              <w:keepNext w:val="0"/>
              <w:keepLines w:val="0"/>
              <w:suppressLineNumbers w:val="0"/>
              <w:spacing w:before="0" w:beforeAutospacing="0" w:after="0" w:afterAutospacing="0"/>
              <w:ind w:left="0" w:right="0" w:firstLine="480"/>
              <w:rPr>
                <w:rFonts w:hint="default"/>
              </w:rPr>
            </w:pPr>
            <w:r>
              <w:rPr>
                <w:rFonts w:hint="eastAsia"/>
              </w:rPr>
              <w:t>本次评价</w:t>
            </w:r>
            <w:r>
              <w:rPr>
                <w:rFonts w:hint="default"/>
              </w:rPr>
              <w:t>引用《</w:t>
            </w:r>
            <w:r>
              <w:rPr>
                <w:rFonts w:hint="eastAsia"/>
              </w:rPr>
              <w:t>2023年承德市生态环境状况公报</w:t>
            </w:r>
            <w:r>
              <w:rPr>
                <w:rFonts w:hint="default"/>
              </w:rPr>
              <w:t>》</w:t>
            </w:r>
            <w:r>
              <w:rPr>
                <w:rFonts w:hint="eastAsia"/>
              </w:rPr>
              <w:t>（2024年5月，承德市生态环境局）</w:t>
            </w:r>
            <w:r>
              <w:rPr>
                <w:rFonts w:hint="default"/>
              </w:rPr>
              <w:t>中</w:t>
            </w:r>
            <w:r>
              <w:rPr>
                <w:rFonts w:hint="eastAsia"/>
              </w:rPr>
              <w:t>宽城满族自治县环境空气大气</w:t>
            </w:r>
            <w:r>
              <w:rPr>
                <w:rFonts w:hint="default"/>
              </w:rPr>
              <w:t>污染物</w:t>
            </w:r>
            <w:r>
              <w:rPr>
                <w:rFonts w:hint="eastAsia"/>
              </w:rPr>
              <w:t>基本项目</w:t>
            </w:r>
            <w:r>
              <w:rPr>
                <w:rFonts w:hint="default"/>
              </w:rPr>
              <w:t>中的PM</w:t>
            </w:r>
            <w:r>
              <w:rPr>
                <w:rFonts w:hint="default"/>
                <w:vertAlign w:val="subscript"/>
              </w:rPr>
              <w:t>2.5</w:t>
            </w:r>
            <w:r>
              <w:rPr>
                <w:rFonts w:hint="default"/>
              </w:rPr>
              <w:t>、PM</w:t>
            </w:r>
            <w:r>
              <w:rPr>
                <w:rFonts w:hint="default"/>
                <w:vertAlign w:val="subscript"/>
              </w:rPr>
              <w:t>10</w:t>
            </w:r>
            <w:r>
              <w:rPr>
                <w:rFonts w:hint="default"/>
              </w:rPr>
              <w:t>、SO</w:t>
            </w:r>
            <w:r>
              <w:rPr>
                <w:rFonts w:hint="default"/>
                <w:vertAlign w:val="subscript"/>
              </w:rPr>
              <w:t>2</w:t>
            </w:r>
            <w:r>
              <w:rPr>
                <w:rFonts w:hint="default"/>
              </w:rPr>
              <w:t>、NO</w:t>
            </w:r>
            <w:r>
              <w:rPr>
                <w:rFonts w:hint="default"/>
                <w:vertAlign w:val="subscript"/>
              </w:rPr>
              <w:t>2</w:t>
            </w:r>
            <w:r>
              <w:rPr>
                <w:rFonts w:hint="eastAsia"/>
              </w:rPr>
              <w:t>、</w:t>
            </w:r>
            <w:r>
              <w:rPr>
                <w:rFonts w:hint="default"/>
              </w:rPr>
              <w:t>CO、O</w:t>
            </w:r>
            <w:r>
              <w:rPr>
                <w:rFonts w:hint="default"/>
                <w:vertAlign w:val="subscript"/>
              </w:rPr>
              <w:t>3</w:t>
            </w:r>
            <w:r>
              <w:rPr>
                <w:rFonts w:hint="default"/>
              </w:rPr>
              <w:t>现状监测统计资料，来说明建设项目拟建地区的环境空气质量现状，结果见</w:t>
            </w:r>
            <w:r>
              <w:rPr>
                <w:rFonts w:hint="eastAsia"/>
              </w:rPr>
              <w:t>下</w:t>
            </w:r>
            <w:r>
              <w:rPr>
                <w:rFonts w:hint="default"/>
              </w:rPr>
              <w:t>表。</w:t>
            </w:r>
          </w:p>
          <w:p w14:paraId="04A1A329">
            <w:pPr>
              <w:keepNext w:val="0"/>
              <w:keepLines w:val="0"/>
              <w:numPr>
                <w:ilvl w:val="0"/>
                <w:numId w:val="13"/>
              </w:numPr>
              <w:suppressLineNumbers w:val="0"/>
              <w:tabs>
                <w:tab w:val="left" w:pos="0"/>
              </w:tabs>
              <w:spacing w:before="0" w:beforeAutospacing="0" w:after="0" w:afterAutospacing="0"/>
              <w:ind w:left="0" w:right="0" w:firstLine="0" w:firstLineChars="0"/>
              <w:jc w:val="center"/>
              <w:rPr>
                <w:rFonts w:hint="default"/>
                <w:b/>
                <w:sz w:val="21"/>
                <w:szCs w:val="21"/>
              </w:rPr>
            </w:pPr>
            <w:r>
              <w:rPr>
                <w:rFonts w:hint="eastAsia"/>
                <w:b/>
                <w:sz w:val="21"/>
                <w:szCs w:val="21"/>
              </w:rPr>
              <w:t>20</w:t>
            </w:r>
            <w:r>
              <w:rPr>
                <w:rFonts w:hint="default"/>
                <w:b/>
                <w:sz w:val="21"/>
                <w:szCs w:val="21"/>
              </w:rPr>
              <w:t>2</w:t>
            </w:r>
            <w:r>
              <w:rPr>
                <w:rFonts w:hint="eastAsia"/>
                <w:b/>
                <w:sz w:val="21"/>
                <w:szCs w:val="21"/>
              </w:rPr>
              <w:t>3年宽城满族自治县环境空气质量监测结果</w:t>
            </w:r>
          </w:p>
          <w:tbl>
            <w:tblPr>
              <w:tblStyle w:val="22"/>
              <w:tblW w:w="4998" w:type="pct"/>
              <w:jc w:val="center"/>
              <w:tblLayout w:type="autofit"/>
              <w:tblCellMar>
                <w:top w:w="0" w:type="dxa"/>
                <w:left w:w="108" w:type="dxa"/>
                <w:bottom w:w="0" w:type="dxa"/>
                <w:right w:w="108" w:type="dxa"/>
              </w:tblCellMar>
            </w:tblPr>
            <w:tblGrid>
              <w:gridCol w:w="1061"/>
              <w:gridCol w:w="1261"/>
              <w:gridCol w:w="796"/>
              <w:gridCol w:w="796"/>
              <w:gridCol w:w="794"/>
              <w:gridCol w:w="794"/>
              <w:gridCol w:w="794"/>
              <w:gridCol w:w="806"/>
              <w:gridCol w:w="1224"/>
            </w:tblGrid>
            <w:tr w14:paraId="1165A5D7">
              <w:tblPrEx>
                <w:tblCellMar>
                  <w:top w:w="0" w:type="dxa"/>
                  <w:left w:w="108" w:type="dxa"/>
                  <w:bottom w:w="0" w:type="dxa"/>
                  <w:right w:w="108" w:type="dxa"/>
                </w:tblCellMar>
              </w:tblPrEx>
              <w:trPr>
                <w:cantSplit/>
                <w:trHeight w:val="567" w:hRule="atLeast"/>
                <w:jc w:val="center"/>
              </w:trPr>
              <w:tc>
                <w:tcPr>
                  <w:tcW w:w="637" w:type="pct"/>
                  <w:vMerge w:val="restart"/>
                  <w:tcBorders>
                    <w:top w:val="single" w:color="auto" w:sz="4" w:space="0"/>
                    <w:left w:val="single" w:color="auto" w:sz="4" w:space="0"/>
                    <w:bottom w:val="single" w:color="auto" w:sz="4" w:space="0"/>
                    <w:right w:val="single" w:color="auto" w:sz="4" w:space="0"/>
                  </w:tcBorders>
                  <w:vAlign w:val="center"/>
                </w:tcPr>
                <w:p w14:paraId="47FD01E2">
                  <w:pPr>
                    <w:pStyle w:val="42"/>
                    <w:keepNext w:val="0"/>
                    <w:keepLines w:val="0"/>
                    <w:widowControl/>
                    <w:suppressLineNumbers w:val="0"/>
                    <w:spacing w:before="0" w:beforeAutospacing="0" w:after="0" w:afterAutospacing="0"/>
                    <w:ind w:left="0" w:right="0"/>
                    <w:rPr>
                      <w:rFonts w:hint="default"/>
                    </w:rPr>
                  </w:pPr>
                  <w:r>
                    <w:t>县区</w:t>
                  </w:r>
                </w:p>
              </w:tc>
              <w:tc>
                <w:tcPr>
                  <w:tcW w:w="757" w:type="pct"/>
                  <w:vMerge w:val="restart"/>
                  <w:tcBorders>
                    <w:top w:val="single" w:color="auto" w:sz="4" w:space="0"/>
                    <w:left w:val="nil"/>
                    <w:bottom w:val="single" w:color="auto" w:sz="4" w:space="0"/>
                    <w:right w:val="single" w:color="auto" w:sz="4" w:space="0"/>
                  </w:tcBorders>
                  <w:vAlign w:val="center"/>
                </w:tcPr>
                <w:p w14:paraId="503E1876">
                  <w:pPr>
                    <w:pStyle w:val="42"/>
                    <w:keepNext w:val="0"/>
                    <w:keepLines w:val="0"/>
                    <w:widowControl/>
                    <w:suppressLineNumbers w:val="0"/>
                    <w:spacing w:before="0" w:beforeAutospacing="0" w:after="0" w:afterAutospacing="0"/>
                    <w:ind w:left="0" w:right="0"/>
                    <w:rPr>
                      <w:rFonts w:hint="default"/>
                    </w:rPr>
                  </w:pPr>
                  <w:r>
                    <w:t>环境空气质量综合指数</w:t>
                  </w:r>
                </w:p>
              </w:tc>
              <w:tc>
                <w:tcPr>
                  <w:tcW w:w="2871" w:type="pct"/>
                  <w:gridSpan w:val="6"/>
                  <w:tcBorders>
                    <w:top w:val="single" w:color="auto" w:sz="4" w:space="0"/>
                    <w:left w:val="nil"/>
                    <w:bottom w:val="single" w:color="auto" w:sz="4" w:space="0"/>
                    <w:right w:val="single" w:color="auto" w:sz="4" w:space="0"/>
                  </w:tcBorders>
                  <w:vAlign w:val="center"/>
                </w:tcPr>
                <w:p w14:paraId="793D4D24">
                  <w:pPr>
                    <w:pStyle w:val="42"/>
                    <w:keepNext w:val="0"/>
                    <w:keepLines w:val="0"/>
                    <w:widowControl/>
                    <w:suppressLineNumbers w:val="0"/>
                    <w:spacing w:before="0" w:beforeAutospacing="0" w:after="0" w:afterAutospacing="0"/>
                    <w:ind w:left="0" w:right="0"/>
                    <w:rPr>
                      <w:rFonts w:hint="default"/>
                    </w:rPr>
                  </w:pPr>
                  <w:r>
                    <w:t>各污染物浓度</w:t>
                  </w:r>
                </w:p>
              </w:tc>
              <w:tc>
                <w:tcPr>
                  <w:tcW w:w="734" w:type="pct"/>
                  <w:vMerge w:val="restart"/>
                  <w:tcBorders>
                    <w:top w:val="single" w:color="auto" w:sz="4" w:space="0"/>
                    <w:left w:val="nil"/>
                    <w:right w:val="single" w:color="auto" w:sz="4" w:space="0"/>
                  </w:tcBorders>
                  <w:vAlign w:val="center"/>
                </w:tcPr>
                <w:p w14:paraId="3FC55BF5">
                  <w:pPr>
                    <w:pStyle w:val="42"/>
                    <w:keepNext w:val="0"/>
                    <w:keepLines w:val="0"/>
                    <w:widowControl/>
                    <w:suppressLineNumbers w:val="0"/>
                    <w:spacing w:before="0" w:beforeAutospacing="0" w:after="0" w:afterAutospacing="0"/>
                    <w:ind w:left="0" w:right="0"/>
                    <w:rPr>
                      <w:rFonts w:hint="default"/>
                    </w:rPr>
                  </w:pPr>
                  <w:r>
                    <w:t>首要污染物</w:t>
                  </w:r>
                </w:p>
              </w:tc>
            </w:tr>
            <w:tr w14:paraId="555ECD32">
              <w:tblPrEx>
                <w:tblCellMar>
                  <w:top w:w="0" w:type="dxa"/>
                  <w:left w:w="108" w:type="dxa"/>
                  <w:bottom w:w="0" w:type="dxa"/>
                  <w:right w:w="108" w:type="dxa"/>
                </w:tblCellMar>
              </w:tblPrEx>
              <w:trPr>
                <w:cantSplit/>
                <w:trHeight w:val="567" w:hRule="atLeast"/>
                <w:jc w:val="center"/>
              </w:trPr>
              <w:tc>
                <w:tcPr>
                  <w:tcW w:w="637" w:type="pct"/>
                  <w:vMerge w:val="continue"/>
                  <w:tcBorders>
                    <w:top w:val="single" w:color="auto" w:sz="4" w:space="0"/>
                    <w:left w:val="single" w:color="auto" w:sz="4" w:space="0"/>
                    <w:bottom w:val="single" w:color="auto" w:sz="4" w:space="0"/>
                    <w:right w:val="single" w:color="auto" w:sz="4" w:space="0"/>
                  </w:tcBorders>
                  <w:vAlign w:val="center"/>
                </w:tcPr>
                <w:p w14:paraId="0397E8CC">
                  <w:pPr>
                    <w:pStyle w:val="42"/>
                    <w:keepNext w:val="0"/>
                    <w:keepLines w:val="0"/>
                    <w:widowControl/>
                    <w:suppressLineNumbers w:val="0"/>
                    <w:spacing w:before="0" w:beforeAutospacing="0" w:after="0" w:afterAutospacing="0"/>
                    <w:ind w:left="0" w:right="0"/>
                    <w:rPr>
                      <w:rFonts w:hint="default"/>
                    </w:rPr>
                  </w:pPr>
                </w:p>
              </w:tc>
              <w:tc>
                <w:tcPr>
                  <w:tcW w:w="757" w:type="pct"/>
                  <w:vMerge w:val="continue"/>
                  <w:tcBorders>
                    <w:top w:val="single" w:color="auto" w:sz="4" w:space="0"/>
                    <w:left w:val="nil"/>
                    <w:bottom w:val="single" w:color="auto" w:sz="4" w:space="0"/>
                    <w:right w:val="single" w:color="auto" w:sz="4" w:space="0"/>
                  </w:tcBorders>
                  <w:vAlign w:val="center"/>
                </w:tcPr>
                <w:p w14:paraId="75CA9CB8">
                  <w:pPr>
                    <w:pStyle w:val="42"/>
                    <w:keepNext w:val="0"/>
                    <w:keepLines w:val="0"/>
                    <w:widowControl/>
                    <w:suppressLineNumbers w:val="0"/>
                    <w:spacing w:before="0" w:beforeAutospacing="0" w:after="0" w:afterAutospacing="0"/>
                    <w:ind w:left="0" w:right="0"/>
                    <w:rPr>
                      <w:rFonts w:hint="default"/>
                    </w:rPr>
                  </w:pPr>
                </w:p>
              </w:tc>
              <w:tc>
                <w:tcPr>
                  <w:tcW w:w="772" w:type="dxa"/>
                  <w:tcBorders>
                    <w:top w:val="single" w:color="auto" w:sz="4" w:space="0"/>
                    <w:left w:val="nil"/>
                    <w:bottom w:val="single" w:color="auto" w:sz="4" w:space="0"/>
                    <w:right w:val="single" w:color="auto" w:sz="4" w:space="0"/>
                  </w:tcBorders>
                  <w:vAlign w:val="center"/>
                </w:tcPr>
                <w:p w14:paraId="78EB2B09">
                  <w:pPr>
                    <w:pStyle w:val="42"/>
                    <w:keepNext w:val="0"/>
                    <w:keepLines w:val="0"/>
                    <w:widowControl/>
                    <w:suppressLineNumbers w:val="0"/>
                    <w:spacing w:before="0" w:beforeAutospacing="0" w:after="0" w:afterAutospacing="0"/>
                    <w:ind w:left="0" w:right="0"/>
                    <w:rPr>
                      <w:rFonts w:hint="default"/>
                    </w:rPr>
                  </w:pPr>
                  <w:r>
                    <w:rPr>
                      <w:rFonts w:hint="default"/>
                    </w:rPr>
                    <w:t>PM</w:t>
                  </w:r>
                  <w:r>
                    <w:rPr>
                      <w:rFonts w:hint="default"/>
                      <w:vertAlign w:val="subscript"/>
                    </w:rPr>
                    <w:t>2.5</w:t>
                  </w:r>
                </w:p>
              </w:tc>
              <w:tc>
                <w:tcPr>
                  <w:tcW w:w="772" w:type="dxa"/>
                  <w:tcBorders>
                    <w:top w:val="single" w:color="auto" w:sz="4" w:space="0"/>
                    <w:left w:val="nil"/>
                    <w:bottom w:val="single" w:color="auto" w:sz="4" w:space="0"/>
                    <w:right w:val="single" w:color="auto" w:sz="4" w:space="0"/>
                  </w:tcBorders>
                  <w:vAlign w:val="center"/>
                </w:tcPr>
                <w:p w14:paraId="70DF038F">
                  <w:pPr>
                    <w:pStyle w:val="42"/>
                    <w:keepNext w:val="0"/>
                    <w:keepLines w:val="0"/>
                    <w:widowControl/>
                    <w:suppressLineNumbers w:val="0"/>
                    <w:spacing w:before="0" w:beforeAutospacing="0" w:after="0" w:afterAutospacing="0"/>
                    <w:ind w:left="0" w:right="0"/>
                    <w:rPr>
                      <w:rFonts w:hint="default"/>
                    </w:rPr>
                  </w:pPr>
                  <w:r>
                    <w:rPr>
                      <w:rFonts w:hint="default"/>
                    </w:rPr>
                    <w:t>PM</w:t>
                  </w:r>
                  <w:r>
                    <w:rPr>
                      <w:rFonts w:hint="default"/>
                      <w:vertAlign w:val="subscript"/>
                    </w:rPr>
                    <w:t>10</w:t>
                  </w:r>
                </w:p>
              </w:tc>
              <w:tc>
                <w:tcPr>
                  <w:tcW w:w="477" w:type="pct"/>
                  <w:tcBorders>
                    <w:top w:val="single" w:color="auto" w:sz="4" w:space="0"/>
                    <w:left w:val="nil"/>
                    <w:bottom w:val="single" w:color="auto" w:sz="4" w:space="0"/>
                    <w:right w:val="single" w:color="auto" w:sz="4" w:space="0"/>
                  </w:tcBorders>
                  <w:vAlign w:val="center"/>
                </w:tcPr>
                <w:p w14:paraId="36987891">
                  <w:pPr>
                    <w:pStyle w:val="42"/>
                    <w:keepNext w:val="0"/>
                    <w:keepLines w:val="0"/>
                    <w:widowControl/>
                    <w:suppressLineNumbers w:val="0"/>
                    <w:spacing w:before="0" w:beforeAutospacing="0" w:after="0" w:afterAutospacing="0"/>
                    <w:ind w:left="0" w:right="0"/>
                    <w:rPr>
                      <w:rFonts w:hint="default"/>
                    </w:rPr>
                  </w:pPr>
                  <w:r>
                    <w:t>SO</w:t>
                  </w:r>
                  <w:r>
                    <w:rPr>
                      <w:vertAlign w:val="subscript"/>
                    </w:rPr>
                    <w:t>2</w:t>
                  </w:r>
                </w:p>
              </w:tc>
              <w:tc>
                <w:tcPr>
                  <w:tcW w:w="477" w:type="pct"/>
                  <w:tcBorders>
                    <w:top w:val="single" w:color="auto" w:sz="4" w:space="0"/>
                    <w:left w:val="nil"/>
                    <w:bottom w:val="single" w:color="auto" w:sz="4" w:space="0"/>
                    <w:right w:val="single" w:color="auto" w:sz="4" w:space="0"/>
                  </w:tcBorders>
                  <w:vAlign w:val="center"/>
                </w:tcPr>
                <w:p w14:paraId="125610A5">
                  <w:pPr>
                    <w:pStyle w:val="42"/>
                    <w:keepNext w:val="0"/>
                    <w:keepLines w:val="0"/>
                    <w:widowControl/>
                    <w:suppressLineNumbers w:val="0"/>
                    <w:spacing w:before="0" w:beforeAutospacing="0" w:after="0" w:afterAutospacing="0"/>
                    <w:ind w:left="0" w:right="0"/>
                    <w:rPr>
                      <w:rFonts w:hint="default"/>
                    </w:rPr>
                  </w:pPr>
                  <w:r>
                    <w:t>CO</w:t>
                  </w:r>
                </w:p>
              </w:tc>
              <w:tc>
                <w:tcPr>
                  <w:tcW w:w="477" w:type="pct"/>
                  <w:tcBorders>
                    <w:top w:val="single" w:color="auto" w:sz="4" w:space="0"/>
                    <w:left w:val="nil"/>
                    <w:bottom w:val="single" w:color="auto" w:sz="4" w:space="0"/>
                    <w:right w:val="single" w:color="auto" w:sz="4" w:space="0"/>
                  </w:tcBorders>
                  <w:vAlign w:val="center"/>
                </w:tcPr>
                <w:p w14:paraId="0AC945BD">
                  <w:pPr>
                    <w:pStyle w:val="42"/>
                    <w:keepNext w:val="0"/>
                    <w:keepLines w:val="0"/>
                    <w:widowControl/>
                    <w:suppressLineNumbers w:val="0"/>
                    <w:spacing w:before="0" w:beforeAutospacing="0" w:after="0" w:afterAutospacing="0"/>
                    <w:ind w:left="0" w:right="0"/>
                    <w:rPr>
                      <w:rFonts w:hint="default"/>
                    </w:rPr>
                  </w:pPr>
                  <w:r>
                    <w:t>O</w:t>
                  </w:r>
                  <w:r>
                    <w:rPr>
                      <w:vertAlign w:val="subscript"/>
                    </w:rPr>
                    <w:t>3</w:t>
                  </w:r>
                </w:p>
              </w:tc>
              <w:tc>
                <w:tcPr>
                  <w:tcW w:w="484" w:type="pct"/>
                  <w:tcBorders>
                    <w:top w:val="single" w:color="auto" w:sz="4" w:space="0"/>
                    <w:left w:val="nil"/>
                    <w:bottom w:val="single" w:color="auto" w:sz="4" w:space="0"/>
                    <w:right w:val="single" w:color="auto" w:sz="4" w:space="0"/>
                  </w:tcBorders>
                  <w:vAlign w:val="center"/>
                </w:tcPr>
                <w:p w14:paraId="66851530">
                  <w:pPr>
                    <w:pStyle w:val="42"/>
                    <w:keepNext w:val="0"/>
                    <w:keepLines w:val="0"/>
                    <w:widowControl/>
                    <w:suppressLineNumbers w:val="0"/>
                    <w:spacing w:before="0" w:beforeAutospacing="0" w:after="0" w:afterAutospacing="0"/>
                    <w:ind w:left="0" w:right="0"/>
                    <w:rPr>
                      <w:rFonts w:hint="default"/>
                    </w:rPr>
                  </w:pPr>
                  <w:r>
                    <w:t>NO</w:t>
                  </w:r>
                  <w:r>
                    <w:rPr>
                      <w:vertAlign w:val="subscript"/>
                    </w:rPr>
                    <w:t>2</w:t>
                  </w:r>
                </w:p>
              </w:tc>
              <w:tc>
                <w:tcPr>
                  <w:tcW w:w="734" w:type="pct"/>
                  <w:vMerge w:val="continue"/>
                  <w:tcBorders>
                    <w:left w:val="nil"/>
                    <w:bottom w:val="single" w:color="auto" w:sz="4" w:space="0"/>
                    <w:right w:val="single" w:color="auto" w:sz="4" w:space="0"/>
                  </w:tcBorders>
                  <w:vAlign w:val="center"/>
                </w:tcPr>
                <w:p w14:paraId="1A8AAEC0">
                  <w:pPr>
                    <w:pStyle w:val="42"/>
                    <w:keepNext w:val="0"/>
                    <w:keepLines w:val="0"/>
                    <w:widowControl/>
                    <w:suppressLineNumbers w:val="0"/>
                    <w:spacing w:before="0" w:beforeAutospacing="0" w:after="0" w:afterAutospacing="0"/>
                    <w:ind w:left="0" w:right="0"/>
                    <w:rPr>
                      <w:rFonts w:hint="default"/>
                    </w:rPr>
                  </w:pPr>
                </w:p>
              </w:tc>
            </w:tr>
            <w:tr w14:paraId="04EAC262">
              <w:tblPrEx>
                <w:tblCellMar>
                  <w:top w:w="0" w:type="dxa"/>
                  <w:left w:w="108" w:type="dxa"/>
                  <w:bottom w:w="0" w:type="dxa"/>
                  <w:right w:w="108" w:type="dxa"/>
                </w:tblCellMar>
              </w:tblPrEx>
              <w:trPr>
                <w:cantSplit/>
                <w:trHeight w:val="567" w:hRule="atLeast"/>
                <w:jc w:val="center"/>
              </w:trPr>
              <w:tc>
                <w:tcPr>
                  <w:tcW w:w="637" w:type="pct"/>
                  <w:tcBorders>
                    <w:top w:val="single" w:color="auto" w:sz="4" w:space="0"/>
                    <w:left w:val="single" w:color="auto" w:sz="4" w:space="0"/>
                    <w:bottom w:val="single" w:color="auto" w:sz="4" w:space="0"/>
                    <w:right w:val="single" w:color="auto" w:sz="4" w:space="0"/>
                  </w:tcBorders>
                  <w:vAlign w:val="center"/>
                </w:tcPr>
                <w:p w14:paraId="30F2E203">
                  <w:pPr>
                    <w:pStyle w:val="42"/>
                    <w:keepNext w:val="0"/>
                    <w:keepLines w:val="0"/>
                    <w:widowControl/>
                    <w:suppressLineNumbers w:val="0"/>
                    <w:spacing w:before="0" w:beforeAutospacing="0" w:after="0" w:afterAutospacing="0"/>
                    <w:ind w:left="0" w:right="0"/>
                    <w:rPr>
                      <w:rFonts w:hint="default"/>
                    </w:rPr>
                  </w:pPr>
                  <w:r>
                    <w:t>宽城满族自治县</w:t>
                  </w:r>
                </w:p>
              </w:tc>
              <w:tc>
                <w:tcPr>
                  <w:tcW w:w="757" w:type="pct"/>
                  <w:tcBorders>
                    <w:top w:val="single" w:color="auto" w:sz="4" w:space="0"/>
                    <w:left w:val="nil"/>
                    <w:bottom w:val="single" w:color="auto" w:sz="4" w:space="0"/>
                    <w:right w:val="single" w:color="auto" w:sz="4" w:space="0"/>
                  </w:tcBorders>
                  <w:vAlign w:val="center"/>
                </w:tcPr>
                <w:p w14:paraId="70D567AD">
                  <w:pPr>
                    <w:pStyle w:val="42"/>
                    <w:keepNext w:val="0"/>
                    <w:keepLines w:val="0"/>
                    <w:widowControl/>
                    <w:suppressLineNumbers w:val="0"/>
                    <w:spacing w:before="0" w:beforeAutospacing="0" w:after="0" w:afterAutospacing="0"/>
                    <w:ind w:left="0" w:right="0"/>
                    <w:rPr>
                      <w:rFonts w:hint="default"/>
                    </w:rPr>
                  </w:pPr>
                  <w:r>
                    <w:t>3.61</w:t>
                  </w:r>
                </w:p>
              </w:tc>
              <w:tc>
                <w:tcPr>
                  <w:tcW w:w="772" w:type="dxa"/>
                  <w:tcBorders>
                    <w:top w:val="single" w:color="auto" w:sz="4" w:space="0"/>
                    <w:left w:val="nil"/>
                    <w:bottom w:val="single" w:color="auto" w:sz="4" w:space="0"/>
                    <w:right w:val="single" w:color="auto" w:sz="4" w:space="0"/>
                  </w:tcBorders>
                  <w:vAlign w:val="center"/>
                </w:tcPr>
                <w:p w14:paraId="45F748D7">
                  <w:pPr>
                    <w:pStyle w:val="42"/>
                    <w:keepNext w:val="0"/>
                    <w:keepLines w:val="0"/>
                    <w:widowControl/>
                    <w:suppressLineNumbers w:val="0"/>
                    <w:spacing w:before="0" w:beforeAutospacing="0" w:after="0" w:afterAutospacing="0"/>
                    <w:ind w:left="0" w:right="0"/>
                    <w:rPr>
                      <w:rFonts w:hint="default"/>
                    </w:rPr>
                  </w:pPr>
                  <w:r>
                    <w:t>25</w:t>
                  </w:r>
                </w:p>
              </w:tc>
              <w:tc>
                <w:tcPr>
                  <w:tcW w:w="772" w:type="dxa"/>
                  <w:tcBorders>
                    <w:top w:val="single" w:color="auto" w:sz="4" w:space="0"/>
                    <w:left w:val="nil"/>
                    <w:bottom w:val="single" w:color="auto" w:sz="4" w:space="0"/>
                    <w:right w:val="single" w:color="auto" w:sz="4" w:space="0"/>
                  </w:tcBorders>
                  <w:vAlign w:val="center"/>
                </w:tcPr>
                <w:p w14:paraId="3AB236A6">
                  <w:pPr>
                    <w:pStyle w:val="42"/>
                    <w:keepNext w:val="0"/>
                    <w:keepLines w:val="0"/>
                    <w:widowControl/>
                    <w:suppressLineNumbers w:val="0"/>
                    <w:spacing w:before="0" w:beforeAutospacing="0" w:after="0" w:afterAutospacing="0"/>
                    <w:ind w:left="0" w:right="0"/>
                    <w:rPr>
                      <w:rFonts w:hint="default"/>
                    </w:rPr>
                  </w:pPr>
                  <w:r>
                    <w:t>49</w:t>
                  </w:r>
                </w:p>
              </w:tc>
              <w:tc>
                <w:tcPr>
                  <w:tcW w:w="477" w:type="pct"/>
                  <w:tcBorders>
                    <w:top w:val="single" w:color="auto" w:sz="4" w:space="0"/>
                    <w:left w:val="nil"/>
                    <w:bottom w:val="single" w:color="auto" w:sz="4" w:space="0"/>
                    <w:right w:val="single" w:color="auto" w:sz="4" w:space="0"/>
                  </w:tcBorders>
                  <w:vAlign w:val="center"/>
                </w:tcPr>
                <w:p w14:paraId="61E75046">
                  <w:pPr>
                    <w:pStyle w:val="42"/>
                    <w:keepNext w:val="0"/>
                    <w:keepLines w:val="0"/>
                    <w:widowControl/>
                    <w:suppressLineNumbers w:val="0"/>
                    <w:spacing w:before="0" w:beforeAutospacing="0" w:after="0" w:afterAutospacing="0"/>
                    <w:ind w:left="0" w:right="0"/>
                    <w:rPr>
                      <w:rFonts w:hint="default"/>
                    </w:rPr>
                  </w:pPr>
                  <w:r>
                    <w:t>12</w:t>
                  </w:r>
                </w:p>
              </w:tc>
              <w:tc>
                <w:tcPr>
                  <w:tcW w:w="477" w:type="pct"/>
                  <w:tcBorders>
                    <w:top w:val="single" w:color="auto" w:sz="4" w:space="0"/>
                    <w:left w:val="nil"/>
                    <w:right w:val="single" w:color="auto" w:sz="4" w:space="0"/>
                  </w:tcBorders>
                  <w:vAlign w:val="center"/>
                </w:tcPr>
                <w:p w14:paraId="01FF82B2">
                  <w:pPr>
                    <w:pStyle w:val="42"/>
                    <w:keepNext w:val="0"/>
                    <w:keepLines w:val="0"/>
                    <w:widowControl/>
                    <w:suppressLineNumbers w:val="0"/>
                    <w:spacing w:before="0" w:beforeAutospacing="0" w:after="0" w:afterAutospacing="0"/>
                    <w:ind w:left="0" w:right="0"/>
                    <w:rPr>
                      <w:rFonts w:hint="default"/>
                    </w:rPr>
                  </w:pPr>
                  <w:r>
                    <w:t>1.3</w:t>
                  </w:r>
                </w:p>
              </w:tc>
              <w:tc>
                <w:tcPr>
                  <w:tcW w:w="477" w:type="pct"/>
                  <w:tcBorders>
                    <w:top w:val="single" w:color="auto" w:sz="4" w:space="0"/>
                    <w:left w:val="nil"/>
                    <w:right w:val="single" w:color="auto" w:sz="4" w:space="0"/>
                  </w:tcBorders>
                  <w:vAlign w:val="center"/>
                </w:tcPr>
                <w:p w14:paraId="4245A468">
                  <w:pPr>
                    <w:pStyle w:val="42"/>
                    <w:keepNext w:val="0"/>
                    <w:keepLines w:val="0"/>
                    <w:widowControl/>
                    <w:suppressLineNumbers w:val="0"/>
                    <w:spacing w:before="0" w:beforeAutospacing="0" w:after="0" w:afterAutospacing="0"/>
                    <w:ind w:left="0" w:right="0"/>
                    <w:rPr>
                      <w:rFonts w:hint="default"/>
                    </w:rPr>
                  </w:pPr>
                  <w:r>
                    <w:t>172</w:t>
                  </w:r>
                </w:p>
              </w:tc>
              <w:tc>
                <w:tcPr>
                  <w:tcW w:w="484" w:type="pct"/>
                  <w:tcBorders>
                    <w:top w:val="single" w:color="auto" w:sz="4" w:space="0"/>
                    <w:left w:val="nil"/>
                    <w:right w:val="single" w:color="auto" w:sz="4" w:space="0"/>
                  </w:tcBorders>
                  <w:vAlign w:val="center"/>
                </w:tcPr>
                <w:p w14:paraId="04C0F70A">
                  <w:pPr>
                    <w:pStyle w:val="42"/>
                    <w:keepNext w:val="0"/>
                    <w:keepLines w:val="0"/>
                    <w:widowControl/>
                    <w:suppressLineNumbers w:val="0"/>
                    <w:spacing w:before="0" w:beforeAutospacing="0" w:after="0" w:afterAutospacing="0"/>
                    <w:ind w:left="0" w:right="0"/>
                    <w:rPr>
                      <w:rFonts w:hint="default"/>
                    </w:rPr>
                  </w:pPr>
                  <w:r>
                    <w:t>24</w:t>
                  </w:r>
                </w:p>
              </w:tc>
              <w:tc>
                <w:tcPr>
                  <w:tcW w:w="734" w:type="pct"/>
                  <w:tcBorders>
                    <w:top w:val="single" w:color="auto" w:sz="4" w:space="0"/>
                    <w:left w:val="nil"/>
                    <w:right w:val="single" w:color="auto" w:sz="4" w:space="0"/>
                  </w:tcBorders>
                  <w:vAlign w:val="center"/>
                </w:tcPr>
                <w:p w14:paraId="79D1E929">
                  <w:pPr>
                    <w:pStyle w:val="42"/>
                    <w:keepNext w:val="0"/>
                    <w:keepLines w:val="0"/>
                    <w:widowControl/>
                    <w:suppressLineNumbers w:val="0"/>
                    <w:spacing w:before="0" w:beforeAutospacing="0" w:after="0" w:afterAutospacing="0"/>
                    <w:ind w:left="0" w:right="0"/>
                    <w:rPr>
                      <w:rFonts w:hint="default"/>
                    </w:rPr>
                  </w:pPr>
                  <w:r>
                    <w:t>O</w:t>
                  </w:r>
                  <w:r>
                    <w:rPr>
                      <w:vertAlign w:val="subscript"/>
                    </w:rPr>
                    <w:t>3</w:t>
                  </w:r>
                </w:p>
              </w:tc>
            </w:tr>
            <w:tr w14:paraId="18D242B7">
              <w:tblPrEx>
                <w:tblCellMar>
                  <w:top w:w="0" w:type="dxa"/>
                  <w:left w:w="108" w:type="dxa"/>
                  <w:bottom w:w="0" w:type="dxa"/>
                  <w:right w:w="108" w:type="dxa"/>
                </w:tblCellMar>
              </w:tblPrEx>
              <w:trPr>
                <w:cantSplit/>
                <w:trHeight w:val="567" w:hRule="atLeast"/>
                <w:jc w:val="center"/>
              </w:trPr>
              <w:tc>
                <w:tcPr>
                  <w:tcW w:w="1394" w:type="pct"/>
                  <w:gridSpan w:val="2"/>
                  <w:tcBorders>
                    <w:top w:val="single" w:color="auto" w:sz="4" w:space="0"/>
                    <w:left w:val="single" w:color="auto" w:sz="4" w:space="0"/>
                    <w:bottom w:val="single" w:color="auto" w:sz="4" w:space="0"/>
                    <w:right w:val="single" w:color="auto" w:sz="4" w:space="0"/>
                  </w:tcBorders>
                  <w:vAlign w:val="center"/>
                </w:tcPr>
                <w:p w14:paraId="3D2FE013">
                  <w:pPr>
                    <w:pStyle w:val="42"/>
                    <w:keepNext w:val="0"/>
                    <w:keepLines w:val="0"/>
                    <w:widowControl/>
                    <w:suppressLineNumbers w:val="0"/>
                    <w:spacing w:before="0" w:beforeAutospacing="0" w:after="0" w:afterAutospacing="0"/>
                    <w:ind w:left="0" w:right="0"/>
                    <w:rPr>
                      <w:rFonts w:hint="default"/>
                    </w:rPr>
                  </w:pPr>
                  <w:r>
                    <w:t>年均浓度限值</w:t>
                  </w:r>
                </w:p>
              </w:tc>
              <w:tc>
                <w:tcPr>
                  <w:tcW w:w="772" w:type="dxa"/>
                  <w:tcBorders>
                    <w:top w:val="single" w:color="auto" w:sz="4" w:space="0"/>
                    <w:left w:val="nil"/>
                    <w:bottom w:val="single" w:color="auto" w:sz="4" w:space="0"/>
                    <w:right w:val="single" w:color="auto" w:sz="4" w:space="0"/>
                  </w:tcBorders>
                  <w:vAlign w:val="center"/>
                </w:tcPr>
                <w:p w14:paraId="70B414C3">
                  <w:pPr>
                    <w:pStyle w:val="42"/>
                    <w:keepNext w:val="0"/>
                    <w:keepLines w:val="0"/>
                    <w:widowControl/>
                    <w:suppressLineNumbers w:val="0"/>
                    <w:spacing w:before="0" w:beforeAutospacing="0" w:after="0" w:afterAutospacing="0"/>
                    <w:ind w:left="0" w:right="0"/>
                    <w:rPr>
                      <w:rFonts w:hint="default"/>
                    </w:rPr>
                  </w:pPr>
                  <w:r>
                    <w:rPr>
                      <w:rFonts w:hint="default"/>
                    </w:rPr>
                    <w:t>35</w:t>
                  </w:r>
                </w:p>
              </w:tc>
              <w:tc>
                <w:tcPr>
                  <w:tcW w:w="772" w:type="dxa"/>
                  <w:tcBorders>
                    <w:top w:val="single" w:color="auto" w:sz="4" w:space="0"/>
                    <w:left w:val="nil"/>
                    <w:bottom w:val="single" w:color="auto" w:sz="4" w:space="0"/>
                    <w:right w:val="single" w:color="auto" w:sz="4" w:space="0"/>
                  </w:tcBorders>
                  <w:vAlign w:val="center"/>
                </w:tcPr>
                <w:p w14:paraId="478D7134">
                  <w:pPr>
                    <w:pStyle w:val="42"/>
                    <w:keepNext w:val="0"/>
                    <w:keepLines w:val="0"/>
                    <w:widowControl/>
                    <w:suppressLineNumbers w:val="0"/>
                    <w:spacing w:before="0" w:beforeAutospacing="0" w:after="0" w:afterAutospacing="0"/>
                    <w:ind w:left="0" w:right="0"/>
                    <w:rPr>
                      <w:rFonts w:hint="default"/>
                    </w:rPr>
                  </w:pPr>
                  <w:r>
                    <w:rPr>
                      <w:rFonts w:hint="default"/>
                    </w:rPr>
                    <w:t>70</w:t>
                  </w:r>
                </w:p>
              </w:tc>
              <w:tc>
                <w:tcPr>
                  <w:tcW w:w="477" w:type="pct"/>
                  <w:tcBorders>
                    <w:top w:val="single" w:color="auto" w:sz="4" w:space="0"/>
                    <w:left w:val="nil"/>
                    <w:bottom w:val="single" w:color="auto" w:sz="4" w:space="0"/>
                    <w:right w:val="single" w:color="auto" w:sz="4" w:space="0"/>
                  </w:tcBorders>
                  <w:vAlign w:val="center"/>
                </w:tcPr>
                <w:p w14:paraId="183CB52E">
                  <w:pPr>
                    <w:pStyle w:val="42"/>
                    <w:keepNext w:val="0"/>
                    <w:keepLines w:val="0"/>
                    <w:widowControl/>
                    <w:suppressLineNumbers w:val="0"/>
                    <w:spacing w:before="0" w:beforeAutospacing="0" w:after="0" w:afterAutospacing="0"/>
                    <w:ind w:left="0" w:right="0"/>
                    <w:rPr>
                      <w:rFonts w:hint="default"/>
                    </w:rPr>
                  </w:pPr>
                  <w:r>
                    <w:t>60</w:t>
                  </w:r>
                </w:p>
              </w:tc>
              <w:tc>
                <w:tcPr>
                  <w:tcW w:w="477" w:type="pct"/>
                  <w:tcBorders>
                    <w:top w:val="single" w:color="auto" w:sz="4" w:space="0"/>
                    <w:left w:val="nil"/>
                    <w:bottom w:val="single" w:color="auto" w:sz="4" w:space="0"/>
                    <w:right w:val="single" w:color="auto" w:sz="4" w:space="0"/>
                  </w:tcBorders>
                  <w:vAlign w:val="center"/>
                </w:tcPr>
                <w:p w14:paraId="6BFF5EA7">
                  <w:pPr>
                    <w:pStyle w:val="42"/>
                    <w:keepNext w:val="0"/>
                    <w:keepLines w:val="0"/>
                    <w:widowControl/>
                    <w:suppressLineNumbers w:val="0"/>
                    <w:spacing w:before="0" w:beforeAutospacing="0" w:after="0" w:afterAutospacing="0"/>
                    <w:ind w:left="0" w:right="0"/>
                    <w:rPr>
                      <w:rFonts w:hint="default"/>
                    </w:rPr>
                  </w:pPr>
                  <w:r>
                    <w:t>4</w:t>
                  </w:r>
                </w:p>
              </w:tc>
              <w:tc>
                <w:tcPr>
                  <w:tcW w:w="477" w:type="pct"/>
                  <w:tcBorders>
                    <w:top w:val="single" w:color="auto" w:sz="4" w:space="0"/>
                    <w:left w:val="nil"/>
                    <w:bottom w:val="single" w:color="auto" w:sz="4" w:space="0"/>
                    <w:right w:val="single" w:color="auto" w:sz="4" w:space="0"/>
                  </w:tcBorders>
                  <w:vAlign w:val="center"/>
                </w:tcPr>
                <w:p w14:paraId="3EDF2EAB">
                  <w:pPr>
                    <w:pStyle w:val="42"/>
                    <w:keepNext w:val="0"/>
                    <w:keepLines w:val="0"/>
                    <w:widowControl/>
                    <w:suppressLineNumbers w:val="0"/>
                    <w:spacing w:before="0" w:beforeAutospacing="0" w:after="0" w:afterAutospacing="0"/>
                    <w:ind w:left="0" w:right="0"/>
                    <w:rPr>
                      <w:rFonts w:hint="default"/>
                    </w:rPr>
                  </w:pPr>
                  <w:r>
                    <w:t>160</w:t>
                  </w:r>
                </w:p>
              </w:tc>
              <w:tc>
                <w:tcPr>
                  <w:tcW w:w="484" w:type="pct"/>
                  <w:tcBorders>
                    <w:top w:val="single" w:color="auto" w:sz="4" w:space="0"/>
                    <w:left w:val="nil"/>
                    <w:bottom w:val="single" w:color="auto" w:sz="4" w:space="0"/>
                    <w:right w:val="single" w:color="auto" w:sz="4" w:space="0"/>
                  </w:tcBorders>
                  <w:vAlign w:val="center"/>
                </w:tcPr>
                <w:p w14:paraId="130E35A8">
                  <w:pPr>
                    <w:pStyle w:val="42"/>
                    <w:keepNext w:val="0"/>
                    <w:keepLines w:val="0"/>
                    <w:widowControl/>
                    <w:suppressLineNumbers w:val="0"/>
                    <w:spacing w:before="0" w:beforeAutospacing="0" w:after="0" w:afterAutospacing="0"/>
                    <w:ind w:left="0" w:right="0"/>
                    <w:rPr>
                      <w:rFonts w:hint="default"/>
                    </w:rPr>
                  </w:pPr>
                  <w:r>
                    <w:t>40</w:t>
                  </w:r>
                </w:p>
              </w:tc>
              <w:tc>
                <w:tcPr>
                  <w:tcW w:w="734" w:type="pct"/>
                  <w:tcBorders>
                    <w:top w:val="single" w:color="auto" w:sz="4" w:space="0"/>
                    <w:left w:val="nil"/>
                    <w:bottom w:val="single" w:color="auto" w:sz="4" w:space="0"/>
                    <w:right w:val="single" w:color="auto" w:sz="4" w:space="0"/>
                  </w:tcBorders>
                  <w:vAlign w:val="center"/>
                </w:tcPr>
                <w:p w14:paraId="232D3836">
                  <w:pPr>
                    <w:pStyle w:val="42"/>
                    <w:keepNext w:val="0"/>
                    <w:keepLines w:val="0"/>
                    <w:widowControl/>
                    <w:suppressLineNumbers w:val="0"/>
                    <w:spacing w:before="0" w:beforeAutospacing="0" w:after="0" w:afterAutospacing="0"/>
                    <w:ind w:left="0" w:right="0"/>
                    <w:rPr>
                      <w:rFonts w:hint="default"/>
                    </w:rPr>
                  </w:pPr>
                  <w:r>
                    <w:t>/</w:t>
                  </w:r>
                </w:p>
              </w:tc>
            </w:tr>
          </w:tbl>
          <w:p w14:paraId="55562AD0">
            <w:pPr>
              <w:keepNext w:val="0"/>
              <w:keepLines w:val="0"/>
              <w:suppressLineNumbers w:val="0"/>
              <w:spacing w:before="0" w:beforeAutospacing="0" w:after="0" w:afterAutospacing="0"/>
              <w:ind w:left="0" w:right="0" w:firstLine="361"/>
              <w:rPr>
                <w:rFonts w:hint="default"/>
                <w:b/>
                <w:bCs/>
                <w:sz w:val="18"/>
              </w:rPr>
            </w:pPr>
            <w:r>
              <w:rPr>
                <w:rFonts w:hint="default"/>
                <w:b/>
                <w:bCs/>
                <w:sz w:val="18"/>
              </w:rPr>
              <w:t>注：</w:t>
            </w:r>
            <w:r>
              <w:rPr>
                <w:rFonts w:hint="eastAsia"/>
                <w:b/>
                <w:bCs/>
                <w:sz w:val="18"/>
              </w:rPr>
              <w:t>1.CO的浓度单位是mg/m</w:t>
            </w:r>
            <w:r>
              <w:rPr>
                <w:rFonts w:hint="eastAsia"/>
                <w:b/>
                <w:bCs/>
                <w:sz w:val="18"/>
                <w:vertAlign w:val="superscript"/>
              </w:rPr>
              <w:t>3</w:t>
            </w:r>
            <w:r>
              <w:rPr>
                <w:rFonts w:hint="eastAsia"/>
                <w:b/>
                <w:bCs/>
                <w:sz w:val="18"/>
              </w:rPr>
              <w:t>，PM</w:t>
            </w:r>
            <w:r>
              <w:rPr>
                <w:rFonts w:hint="eastAsia"/>
                <w:b/>
                <w:bCs/>
                <w:sz w:val="18"/>
                <w:vertAlign w:val="subscript"/>
              </w:rPr>
              <w:t>2.5</w:t>
            </w:r>
            <w:r>
              <w:rPr>
                <w:rFonts w:hint="eastAsia"/>
                <w:b/>
                <w:bCs/>
                <w:sz w:val="18"/>
              </w:rPr>
              <w:t>、PM</w:t>
            </w:r>
            <w:r>
              <w:rPr>
                <w:rFonts w:hint="eastAsia"/>
                <w:b/>
                <w:bCs/>
                <w:sz w:val="18"/>
                <w:vertAlign w:val="subscript"/>
              </w:rPr>
              <w:t>10</w:t>
            </w:r>
            <w:r>
              <w:rPr>
                <w:rFonts w:hint="eastAsia"/>
                <w:b/>
                <w:bCs/>
                <w:sz w:val="18"/>
              </w:rPr>
              <w:t>、NO</w:t>
            </w:r>
            <w:r>
              <w:rPr>
                <w:rFonts w:hint="eastAsia"/>
                <w:b/>
                <w:bCs/>
                <w:sz w:val="18"/>
                <w:vertAlign w:val="subscript"/>
              </w:rPr>
              <w:t>2</w:t>
            </w:r>
            <w:r>
              <w:rPr>
                <w:rFonts w:hint="eastAsia"/>
                <w:b/>
                <w:bCs/>
                <w:sz w:val="18"/>
              </w:rPr>
              <w:t>、SO</w:t>
            </w:r>
            <w:r>
              <w:rPr>
                <w:rFonts w:hint="eastAsia"/>
                <w:b/>
                <w:bCs/>
                <w:sz w:val="18"/>
                <w:vertAlign w:val="subscript"/>
              </w:rPr>
              <w:t>2</w:t>
            </w:r>
            <w:r>
              <w:rPr>
                <w:rFonts w:hint="eastAsia"/>
                <w:b/>
                <w:bCs/>
                <w:sz w:val="18"/>
              </w:rPr>
              <w:t>、O</w:t>
            </w:r>
            <w:r>
              <w:rPr>
                <w:rFonts w:hint="eastAsia"/>
                <w:b/>
                <w:bCs/>
                <w:sz w:val="18"/>
                <w:vertAlign w:val="subscript"/>
              </w:rPr>
              <w:t>3</w:t>
            </w:r>
            <w:r>
              <w:rPr>
                <w:rFonts w:hint="eastAsia"/>
                <w:b/>
                <w:bCs/>
                <w:sz w:val="18"/>
              </w:rPr>
              <w:t>的浓度单位是μg/m</w:t>
            </w:r>
            <w:r>
              <w:rPr>
                <w:rFonts w:hint="eastAsia"/>
                <w:b/>
                <w:bCs/>
                <w:sz w:val="18"/>
                <w:vertAlign w:val="superscript"/>
              </w:rPr>
              <w:t>3</w:t>
            </w:r>
            <w:r>
              <w:rPr>
                <w:rFonts w:hint="eastAsia"/>
                <w:b/>
                <w:bCs/>
                <w:sz w:val="18"/>
              </w:rPr>
              <w:t>；2.CO</w:t>
            </w:r>
            <w:r>
              <w:rPr>
                <w:rFonts w:hint="default"/>
                <w:b/>
                <w:bCs/>
                <w:sz w:val="18"/>
              </w:rPr>
              <w:t>为24小时平均第</w:t>
            </w:r>
            <w:r>
              <w:rPr>
                <w:rFonts w:hint="eastAsia"/>
                <w:b/>
                <w:bCs/>
                <w:sz w:val="18"/>
              </w:rPr>
              <w:t>95百分位数，</w:t>
            </w:r>
            <w:r>
              <w:rPr>
                <w:rFonts w:hint="default"/>
                <w:b/>
                <w:bCs/>
                <w:sz w:val="18"/>
              </w:rPr>
              <w:t>O</w:t>
            </w:r>
            <w:r>
              <w:rPr>
                <w:rFonts w:hint="default"/>
                <w:b/>
                <w:bCs/>
                <w:sz w:val="18"/>
                <w:vertAlign w:val="subscript"/>
              </w:rPr>
              <w:t>3</w:t>
            </w:r>
            <w:r>
              <w:rPr>
                <w:rFonts w:hint="default"/>
                <w:b/>
                <w:bCs/>
                <w:sz w:val="18"/>
              </w:rPr>
              <w:t>为日最大8小时平均</w:t>
            </w:r>
            <w:r>
              <w:rPr>
                <w:rFonts w:hint="eastAsia"/>
                <w:b/>
                <w:bCs/>
                <w:sz w:val="18"/>
              </w:rPr>
              <w:t>第90百分位数。</w:t>
            </w:r>
          </w:p>
          <w:p w14:paraId="65B56093">
            <w:pPr>
              <w:keepNext w:val="0"/>
              <w:keepLines w:val="0"/>
              <w:numPr>
                <w:ilvl w:val="0"/>
                <w:numId w:val="13"/>
              </w:numPr>
              <w:suppressLineNumbers w:val="0"/>
              <w:tabs>
                <w:tab w:val="left" w:pos="0"/>
              </w:tabs>
              <w:spacing w:before="0" w:beforeAutospacing="0" w:after="0" w:afterAutospacing="0"/>
              <w:ind w:left="0" w:right="0" w:firstLine="0" w:firstLineChars="0"/>
              <w:jc w:val="center"/>
              <w:rPr>
                <w:rFonts w:hint="default"/>
                <w:b/>
                <w:sz w:val="21"/>
                <w:szCs w:val="21"/>
              </w:rPr>
            </w:pPr>
            <w:r>
              <w:rPr>
                <w:rFonts w:hint="default"/>
                <w:b/>
                <w:sz w:val="21"/>
                <w:szCs w:val="21"/>
              </w:rPr>
              <w:t>区域环境空气质量现状评价表（</w:t>
            </w:r>
            <w:r>
              <w:rPr>
                <w:rFonts w:hint="eastAsia"/>
                <w:b/>
                <w:sz w:val="21"/>
                <w:szCs w:val="21"/>
              </w:rPr>
              <w:t>宽城满族自治县</w:t>
            </w:r>
            <w:r>
              <w:rPr>
                <w:rFonts w:hint="default"/>
                <w:b/>
                <w:sz w:val="21"/>
                <w:szCs w:val="21"/>
              </w:rPr>
              <w:t>）</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689"/>
              <w:gridCol w:w="900"/>
              <w:gridCol w:w="901"/>
              <w:gridCol w:w="901"/>
              <w:gridCol w:w="901"/>
              <w:gridCol w:w="901"/>
              <w:gridCol w:w="901"/>
            </w:tblGrid>
            <w:tr w14:paraId="1345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2" w:type="pct"/>
                  <w:vAlign w:val="center"/>
                </w:tcPr>
                <w:p w14:paraId="7A46E0A2">
                  <w:pPr>
                    <w:pStyle w:val="42"/>
                    <w:keepNext w:val="0"/>
                    <w:keepLines w:val="0"/>
                    <w:widowControl/>
                    <w:suppressLineNumbers w:val="0"/>
                    <w:spacing w:before="0" w:beforeAutospacing="0" w:after="0" w:afterAutospacing="0"/>
                    <w:ind w:left="0" w:right="0"/>
                    <w:rPr>
                      <w:rFonts w:hint="default"/>
                    </w:rPr>
                  </w:pPr>
                  <w:r>
                    <w:rPr>
                      <w:rFonts w:hint="default"/>
                    </w:rPr>
                    <w:t>年份</w:t>
                  </w:r>
                </w:p>
              </w:tc>
              <w:tc>
                <w:tcPr>
                  <w:tcW w:w="1015" w:type="pct"/>
                  <w:vAlign w:val="center"/>
                </w:tcPr>
                <w:p w14:paraId="0C24A303">
                  <w:pPr>
                    <w:pStyle w:val="42"/>
                    <w:keepNext w:val="0"/>
                    <w:keepLines w:val="0"/>
                    <w:widowControl/>
                    <w:suppressLineNumbers w:val="0"/>
                    <w:spacing w:before="0" w:beforeAutospacing="0" w:after="0" w:afterAutospacing="0"/>
                    <w:ind w:left="0" w:right="0"/>
                    <w:rPr>
                      <w:rFonts w:hint="default"/>
                    </w:rPr>
                  </w:pPr>
                  <w:r>
                    <w:rPr>
                      <w:rFonts w:hint="default"/>
                    </w:rPr>
                    <w:t>环境空气质量综合指数</w:t>
                  </w:r>
                </w:p>
              </w:tc>
              <w:tc>
                <w:tcPr>
                  <w:tcW w:w="875" w:type="dxa"/>
                  <w:vAlign w:val="center"/>
                </w:tcPr>
                <w:p w14:paraId="748E5CD0">
                  <w:pPr>
                    <w:pStyle w:val="42"/>
                    <w:keepNext w:val="0"/>
                    <w:keepLines w:val="0"/>
                    <w:widowControl/>
                    <w:suppressLineNumbers w:val="0"/>
                    <w:spacing w:before="0" w:beforeAutospacing="0" w:after="0" w:afterAutospacing="0"/>
                    <w:ind w:left="0" w:right="0"/>
                    <w:rPr>
                      <w:rFonts w:hint="default"/>
                    </w:rPr>
                  </w:pPr>
                  <w:r>
                    <w:rPr>
                      <w:rFonts w:hint="default"/>
                    </w:rPr>
                    <w:t>PM</w:t>
                  </w:r>
                  <w:r>
                    <w:rPr>
                      <w:rFonts w:hint="default"/>
                      <w:vertAlign w:val="subscript"/>
                    </w:rPr>
                    <w:t>2.5</w:t>
                  </w:r>
                </w:p>
              </w:tc>
              <w:tc>
                <w:tcPr>
                  <w:tcW w:w="875" w:type="dxa"/>
                  <w:vAlign w:val="center"/>
                </w:tcPr>
                <w:p w14:paraId="148B96A5">
                  <w:pPr>
                    <w:pStyle w:val="42"/>
                    <w:keepNext w:val="0"/>
                    <w:keepLines w:val="0"/>
                    <w:widowControl/>
                    <w:suppressLineNumbers w:val="0"/>
                    <w:spacing w:before="0" w:beforeAutospacing="0" w:after="0" w:afterAutospacing="0"/>
                    <w:ind w:left="0" w:right="0"/>
                    <w:rPr>
                      <w:rFonts w:hint="default"/>
                    </w:rPr>
                  </w:pPr>
                  <w:r>
                    <w:rPr>
                      <w:rFonts w:hint="default"/>
                    </w:rPr>
                    <w:t>PM</w:t>
                  </w:r>
                  <w:r>
                    <w:rPr>
                      <w:rFonts w:hint="default"/>
                      <w:vertAlign w:val="subscript"/>
                    </w:rPr>
                    <w:t>10</w:t>
                  </w:r>
                </w:p>
              </w:tc>
              <w:tc>
                <w:tcPr>
                  <w:tcW w:w="541" w:type="pct"/>
                  <w:vAlign w:val="center"/>
                </w:tcPr>
                <w:p w14:paraId="4A1EEDD1">
                  <w:pPr>
                    <w:pStyle w:val="42"/>
                    <w:keepNext w:val="0"/>
                    <w:keepLines w:val="0"/>
                    <w:widowControl/>
                    <w:suppressLineNumbers w:val="0"/>
                    <w:spacing w:before="0" w:beforeAutospacing="0" w:after="0" w:afterAutospacing="0"/>
                    <w:ind w:left="0" w:right="0"/>
                    <w:rPr>
                      <w:rFonts w:hint="default"/>
                    </w:rPr>
                  </w:pPr>
                  <w:r>
                    <w:rPr>
                      <w:rFonts w:hint="default"/>
                    </w:rPr>
                    <w:t>SO</w:t>
                  </w:r>
                  <w:r>
                    <w:rPr>
                      <w:rFonts w:hint="default"/>
                      <w:vertAlign w:val="subscript"/>
                    </w:rPr>
                    <w:t>2</w:t>
                  </w:r>
                </w:p>
              </w:tc>
              <w:tc>
                <w:tcPr>
                  <w:tcW w:w="541" w:type="pct"/>
                  <w:vAlign w:val="center"/>
                </w:tcPr>
                <w:p w14:paraId="1F963568">
                  <w:pPr>
                    <w:pStyle w:val="42"/>
                    <w:keepNext w:val="0"/>
                    <w:keepLines w:val="0"/>
                    <w:widowControl/>
                    <w:suppressLineNumbers w:val="0"/>
                    <w:spacing w:before="0" w:beforeAutospacing="0" w:after="0" w:afterAutospacing="0"/>
                    <w:ind w:left="0" w:right="0"/>
                    <w:rPr>
                      <w:rFonts w:hint="default"/>
                    </w:rPr>
                  </w:pPr>
                  <w:r>
                    <w:rPr>
                      <w:rFonts w:hint="default"/>
                    </w:rPr>
                    <w:t>CO</w:t>
                  </w:r>
                </w:p>
              </w:tc>
              <w:tc>
                <w:tcPr>
                  <w:tcW w:w="541" w:type="pct"/>
                  <w:vAlign w:val="center"/>
                </w:tcPr>
                <w:p w14:paraId="608B9F63">
                  <w:pPr>
                    <w:pStyle w:val="42"/>
                    <w:keepNext w:val="0"/>
                    <w:keepLines w:val="0"/>
                    <w:widowControl/>
                    <w:suppressLineNumbers w:val="0"/>
                    <w:spacing w:before="0" w:beforeAutospacing="0" w:after="0" w:afterAutospacing="0"/>
                    <w:ind w:left="0" w:right="0"/>
                    <w:rPr>
                      <w:rFonts w:hint="default"/>
                    </w:rPr>
                  </w:pPr>
                  <w:r>
                    <w:rPr>
                      <w:rFonts w:hint="default"/>
                    </w:rPr>
                    <w:t>O</w:t>
                  </w:r>
                  <w:r>
                    <w:rPr>
                      <w:rFonts w:hint="default"/>
                      <w:vertAlign w:val="subscript"/>
                    </w:rPr>
                    <w:t>3</w:t>
                  </w:r>
                </w:p>
              </w:tc>
              <w:tc>
                <w:tcPr>
                  <w:tcW w:w="541" w:type="pct"/>
                  <w:vAlign w:val="center"/>
                </w:tcPr>
                <w:p w14:paraId="676E732D">
                  <w:pPr>
                    <w:pStyle w:val="42"/>
                    <w:keepNext w:val="0"/>
                    <w:keepLines w:val="0"/>
                    <w:widowControl/>
                    <w:suppressLineNumbers w:val="0"/>
                    <w:spacing w:before="0" w:beforeAutospacing="0" w:after="0" w:afterAutospacing="0"/>
                    <w:ind w:left="0" w:right="0"/>
                    <w:rPr>
                      <w:rFonts w:hint="default"/>
                    </w:rPr>
                  </w:pPr>
                  <w:r>
                    <w:rPr>
                      <w:rFonts w:hint="default"/>
                    </w:rPr>
                    <w:t>NO</w:t>
                  </w:r>
                  <w:r>
                    <w:rPr>
                      <w:rFonts w:hint="default"/>
                      <w:vertAlign w:val="subscript"/>
                    </w:rPr>
                    <w:t>2</w:t>
                  </w:r>
                </w:p>
              </w:tc>
            </w:tr>
            <w:tr w14:paraId="13B5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2" w:type="pct"/>
                  <w:vMerge w:val="restart"/>
                  <w:vAlign w:val="center"/>
                </w:tcPr>
                <w:p w14:paraId="6B60D811">
                  <w:pPr>
                    <w:pStyle w:val="42"/>
                    <w:keepNext w:val="0"/>
                    <w:keepLines w:val="0"/>
                    <w:widowControl/>
                    <w:suppressLineNumbers w:val="0"/>
                    <w:spacing w:before="0" w:beforeAutospacing="0" w:after="0" w:afterAutospacing="0"/>
                    <w:ind w:left="0" w:right="0"/>
                    <w:rPr>
                      <w:rFonts w:hint="default"/>
                    </w:rPr>
                  </w:pPr>
                  <w:r>
                    <w:t>2023</w:t>
                  </w:r>
                </w:p>
              </w:tc>
              <w:tc>
                <w:tcPr>
                  <w:tcW w:w="1015" w:type="pct"/>
                  <w:vAlign w:val="center"/>
                </w:tcPr>
                <w:p w14:paraId="7D4DFAA2">
                  <w:pPr>
                    <w:pStyle w:val="42"/>
                    <w:keepNext w:val="0"/>
                    <w:keepLines w:val="0"/>
                    <w:widowControl/>
                    <w:suppressLineNumbers w:val="0"/>
                    <w:spacing w:before="0" w:beforeAutospacing="0" w:after="0" w:afterAutospacing="0"/>
                    <w:ind w:left="0" w:right="0"/>
                    <w:rPr>
                      <w:rFonts w:hint="default"/>
                    </w:rPr>
                  </w:pPr>
                  <w:r>
                    <w:rPr>
                      <w:rFonts w:hint="default"/>
                    </w:rPr>
                    <w:t>现状浓度/（µg/m</w:t>
                  </w:r>
                  <w:r>
                    <w:rPr>
                      <w:rFonts w:hint="default"/>
                      <w:vertAlign w:val="superscript"/>
                    </w:rPr>
                    <w:t>3</w:t>
                  </w:r>
                  <w:r>
                    <w:rPr>
                      <w:rFonts w:hint="default"/>
                    </w:rPr>
                    <w:t>）</w:t>
                  </w:r>
                </w:p>
              </w:tc>
              <w:tc>
                <w:tcPr>
                  <w:tcW w:w="875" w:type="dxa"/>
                  <w:vAlign w:val="center"/>
                </w:tcPr>
                <w:p w14:paraId="33951FCC">
                  <w:pPr>
                    <w:pStyle w:val="42"/>
                    <w:keepNext w:val="0"/>
                    <w:keepLines w:val="0"/>
                    <w:widowControl/>
                    <w:suppressLineNumbers w:val="0"/>
                    <w:spacing w:before="0" w:beforeAutospacing="0" w:after="0" w:afterAutospacing="0"/>
                    <w:ind w:left="0" w:right="0"/>
                    <w:rPr>
                      <w:rFonts w:hint="default"/>
                      <w:color w:val="FF0000"/>
                    </w:rPr>
                  </w:pPr>
                  <w:r>
                    <w:t>25</w:t>
                  </w:r>
                </w:p>
              </w:tc>
              <w:tc>
                <w:tcPr>
                  <w:tcW w:w="875" w:type="dxa"/>
                  <w:vAlign w:val="center"/>
                </w:tcPr>
                <w:p w14:paraId="7AF1B431">
                  <w:pPr>
                    <w:pStyle w:val="42"/>
                    <w:keepNext w:val="0"/>
                    <w:keepLines w:val="0"/>
                    <w:widowControl/>
                    <w:suppressLineNumbers w:val="0"/>
                    <w:spacing w:before="0" w:beforeAutospacing="0" w:after="0" w:afterAutospacing="0"/>
                    <w:ind w:left="0" w:right="0"/>
                    <w:rPr>
                      <w:rFonts w:hint="default"/>
                      <w:color w:val="FF0000"/>
                    </w:rPr>
                  </w:pPr>
                  <w:r>
                    <w:t>49</w:t>
                  </w:r>
                </w:p>
              </w:tc>
              <w:tc>
                <w:tcPr>
                  <w:tcW w:w="901" w:type="dxa"/>
                  <w:vAlign w:val="center"/>
                </w:tcPr>
                <w:p w14:paraId="259AA8E6">
                  <w:pPr>
                    <w:pStyle w:val="42"/>
                    <w:keepNext w:val="0"/>
                    <w:keepLines w:val="0"/>
                    <w:widowControl/>
                    <w:suppressLineNumbers w:val="0"/>
                    <w:spacing w:before="0" w:beforeAutospacing="0" w:after="0" w:afterAutospacing="0"/>
                    <w:ind w:left="0" w:right="0"/>
                    <w:rPr>
                      <w:rFonts w:hint="default"/>
                      <w:color w:val="FF0000"/>
                    </w:rPr>
                  </w:pPr>
                  <w:r>
                    <w:t>12</w:t>
                  </w:r>
                </w:p>
              </w:tc>
              <w:tc>
                <w:tcPr>
                  <w:tcW w:w="901" w:type="dxa"/>
                  <w:vAlign w:val="center"/>
                </w:tcPr>
                <w:p w14:paraId="394E4504">
                  <w:pPr>
                    <w:pStyle w:val="42"/>
                    <w:keepNext w:val="0"/>
                    <w:keepLines w:val="0"/>
                    <w:widowControl/>
                    <w:suppressLineNumbers w:val="0"/>
                    <w:spacing w:before="0" w:beforeAutospacing="0" w:after="0" w:afterAutospacing="0"/>
                    <w:ind w:left="0" w:right="0"/>
                    <w:rPr>
                      <w:rFonts w:hint="default"/>
                      <w:color w:val="FF0000"/>
                    </w:rPr>
                  </w:pPr>
                  <w:r>
                    <w:t>1.3</w:t>
                  </w:r>
                </w:p>
              </w:tc>
              <w:tc>
                <w:tcPr>
                  <w:tcW w:w="901" w:type="dxa"/>
                  <w:vAlign w:val="center"/>
                </w:tcPr>
                <w:p w14:paraId="0ABA6C8B">
                  <w:pPr>
                    <w:pStyle w:val="42"/>
                    <w:keepNext w:val="0"/>
                    <w:keepLines w:val="0"/>
                    <w:widowControl/>
                    <w:suppressLineNumbers w:val="0"/>
                    <w:spacing w:before="0" w:beforeAutospacing="0" w:after="0" w:afterAutospacing="0"/>
                    <w:ind w:left="0" w:right="0"/>
                    <w:rPr>
                      <w:rFonts w:hint="default"/>
                      <w:color w:val="FF0000"/>
                    </w:rPr>
                  </w:pPr>
                  <w:r>
                    <w:t>172</w:t>
                  </w:r>
                </w:p>
              </w:tc>
              <w:tc>
                <w:tcPr>
                  <w:tcW w:w="901" w:type="dxa"/>
                  <w:vAlign w:val="center"/>
                </w:tcPr>
                <w:p w14:paraId="2CE2CBEA">
                  <w:pPr>
                    <w:pStyle w:val="42"/>
                    <w:keepNext w:val="0"/>
                    <w:keepLines w:val="0"/>
                    <w:widowControl/>
                    <w:suppressLineNumbers w:val="0"/>
                    <w:spacing w:before="0" w:beforeAutospacing="0" w:after="0" w:afterAutospacing="0"/>
                    <w:ind w:left="0" w:right="0"/>
                    <w:rPr>
                      <w:rFonts w:hint="default"/>
                      <w:color w:val="FF0000"/>
                    </w:rPr>
                  </w:pPr>
                  <w:r>
                    <w:t>24</w:t>
                  </w:r>
                </w:p>
              </w:tc>
            </w:tr>
            <w:tr w14:paraId="6654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2" w:type="pct"/>
                  <w:vMerge w:val="continue"/>
                  <w:vAlign w:val="center"/>
                </w:tcPr>
                <w:p w14:paraId="3B7E18CA">
                  <w:pPr>
                    <w:pStyle w:val="42"/>
                    <w:keepNext w:val="0"/>
                    <w:keepLines w:val="0"/>
                    <w:widowControl/>
                    <w:suppressLineNumbers w:val="0"/>
                    <w:spacing w:before="0" w:beforeAutospacing="0" w:after="0" w:afterAutospacing="0"/>
                    <w:ind w:left="0" w:right="0"/>
                    <w:rPr>
                      <w:rFonts w:hint="default"/>
                    </w:rPr>
                  </w:pPr>
                </w:p>
              </w:tc>
              <w:tc>
                <w:tcPr>
                  <w:tcW w:w="1015" w:type="pct"/>
                  <w:vAlign w:val="center"/>
                </w:tcPr>
                <w:p w14:paraId="6F89CCF4">
                  <w:pPr>
                    <w:pStyle w:val="42"/>
                    <w:keepNext w:val="0"/>
                    <w:keepLines w:val="0"/>
                    <w:widowControl/>
                    <w:suppressLineNumbers w:val="0"/>
                    <w:spacing w:before="0" w:beforeAutospacing="0" w:after="0" w:afterAutospacing="0"/>
                    <w:ind w:left="0" w:right="0"/>
                    <w:rPr>
                      <w:rFonts w:hint="default"/>
                    </w:rPr>
                  </w:pPr>
                  <w:r>
                    <w:rPr>
                      <w:rFonts w:hint="default"/>
                    </w:rPr>
                    <w:t>标准值/（µg/m</w:t>
                  </w:r>
                  <w:r>
                    <w:rPr>
                      <w:rFonts w:hint="default"/>
                      <w:vertAlign w:val="superscript"/>
                    </w:rPr>
                    <w:t>3</w:t>
                  </w:r>
                  <w:r>
                    <w:rPr>
                      <w:rFonts w:hint="default"/>
                    </w:rPr>
                    <w:t>）</w:t>
                  </w:r>
                </w:p>
              </w:tc>
              <w:tc>
                <w:tcPr>
                  <w:tcW w:w="875" w:type="dxa"/>
                  <w:vAlign w:val="center"/>
                </w:tcPr>
                <w:p w14:paraId="1488A919">
                  <w:pPr>
                    <w:pStyle w:val="42"/>
                    <w:keepNext w:val="0"/>
                    <w:keepLines w:val="0"/>
                    <w:widowControl/>
                    <w:suppressLineNumbers w:val="0"/>
                    <w:spacing w:before="0" w:beforeAutospacing="0" w:after="0" w:afterAutospacing="0"/>
                    <w:ind w:left="0" w:right="0"/>
                    <w:rPr>
                      <w:rFonts w:hint="default"/>
                    </w:rPr>
                  </w:pPr>
                  <w:r>
                    <w:rPr>
                      <w:rFonts w:hint="default"/>
                    </w:rPr>
                    <w:t>35</w:t>
                  </w:r>
                </w:p>
              </w:tc>
              <w:tc>
                <w:tcPr>
                  <w:tcW w:w="875" w:type="dxa"/>
                  <w:vAlign w:val="center"/>
                </w:tcPr>
                <w:p w14:paraId="59CBF2AE">
                  <w:pPr>
                    <w:pStyle w:val="42"/>
                    <w:keepNext w:val="0"/>
                    <w:keepLines w:val="0"/>
                    <w:widowControl/>
                    <w:suppressLineNumbers w:val="0"/>
                    <w:spacing w:before="0" w:beforeAutospacing="0" w:after="0" w:afterAutospacing="0"/>
                    <w:ind w:left="0" w:right="0"/>
                    <w:rPr>
                      <w:rFonts w:hint="default"/>
                    </w:rPr>
                  </w:pPr>
                  <w:r>
                    <w:rPr>
                      <w:rFonts w:hint="default"/>
                    </w:rPr>
                    <w:t>70</w:t>
                  </w:r>
                </w:p>
              </w:tc>
              <w:tc>
                <w:tcPr>
                  <w:tcW w:w="541" w:type="pct"/>
                  <w:vAlign w:val="center"/>
                </w:tcPr>
                <w:p w14:paraId="0029EBCF">
                  <w:pPr>
                    <w:pStyle w:val="42"/>
                    <w:keepNext w:val="0"/>
                    <w:keepLines w:val="0"/>
                    <w:widowControl/>
                    <w:suppressLineNumbers w:val="0"/>
                    <w:spacing w:before="0" w:beforeAutospacing="0" w:after="0" w:afterAutospacing="0"/>
                    <w:ind w:left="0" w:right="0"/>
                    <w:rPr>
                      <w:rFonts w:hint="default"/>
                    </w:rPr>
                  </w:pPr>
                  <w:r>
                    <w:rPr>
                      <w:rFonts w:hint="default"/>
                    </w:rPr>
                    <w:t>60</w:t>
                  </w:r>
                </w:p>
              </w:tc>
              <w:tc>
                <w:tcPr>
                  <w:tcW w:w="541" w:type="pct"/>
                  <w:vAlign w:val="center"/>
                </w:tcPr>
                <w:p w14:paraId="63481B92">
                  <w:pPr>
                    <w:pStyle w:val="42"/>
                    <w:keepNext w:val="0"/>
                    <w:keepLines w:val="0"/>
                    <w:widowControl/>
                    <w:suppressLineNumbers w:val="0"/>
                    <w:spacing w:before="0" w:beforeAutospacing="0" w:after="0" w:afterAutospacing="0"/>
                    <w:ind w:left="0" w:right="0"/>
                    <w:rPr>
                      <w:rFonts w:hint="default"/>
                    </w:rPr>
                  </w:pPr>
                  <w:r>
                    <w:rPr>
                      <w:rFonts w:hint="default"/>
                    </w:rPr>
                    <w:t>4</w:t>
                  </w:r>
                </w:p>
              </w:tc>
              <w:tc>
                <w:tcPr>
                  <w:tcW w:w="541" w:type="pct"/>
                  <w:vAlign w:val="center"/>
                </w:tcPr>
                <w:p w14:paraId="605692CB">
                  <w:pPr>
                    <w:pStyle w:val="42"/>
                    <w:keepNext w:val="0"/>
                    <w:keepLines w:val="0"/>
                    <w:widowControl/>
                    <w:suppressLineNumbers w:val="0"/>
                    <w:spacing w:before="0" w:beforeAutospacing="0" w:after="0" w:afterAutospacing="0"/>
                    <w:ind w:left="0" w:right="0"/>
                    <w:rPr>
                      <w:rFonts w:hint="default"/>
                    </w:rPr>
                  </w:pPr>
                  <w:r>
                    <w:rPr>
                      <w:rFonts w:hint="default"/>
                    </w:rPr>
                    <w:t>160</w:t>
                  </w:r>
                </w:p>
              </w:tc>
              <w:tc>
                <w:tcPr>
                  <w:tcW w:w="541" w:type="pct"/>
                  <w:vAlign w:val="center"/>
                </w:tcPr>
                <w:p w14:paraId="744A6D67">
                  <w:pPr>
                    <w:pStyle w:val="42"/>
                    <w:keepNext w:val="0"/>
                    <w:keepLines w:val="0"/>
                    <w:widowControl/>
                    <w:suppressLineNumbers w:val="0"/>
                    <w:spacing w:before="0" w:beforeAutospacing="0" w:after="0" w:afterAutospacing="0"/>
                    <w:ind w:left="0" w:right="0"/>
                    <w:rPr>
                      <w:rFonts w:hint="default"/>
                    </w:rPr>
                  </w:pPr>
                  <w:r>
                    <w:rPr>
                      <w:rFonts w:hint="default"/>
                    </w:rPr>
                    <w:t>40</w:t>
                  </w:r>
                </w:p>
              </w:tc>
            </w:tr>
            <w:tr w14:paraId="4DF3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2" w:type="pct"/>
                  <w:vMerge w:val="continue"/>
                  <w:vAlign w:val="center"/>
                </w:tcPr>
                <w:p w14:paraId="41516822">
                  <w:pPr>
                    <w:pStyle w:val="42"/>
                    <w:keepNext w:val="0"/>
                    <w:keepLines w:val="0"/>
                    <w:widowControl/>
                    <w:suppressLineNumbers w:val="0"/>
                    <w:spacing w:before="0" w:beforeAutospacing="0" w:after="0" w:afterAutospacing="0"/>
                    <w:ind w:left="0" w:right="0"/>
                    <w:rPr>
                      <w:rFonts w:hint="default"/>
                    </w:rPr>
                  </w:pPr>
                </w:p>
              </w:tc>
              <w:tc>
                <w:tcPr>
                  <w:tcW w:w="1015" w:type="pct"/>
                  <w:vAlign w:val="center"/>
                </w:tcPr>
                <w:p w14:paraId="6B14AA3B">
                  <w:pPr>
                    <w:pStyle w:val="42"/>
                    <w:keepNext w:val="0"/>
                    <w:keepLines w:val="0"/>
                    <w:widowControl/>
                    <w:suppressLineNumbers w:val="0"/>
                    <w:spacing w:before="0" w:beforeAutospacing="0" w:after="0" w:afterAutospacing="0"/>
                    <w:ind w:left="0" w:right="0"/>
                    <w:rPr>
                      <w:rFonts w:hint="default"/>
                    </w:rPr>
                  </w:pPr>
                  <w:r>
                    <w:rPr>
                      <w:rFonts w:hint="default"/>
                    </w:rPr>
                    <w:t>占标率</w:t>
                  </w:r>
                </w:p>
              </w:tc>
              <w:tc>
                <w:tcPr>
                  <w:tcW w:w="900" w:type="dxa"/>
                  <w:vAlign w:val="center"/>
                </w:tcPr>
                <w:p w14:paraId="12D37706">
                  <w:pPr>
                    <w:pStyle w:val="42"/>
                    <w:keepNext w:val="0"/>
                    <w:keepLines w:val="0"/>
                    <w:widowControl/>
                    <w:suppressLineNumbers w:val="0"/>
                    <w:spacing w:before="0" w:beforeAutospacing="0" w:after="0" w:afterAutospacing="0"/>
                    <w:ind w:left="0" w:right="0"/>
                    <w:rPr>
                      <w:rFonts w:hint="default"/>
                    </w:rPr>
                  </w:pPr>
                  <w:r>
                    <w:t>71.43</w:t>
                  </w:r>
                </w:p>
              </w:tc>
              <w:tc>
                <w:tcPr>
                  <w:tcW w:w="901" w:type="dxa"/>
                  <w:vAlign w:val="center"/>
                </w:tcPr>
                <w:p w14:paraId="5589CFB6">
                  <w:pPr>
                    <w:pStyle w:val="42"/>
                    <w:keepNext w:val="0"/>
                    <w:keepLines w:val="0"/>
                    <w:widowControl/>
                    <w:suppressLineNumbers w:val="0"/>
                    <w:spacing w:before="0" w:beforeAutospacing="0" w:after="0" w:afterAutospacing="0"/>
                    <w:ind w:left="0" w:right="0"/>
                    <w:rPr>
                      <w:rFonts w:hint="default"/>
                    </w:rPr>
                  </w:pPr>
                  <w:r>
                    <w:t>70.00</w:t>
                  </w:r>
                </w:p>
              </w:tc>
              <w:tc>
                <w:tcPr>
                  <w:tcW w:w="901" w:type="dxa"/>
                  <w:vAlign w:val="center"/>
                </w:tcPr>
                <w:p w14:paraId="22F24B3E">
                  <w:pPr>
                    <w:pStyle w:val="42"/>
                    <w:keepNext w:val="0"/>
                    <w:keepLines w:val="0"/>
                    <w:widowControl/>
                    <w:suppressLineNumbers w:val="0"/>
                    <w:spacing w:before="0" w:beforeAutospacing="0" w:after="0" w:afterAutospacing="0"/>
                    <w:ind w:left="0" w:right="0"/>
                    <w:rPr>
                      <w:rFonts w:hint="default"/>
                    </w:rPr>
                  </w:pPr>
                  <w:r>
                    <w:t>20.00</w:t>
                  </w:r>
                </w:p>
              </w:tc>
              <w:tc>
                <w:tcPr>
                  <w:tcW w:w="901" w:type="dxa"/>
                  <w:vAlign w:val="center"/>
                </w:tcPr>
                <w:p w14:paraId="443D3FFF">
                  <w:pPr>
                    <w:pStyle w:val="42"/>
                    <w:keepNext w:val="0"/>
                    <w:keepLines w:val="0"/>
                    <w:widowControl/>
                    <w:suppressLineNumbers w:val="0"/>
                    <w:spacing w:before="0" w:beforeAutospacing="0" w:after="0" w:afterAutospacing="0"/>
                    <w:ind w:left="0" w:right="0"/>
                    <w:rPr>
                      <w:rFonts w:hint="default"/>
                    </w:rPr>
                  </w:pPr>
                  <w:r>
                    <w:t>32.50</w:t>
                  </w:r>
                </w:p>
              </w:tc>
              <w:tc>
                <w:tcPr>
                  <w:tcW w:w="901" w:type="dxa"/>
                  <w:vAlign w:val="center"/>
                </w:tcPr>
                <w:p w14:paraId="7CCCF57F">
                  <w:pPr>
                    <w:pStyle w:val="42"/>
                    <w:keepNext w:val="0"/>
                    <w:keepLines w:val="0"/>
                    <w:widowControl/>
                    <w:suppressLineNumbers w:val="0"/>
                    <w:spacing w:before="0" w:beforeAutospacing="0" w:after="0" w:afterAutospacing="0"/>
                    <w:ind w:left="0" w:right="0"/>
                    <w:rPr>
                      <w:rFonts w:hint="default"/>
                    </w:rPr>
                  </w:pPr>
                  <w:r>
                    <w:t>107.50</w:t>
                  </w:r>
                </w:p>
              </w:tc>
              <w:tc>
                <w:tcPr>
                  <w:tcW w:w="901" w:type="dxa"/>
                  <w:vAlign w:val="center"/>
                </w:tcPr>
                <w:p w14:paraId="5DF2FD80">
                  <w:pPr>
                    <w:pStyle w:val="42"/>
                    <w:keepNext w:val="0"/>
                    <w:keepLines w:val="0"/>
                    <w:widowControl/>
                    <w:suppressLineNumbers w:val="0"/>
                    <w:spacing w:before="0" w:beforeAutospacing="0" w:after="0" w:afterAutospacing="0"/>
                    <w:ind w:left="0" w:right="0"/>
                    <w:rPr>
                      <w:rFonts w:hint="default"/>
                    </w:rPr>
                  </w:pPr>
                  <w:r>
                    <w:t>60.00</w:t>
                  </w:r>
                </w:p>
              </w:tc>
            </w:tr>
            <w:tr w14:paraId="4602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2" w:type="pct"/>
                  <w:vMerge w:val="continue"/>
                  <w:vAlign w:val="center"/>
                </w:tcPr>
                <w:p w14:paraId="2302A255">
                  <w:pPr>
                    <w:pStyle w:val="42"/>
                    <w:keepNext w:val="0"/>
                    <w:keepLines w:val="0"/>
                    <w:widowControl/>
                    <w:suppressLineNumbers w:val="0"/>
                    <w:spacing w:before="0" w:beforeAutospacing="0" w:after="0" w:afterAutospacing="0"/>
                    <w:ind w:left="0" w:right="0"/>
                    <w:rPr>
                      <w:rFonts w:hint="default"/>
                    </w:rPr>
                  </w:pPr>
                </w:p>
              </w:tc>
              <w:tc>
                <w:tcPr>
                  <w:tcW w:w="1015" w:type="pct"/>
                  <w:vAlign w:val="center"/>
                </w:tcPr>
                <w:p w14:paraId="371A4C27">
                  <w:pPr>
                    <w:pStyle w:val="42"/>
                    <w:keepNext w:val="0"/>
                    <w:keepLines w:val="0"/>
                    <w:widowControl/>
                    <w:suppressLineNumbers w:val="0"/>
                    <w:spacing w:before="0" w:beforeAutospacing="0" w:after="0" w:afterAutospacing="0"/>
                    <w:ind w:left="0" w:right="0"/>
                    <w:rPr>
                      <w:rFonts w:hint="default"/>
                    </w:rPr>
                  </w:pPr>
                  <w:r>
                    <w:rPr>
                      <w:rFonts w:hint="default"/>
                    </w:rPr>
                    <w:t>达标情况</w:t>
                  </w:r>
                </w:p>
              </w:tc>
              <w:tc>
                <w:tcPr>
                  <w:tcW w:w="541" w:type="pct"/>
                  <w:vAlign w:val="center"/>
                </w:tcPr>
                <w:p w14:paraId="06E853A1">
                  <w:pPr>
                    <w:pStyle w:val="42"/>
                    <w:keepNext w:val="0"/>
                    <w:keepLines w:val="0"/>
                    <w:widowControl/>
                    <w:suppressLineNumbers w:val="0"/>
                    <w:spacing w:before="0" w:beforeAutospacing="0" w:after="0" w:afterAutospacing="0"/>
                    <w:ind w:left="0" w:right="0"/>
                    <w:rPr>
                      <w:rFonts w:hint="default"/>
                    </w:rPr>
                  </w:pPr>
                  <w:r>
                    <w:rPr>
                      <w:rFonts w:hint="default"/>
                    </w:rPr>
                    <w:t>达标</w:t>
                  </w:r>
                </w:p>
              </w:tc>
              <w:tc>
                <w:tcPr>
                  <w:tcW w:w="541" w:type="pct"/>
                  <w:vAlign w:val="center"/>
                </w:tcPr>
                <w:p w14:paraId="19DD0AB4">
                  <w:pPr>
                    <w:pStyle w:val="42"/>
                    <w:keepNext w:val="0"/>
                    <w:keepLines w:val="0"/>
                    <w:widowControl/>
                    <w:suppressLineNumbers w:val="0"/>
                    <w:spacing w:before="0" w:beforeAutospacing="0" w:after="0" w:afterAutospacing="0"/>
                    <w:ind w:left="0" w:right="0"/>
                    <w:rPr>
                      <w:rFonts w:hint="default"/>
                    </w:rPr>
                  </w:pPr>
                  <w:r>
                    <w:rPr>
                      <w:rFonts w:hint="default"/>
                    </w:rPr>
                    <w:t>达标</w:t>
                  </w:r>
                </w:p>
              </w:tc>
              <w:tc>
                <w:tcPr>
                  <w:tcW w:w="541" w:type="pct"/>
                  <w:vAlign w:val="center"/>
                </w:tcPr>
                <w:p w14:paraId="4FF04C3E">
                  <w:pPr>
                    <w:pStyle w:val="42"/>
                    <w:keepNext w:val="0"/>
                    <w:keepLines w:val="0"/>
                    <w:widowControl/>
                    <w:suppressLineNumbers w:val="0"/>
                    <w:spacing w:before="0" w:beforeAutospacing="0" w:after="0" w:afterAutospacing="0"/>
                    <w:ind w:left="0" w:right="0"/>
                    <w:rPr>
                      <w:rFonts w:hint="default"/>
                    </w:rPr>
                  </w:pPr>
                  <w:r>
                    <w:rPr>
                      <w:rFonts w:hint="default"/>
                    </w:rPr>
                    <w:t>达标</w:t>
                  </w:r>
                </w:p>
              </w:tc>
              <w:tc>
                <w:tcPr>
                  <w:tcW w:w="541" w:type="pct"/>
                  <w:vAlign w:val="center"/>
                </w:tcPr>
                <w:p w14:paraId="50A9D0D9">
                  <w:pPr>
                    <w:pStyle w:val="42"/>
                    <w:keepNext w:val="0"/>
                    <w:keepLines w:val="0"/>
                    <w:widowControl/>
                    <w:suppressLineNumbers w:val="0"/>
                    <w:spacing w:before="0" w:beforeAutospacing="0" w:after="0" w:afterAutospacing="0"/>
                    <w:ind w:left="0" w:right="0"/>
                    <w:rPr>
                      <w:rFonts w:hint="default"/>
                    </w:rPr>
                  </w:pPr>
                  <w:r>
                    <w:rPr>
                      <w:rFonts w:hint="default"/>
                    </w:rPr>
                    <w:t>达标</w:t>
                  </w:r>
                </w:p>
              </w:tc>
              <w:tc>
                <w:tcPr>
                  <w:tcW w:w="541" w:type="pct"/>
                  <w:vAlign w:val="center"/>
                </w:tcPr>
                <w:p w14:paraId="1DBDE502">
                  <w:pPr>
                    <w:pStyle w:val="42"/>
                    <w:keepNext w:val="0"/>
                    <w:keepLines w:val="0"/>
                    <w:widowControl/>
                    <w:suppressLineNumbers w:val="0"/>
                    <w:spacing w:before="0" w:beforeAutospacing="0" w:after="0" w:afterAutospacing="0"/>
                    <w:ind w:left="0" w:right="0"/>
                    <w:rPr>
                      <w:rFonts w:hint="default"/>
                    </w:rPr>
                  </w:pPr>
                  <w:r>
                    <w:rPr>
                      <w:rFonts w:hint="default"/>
                    </w:rPr>
                    <w:t>达标</w:t>
                  </w:r>
                </w:p>
              </w:tc>
              <w:tc>
                <w:tcPr>
                  <w:tcW w:w="541" w:type="pct"/>
                  <w:vAlign w:val="center"/>
                </w:tcPr>
                <w:p w14:paraId="19073ED8">
                  <w:pPr>
                    <w:pStyle w:val="42"/>
                    <w:keepNext w:val="0"/>
                    <w:keepLines w:val="0"/>
                    <w:widowControl/>
                    <w:suppressLineNumbers w:val="0"/>
                    <w:spacing w:before="0" w:beforeAutospacing="0" w:after="0" w:afterAutospacing="0"/>
                    <w:ind w:left="0" w:right="0"/>
                    <w:rPr>
                      <w:rFonts w:hint="default"/>
                    </w:rPr>
                  </w:pPr>
                  <w:r>
                    <w:rPr>
                      <w:rFonts w:hint="default"/>
                    </w:rPr>
                    <w:t>达标</w:t>
                  </w:r>
                </w:p>
              </w:tc>
            </w:tr>
          </w:tbl>
          <w:p w14:paraId="6BA8DACD">
            <w:pPr>
              <w:keepNext w:val="0"/>
              <w:keepLines w:val="0"/>
              <w:suppressLineNumbers w:val="0"/>
              <w:spacing w:before="0" w:beforeAutospacing="0" w:after="0" w:afterAutospacing="0"/>
              <w:ind w:left="0" w:right="0" w:firstLine="480"/>
              <w:rPr>
                <w:rFonts w:hint="default"/>
              </w:rPr>
            </w:pPr>
            <w:r>
              <w:rPr>
                <w:rFonts w:hint="eastAsia" w:ascii="宋体" w:hAnsi="宋体" w:cs="宋体"/>
                <w:lang w:bidi="ar"/>
              </w:rPr>
              <w:t>由上表可知，</w:t>
            </w:r>
            <w:r>
              <w:rPr>
                <w:rFonts w:hint="default"/>
                <w:lang w:bidi="ar"/>
              </w:rPr>
              <w:t>202</w:t>
            </w:r>
            <w:r>
              <w:rPr>
                <w:rFonts w:hint="eastAsia"/>
                <w:lang w:bidi="ar"/>
              </w:rPr>
              <w:t>3</w:t>
            </w:r>
            <w:r>
              <w:rPr>
                <w:rFonts w:hint="eastAsia" w:ascii="宋体" w:hAnsi="宋体" w:cs="宋体"/>
                <w:lang w:bidi="ar"/>
              </w:rPr>
              <w:t>年宽城县环境空气质量中</w:t>
            </w:r>
            <w:r>
              <w:rPr>
                <w:rFonts w:hint="default"/>
                <w:lang w:bidi="ar"/>
              </w:rPr>
              <w:t>PM</w:t>
            </w:r>
            <w:r>
              <w:rPr>
                <w:rFonts w:hint="default"/>
                <w:vertAlign w:val="subscript"/>
                <w:lang w:bidi="ar"/>
              </w:rPr>
              <w:t>2.5</w:t>
            </w:r>
            <w:r>
              <w:rPr>
                <w:rFonts w:hint="eastAsia" w:ascii="宋体" w:hAnsi="宋体" w:cs="宋体"/>
                <w:lang w:bidi="ar"/>
              </w:rPr>
              <w:t>、</w:t>
            </w:r>
            <w:r>
              <w:rPr>
                <w:rFonts w:hint="default"/>
                <w:lang w:bidi="ar"/>
              </w:rPr>
              <w:t>PM</w:t>
            </w:r>
            <w:r>
              <w:rPr>
                <w:rFonts w:hint="default"/>
                <w:vertAlign w:val="subscript"/>
                <w:lang w:bidi="ar"/>
              </w:rPr>
              <w:t>10</w:t>
            </w:r>
            <w:r>
              <w:rPr>
                <w:rFonts w:hint="eastAsia" w:ascii="宋体" w:hAnsi="宋体" w:cs="宋体"/>
                <w:lang w:bidi="ar"/>
              </w:rPr>
              <w:t>、</w:t>
            </w:r>
            <w:r>
              <w:rPr>
                <w:rFonts w:hint="default"/>
                <w:lang w:bidi="ar"/>
              </w:rPr>
              <w:t>SO</w:t>
            </w:r>
            <w:r>
              <w:rPr>
                <w:rFonts w:hint="default"/>
                <w:vertAlign w:val="subscript"/>
                <w:lang w:bidi="ar"/>
              </w:rPr>
              <w:t>2</w:t>
            </w:r>
            <w:r>
              <w:rPr>
                <w:rFonts w:hint="eastAsia" w:ascii="宋体" w:hAnsi="宋体" w:cs="宋体"/>
                <w:lang w:bidi="ar"/>
              </w:rPr>
              <w:t>、</w:t>
            </w:r>
            <w:r>
              <w:rPr>
                <w:rFonts w:hint="default"/>
                <w:lang w:bidi="ar"/>
              </w:rPr>
              <w:t>CO</w:t>
            </w:r>
            <w:r>
              <w:rPr>
                <w:rFonts w:hint="eastAsia" w:ascii="宋体" w:hAnsi="宋体" w:cs="宋体"/>
                <w:lang w:bidi="ar"/>
              </w:rPr>
              <w:t>、</w:t>
            </w:r>
            <w:r>
              <w:rPr>
                <w:rFonts w:hint="default"/>
                <w:lang w:bidi="ar"/>
              </w:rPr>
              <w:t>O</w:t>
            </w:r>
            <w:r>
              <w:rPr>
                <w:rFonts w:hint="default"/>
                <w:vertAlign w:val="subscript"/>
                <w:lang w:bidi="ar"/>
              </w:rPr>
              <w:t>3</w:t>
            </w:r>
            <w:r>
              <w:rPr>
                <w:rFonts w:hint="eastAsia" w:ascii="宋体" w:hAnsi="宋体" w:cs="宋体"/>
                <w:lang w:bidi="ar"/>
              </w:rPr>
              <w:t>、</w:t>
            </w:r>
            <w:r>
              <w:rPr>
                <w:rFonts w:hint="default"/>
                <w:lang w:bidi="ar"/>
              </w:rPr>
              <w:t>NO</w:t>
            </w:r>
            <w:r>
              <w:rPr>
                <w:rFonts w:hint="default"/>
                <w:vertAlign w:val="subscript"/>
                <w:lang w:bidi="ar"/>
              </w:rPr>
              <w:t>2</w:t>
            </w:r>
            <w:r>
              <w:rPr>
                <w:rFonts w:hint="eastAsia" w:ascii="宋体" w:hAnsi="宋体" w:cs="宋体"/>
                <w:lang w:bidi="ar"/>
              </w:rPr>
              <w:t>六项常规污染物监测结果中，除</w:t>
            </w:r>
            <w:r>
              <w:rPr>
                <w:rFonts w:hint="default"/>
                <w:lang w:bidi="ar"/>
              </w:rPr>
              <w:t>O</w:t>
            </w:r>
            <w:r>
              <w:rPr>
                <w:rFonts w:hint="default"/>
                <w:vertAlign w:val="subscript"/>
                <w:lang w:bidi="ar"/>
              </w:rPr>
              <w:t>3</w:t>
            </w:r>
            <w:r>
              <w:rPr>
                <w:rFonts w:hint="eastAsia" w:ascii="宋体" w:hAnsi="宋体" w:cs="宋体"/>
                <w:lang w:bidi="ar"/>
              </w:rPr>
              <w:t>日最大</w:t>
            </w:r>
            <w:r>
              <w:rPr>
                <w:rFonts w:hint="default"/>
                <w:lang w:bidi="ar"/>
              </w:rPr>
              <w:t>8</w:t>
            </w:r>
            <w:r>
              <w:rPr>
                <w:rFonts w:hint="eastAsia" w:ascii="宋体" w:hAnsi="宋体" w:cs="宋体"/>
                <w:lang w:bidi="ar"/>
              </w:rPr>
              <w:t>小时平均浓度第</w:t>
            </w:r>
            <w:r>
              <w:rPr>
                <w:rFonts w:hint="default"/>
                <w:lang w:bidi="ar"/>
              </w:rPr>
              <w:t>90</w:t>
            </w:r>
            <w:r>
              <w:rPr>
                <w:rFonts w:hint="eastAsia" w:ascii="宋体" w:hAnsi="宋体" w:cs="宋体"/>
                <w:lang w:bidi="ar"/>
              </w:rPr>
              <w:t>百分位数超标外，其余</w:t>
            </w:r>
            <w:r>
              <w:rPr>
                <w:rFonts w:hint="default"/>
                <w:lang w:bidi="ar"/>
              </w:rPr>
              <w:t>PM</w:t>
            </w:r>
            <w:r>
              <w:rPr>
                <w:rFonts w:hint="default"/>
                <w:vertAlign w:val="subscript"/>
                <w:lang w:bidi="ar"/>
              </w:rPr>
              <w:t>2.5</w:t>
            </w:r>
            <w:r>
              <w:rPr>
                <w:rFonts w:hint="eastAsia" w:ascii="宋体" w:hAnsi="宋体" w:cs="宋体"/>
                <w:lang w:bidi="ar"/>
              </w:rPr>
              <w:t>年平均值、</w:t>
            </w:r>
            <w:r>
              <w:rPr>
                <w:rFonts w:hint="default"/>
                <w:lang w:bidi="ar"/>
              </w:rPr>
              <w:t>PM</w:t>
            </w:r>
            <w:r>
              <w:rPr>
                <w:rFonts w:hint="default"/>
                <w:vertAlign w:val="subscript"/>
                <w:lang w:bidi="ar"/>
              </w:rPr>
              <w:t>10</w:t>
            </w:r>
            <w:r>
              <w:rPr>
                <w:rFonts w:hint="eastAsia" w:ascii="宋体" w:hAnsi="宋体" w:cs="宋体"/>
                <w:lang w:bidi="ar"/>
              </w:rPr>
              <w:t>年平均值、</w:t>
            </w:r>
            <w:r>
              <w:rPr>
                <w:rFonts w:hint="default"/>
                <w:lang w:bidi="ar"/>
              </w:rPr>
              <w:t>SO</w:t>
            </w:r>
            <w:r>
              <w:rPr>
                <w:rFonts w:hint="default"/>
                <w:vertAlign w:val="subscript"/>
                <w:lang w:bidi="ar"/>
              </w:rPr>
              <w:t>2</w:t>
            </w:r>
            <w:r>
              <w:rPr>
                <w:rFonts w:hint="eastAsia" w:ascii="宋体" w:hAnsi="宋体" w:cs="宋体"/>
                <w:lang w:bidi="ar"/>
              </w:rPr>
              <w:t>年平均值、</w:t>
            </w:r>
            <w:r>
              <w:rPr>
                <w:rFonts w:hint="default"/>
                <w:lang w:bidi="ar"/>
              </w:rPr>
              <w:t>CO24</w:t>
            </w:r>
            <w:r>
              <w:rPr>
                <w:rFonts w:hint="eastAsia" w:ascii="宋体" w:hAnsi="宋体" w:cs="宋体"/>
                <w:lang w:bidi="ar"/>
              </w:rPr>
              <w:t>小时平均浓度第</w:t>
            </w:r>
            <w:r>
              <w:rPr>
                <w:rFonts w:hint="default"/>
                <w:lang w:bidi="ar"/>
              </w:rPr>
              <w:t>95</w:t>
            </w:r>
            <w:r>
              <w:rPr>
                <w:rFonts w:hint="eastAsia" w:ascii="宋体" w:hAnsi="宋体" w:cs="宋体"/>
                <w:lang w:bidi="ar"/>
              </w:rPr>
              <w:t>百分位数、</w:t>
            </w:r>
            <w:r>
              <w:rPr>
                <w:rFonts w:hint="default"/>
                <w:lang w:bidi="ar"/>
              </w:rPr>
              <w:t>NO</w:t>
            </w:r>
            <w:r>
              <w:rPr>
                <w:rFonts w:hint="default"/>
                <w:vertAlign w:val="subscript"/>
                <w:lang w:bidi="ar"/>
              </w:rPr>
              <w:t>2</w:t>
            </w:r>
            <w:r>
              <w:rPr>
                <w:rFonts w:hint="eastAsia" w:ascii="宋体" w:hAnsi="宋体" w:cs="宋体"/>
                <w:lang w:bidi="ar"/>
              </w:rPr>
              <w:t>年平均值均满足《环境空气质量标准》（</w:t>
            </w:r>
            <w:r>
              <w:rPr>
                <w:rFonts w:hint="default"/>
                <w:lang w:bidi="ar"/>
              </w:rPr>
              <w:t>GB3095-2012</w:t>
            </w:r>
            <w:r>
              <w:rPr>
                <w:rFonts w:hint="eastAsia" w:ascii="宋体" w:hAnsi="宋体" w:cs="宋体"/>
                <w:lang w:bidi="ar"/>
              </w:rPr>
              <w:t>）及其修改单的二级标准要求。</w:t>
            </w:r>
          </w:p>
          <w:p w14:paraId="47DED685">
            <w:pPr>
              <w:keepNext w:val="0"/>
              <w:keepLines w:val="0"/>
              <w:suppressLineNumbers w:val="0"/>
              <w:spacing w:before="0" w:beforeAutospacing="0" w:after="0" w:afterAutospacing="0"/>
              <w:ind w:left="0" w:right="0" w:firstLine="480"/>
              <w:rPr>
                <w:rFonts w:hint="default"/>
              </w:rPr>
            </w:pPr>
            <w:r>
              <w:rPr>
                <w:rFonts w:hint="eastAsia" w:ascii="宋体" w:hAnsi="宋体" w:cs="宋体"/>
                <w:lang w:bidi="ar"/>
              </w:rPr>
              <w:t>根据上述分析判定，项目所在区域为环境空气质量不达标区。</w:t>
            </w:r>
          </w:p>
          <w:p w14:paraId="4AD88375">
            <w:pPr>
              <w:pStyle w:val="4"/>
              <w:keepNext w:val="0"/>
              <w:keepLines w:val="0"/>
              <w:numPr>
                <w:ilvl w:val="2"/>
                <w:numId w:val="12"/>
              </w:numPr>
              <w:suppressLineNumbers w:val="0"/>
              <w:tabs>
                <w:tab w:val="left" w:pos="0"/>
              </w:tabs>
              <w:spacing w:beforeAutospacing="0" w:afterAutospacing="0"/>
              <w:ind w:left="-242" w:leftChars="0" w:right="0" w:firstLine="720" w:firstLineChars="0"/>
              <w:rPr>
                <w:rFonts w:hint="default"/>
              </w:rPr>
            </w:pPr>
            <w:r>
              <w:rPr>
                <w:rFonts w:hint="eastAsia"/>
              </w:rPr>
              <w:t>大气污染物其他项目的环境空气质量现状</w:t>
            </w:r>
          </w:p>
          <w:p w14:paraId="6F3802DB">
            <w:pPr>
              <w:keepNext w:val="0"/>
              <w:keepLines w:val="0"/>
              <w:suppressLineNumbers w:val="0"/>
              <w:spacing w:before="0" w:beforeAutospacing="0" w:after="0" w:afterAutospacing="0"/>
              <w:ind w:left="0" w:right="0" w:firstLine="480"/>
              <w:rPr>
                <w:rFonts w:hint="default"/>
              </w:rPr>
            </w:pPr>
            <w:r>
              <w:rPr>
                <w:rFonts w:hint="eastAsia"/>
              </w:rPr>
              <w:t>根据工程分析，项目在上料及搅拌时，会产生颗粒物。根据《</w:t>
            </w:r>
            <w:r>
              <w:rPr>
                <w:rFonts w:hint="default"/>
              </w:rPr>
              <w:t>建设项目环境影响报告表编制技术指南</w:t>
            </w:r>
            <w:r>
              <w:rPr>
                <w:rFonts w:hint="eastAsia"/>
              </w:rPr>
              <w:t>（污染影响类）》中对于区域环境质量现状中大气环境现状数据的来源要求，项目可以引用建设项目周边5千米范围内近3年的现有监测数据。</w:t>
            </w:r>
          </w:p>
          <w:p w14:paraId="52D28637">
            <w:pPr>
              <w:keepNext w:val="0"/>
              <w:keepLines w:val="0"/>
              <w:suppressLineNumbers w:val="0"/>
              <w:spacing w:before="0" w:beforeAutospacing="0" w:after="0" w:afterAutospacing="0"/>
              <w:ind w:left="0" w:right="0" w:firstLine="480"/>
              <w:rPr>
                <w:rFonts w:hint="default"/>
              </w:rPr>
            </w:pPr>
            <w:r>
              <w:rPr>
                <w:rFonts w:hint="eastAsia"/>
              </w:rPr>
              <w:t>评价引用河北德普环境监测有限公司于2022年7月18日在本项目西侧2670米处进行监测后编制的</w:t>
            </w:r>
            <w:r>
              <w:rPr>
                <w:rFonts w:hint="default"/>
              </w:rPr>
              <w:t>《检测报告》（</w:t>
            </w:r>
            <w:r>
              <w:rPr>
                <w:rFonts w:hint="eastAsia"/>
              </w:rPr>
              <w:t>德普环检字（2022）第J0761号</w:t>
            </w:r>
            <w:r>
              <w:rPr>
                <w:rFonts w:hint="default"/>
              </w:rPr>
              <w:t>）中的监测数据，</w:t>
            </w:r>
            <w:r>
              <w:rPr>
                <w:rFonts w:hint="eastAsia"/>
              </w:rPr>
              <w:t>监测点位具体坐标是东经</w:t>
            </w:r>
            <w:r>
              <w:rPr>
                <w:rFonts w:hint="default"/>
              </w:rPr>
              <w:t>11</w:t>
            </w:r>
            <w:r>
              <w:rPr>
                <w:rFonts w:hint="eastAsia"/>
              </w:rPr>
              <w:t>8</w:t>
            </w:r>
            <w:r>
              <w:rPr>
                <w:rFonts w:hint="default"/>
              </w:rPr>
              <w:t>°3</w:t>
            </w:r>
            <w:r>
              <w:rPr>
                <w:rFonts w:hint="eastAsia"/>
              </w:rPr>
              <w:t>1</w:t>
            </w:r>
            <w:r>
              <w:rPr>
                <w:rFonts w:hint="default"/>
              </w:rPr>
              <w:t>′</w:t>
            </w:r>
            <w:r>
              <w:rPr>
                <w:rFonts w:hint="eastAsia"/>
              </w:rPr>
              <w:t>29.783</w:t>
            </w:r>
            <w:r>
              <w:rPr>
                <w:rFonts w:hint="default"/>
              </w:rPr>
              <w:t>″</w:t>
            </w:r>
            <w:r>
              <w:rPr>
                <w:rFonts w:hint="eastAsia"/>
              </w:rPr>
              <w:t>、北纬</w:t>
            </w:r>
            <w:r>
              <w:rPr>
                <w:rFonts w:hint="default"/>
              </w:rPr>
              <w:t>4</w:t>
            </w:r>
            <w:r>
              <w:rPr>
                <w:rFonts w:hint="eastAsia"/>
              </w:rPr>
              <w:t>0</w:t>
            </w:r>
            <w:r>
              <w:rPr>
                <w:rFonts w:hint="default"/>
              </w:rPr>
              <w:t>°</w:t>
            </w:r>
            <w:r>
              <w:rPr>
                <w:rFonts w:hint="eastAsia"/>
              </w:rPr>
              <w:t>3</w:t>
            </w:r>
            <w:r>
              <w:rPr>
                <w:rFonts w:hint="default"/>
              </w:rPr>
              <w:t>8′</w:t>
            </w:r>
            <w:r>
              <w:rPr>
                <w:rFonts w:hint="eastAsia"/>
              </w:rPr>
              <w:t>59.553</w:t>
            </w:r>
            <w:r>
              <w:rPr>
                <w:rFonts w:hint="default"/>
              </w:rPr>
              <w:t>″</w:t>
            </w:r>
            <w:r>
              <w:rPr>
                <w:rFonts w:hint="eastAsia"/>
              </w:rPr>
              <w:t>。引用监测数据的监测点位置满足《</w:t>
            </w:r>
            <w:r>
              <w:rPr>
                <w:rFonts w:hint="default"/>
              </w:rPr>
              <w:t>建设项目环境影响报告表编制技术指南</w:t>
            </w:r>
            <w:r>
              <w:rPr>
                <w:rFonts w:hint="eastAsia"/>
              </w:rPr>
              <w:t>（污染影响类）》相关要求。</w:t>
            </w:r>
            <w:r>
              <w:rPr>
                <w:rFonts w:hint="default"/>
              </w:rPr>
              <w:t>监测结果如下所示：</w:t>
            </w:r>
          </w:p>
          <w:p w14:paraId="7173D327">
            <w:pPr>
              <w:keepNext w:val="0"/>
              <w:keepLines w:val="0"/>
              <w:suppressLineNumbers w:val="0"/>
              <w:spacing w:before="0" w:beforeAutospacing="0" w:after="0" w:afterAutospacing="0"/>
              <w:ind w:left="0" w:right="0" w:firstLine="480"/>
              <w:rPr>
                <w:rFonts w:hint="default"/>
              </w:rPr>
            </w:pPr>
            <w:r>
              <w:rPr>
                <w:rFonts w:hint="eastAsia"/>
              </w:rPr>
              <w:t>引用监测点位置：骆驼场村，具体坐标东经</w:t>
            </w:r>
            <w:r>
              <w:rPr>
                <w:rFonts w:hint="default"/>
              </w:rPr>
              <w:t>118°31′29.783″</w:t>
            </w:r>
            <w:r>
              <w:rPr>
                <w:rFonts w:hint="eastAsia"/>
              </w:rPr>
              <w:t>、北纬</w:t>
            </w:r>
            <w:r>
              <w:rPr>
                <w:rFonts w:hint="default"/>
              </w:rPr>
              <w:t>40°38′59.553″</w:t>
            </w:r>
            <w:r>
              <w:rPr>
                <w:rFonts w:hint="eastAsia"/>
              </w:rPr>
              <w:t>。</w:t>
            </w:r>
          </w:p>
          <w:p w14:paraId="037883F2">
            <w:pPr>
              <w:keepNext w:val="0"/>
              <w:keepLines w:val="0"/>
              <w:suppressLineNumbers w:val="0"/>
              <w:spacing w:before="0" w:beforeAutospacing="0" w:after="0" w:afterAutospacing="0"/>
              <w:ind w:left="0" w:right="0" w:firstLine="480"/>
              <w:rPr>
                <w:rFonts w:hint="default"/>
              </w:rPr>
            </w:pPr>
            <w:r>
              <w:rPr>
                <w:rFonts w:hint="eastAsia"/>
              </w:rPr>
              <w:t>监测因子：总悬浮颗粒物。</w:t>
            </w:r>
          </w:p>
          <w:p w14:paraId="416A894B">
            <w:pPr>
              <w:keepNext w:val="0"/>
              <w:keepLines w:val="0"/>
              <w:suppressLineNumbers w:val="0"/>
              <w:spacing w:before="0" w:beforeAutospacing="0" w:after="0" w:afterAutospacing="0"/>
              <w:ind w:left="0" w:right="0" w:firstLine="480"/>
              <w:rPr>
                <w:rFonts w:hint="default"/>
              </w:rPr>
            </w:pPr>
            <w:r>
              <w:rPr>
                <w:rFonts w:hint="eastAsia"/>
              </w:rPr>
              <w:t>监测日期：2022年3月24日至2022年3月30日。</w:t>
            </w:r>
          </w:p>
          <w:p w14:paraId="2F21ECCC">
            <w:pPr>
              <w:keepNext w:val="0"/>
              <w:keepLines w:val="0"/>
              <w:suppressLineNumbers w:val="0"/>
              <w:spacing w:before="0" w:beforeAutospacing="0" w:after="0" w:afterAutospacing="0"/>
              <w:ind w:left="0" w:right="0" w:firstLine="480"/>
              <w:rPr>
                <w:rFonts w:hint="default"/>
              </w:rPr>
            </w:pPr>
            <w:r>
              <w:rPr>
                <w:rFonts w:hint="eastAsia"/>
              </w:rPr>
              <w:t>监测频次：监测7天。</w:t>
            </w:r>
          </w:p>
          <w:p w14:paraId="43860CD3">
            <w:pPr>
              <w:keepNext w:val="0"/>
              <w:keepLines w:val="0"/>
              <w:suppressLineNumbers w:val="0"/>
              <w:spacing w:before="0" w:beforeAutospacing="0" w:after="0" w:afterAutospacing="0"/>
              <w:ind w:left="0" w:right="0" w:firstLine="480"/>
              <w:rPr>
                <w:rFonts w:hint="default"/>
              </w:rPr>
            </w:pPr>
            <w:r>
              <w:rPr>
                <w:rFonts w:hint="eastAsia"/>
              </w:rPr>
              <w:t>监测结果与统计</w:t>
            </w:r>
          </w:p>
          <w:p w14:paraId="08A6D5C5">
            <w:pPr>
              <w:keepNext w:val="0"/>
              <w:keepLines w:val="0"/>
              <w:suppressLineNumbers w:val="0"/>
              <w:spacing w:before="0" w:beforeAutospacing="0" w:after="0" w:afterAutospacing="0"/>
              <w:ind w:left="0" w:right="0" w:firstLine="480"/>
              <w:rPr>
                <w:rFonts w:hint="default"/>
              </w:rPr>
            </w:pPr>
            <w:r>
              <w:rPr>
                <w:rFonts w:hint="eastAsia"/>
              </w:rPr>
              <w:t>项目区域环境空气质量现状补充监测结果（总悬浮颗粒物）与统计情况见下表。</w:t>
            </w:r>
          </w:p>
          <w:p w14:paraId="03639540">
            <w:pPr>
              <w:keepNext w:val="0"/>
              <w:keepLines w:val="0"/>
              <w:suppressLineNumbers w:val="0"/>
              <w:spacing w:before="0" w:beforeAutospacing="0" w:after="0" w:afterAutospacing="0"/>
              <w:ind w:left="0" w:right="0" w:firstLine="480"/>
              <w:rPr>
                <w:rFonts w:hint="default"/>
              </w:rPr>
            </w:pPr>
          </w:p>
          <w:p w14:paraId="1E6171F2">
            <w:pPr>
              <w:keepNext w:val="0"/>
              <w:keepLines w:val="0"/>
              <w:suppressLineNumbers w:val="0"/>
              <w:spacing w:before="0" w:beforeAutospacing="0" w:after="0" w:afterAutospacing="0"/>
              <w:ind w:left="0" w:right="0" w:firstLine="480"/>
              <w:rPr>
                <w:rFonts w:hint="default"/>
              </w:rPr>
            </w:pPr>
          </w:p>
          <w:p w14:paraId="1B5D2583">
            <w:pPr>
              <w:keepNext w:val="0"/>
              <w:keepLines w:val="0"/>
              <w:numPr>
                <w:ilvl w:val="0"/>
                <w:numId w:val="13"/>
              </w:numPr>
              <w:suppressLineNumbers w:val="0"/>
              <w:tabs>
                <w:tab w:val="left" w:pos="0"/>
              </w:tabs>
              <w:spacing w:before="0" w:beforeAutospacing="0" w:after="0" w:afterAutospacing="0"/>
              <w:ind w:left="0" w:right="0" w:firstLine="0" w:firstLineChars="0"/>
              <w:jc w:val="center"/>
              <w:rPr>
                <w:rFonts w:hint="default"/>
                <w:b/>
                <w:sz w:val="21"/>
                <w:szCs w:val="21"/>
              </w:rPr>
            </w:pPr>
            <w:r>
              <w:rPr>
                <w:rFonts w:hint="eastAsia"/>
                <w:b/>
                <w:sz w:val="21"/>
                <w:szCs w:val="21"/>
              </w:rPr>
              <w:t>环境空气质量现状监测结果（总悬浮颗粒物）与统计情况一览表</w:t>
            </w:r>
          </w:p>
          <w:tbl>
            <w:tblPr>
              <w:tblStyle w:val="22"/>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43"/>
              <w:gridCol w:w="1323"/>
              <w:gridCol w:w="2448"/>
              <w:gridCol w:w="1750"/>
              <w:gridCol w:w="1540"/>
            </w:tblGrid>
            <w:tr w14:paraId="1BFCF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48" w:type="pct"/>
                  <w:vMerge w:val="restart"/>
                  <w:vAlign w:val="center"/>
                </w:tcPr>
                <w:p w14:paraId="5F74C8D6">
                  <w:pPr>
                    <w:pStyle w:val="42"/>
                    <w:keepNext w:val="0"/>
                    <w:keepLines w:val="0"/>
                    <w:widowControl/>
                    <w:suppressLineNumbers w:val="0"/>
                    <w:spacing w:before="0" w:beforeAutospacing="0" w:after="0" w:afterAutospacing="0"/>
                    <w:ind w:left="0" w:right="0"/>
                    <w:rPr>
                      <w:rFonts w:hint="default"/>
                      <w:b/>
                      <w:bCs/>
                    </w:rPr>
                  </w:pPr>
                  <w:r>
                    <w:rPr>
                      <w:b/>
                      <w:bCs/>
                    </w:rPr>
                    <w:t>监测项目</w:t>
                  </w:r>
                </w:p>
              </w:tc>
              <w:tc>
                <w:tcPr>
                  <w:tcW w:w="796" w:type="pct"/>
                  <w:vMerge w:val="restart"/>
                  <w:vAlign w:val="center"/>
                </w:tcPr>
                <w:p w14:paraId="1E49A711">
                  <w:pPr>
                    <w:pStyle w:val="42"/>
                    <w:keepNext w:val="0"/>
                    <w:keepLines w:val="0"/>
                    <w:widowControl/>
                    <w:suppressLineNumbers w:val="0"/>
                    <w:spacing w:before="0" w:beforeAutospacing="0" w:after="0" w:afterAutospacing="0"/>
                    <w:ind w:left="0" w:right="0"/>
                    <w:rPr>
                      <w:rFonts w:hint="default"/>
                      <w:b/>
                      <w:bCs/>
                    </w:rPr>
                  </w:pPr>
                  <w:r>
                    <w:rPr>
                      <w:b/>
                      <w:bCs/>
                    </w:rPr>
                    <w:t>监测点位</w:t>
                  </w:r>
                </w:p>
              </w:tc>
              <w:tc>
                <w:tcPr>
                  <w:tcW w:w="1473" w:type="pct"/>
                  <w:vMerge w:val="restart"/>
                  <w:vAlign w:val="center"/>
                </w:tcPr>
                <w:p w14:paraId="0A9AEB2E">
                  <w:pPr>
                    <w:pStyle w:val="42"/>
                    <w:keepNext w:val="0"/>
                    <w:keepLines w:val="0"/>
                    <w:widowControl/>
                    <w:suppressLineNumbers w:val="0"/>
                    <w:spacing w:before="0" w:beforeAutospacing="0" w:after="0" w:afterAutospacing="0"/>
                    <w:ind w:left="0" w:right="0"/>
                    <w:rPr>
                      <w:rFonts w:hint="default"/>
                      <w:b/>
                      <w:bCs/>
                    </w:rPr>
                  </w:pPr>
                  <w:r>
                    <w:rPr>
                      <w:b/>
                      <w:bCs/>
                    </w:rPr>
                    <w:t>采样日期</w:t>
                  </w:r>
                </w:p>
              </w:tc>
              <w:tc>
                <w:tcPr>
                  <w:tcW w:w="1053" w:type="pct"/>
                  <w:vAlign w:val="center"/>
                </w:tcPr>
                <w:p w14:paraId="743CF96F">
                  <w:pPr>
                    <w:pStyle w:val="42"/>
                    <w:keepNext w:val="0"/>
                    <w:keepLines w:val="0"/>
                    <w:widowControl/>
                    <w:suppressLineNumbers w:val="0"/>
                    <w:spacing w:before="0" w:beforeAutospacing="0" w:after="0" w:afterAutospacing="0"/>
                    <w:ind w:left="0" w:right="0"/>
                    <w:rPr>
                      <w:rFonts w:hint="default"/>
                      <w:b/>
                      <w:bCs/>
                    </w:rPr>
                  </w:pPr>
                  <w:r>
                    <w:rPr>
                      <w:b/>
                      <w:bCs/>
                    </w:rPr>
                    <w:t>监测结果</w:t>
                  </w:r>
                </w:p>
              </w:tc>
              <w:tc>
                <w:tcPr>
                  <w:tcW w:w="927" w:type="pct"/>
                  <w:vMerge w:val="restart"/>
                  <w:vAlign w:val="center"/>
                </w:tcPr>
                <w:p w14:paraId="6239FA3A">
                  <w:pPr>
                    <w:pStyle w:val="42"/>
                    <w:keepNext w:val="0"/>
                    <w:keepLines w:val="0"/>
                    <w:widowControl/>
                    <w:suppressLineNumbers w:val="0"/>
                    <w:spacing w:before="0" w:beforeAutospacing="0" w:after="0" w:afterAutospacing="0"/>
                    <w:ind w:left="0" w:right="0"/>
                    <w:rPr>
                      <w:rFonts w:hint="default"/>
                      <w:b/>
                      <w:bCs/>
                    </w:rPr>
                  </w:pPr>
                  <w:r>
                    <w:rPr>
                      <w:b/>
                      <w:bCs/>
                    </w:rPr>
                    <w:t>标准值</w:t>
                  </w:r>
                </w:p>
                <w:p w14:paraId="65417A47">
                  <w:pPr>
                    <w:pStyle w:val="42"/>
                    <w:keepNext w:val="0"/>
                    <w:keepLines w:val="0"/>
                    <w:widowControl/>
                    <w:suppressLineNumbers w:val="0"/>
                    <w:spacing w:before="0" w:beforeAutospacing="0" w:after="0" w:afterAutospacing="0"/>
                    <w:ind w:left="0" w:right="0"/>
                    <w:rPr>
                      <w:rFonts w:hint="default"/>
                    </w:rPr>
                  </w:pPr>
                  <w:r>
                    <w:rPr>
                      <w:b/>
                      <w:bCs/>
                    </w:rPr>
                    <w:t>（</w:t>
                  </w:r>
                  <w:r>
                    <w:rPr>
                      <w:rFonts w:hint="default" w:cs="Times New Roman"/>
                      <w:b/>
                      <w:bCs/>
                    </w:rPr>
                    <w:t>μg/m</w:t>
                  </w:r>
                  <w:r>
                    <w:rPr>
                      <w:rFonts w:hint="default" w:cs="Times New Roman"/>
                      <w:b/>
                      <w:bCs/>
                      <w:vertAlign w:val="superscript"/>
                    </w:rPr>
                    <w:t>3</w:t>
                  </w:r>
                  <w:r>
                    <w:rPr>
                      <w:b/>
                      <w:bCs/>
                    </w:rPr>
                    <w:t>）</w:t>
                  </w:r>
                </w:p>
              </w:tc>
            </w:tr>
            <w:tr w14:paraId="77BFE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48" w:type="pct"/>
                  <w:vMerge w:val="continue"/>
                  <w:vAlign w:val="center"/>
                </w:tcPr>
                <w:p w14:paraId="5267A9F4">
                  <w:pPr>
                    <w:pStyle w:val="42"/>
                    <w:keepNext w:val="0"/>
                    <w:keepLines w:val="0"/>
                    <w:widowControl/>
                    <w:suppressLineNumbers w:val="0"/>
                    <w:spacing w:before="0" w:beforeAutospacing="0" w:after="0" w:afterAutospacing="0"/>
                    <w:ind w:left="0" w:right="0"/>
                    <w:rPr>
                      <w:rFonts w:hint="default"/>
                      <w:b/>
                      <w:bCs/>
                    </w:rPr>
                  </w:pPr>
                </w:p>
              </w:tc>
              <w:tc>
                <w:tcPr>
                  <w:tcW w:w="796" w:type="pct"/>
                  <w:vMerge w:val="continue"/>
                  <w:vAlign w:val="center"/>
                </w:tcPr>
                <w:p w14:paraId="6DEFE3A2">
                  <w:pPr>
                    <w:pStyle w:val="42"/>
                    <w:keepNext w:val="0"/>
                    <w:keepLines w:val="0"/>
                    <w:widowControl/>
                    <w:suppressLineNumbers w:val="0"/>
                    <w:spacing w:before="0" w:beforeAutospacing="0" w:after="0" w:afterAutospacing="0"/>
                    <w:ind w:left="0" w:right="0"/>
                    <w:rPr>
                      <w:rFonts w:hint="default"/>
                      <w:b/>
                      <w:bCs/>
                    </w:rPr>
                  </w:pPr>
                </w:p>
              </w:tc>
              <w:tc>
                <w:tcPr>
                  <w:tcW w:w="1473" w:type="pct"/>
                  <w:vMerge w:val="continue"/>
                  <w:vAlign w:val="center"/>
                </w:tcPr>
                <w:p w14:paraId="26FCB092">
                  <w:pPr>
                    <w:pStyle w:val="42"/>
                    <w:keepNext w:val="0"/>
                    <w:keepLines w:val="0"/>
                    <w:widowControl/>
                    <w:suppressLineNumbers w:val="0"/>
                    <w:spacing w:before="0" w:beforeAutospacing="0" w:after="0" w:afterAutospacing="0"/>
                    <w:ind w:left="0" w:right="0"/>
                    <w:rPr>
                      <w:rFonts w:hint="default"/>
                      <w:b/>
                      <w:bCs/>
                    </w:rPr>
                  </w:pPr>
                </w:p>
              </w:tc>
              <w:tc>
                <w:tcPr>
                  <w:tcW w:w="1053" w:type="pct"/>
                  <w:vAlign w:val="center"/>
                </w:tcPr>
                <w:p w14:paraId="470E881C">
                  <w:pPr>
                    <w:pStyle w:val="42"/>
                    <w:keepNext w:val="0"/>
                    <w:keepLines w:val="0"/>
                    <w:widowControl/>
                    <w:suppressLineNumbers w:val="0"/>
                    <w:spacing w:before="0" w:beforeAutospacing="0" w:after="0" w:afterAutospacing="0"/>
                    <w:ind w:left="0" w:right="0"/>
                    <w:rPr>
                      <w:rFonts w:hint="default"/>
                      <w:b/>
                      <w:bCs/>
                    </w:rPr>
                  </w:pPr>
                  <w:r>
                    <w:rPr>
                      <w:b/>
                      <w:bCs/>
                    </w:rPr>
                    <w:t>（</w:t>
                  </w:r>
                  <w:r>
                    <w:rPr>
                      <w:rFonts w:hint="default" w:cs="Times New Roman"/>
                      <w:b/>
                      <w:bCs/>
                    </w:rPr>
                    <w:t>μg/m³</w:t>
                  </w:r>
                  <w:r>
                    <w:rPr>
                      <w:b/>
                      <w:bCs/>
                    </w:rPr>
                    <w:t>）</w:t>
                  </w:r>
                </w:p>
              </w:tc>
              <w:tc>
                <w:tcPr>
                  <w:tcW w:w="927" w:type="pct"/>
                  <w:vMerge w:val="continue"/>
                  <w:vAlign w:val="center"/>
                </w:tcPr>
                <w:p w14:paraId="1388876C">
                  <w:pPr>
                    <w:pStyle w:val="42"/>
                    <w:keepNext w:val="0"/>
                    <w:keepLines w:val="0"/>
                    <w:widowControl/>
                    <w:suppressLineNumbers w:val="0"/>
                    <w:spacing w:before="0" w:beforeAutospacing="0" w:after="0" w:afterAutospacing="0"/>
                    <w:ind w:left="0" w:right="0"/>
                    <w:rPr>
                      <w:rFonts w:hint="default"/>
                    </w:rPr>
                  </w:pPr>
                </w:p>
              </w:tc>
            </w:tr>
            <w:tr w14:paraId="59DA45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48" w:type="pct"/>
                  <w:vMerge w:val="restart"/>
                  <w:vAlign w:val="center"/>
                </w:tcPr>
                <w:p w14:paraId="1817FBEA">
                  <w:pPr>
                    <w:pStyle w:val="42"/>
                    <w:keepNext w:val="0"/>
                    <w:keepLines w:val="0"/>
                    <w:widowControl/>
                    <w:suppressLineNumbers w:val="0"/>
                    <w:spacing w:before="0" w:beforeAutospacing="0" w:after="0" w:afterAutospacing="0"/>
                    <w:ind w:left="0" w:right="0"/>
                    <w:rPr>
                      <w:rFonts w:hint="default"/>
                    </w:rPr>
                  </w:pPr>
                  <w:r>
                    <w:t>总悬浮颗粒物</w:t>
                  </w:r>
                </w:p>
              </w:tc>
              <w:tc>
                <w:tcPr>
                  <w:tcW w:w="796" w:type="pct"/>
                  <w:vMerge w:val="restart"/>
                  <w:vAlign w:val="center"/>
                </w:tcPr>
                <w:p w14:paraId="6B27FC2C">
                  <w:pPr>
                    <w:pStyle w:val="42"/>
                    <w:keepNext w:val="0"/>
                    <w:keepLines w:val="0"/>
                    <w:widowControl/>
                    <w:suppressLineNumbers w:val="0"/>
                    <w:spacing w:before="0" w:beforeAutospacing="0" w:after="0" w:afterAutospacing="0"/>
                    <w:ind w:left="0" w:right="0"/>
                    <w:rPr>
                      <w:rFonts w:hint="default"/>
                    </w:rPr>
                  </w:pPr>
                  <w:r>
                    <w:t>骆驼场村</w:t>
                  </w:r>
                </w:p>
              </w:tc>
              <w:tc>
                <w:tcPr>
                  <w:tcW w:w="1473" w:type="pct"/>
                  <w:vAlign w:val="center"/>
                </w:tcPr>
                <w:p w14:paraId="78021EB7">
                  <w:pPr>
                    <w:pStyle w:val="42"/>
                    <w:keepNext w:val="0"/>
                    <w:keepLines w:val="0"/>
                    <w:widowControl/>
                    <w:suppressLineNumbers w:val="0"/>
                    <w:spacing w:before="0" w:beforeAutospacing="0" w:after="0" w:afterAutospacing="0"/>
                    <w:ind w:left="0" w:right="0"/>
                    <w:rPr>
                      <w:rFonts w:hint="default"/>
                    </w:rPr>
                  </w:pPr>
                  <w:r>
                    <w:t>2022年3月24日</w:t>
                  </w:r>
                </w:p>
              </w:tc>
              <w:tc>
                <w:tcPr>
                  <w:tcW w:w="1053" w:type="pct"/>
                  <w:vAlign w:val="center"/>
                </w:tcPr>
                <w:p w14:paraId="046140B4">
                  <w:pPr>
                    <w:pStyle w:val="42"/>
                    <w:keepNext w:val="0"/>
                    <w:keepLines w:val="0"/>
                    <w:widowControl/>
                    <w:suppressLineNumbers w:val="0"/>
                    <w:spacing w:before="0" w:beforeAutospacing="0" w:after="0" w:afterAutospacing="0"/>
                    <w:ind w:left="0" w:right="0"/>
                    <w:rPr>
                      <w:rFonts w:hint="default"/>
                    </w:rPr>
                  </w:pPr>
                  <w:r>
                    <w:t>109</w:t>
                  </w:r>
                </w:p>
              </w:tc>
              <w:tc>
                <w:tcPr>
                  <w:tcW w:w="927" w:type="pct"/>
                  <w:vMerge w:val="restart"/>
                  <w:vAlign w:val="center"/>
                </w:tcPr>
                <w:p w14:paraId="21FBF45D">
                  <w:pPr>
                    <w:pStyle w:val="42"/>
                    <w:keepNext w:val="0"/>
                    <w:keepLines w:val="0"/>
                    <w:widowControl/>
                    <w:suppressLineNumbers w:val="0"/>
                    <w:spacing w:before="0" w:beforeAutospacing="0" w:after="0" w:afterAutospacing="0"/>
                    <w:ind w:left="0" w:right="0"/>
                    <w:rPr>
                      <w:rFonts w:hint="default"/>
                    </w:rPr>
                  </w:pPr>
                  <w:r>
                    <w:t>300</w:t>
                  </w:r>
                </w:p>
              </w:tc>
            </w:tr>
            <w:tr w14:paraId="30D2AA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48" w:type="pct"/>
                  <w:vMerge w:val="continue"/>
                  <w:vAlign w:val="center"/>
                </w:tcPr>
                <w:p w14:paraId="25A4CA3F">
                  <w:pPr>
                    <w:pStyle w:val="42"/>
                    <w:keepNext w:val="0"/>
                    <w:keepLines w:val="0"/>
                    <w:widowControl/>
                    <w:suppressLineNumbers w:val="0"/>
                    <w:spacing w:before="0" w:beforeAutospacing="0" w:after="0" w:afterAutospacing="0"/>
                    <w:ind w:left="0" w:right="0"/>
                    <w:rPr>
                      <w:rFonts w:hint="default"/>
                      <w:color w:val="FF0000"/>
                    </w:rPr>
                  </w:pPr>
                </w:p>
              </w:tc>
              <w:tc>
                <w:tcPr>
                  <w:tcW w:w="796" w:type="pct"/>
                  <w:vMerge w:val="continue"/>
                  <w:vAlign w:val="center"/>
                </w:tcPr>
                <w:p w14:paraId="3DEFA037">
                  <w:pPr>
                    <w:pStyle w:val="42"/>
                    <w:keepNext w:val="0"/>
                    <w:keepLines w:val="0"/>
                    <w:widowControl/>
                    <w:suppressLineNumbers w:val="0"/>
                    <w:spacing w:before="0" w:beforeAutospacing="0" w:after="0" w:afterAutospacing="0"/>
                    <w:ind w:left="0" w:right="0"/>
                    <w:rPr>
                      <w:rFonts w:hint="default"/>
                      <w:color w:val="FF0000"/>
                    </w:rPr>
                  </w:pPr>
                </w:p>
              </w:tc>
              <w:tc>
                <w:tcPr>
                  <w:tcW w:w="1473" w:type="pct"/>
                  <w:vAlign w:val="center"/>
                </w:tcPr>
                <w:p w14:paraId="2CE222D7">
                  <w:pPr>
                    <w:pStyle w:val="42"/>
                    <w:keepNext w:val="0"/>
                    <w:keepLines w:val="0"/>
                    <w:widowControl/>
                    <w:suppressLineNumbers w:val="0"/>
                    <w:spacing w:before="0" w:beforeAutospacing="0" w:after="0" w:afterAutospacing="0"/>
                    <w:ind w:left="0" w:right="0"/>
                    <w:rPr>
                      <w:rFonts w:hint="default"/>
                    </w:rPr>
                  </w:pPr>
                  <w:r>
                    <w:t>2022年3月25日</w:t>
                  </w:r>
                </w:p>
              </w:tc>
              <w:tc>
                <w:tcPr>
                  <w:tcW w:w="1053" w:type="pct"/>
                  <w:vAlign w:val="center"/>
                </w:tcPr>
                <w:p w14:paraId="7A5F692B">
                  <w:pPr>
                    <w:pStyle w:val="42"/>
                    <w:keepNext w:val="0"/>
                    <w:keepLines w:val="0"/>
                    <w:widowControl/>
                    <w:suppressLineNumbers w:val="0"/>
                    <w:spacing w:before="0" w:beforeAutospacing="0" w:after="0" w:afterAutospacing="0"/>
                    <w:ind w:left="0" w:right="0"/>
                    <w:rPr>
                      <w:rFonts w:hint="default"/>
                    </w:rPr>
                  </w:pPr>
                  <w:r>
                    <w:t>160</w:t>
                  </w:r>
                </w:p>
              </w:tc>
              <w:tc>
                <w:tcPr>
                  <w:tcW w:w="927" w:type="pct"/>
                  <w:vMerge w:val="continue"/>
                  <w:vAlign w:val="center"/>
                </w:tcPr>
                <w:p w14:paraId="3952995F">
                  <w:pPr>
                    <w:pStyle w:val="42"/>
                    <w:keepNext w:val="0"/>
                    <w:keepLines w:val="0"/>
                    <w:widowControl/>
                    <w:suppressLineNumbers w:val="0"/>
                    <w:spacing w:before="0" w:beforeAutospacing="0" w:after="0" w:afterAutospacing="0"/>
                    <w:ind w:left="0" w:right="0"/>
                    <w:rPr>
                      <w:rFonts w:hint="default"/>
                    </w:rPr>
                  </w:pPr>
                </w:p>
              </w:tc>
            </w:tr>
            <w:tr w14:paraId="31EB6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48" w:type="pct"/>
                  <w:vMerge w:val="continue"/>
                  <w:vAlign w:val="center"/>
                </w:tcPr>
                <w:p w14:paraId="1CD0AFB3">
                  <w:pPr>
                    <w:pStyle w:val="42"/>
                    <w:keepNext w:val="0"/>
                    <w:keepLines w:val="0"/>
                    <w:widowControl/>
                    <w:suppressLineNumbers w:val="0"/>
                    <w:spacing w:before="0" w:beforeAutospacing="0" w:after="0" w:afterAutospacing="0"/>
                    <w:ind w:left="0" w:right="0"/>
                    <w:rPr>
                      <w:rFonts w:hint="default"/>
                      <w:color w:val="FF0000"/>
                    </w:rPr>
                  </w:pPr>
                </w:p>
              </w:tc>
              <w:tc>
                <w:tcPr>
                  <w:tcW w:w="796" w:type="pct"/>
                  <w:vMerge w:val="continue"/>
                  <w:vAlign w:val="center"/>
                </w:tcPr>
                <w:p w14:paraId="0CF11682">
                  <w:pPr>
                    <w:pStyle w:val="42"/>
                    <w:keepNext w:val="0"/>
                    <w:keepLines w:val="0"/>
                    <w:widowControl/>
                    <w:suppressLineNumbers w:val="0"/>
                    <w:spacing w:before="0" w:beforeAutospacing="0" w:after="0" w:afterAutospacing="0"/>
                    <w:ind w:left="0" w:right="0"/>
                    <w:rPr>
                      <w:rFonts w:hint="default"/>
                      <w:color w:val="FF0000"/>
                    </w:rPr>
                  </w:pPr>
                </w:p>
              </w:tc>
              <w:tc>
                <w:tcPr>
                  <w:tcW w:w="1473" w:type="pct"/>
                  <w:vAlign w:val="center"/>
                </w:tcPr>
                <w:p w14:paraId="17F940B6">
                  <w:pPr>
                    <w:pStyle w:val="42"/>
                    <w:keepNext w:val="0"/>
                    <w:keepLines w:val="0"/>
                    <w:widowControl/>
                    <w:suppressLineNumbers w:val="0"/>
                    <w:spacing w:before="0" w:beforeAutospacing="0" w:after="0" w:afterAutospacing="0"/>
                    <w:ind w:left="0" w:right="0"/>
                    <w:rPr>
                      <w:rFonts w:hint="default"/>
                    </w:rPr>
                  </w:pPr>
                  <w:r>
                    <w:t>2022年3月26日</w:t>
                  </w:r>
                </w:p>
              </w:tc>
              <w:tc>
                <w:tcPr>
                  <w:tcW w:w="1053" w:type="pct"/>
                  <w:vAlign w:val="center"/>
                </w:tcPr>
                <w:p w14:paraId="50344488">
                  <w:pPr>
                    <w:pStyle w:val="42"/>
                    <w:keepNext w:val="0"/>
                    <w:keepLines w:val="0"/>
                    <w:widowControl/>
                    <w:suppressLineNumbers w:val="0"/>
                    <w:spacing w:before="0" w:beforeAutospacing="0" w:after="0" w:afterAutospacing="0"/>
                    <w:ind w:left="0" w:right="0"/>
                    <w:rPr>
                      <w:rFonts w:hint="default"/>
                    </w:rPr>
                  </w:pPr>
                  <w:r>
                    <w:t>105</w:t>
                  </w:r>
                </w:p>
              </w:tc>
              <w:tc>
                <w:tcPr>
                  <w:tcW w:w="927" w:type="pct"/>
                  <w:vMerge w:val="continue"/>
                  <w:vAlign w:val="center"/>
                </w:tcPr>
                <w:p w14:paraId="0035FB03">
                  <w:pPr>
                    <w:pStyle w:val="42"/>
                    <w:keepNext w:val="0"/>
                    <w:keepLines w:val="0"/>
                    <w:widowControl/>
                    <w:suppressLineNumbers w:val="0"/>
                    <w:spacing w:before="0" w:beforeAutospacing="0" w:after="0" w:afterAutospacing="0"/>
                    <w:ind w:left="0" w:right="0"/>
                    <w:rPr>
                      <w:rFonts w:hint="default"/>
                    </w:rPr>
                  </w:pPr>
                </w:p>
              </w:tc>
            </w:tr>
            <w:tr w14:paraId="3AEFE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48" w:type="pct"/>
                  <w:vMerge w:val="continue"/>
                  <w:vAlign w:val="center"/>
                </w:tcPr>
                <w:p w14:paraId="2DFED92D">
                  <w:pPr>
                    <w:pStyle w:val="42"/>
                    <w:keepNext w:val="0"/>
                    <w:keepLines w:val="0"/>
                    <w:widowControl/>
                    <w:suppressLineNumbers w:val="0"/>
                    <w:spacing w:before="0" w:beforeAutospacing="0" w:after="0" w:afterAutospacing="0"/>
                    <w:ind w:left="0" w:right="0"/>
                    <w:rPr>
                      <w:rFonts w:hint="default"/>
                      <w:color w:val="FF0000"/>
                    </w:rPr>
                  </w:pPr>
                </w:p>
              </w:tc>
              <w:tc>
                <w:tcPr>
                  <w:tcW w:w="796" w:type="pct"/>
                  <w:vMerge w:val="continue"/>
                  <w:vAlign w:val="center"/>
                </w:tcPr>
                <w:p w14:paraId="24DE5E0E">
                  <w:pPr>
                    <w:pStyle w:val="42"/>
                    <w:keepNext w:val="0"/>
                    <w:keepLines w:val="0"/>
                    <w:widowControl/>
                    <w:suppressLineNumbers w:val="0"/>
                    <w:spacing w:before="0" w:beforeAutospacing="0" w:after="0" w:afterAutospacing="0"/>
                    <w:ind w:left="0" w:right="0"/>
                    <w:rPr>
                      <w:rFonts w:hint="default"/>
                      <w:color w:val="FF0000"/>
                    </w:rPr>
                  </w:pPr>
                </w:p>
              </w:tc>
              <w:tc>
                <w:tcPr>
                  <w:tcW w:w="1473" w:type="pct"/>
                  <w:vAlign w:val="center"/>
                </w:tcPr>
                <w:p w14:paraId="01CAF63D">
                  <w:pPr>
                    <w:pStyle w:val="42"/>
                    <w:keepNext w:val="0"/>
                    <w:keepLines w:val="0"/>
                    <w:widowControl/>
                    <w:suppressLineNumbers w:val="0"/>
                    <w:spacing w:before="0" w:beforeAutospacing="0" w:after="0" w:afterAutospacing="0"/>
                    <w:ind w:left="0" w:right="0"/>
                    <w:rPr>
                      <w:rFonts w:hint="default"/>
                    </w:rPr>
                  </w:pPr>
                  <w:r>
                    <w:t>2022年3月27日</w:t>
                  </w:r>
                </w:p>
              </w:tc>
              <w:tc>
                <w:tcPr>
                  <w:tcW w:w="1053" w:type="pct"/>
                  <w:vAlign w:val="center"/>
                </w:tcPr>
                <w:p w14:paraId="625529A5">
                  <w:pPr>
                    <w:pStyle w:val="42"/>
                    <w:keepNext w:val="0"/>
                    <w:keepLines w:val="0"/>
                    <w:widowControl/>
                    <w:suppressLineNumbers w:val="0"/>
                    <w:spacing w:before="0" w:beforeAutospacing="0" w:after="0" w:afterAutospacing="0"/>
                    <w:ind w:left="0" w:right="0"/>
                    <w:rPr>
                      <w:rFonts w:hint="default"/>
                    </w:rPr>
                  </w:pPr>
                  <w:r>
                    <w:t>48</w:t>
                  </w:r>
                </w:p>
              </w:tc>
              <w:tc>
                <w:tcPr>
                  <w:tcW w:w="927" w:type="pct"/>
                  <w:vMerge w:val="continue"/>
                  <w:vAlign w:val="center"/>
                </w:tcPr>
                <w:p w14:paraId="782B9494">
                  <w:pPr>
                    <w:pStyle w:val="42"/>
                    <w:keepNext w:val="0"/>
                    <w:keepLines w:val="0"/>
                    <w:widowControl/>
                    <w:suppressLineNumbers w:val="0"/>
                    <w:spacing w:before="0" w:beforeAutospacing="0" w:after="0" w:afterAutospacing="0"/>
                    <w:ind w:left="0" w:right="0"/>
                    <w:rPr>
                      <w:rFonts w:hint="default"/>
                    </w:rPr>
                  </w:pPr>
                </w:p>
              </w:tc>
            </w:tr>
            <w:tr w14:paraId="6D60D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48" w:type="pct"/>
                  <w:vMerge w:val="continue"/>
                  <w:vAlign w:val="center"/>
                </w:tcPr>
                <w:p w14:paraId="20D7F7A4">
                  <w:pPr>
                    <w:pStyle w:val="42"/>
                    <w:keepNext w:val="0"/>
                    <w:keepLines w:val="0"/>
                    <w:widowControl/>
                    <w:suppressLineNumbers w:val="0"/>
                    <w:spacing w:before="0" w:beforeAutospacing="0" w:after="0" w:afterAutospacing="0"/>
                    <w:ind w:left="0" w:right="0"/>
                    <w:rPr>
                      <w:rFonts w:hint="default"/>
                      <w:color w:val="FF0000"/>
                    </w:rPr>
                  </w:pPr>
                </w:p>
              </w:tc>
              <w:tc>
                <w:tcPr>
                  <w:tcW w:w="796" w:type="pct"/>
                  <w:vMerge w:val="continue"/>
                  <w:vAlign w:val="center"/>
                </w:tcPr>
                <w:p w14:paraId="18440F2B">
                  <w:pPr>
                    <w:pStyle w:val="42"/>
                    <w:keepNext w:val="0"/>
                    <w:keepLines w:val="0"/>
                    <w:widowControl/>
                    <w:suppressLineNumbers w:val="0"/>
                    <w:spacing w:before="0" w:beforeAutospacing="0" w:after="0" w:afterAutospacing="0"/>
                    <w:ind w:left="0" w:right="0"/>
                    <w:rPr>
                      <w:rFonts w:hint="default"/>
                      <w:color w:val="FF0000"/>
                    </w:rPr>
                  </w:pPr>
                </w:p>
              </w:tc>
              <w:tc>
                <w:tcPr>
                  <w:tcW w:w="1473" w:type="pct"/>
                  <w:vAlign w:val="center"/>
                </w:tcPr>
                <w:p w14:paraId="0606AE21">
                  <w:pPr>
                    <w:pStyle w:val="42"/>
                    <w:keepNext w:val="0"/>
                    <w:keepLines w:val="0"/>
                    <w:widowControl/>
                    <w:suppressLineNumbers w:val="0"/>
                    <w:spacing w:before="0" w:beforeAutospacing="0" w:after="0" w:afterAutospacing="0"/>
                    <w:ind w:left="0" w:right="0"/>
                    <w:rPr>
                      <w:rFonts w:hint="default"/>
                    </w:rPr>
                  </w:pPr>
                  <w:r>
                    <w:t>2022年3月28日</w:t>
                  </w:r>
                </w:p>
              </w:tc>
              <w:tc>
                <w:tcPr>
                  <w:tcW w:w="1053" w:type="pct"/>
                  <w:vAlign w:val="center"/>
                </w:tcPr>
                <w:p w14:paraId="4952E2BB">
                  <w:pPr>
                    <w:pStyle w:val="42"/>
                    <w:keepNext w:val="0"/>
                    <w:keepLines w:val="0"/>
                    <w:widowControl/>
                    <w:suppressLineNumbers w:val="0"/>
                    <w:spacing w:before="0" w:beforeAutospacing="0" w:after="0" w:afterAutospacing="0"/>
                    <w:ind w:left="0" w:right="0"/>
                    <w:rPr>
                      <w:rFonts w:hint="default"/>
                    </w:rPr>
                  </w:pPr>
                  <w:r>
                    <w:t>87</w:t>
                  </w:r>
                </w:p>
              </w:tc>
              <w:tc>
                <w:tcPr>
                  <w:tcW w:w="927" w:type="pct"/>
                  <w:vMerge w:val="continue"/>
                  <w:vAlign w:val="center"/>
                </w:tcPr>
                <w:p w14:paraId="0BD1095C">
                  <w:pPr>
                    <w:pStyle w:val="42"/>
                    <w:keepNext w:val="0"/>
                    <w:keepLines w:val="0"/>
                    <w:widowControl/>
                    <w:suppressLineNumbers w:val="0"/>
                    <w:spacing w:before="0" w:beforeAutospacing="0" w:after="0" w:afterAutospacing="0"/>
                    <w:ind w:left="0" w:right="0"/>
                    <w:rPr>
                      <w:rFonts w:hint="default"/>
                    </w:rPr>
                  </w:pPr>
                </w:p>
              </w:tc>
            </w:tr>
            <w:tr w14:paraId="6B861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48" w:type="pct"/>
                  <w:vMerge w:val="continue"/>
                  <w:vAlign w:val="center"/>
                </w:tcPr>
                <w:p w14:paraId="373FE098">
                  <w:pPr>
                    <w:pStyle w:val="42"/>
                    <w:keepNext w:val="0"/>
                    <w:keepLines w:val="0"/>
                    <w:widowControl/>
                    <w:suppressLineNumbers w:val="0"/>
                    <w:spacing w:before="0" w:beforeAutospacing="0" w:after="0" w:afterAutospacing="0"/>
                    <w:ind w:left="0" w:right="0"/>
                    <w:rPr>
                      <w:rFonts w:hint="default"/>
                      <w:color w:val="FF0000"/>
                    </w:rPr>
                  </w:pPr>
                </w:p>
              </w:tc>
              <w:tc>
                <w:tcPr>
                  <w:tcW w:w="796" w:type="pct"/>
                  <w:vMerge w:val="continue"/>
                  <w:vAlign w:val="center"/>
                </w:tcPr>
                <w:p w14:paraId="2897F6B8">
                  <w:pPr>
                    <w:pStyle w:val="42"/>
                    <w:keepNext w:val="0"/>
                    <w:keepLines w:val="0"/>
                    <w:widowControl/>
                    <w:suppressLineNumbers w:val="0"/>
                    <w:spacing w:before="0" w:beforeAutospacing="0" w:after="0" w:afterAutospacing="0"/>
                    <w:ind w:left="0" w:right="0"/>
                    <w:rPr>
                      <w:rFonts w:hint="default"/>
                      <w:color w:val="FF0000"/>
                    </w:rPr>
                  </w:pPr>
                </w:p>
              </w:tc>
              <w:tc>
                <w:tcPr>
                  <w:tcW w:w="1473" w:type="pct"/>
                  <w:vAlign w:val="center"/>
                </w:tcPr>
                <w:p w14:paraId="68E0BFF7">
                  <w:pPr>
                    <w:pStyle w:val="42"/>
                    <w:keepNext w:val="0"/>
                    <w:keepLines w:val="0"/>
                    <w:widowControl/>
                    <w:suppressLineNumbers w:val="0"/>
                    <w:spacing w:before="0" w:beforeAutospacing="0" w:after="0" w:afterAutospacing="0"/>
                    <w:ind w:left="0" w:right="0"/>
                    <w:rPr>
                      <w:rFonts w:hint="default"/>
                    </w:rPr>
                  </w:pPr>
                  <w:r>
                    <w:t>2022年3月29日</w:t>
                  </w:r>
                </w:p>
              </w:tc>
              <w:tc>
                <w:tcPr>
                  <w:tcW w:w="1053" w:type="pct"/>
                  <w:vAlign w:val="center"/>
                </w:tcPr>
                <w:p w14:paraId="11315FBE">
                  <w:pPr>
                    <w:pStyle w:val="42"/>
                    <w:keepNext w:val="0"/>
                    <w:keepLines w:val="0"/>
                    <w:widowControl/>
                    <w:suppressLineNumbers w:val="0"/>
                    <w:spacing w:before="0" w:beforeAutospacing="0" w:after="0" w:afterAutospacing="0"/>
                    <w:ind w:left="0" w:right="0"/>
                    <w:rPr>
                      <w:rFonts w:hint="default"/>
                    </w:rPr>
                  </w:pPr>
                  <w:r>
                    <w:t>121</w:t>
                  </w:r>
                </w:p>
              </w:tc>
              <w:tc>
                <w:tcPr>
                  <w:tcW w:w="927" w:type="pct"/>
                  <w:vMerge w:val="continue"/>
                  <w:vAlign w:val="center"/>
                </w:tcPr>
                <w:p w14:paraId="2E32BCEA">
                  <w:pPr>
                    <w:pStyle w:val="42"/>
                    <w:keepNext w:val="0"/>
                    <w:keepLines w:val="0"/>
                    <w:widowControl/>
                    <w:suppressLineNumbers w:val="0"/>
                    <w:spacing w:before="0" w:beforeAutospacing="0" w:after="0" w:afterAutospacing="0"/>
                    <w:ind w:left="0" w:right="0"/>
                    <w:rPr>
                      <w:rFonts w:hint="default"/>
                    </w:rPr>
                  </w:pPr>
                </w:p>
              </w:tc>
            </w:tr>
            <w:tr w14:paraId="0436F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48" w:type="pct"/>
                  <w:vMerge w:val="continue"/>
                  <w:vAlign w:val="center"/>
                </w:tcPr>
                <w:p w14:paraId="12EDE2CE">
                  <w:pPr>
                    <w:pStyle w:val="42"/>
                    <w:keepNext w:val="0"/>
                    <w:keepLines w:val="0"/>
                    <w:widowControl/>
                    <w:suppressLineNumbers w:val="0"/>
                    <w:spacing w:before="0" w:beforeAutospacing="0" w:after="0" w:afterAutospacing="0"/>
                    <w:ind w:left="0" w:right="0"/>
                    <w:rPr>
                      <w:rFonts w:hint="default"/>
                      <w:color w:val="FF0000"/>
                    </w:rPr>
                  </w:pPr>
                </w:p>
              </w:tc>
              <w:tc>
                <w:tcPr>
                  <w:tcW w:w="796" w:type="pct"/>
                  <w:vMerge w:val="continue"/>
                  <w:vAlign w:val="center"/>
                </w:tcPr>
                <w:p w14:paraId="4B22BD65">
                  <w:pPr>
                    <w:pStyle w:val="42"/>
                    <w:keepNext w:val="0"/>
                    <w:keepLines w:val="0"/>
                    <w:widowControl/>
                    <w:suppressLineNumbers w:val="0"/>
                    <w:spacing w:before="0" w:beforeAutospacing="0" w:after="0" w:afterAutospacing="0"/>
                    <w:ind w:left="0" w:right="0"/>
                    <w:rPr>
                      <w:rFonts w:hint="default"/>
                      <w:color w:val="FF0000"/>
                    </w:rPr>
                  </w:pPr>
                </w:p>
              </w:tc>
              <w:tc>
                <w:tcPr>
                  <w:tcW w:w="1473" w:type="pct"/>
                  <w:vAlign w:val="center"/>
                </w:tcPr>
                <w:p w14:paraId="0EC8AD40">
                  <w:pPr>
                    <w:pStyle w:val="42"/>
                    <w:keepNext w:val="0"/>
                    <w:keepLines w:val="0"/>
                    <w:widowControl/>
                    <w:suppressLineNumbers w:val="0"/>
                    <w:spacing w:before="0" w:beforeAutospacing="0" w:after="0" w:afterAutospacing="0"/>
                    <w:ind w:left="0" w:right="0"/>
                    <w:rPr>
                      <w:rFonts w:hint="default"/>
                    </w:rPr>
                  </w:pPr>
                  <w:r>
                    <w:t>2022年3月30日</w:t>
                  </w:r>
                </w:p>
              </w:tc>
              <w:tc>
                <w:tcPr>
                  <w:tcW w:w="1053" w:type="pct"/>
                  <w:vAlign w:val="center"/>
                </w:tcPr>
                <w:p w14:paraId="43AB36C2">
                  <w:pPr>
                    <w:pStyle w:val="42"/>
                    <w:keepNext w:val="0"/>
                    <w:keepLines w:val="0"/>
                    <w:widowControl/>
                    <w:suppressLineNumbers w:val="0"/>
                    <w:spacing w:before="0" w:beforeAutospacing="0" w:after="0" w:afterAutospacing="0"/>
                    <w:ind w:left="0" w:right="0"/>
                    <w:rPr>
                      <w:rFonts w:hint="default"/>
                    </w:rPr>
                  </w:pPr>
                  <w:r>
                    <w:t>47</w:t>
                  </w:r>
                </w:p>
              </w:tc>
              <w:tc>
                <w:tcPr>
                  <w:tcW w:w="927" w:type="pct"/>
                  <w:vMerge w:val="continue"/>
                  <w:vAlign w:val="center"/>
                </w:tcPr>
                <w:p w14:paraId="1A608765">
                  <w:pPr>
                    <w:pStyle w:val="42"/>
                    <w:keepNext w:val="0"/>
                    <w:keepLines w:val="0"/>
                    <w:widowControl/>
                    <w:suppressLineNumbers w:val="0"/>
                    <w:spacing w:before="0" w:beforeAutospacing="0" w:after="0" w:afterAutospacing="0"/>
                    <w:ind w:left="0" w:right="0"/>
                    <w:rPr>
                      <w:rFonts w:hint="default"/>
                    </w:rPr>
                  </w:pPr>
                </w:p>
              </w:tc>
            </w:tr>
          </w:tbl>
          <w:p w14:paraId="4C73D1BC">
            <w:pPr>
              <w:keepNext w:val="0"/>
              <w:keepLines w:val="0"/>
              <w:suppressLineNumbers w:val="0"/>
              <w:spacing w:before="0" w:beforeAutospacing="0" w:after="0" w:afterAutospacing="0"/>
              <w:ind w:left="0" w:right="0" w:firstLine="480"/>
              <w:rPr>
                <w:rFonts w:hint="default"/>
                <w:bCs/>
              </w:rPr>
            </w:pPr>
            <w:r>
              <w:rPr>
                <w:rFonts w:hint="eastAsia"/>
                <w:bCs/>
              </w:rPr>
              <w:t>由上表可知，项目所在区域环境空气质量现状中：总悬浮颗粒物的24小时平均浓度值范围为48～16</w:t>
            </w:r>
            <w:r>
              <w:rPr>
                <w:rFonts w:hint="default"/>
                <w:bCs/>
              </w:rPr>
              <w:t>0μg/m</w:t>
            </w:r>
            <w:r>
              <w:rPr>
                <w:rFonts w:hint="default"/>
                <w:bCs/>
                <w:vertAlign w:val="superscript"/>
              </w:rPr>
              <w:t>3</w:t>
            </w:r>
            <w:r>
              <w:rPr>
                <w:rFonts w:hint="eastAsia"/>
                <w:bCs/>
              </w:rPr>
              <w:t>。经分析，监测结果中总悬浮颗粒物无超标天数，区域总悬浮颗粒物能够满足《环境空气质量标准》（GB3095-2012）及其修改单中的二级标准要求。</w:t>
            </w:r>
          </w:p>
          <w:p w14:paraId="1241FF47">
            <w:pPr>
              <w:pStyle w:val="3"/>
              <w:keepNext w:val="0"/>
              <w:keepLines w:val="0"/>
              <w:numPr>
                <w:ilvl w:val="1"/>
                <w:numId w:val="12"/>
              </w:numPr>
              <w:suppressLineNumbers w:val="0"/>
              <w:tabs>
                <w:tab w:val="left" w:pos="0"/>
              </w:tabs>
              <w:spacing w:before="0" w:beforeAutospacing="0" w:after="0" w:afterAutospacing="0"/>
              <w:ind w:right="0" w:firstLine="482"/>
              <w:rPr>
                <w:rFonts w:hint="default"/>
              </w:rPr>
            </w:pPr>
            <w:r>
              <w:rPr>
                <w:rFonts w:hint="eastAsia"/>
              </w:rPr>
              <w:t>地表水环境质量现状</w:t>
            </w:r>
          </w:p>
          <w:p w14:paraId="08EB0271">
            <w:pPr>
              <w:keepNext w:val="0"/>
              <w:keepLines w:val="0"/>
              <w:suppressLineNumbers w:val="0"/>
              <w:spacing w:before="0" w:beforeAutospacing="0" w:after="0" w:afterAutospacing="0"/>
              <w:ind w:left="0" w:right="0" w:firstLine="480"/>
              <w:rPr>
                <w:rFonts w:hint="default"/>
                <w:color w:val="FF0000"/>
              </w:rPr>
            </w:pPr>
            <w:r>
              <w:rPr>
                <w:rFonts w:hint="eastAsia"/>
              </w:rPr>
              <w:t>根据现状调查，项目西南侧410m为小柳河，小柳河为滦河的三级支流，根据《2023年承德市生态环境状况公报》（2024年5月，承德市生态环境局）中滦河断面的统计资料，滦河共设置地表水常规监测断面六个，2023年大杖子（一）、潘家口水库断面水质为</w:t>
            </w:r>
            <w:r>
              <w:rPr>
                <w:rFonts w:hint="default"/>
              </w:rPr>
              <w:t>Ⅱ</w:t>
            </w:r>
            <w:r>
              <w:rPr>
                <w:rFonts w:hint="eastAsia"/>
              </w:rPr>
              <w:t>类，郭家屯、兴隆庄、上板城大桥、偏桥子大桥断面水质为</w:t>
            </w:r>
            <w:r>
              <w:rPr>
                <w:rFonts w:hint="default"/>
              </w:rPr>
              <w:t>Ⅲ</w:t>
            </w:r>
            <w:r>
              <w:rPr>
                <w:rFonts w:hint="eastAsia"/>
              </w:rPr>
              <w:t>类，流域总体水质状况为优。</w:t>
            </w:r>
          </w:p>
          <w:p w14:paraId="3AC94CA4">
            <w:pPr>
              <w:pStyle w:val="3"/>
              <w:keepNext w:val="0"/>
              <w:keepLines w:val="0"/>
              <w:numPr>
                <w:ilvl w:val="1"/>
                <w:numId w:val="12"/>
              </w:numPr>
              <w:suppressLineNumbers w:val="0"/>
              <w:tabs>
                <w:tab w:val="left" w:pos="0"/>
              </w:tabs>
              <w:spacing w:before="0" w:beforeAutospacing="0" w:after="0" w:afterAutospacing="0"/>
              <w:ind w:right="0" w:firstLine="482"/>
              <w:rPr>
                <w:rFonts w:hint="default"/>
              </w:rPr>
            </w:pPr>
            <w:r>
              <w:rPr>
                <w:rFonts w:hint="eastAsia"/>
              </w:rPr>
              <w:t>声环境质量现状</w:t>
            </w:r>
          </w:p>
          <w:p w14:paraId="578E1421">
            <w:pPr>
              <w:keepNext w:val="0"/>
              <w:keepLines w:val="0"/>
              <w:suppressLineNumbers w:val="0"/>
              <w:spacing w:before="0" w:beforeAutospacing="0" w:after="0" w:afterAutospacing="0"/>
              <w:ind w:left="0" w:right="0" w:firstLine="480"/>
              <w:rPr>
                <w:rFonts w:hint="default"/>
                <w:color w:val="000000"/>
              </w:rPr>
            </w:pPr>
            <w:r>
              <w:rPr>
                <w:rFonts w:hint="eastAsia"/>
                <w:color w:val="000000"/>
              </w:rPr>
              <w:t>根据现状调查，项目厂界外周边50米范围内不存在声环境保护目标。</w:t>
            </w:r>
          </w:p>
          <w:p w14:paraId="00A72D0E">
            <w:pPr>
              <w:keepNext w:val="0"/>
              <w:keepLines w:val="0"/>
              <w:suppressLineNumbers w:val="0"/>
              <w:tabs>
                <w:tab w:val="left" w:pos="420"/>
              </w:tabs>
              <w:spacing w:before="0" w:beforeAutospacing="0" w:after="0" w:afterAutospacing="0"/>
              <w:ind w:left="0" w:right="0" w:firstLine="480"/>
              <w:rPr>
                <w:rFonts w:hint="default"/>
                <w:color w:val="000000"/>
              </w:rPr>
            </w:pPr>
            <w:r>
              <w:rPr>
                <w:rFonts w:hint="eastAsia"/>
                <w:color w:val="000000"/>
              </w:rPr>
              <w:t>根据区域环境特征，本次评价不进行声环境质量现状调查与评价。</w:t>
            </w:r>
          </w:p>
          <w:p w14:paraId="28781741">
            <w:pPr>
              <w:pStyle w:val="3"/>
              <w:keepNext w:val="0"/>
              <w:keepLines w:val="0"/>
              <w:numPr>
                <w:ilvl w:val="1"/>
                <w:numId w:val="12"/>
              </w:numPr>
              <w:suppressLineNumbers w:val="0"/>
              <w:tabs>
                <w:tab w:val="left" w:pos="0"/>
              </w:tabs>
              <w:spacing w:before="0" w:beforeAutospacing="0" w:after="0" w:afterAutospacing="0"/>
              <w:ind w:right="0" w:firstLine="482"/>
              <w:rPr>
                <w:rFonts w:hint="default"/>
              </w:rPr>
            </w:pPr>
            <w:r>
              <w:rPr>
                <w:rFonts w:hint="eastAsia"/>
              </w:rPr>
              <w:t>生态环境现状</w:t>
            </w:r>
          </w:p>
          <w:p w14:paraId="2220CFB0">
            <w:pPr>
              <w:keepNext w:val="0"/>
              <w:keepLines w:val="0"/>
              <w:suppressLineNumbers w:val="0"/>
              <w:spacing w:before="0" w:beforeAutospacing="0" w:after="0" w:afterAutospacing="0"/>
              <w:ind w:left="0" w:right="0" w:firstLine="480"/>
              <w:rPr>
                <w:rFonts w:hint="default"/>
              </w:rPr>
            </w:pPr>
            <w:r>
              <w:rPr>
                <w:rFonts w:hint="eastAsia"/>
              </w:rPr>
              <w:t>项目占地范围内无动物，植物均为杂草，开始建设后将杂草全部清理。</w:t>
            </w:r>
          </w:p>
          <w:p w14:paraId="5FCC6552">
            <w:pPr>
              <w:keepNext w:val="0"/>
              <w:keepLines w:val="0"/>
              <w:suppressLineNumbers w:val="0"/>
              <w:spacing w:before="0" w:beforeAutospacing="0" w:after="0" w:afterAutospacing="0"/>
              <w:ind w:left="0" w:right="0" w:firstLine="480"/>
              <w:rPr>
                <w:rFonts w:hint="default"/>
              </w:rPr>
            </w:pPr>
            <w:r>
              <w:rPr>
                <w:rFonts w:hint="default"/>
              </w:rPr>
              <w:t>项目</w:t>
            </w:r>
            <w:r>
              <w:rPr>
                <w:rFonts w:hint="eastAsia"/>
              </w:rPr>
              <w:t>所在地为山地环境，项目</w:t>
            </w:r>
            <w:r>
              <w:rPr>
                <w:rFonts w:hint="default"/>
              </w:rPr>
              <w:t>区域主要植被为杂草、灌木及林地，区域植被覆盖率较好；项目周围范围内未发现重点保护的野生动植物，无划定的自然保护区。</w:t>
            </w:r>
          </w:p>
          <w:p w14:paraId="3F57DCD5">
            <w:pPr>
              <w:pStyle w:val="3"/>
              <w:keepNext w:val="0"/>
              <w:keepLines w:val="0"/>
              <w:numPr>
                <w:ilvl w:val="1"/>
                <w:numId w:val="12"/>
              </w:numPr>
              <w:suppressLineNumbers w:val="0"/>
              <w:tabs>
                <w:tab w:val="left" w:pos="0"/>
              </w:tabs>
              <w:spacing w:before="0" w:beforeAutospacing="0" w:after="0" w:afterAutospacing="0"/>
              <w:ind w:right="0" w:firstLine="482"/>
              <w:rPr>
                <w:rFonts w:hint="default"/>
              </w:rPr>
            </w:pPr>
            <w:r>
              <w:rPr>
                <w:rFonts w:hint="eastAsia"/>
              </w:rPr>
              <w:t>地下水、土壤环境现状</w:t>
            </w:r>
          </w:p>
          <w:p w14:paraId="28BFB80A">
            <w:pPr>
              <w:keepNext w:val="0"/>
              <w:keepLines w:val="0"/>
              <w:suppressLineNumbers w:val="0"/>
              <w:spacing w:before="0" w:beforeAutospacing="0" w:after="0" w:afterAutospacing="0"/>
              <w:ind w:left="0" w:right="0" w:firstLine="480" w:firstLineChars="0"/>
              <w:rPr>
                <w:rFonts w:hint="eastAsia" w:ascii="宋体" w:hAnsi="宋体" w:cs="宋体"/>
                <w:kern w:val="0"/>
                <w:sz w:val="21"/>
                <w:szCs w:val="21"/>
              </w:rPr>
            </w:pPr>
            <w:r>
              <w:rPr>
                <w:rFonts w:hint="eastAsia"/>
              </w:rPr>
              <w:t>根据识别，结合工程分析，在采取相应防渗措施后，拟建项目不存在土壤、地下水环境污染途径，因此本次评价不进行</w:t>
            </w:r>
            <w:r>
              <w:rPr>
                <w:rFonts w:hint="default"/>
              </w:rPr>
              <w:t>地下水、土壤</w:t>
            </w:r>
            <w:r>
              <w:rPr>
                <w:rFonts w:hint="eastAsia"/>
              </w:rPr>
              <w:t>环境质量的现状调查。</w:t>
            </w:r>
          </w:p>
        </w:tc>
      </w:tr>
      <w:tr w14:paraId="1E0FA3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516" w:type="dxa"/>
            <w:vAlign w:val="center"/>
          </w:tcPr>
          <w:p w14:paraId="5DFCADE4">
            <w:pPr>
              <w:pStyle w:val="42"/>
              <w:keepNext w:val="0"/>
              <w:keepLines w:val="0"/>
              <w:widowControl/>
              <w:suppressLineNumbers w:val="0"/>
              <w:spacing w:before="0" w:beforeAutospacing="0" w:after="0" w:afterAutospacing="0"/>
              <w:ind w:left="0" w:right="0"/>
              <w:rPr>
                <w:rFonts w:hint="default"/>
                <w:sz w:val="24"/>
                <w:szCs w:val="24"/>
              </w:rPr>
            </w:pPr>
            <w:r>
              <w:rPr>
                <w:sz w:val="24"/>
                <w:szCs w:val="24"/>
              </w:rPr>
              <w:t>环境</w:t>
            </w:r>
          </w:p>
          <w:p w14:paraId="41A7F425">
            <w:pPr>
              <w:pStyle w:val="42"/>
              <w:keepNext w:val="0"/>
              <w:keepLines w:val="0"/>
              <w:widowControl/>
              <w:suppressLineNumbers w:val="0"/>
              <w:spacing w:before="0" w:beforeAutospacing="0" w:after="0" w:afterAutospacing="0"/>
              <w:ind w:left="0" w:right="0"/>
              <w:rPr>
                <w:rFonts w:hint="default"/>
                <w:sz w:val="24"/>
                <w:szCs w:val="24"/>
              </w:rPr>
            </w:pPr>
            <w:r>
              <w:rPr>
                <w:sz w:val="24"/>
                <w:szCs w:val="24"/>
              </w:rPr>
              <w:t>保护</w:t>
            </w:r>
          </w:p>
          <w:p w14:paraId="634E13FE">
            <w:pPr>
              <w:pStyle w:val="42"/>
              <w:keepNext w:val="0"/>
              <w:keepLines w:val="0"/>
              <w:widowControl/>
              <w:suppressLineNumbers w:val="0"/>
              <w:spacing w:before="0" w:beforeAutospacing="0" w:after="0" w:afterAutospacing="0"/>
              <w:ind w:left="0" w:right="0"/>
              <w:rPr>
                <w:rFonts w:hint="default"/>
              </w:rPr>
            </w:pPr>
            <w:r>
              <w:rPr>
                <w:sz w:val="24"/>
                <w:szCs w:val="24"/>
              </w:rPr>
              <w:t>目标</w:t>
            </w:r>
          </w:p>
        </w:tc>
        <w:tc>
          <w:tcPr>
            <w:tcW w:w="8545" w:type="dxa"/>
            <w:vAlign w:val="center"/>
          </w:tcPr>
          <w:p w14:paraId="4561EE56">
            <w:pPr>
              <w:keepNext w:val="0"/>
              <w:keepLines w:val="0"/>
              <w:suppressLineNumbers w:val="0"/>
              <w:spacing w:before="120" w:beforeLines="50" w:beforeAutospacing="0" w:after="0" w:afterAutospacing="0"/>
              <w:ind w:left="0" w:right="0" w:firstLine="482"/>
              <w:rPr>
                <w:rFonts w:hint="default"/>
                <w:b/>
              </w:rPr>
            </w:pPr>
            <w:r>
              <w:rPr>
                <w:rFonts w:hint="eastAsia"/>
                <w:b/>
              </w:rPr>
              <w:t>1</w:t>
            </w:r>
            <w:r>
              <w:rPr>
                <w:rFonts w:hint="default"/>
                <w:b/>
              </w:rPr>
              <w:t>．</w:t>
            </w:r>
            <w:r>
              <w:rPr>
                <w:rFonts w:hint="eastAsia"/>
                <w:b/>
              </w:rPr>
              <w:t>环境空气保护目标</w:t>
            </w:r>
          </w:p>
          <w:p w14:paraId="590124C5">
            <w:pPr>
              <w:keepNext w:val="0"/>
              <w:keepLines w:val="0"/>
              <w:suppressLineNumbers w:val="0"/>
              <w:spacing w:before="0" w:beforeAutospacing="0" w:after="0" w:afterAutospacing="0"/>
              <w:ind w:left="0" w:right="0" w:firstLine="480"/>
              <w:rPr>
                <w:rFonts w:hint="default"/>
              </w:rPr>
            </w:pPr>
            <w:r>
              <w:rPr>
                <w:rFonts w:hint="eastAsia"/>
              </w:rPr>
              <w:t>项目厂界外5</w:t>
            </w:r>
            <w:r>
              <w:rPr>
                <w:rFonts w:hint="default"/>
              </w:rPr>
              <w:t>00m</w:t>
            </w:r>
            <w:r>
              <w:rPr>
                <w:rFonts w:hint="eastAsia"/>
              </w:rPr>
              <w:t>范围内的环境空气保护目标情况列表如下：</w:t>
            </w:r>
          </w:p>
          <w:p w14:paraId="1BEC7701">
            <w:pPr>
              <w:keepNext w:val="0"/>
              <w:keepLines w:val="0"/>
              <w:numPr>
                <w:ilvl w:val="0"/>
                <w:numId w:val="13"/>
              </w:numPr>
              <w:suppressLineNumbers w:val="0"/>
              <w:tabs>
                <w:tab w:val="left" w:pos="0"/>
              </w:tabs>
              <w:spacing w:before="0" w:beforeAutospacing="0" w:after="0" w:afterAutospacing="0"/>
              <w:ind w:left="0" w:right="0" w:firstLine="0" w:firstLineChars="0"/>
              <w:jc w:val="center"/>
              <w:rPr>
                <w:rFonts w:hint="default"/>
                <w:b/>
                <w:sz w:val="21"/>
                <w:szCs w:val="21"/>
              </w:rPr>
            </w:pPr>
            <w:r>
              <w:rPr>
                <w:rFonts w:hint="eastAsia"/>
                <w:b/>
                <w:sz w:val="21"/>
                <w:szCs w:val="21"/>
              </w:rPr>
              <w:t>项目厂界外500m范围内的环境空气保护目标一览表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1604"/>
              <w:gridCol w:w="1584"/>
              <w:gridCol w:w="1022"/>
              <w:gridCol w:w="475"/>
              <w:gridCol w:w="758"/>
              <w:gridCol w:w="588"/>
              <w:gridCol w:w="1003"/>
              <w:gridCol w:w="813"/>
            </w:tblGrid>
            <w:tr w14:paraId="65DC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86" w:type="pct"/>
                  <w:vMerge w:val="restart"/>
                  <w:vAlign w:val="center"/>
                </w:tcPr>
                <w:p w14:paraId="599E283F">
                  <w:pPr>
                    <w:pStyle w:val="42"/>
                    <w:keepNext w:val="0"/>
                    <w:keepLines w:val="0"/>
                    <w:widowControl/>
                    <w:suppressLineNumbers w:val="0"/>
                    <w:spacing w:before="0" w:beforeAutospacing="0" w:after="0" w:afterAutospacing="0"/>
                    <w:ind w:left="0" w:right="0"/>
                    <w:rPr>
                      <w:rFonts w:hint="default"/>
                      <w:b/>
                      <w:bCs/>
                    </w:rPr>
                  </w:pPr>
                  <w:r>
                    <w:rPr>
                      <w:b/>
                      <w:bCs/>
                    </w:rPr>
                    <w:t>类别</w:t>
                  </w:r>
                </w:p>
              </w:tc>
              <w:tc>
                <w:tcPr>
                  <w:tcW w:w="1924" w:type="pct"/>
                  <w:gridSpan w:val="2"/>
                  <w:vAlign w:val="center"/>
                </w:tcPr>
                <w:p w14:paraId="237ACC49">
                  <w:pPr>
                    <w:pStyle w:val="42"/>
                    <w:keepNext w:val="0"/>
                    <w:keepLines w:val="0"/>
                    <w:widowControl/>
                    <w:suppressLineNumbers w:val="0"/>
                    <w:spacing w:before="0" w:beforeAutospacing="0" w:after="0" w:afterAutospacing="0"/>
                    <w:ind w:left="0" w:right="0"/>
                    <w:rPr>
                      <w:rFonts w:hint="default"/>
                      <w:b/>
                      <w:bCs/>
                    </w:rPr>
                  </w:pPr>
                  <w:r>
                    <w:rPr>
                      <w:b/>
                      <w:bCs/>
                    </w:rPr>
                    <w:t>坐标</w:t>
                  </w:r>
                </w:p>
              </w:tc>
              <w:tc>
                <w:tcPr>
                  <w:tcW w:w="618" w:type="pct"/>
                  <w:vMerge w:val="restart"/>
                  <w:vAlign w:val="center"/>
                </w:tcPr>
                <w:p w14:paraId="38FBC65D">
                  <w:pPr>
                    <w:pStyle w:val="42"/>
                    <w:keepNext w:val="0"/>
                    <w:keepLines w:val="0"/>
                    <w:widowControl/>
                    <w:suppressLineNumbers w:val="0"/>
                    <w:spacing w:before="0" w:beforeAutospacing="0" w:after="0" w:afterAutospacing="0"/>
                    <w:ind w:left="0" w:right="0"/>
                    <w:rPr>
                      <w:rFonts w:hint="default"/>
                      <w:b/>
                      <w:bCs/>
                    </w:rPr>
                  </w:pPr>
                  <w:r>
                    <w:rPr>
                      <w:b/>
                      <w:bCs/>
                    </w:rPr>
                    <w:t>保护对象名称</w:t>
                  </w:r>
                </w:p>
              </w:tc>
              <w:tc>
                <w:tcPr>
                  <w:tcW w:w="289" w:type="pct"/>
                  <w:vMerge w:val="restart"/>
                  <w:vAlign w:val="center"/>
                </w:tcPr>
                <w:p w14:paraId="2DF5C051">
                  <w:pPr>
                    <w:pStyle w:val="42"/>
                    <w:keepNext w:val="0"/>
                    <w:keepLines w:val="0"/>
                    <w:widowControl/>
                    <w:suppressLineNumbers w:val="0"/>
                    <w:spacing w:before="0" w:beforeAutospacing="0" w:after="0" w:afterAutospacing="0"/>
                    <w:ind w:left="0" w:right="0"/>
                    <w:rPr>
                      <w:rFonts w:hint="default"/>
                      <w:b/>
                      <w:bCs/>
                    </w:rPr>
                  </w:pPr>
                  <w:r>
                    <w:rPr>
                      <w:b/>
                      <w:bCs/>
                    </w:rPr>
                    <w:t>保护内容</w:t>
                  </w:r>
                </w:p>
              </w:tc>
              <w:tc>
                <w:tcPr>
                  <w:tcW w:w="459" w:type="pct"/>
                  <w:vMerge w:val="restart"/>
                  <w:vAlign w:val="center"/>
                </w:tcPr>
                <w:p w14:paraId="47DFB7CB">
                  <w:pPr>
                    <w:pStyle w:val="42"/>
                    <w:keepNext w:val="0"/>
                    <w:keepLines w:val="0"/>
                    <w:widowControl/>
                    <w:suppressLineNumbers w:val="0"/>
                    <w:spacing w:before="0" w:beforeAutospacing="0" w:after="0" w:afterAutospacing="0"/>
                    <w:ind w:left="0" w:right="0"/>
                    <w:rPr>
                      <w:rFonts w:hint="default"/>
                      <w:b/>
                      <w:bCs/>
                    </w:rPr>
                  </w:pPr>
                  <w:r>
                    <w:rPr>
                      <w:b/>
                      <w:bCs/>
                    </w:rPr>
                    <w:t>环境功能区</w:t>
                  </w:r>
                </w:p>
              </w:tc>
              <w:tc>
                <w:tcPr>
                  <w:tcW w:w="357" w:type="pct"/>
                  <w:vMerge w:val="restart"/>
                  <w:vAlign w:val="center"/>
                </w:tcPr>
                <w:p w14:paraId="6C9AD4D0">
                  <w:pPr>
                    <w:pStyle w:val="42"/>
                    <w:keepNext w:val="0"/>
                    <w:keepLines w:val="0"/>
                    <w:widowControl/>
                    <w:suppressLineNumbers w:val="0"/>
                    <w:spacing w:before="0" w:beforeAutospacing="0" w:after="0" w:afterAutospacing="0"/>
                    <w:ind w:left="0" w:right="0"/>
                    <w:rPr>
                      <w:rFonts w:hint="default"/>
                      <w:b/>
                      <w:bCs/>
                    </w:rPr>
                  </w:pPr>
                  <w:r>
                    <w:rPr>
                      <w:b/>
                      <w:bCs/>
                    </w:rPr>
                    <w:t>最近厂界</w:t>
                  </w:r>
                </w:p>
                <w:p w14:paraId="0AE32940">
                  <w:pPr>
                    <w:pStyle w:val="42"/>
                    <w:keepNext w:val="0"/>
                    <w:keepLines w:val="0"/>
                    <w:widowControl/>
                    <w:suppressLineNumbers w:val="0"/>
                    <w:spacing w:before="0" w:beforeAutospacing="0" w:after="0" w:afterAutospacing="0"/>
                    <w:ind w:left="0" w:right="0"/>
                    <w:rPr>
                      <w:rFonts w:hint="default"/>
                      <w:b/>
                      <w:bCs/>
                    </w:rPr>
                  </w:pPr>
                </w:p>
              </w:tc>
              <w:tc>
                <w:tcPr>
                  <w:tcW w:w="606" w:type="pct"/>
                  <w:vMerge w:val="restart"/>
                  <w:vAlign w:val="center"/>
                </w:tcPr>
                <w:p w14:paraId="47B22F20">
                  <w:pPr>
                    <w:pStyle w:val="42"/>
                    <w:keepNext w:val="0"/>
                    <w:keepLines w:val="0"/>
                    <w:widowControl/>
                    <w:suppressLineNumbers w:val="0"/>
                    <w:spacing w:before="0" w:beforeAutospacing="0" w:after="0" w:afterAutospacing="0"/>
                    <w:ind w:left="0" w:right="0"/>
                    <w:rPr>
                      <w:rFonts w:hint="default"/>
                      <w:b/>
                      <w:bCs/>
                    </w:rPr>
                  </w:pPr>
                  <w:r>
                    <w:rPr>
                      <w:b/>
                      <w:bCs/>
                    </w:rPr>
                    <w:t>相对厂界方位</w:t>
                  </w:r>
                </w:p>
                <w:p w14:paraId="19C6C548">
                  <w:pPr>
                    <w:pStyle w:val="42"/>
                    <w:keepNext w:val="0"/>
                    <w:keepLines w:val="0"/>
                    <w:widowControl/>
                    <w:suppressLineNumbers w:val="0"/>
                    <w:spacing w:before="0" w:beforeAutospacing="0" w:after="0" w:afterAutospacing="0"/>
                    <w:ind w:left="0" w:right="0"/>
                    <w:rPr>
                      <w:rFonts w:hint="default"/>
                      <w:b/>
                      <w:bCs/>
                    </w:rPr>
                  </w:pPr>
                </w:p>
              </w:tc>
              <w:tc>
                <w:tcPr>
                  <w:tcW w:w="458" w:type="pct"/>
                  <w:vMerge w:val="restart"/>
                  <w:vAlign w:val="center"/>
                </w:tcPr>
                <w:p w14:paraId="798B08C9">
                  <w:pPr>
                    <w:pStyle w:val="42"/>
                    <w:keepNext w:val="0"/>
                    <w:keepLines w:val="0"/>
                    <w:widowControl/>
                    <w:suppressLineNumbers w:val="0"/>
                    <w:spacing w:before="0" w:beforeAutospacing="0" w:after="0" w:afterAutospacing="0"/>
                    <w:ind w:left="0" w:right="0"/>
                    <w:rPr>
                      <w:rFonts w:hint="default"/>
                      <w:b/>
                      <w:bCs/>
                    </w:rPr>
                  </w:pPr>
                  <w:r>
                    <w:rPr>
                      <w:b/>
                      <w:bCs/>
                    </w:rPr>
                    <w:t>相对厂界距离（m）</w:t>
                  </w:r>
                </w:p>
              </w:tc>
            </w:tr>
            <w:tr w14:paraId="19F9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86" w:type="pct"/>
                  <w:vMerge w:val="continue"/>
                  <w:vAlign w:val="center"/>
                </w:tcPr>
                <w:p w14:paraId="693A6098">
                  <w:pPr>
                    <w:pStyle w:val="42"/>
                    <w:keepNext w:val="0"/>
                    <w:keepLines w:val="0"/>
                    <w:widowControl/>
                    <w:suppressLineNumbers w:val="0"/>
                    <w:spacing w:before="0" w:beforeAutospacing="0" w:after="0" w:afterAutospacing="0"/>
                    <w:ind w:left="0" w:right="0"/>
                    <w:rPr>
                      <w:rFonts w:hint="default"/>
                    </w:rPr>
                  </w:pPr>
                </w:p>
              </w:tc>
              <w:tc>
                <w:tcPr>
                  <w:tcW w:w="968" w:type="pct"/>
                  <w:vAlign w:val="center"/>
                </w:tcPr>
                <w:p w14:paraId="7F98A4F2">
                  <w:pPr>
                    <w:pStyle w:val="42"/>
                    <w:keepNext w:val="0"/>
                    <w:keepLines w:val="0"/>
                    <w:widowControl/>
                    <w:suppressLineNumbers w:val="0"/>
                    <w:spacing w:before="0" w:beforeAutospacing="0" w:after="0" w:afterAutospacing="0"/>
                    <w:ind w:left="0" w:right="0"/>
                    <w:rPr>
                      <w:rFonts w:hint="default"/>
                      <w:b/>
                      <w:bCs/>
                    </w:rPr>
                  </w:pPr>
                  <w:r>
                    <w:rPr>
                      <w:b/>
                      <w:bCs/>
                    </w:rPr>
                    <w:t>E</w:t>
                  </w:r>
                </w:p>
              </w:tc>
              <w:tc>
                <w:tcPr>
                  <w:tcW w:w="956" w:type="pct"/>
                  <w:vAlign w:val="center"/>
                </w:tcPr>
                <w:p w14:paraId="1DFCD02D">
                  <w:pPr>
                    <w:pStyle w:val="42"/>
                    <w:keepNext w:val="0"/>
                    <w:keepLines w:val="0"/>
                    <w:widowControl/>
                    <w:suppressLineNumbers w:val="0"/>
                    <w:spacing w:before="0" w:beforeAutospacing="0" w:after="0" w:afterAutospacing="0"/>
                    <w:ind w:left="0" w:right="0"/>
                    <w:rPr>
                      <w:rFonts w:hint="default"/>
                      <w:b/>
                      <w:bCs/>
                    </w:rPr>
                  </w:pPr>
                  <w:r>
                    <w:rPr>
                      <w:b/>
                      <w:bCs/>
                    </w:rPr>
                    <w:t>N</w:t>
                  </w:r>
                </w:p>
              </w:tc>
              <w:tc>
                <w:tcPr>
                  <w:tcW w:w="618" w:type="pct"/>
                  <w:vMerge w:val="continue"/>
                  <w:vAlign w:val="center"/>
                </w:tcPr>
                <w:p w14:paraId="06CB165C">
                  <w:pPr>
                    <w:pStyle w:val="42"/>
                    <w:keepNext w:val="0"/>
                    <w:keepLines w:val="0"/>
                    <w:widowControl/>
                    <w:suppressLineNumbers w:val="0"/>
                    <w:spacing w:before="0" w:beforeAutospacing="0" w:after="0" w:afterAutospacing="0"/>
                    <w:ind w:left="0" w:right="0"/>
                    <w:rPr>
                      <w:rFonts w:hint="default"/>
                    </w:rPr>
                  </w:pPr>
                </w:p>
              </w:tc>
              <w:tc>
                <w:tcPr>
                  <w:tcW w:w="289" w:type="pct"/>
                  <w:vMerge w:val="continue"/>
                  <w:vAlign w:val="center"/>
                </w:tcPr>
                <w:p w14:paraId="382569E4">
                  <w:pPr>
                    <w:pStyle w:val="42"/>
                    <w:keepNext w:val="0"/>
                    <w:keepLines w:val="0"/>
                    <w:widowControl/>
                    <w:suppressLineNumbers w:val="0"/>
                    <w:spacing w:before="0" w:beforeAutospacing="0" w:after="0" w:afterAutospacing="0"/>
                    <w:ind w:left="0" w:right="0"/>
                    <w:rPr>
                      <w:rFonts w:hint="default"/>
                    </w:rPr>
                  </w:pPr>
                </w:p>
              </w:tc>
              <w:tc>
                <w:tcPr>
                  <w:tcW w:w="459" w:type="pct"/>
                  <w:vMerge w:val="continue"/>
                  <w:vAlign w:val="center"/>
                </w:tcPr>
                <w:p w14:paraId="0E5C1896">
                  <w:pPr>
                    <w:pStyle w:val="42"/>
                    <w:keepNext w:val="0"/>
                    <w:keepLines w:val="0"/>
                    <w:widowControl/>
                    <w:suppressLineNumbers w:val="0"/>
                    <w:spacing w:before="0" w:beforeAutospacing="0" w:after="0" w:afterAutospacing="0"/>
                    <w:ind w:left="0" w:right="0"/>
                    <w:rPr>
                      <w:rFonts w:hint="default"/>
                    </w:rPr>
                  </w:pPr>
                </w:p>
              </w:tc>
              <w:tc>
                <w:tcPr>
                  <w:tcW w:w="357" w:type="pct"/>
                  <w:vMerge w:val="continue"/>
                  <w:vAlign w:val="center"/>
                </w:tcPr>
                <w:p w14:paraId="7E27F447">
                  <w:pPr>
                    <w:pStyle w:val="42"/>
                    <w:keepNext w:val="0"/>
                    <w:keepLines w:val="0"/>
                    <w:widowControl/>
                    <w:suppressLineNumbers w:val="0"/>
                    <w:spacing w:before="0" w:beforeAutospacing="0" w:after="0" w:afterAutospacing="0"/>
                    <w:ind w:left="0" w:right="0"/>
                    <w:rPr>
                      <w:rFonts w:hint="default"/>
                    </w:rPr>
                  </w:pPr>
                </w:p>
              </w:tc>
              <w:tc>
                <w:tcPr>
                  <w:tcW w:w="606" w:type="pct"/>
                  <w:vMerge w:val="continue"/>
                  <w:vAlign w:val="center"/>
                </w:tcPr>
                <w:p w14:paraId="5DD33410">
                  <w:pPr>
                    <w:pStyle w:val="42"/>
                    <w:keepNext w:val="0"/>
                    <w:keepLines w:val="0"/>
                    <w:widowControl/>
                    <w:suppressLineNumbers w:val="0"/>
                    <w:spacing w:before="0" w:beforeAutospacing="0" w:after="0" w:afterAutospacing="0"/>
                    <w:ind w:left="0" w:right="0"/>
                    <w:rPr>
                      <w:rFonts w:hint="default"/>
                    </w:rPr>
                  </w:pPr>
                </w:p>
              </w:tc>
              <w:tc>
                <w:tcPr>
                  <w:tcW w:w="458" w:type="pct"/>
                  <w:vMerge w:val="continue"/>
                  <w:vAlign w:val="center"/>
                </w:tcPr>
                <w:p w14:paraId="0A8135CA">
                  <w:pPr>
                    <w:pStyle w:val="42"/>
                    <w:keepNext w:val="0"/>
                    <w:keepLines w:val="0"/>
                    <w:widowControl/>
                    <w:suppressLineNumbers w:val="0"/>
                    <w:spacing w:before="0" w:beforeAutospacing="0" w:after="0" w:afterAutospacing="0"/>
                    <w:ind w:left="0" w:right="0"/>
                    <w:rPr>
                      <w:rFonts w:hint="default"/>
                    </w:rPr>
                  </w:pPr>
                </w:p>
              </w:tc>
            </w:tr>
            <w:tr w14:paraId="7D8B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286" w:type="pct"/>
                  <w:vMerge w:val="restart"/>
                  <w:vAlign w:val="center"/>
                </w:tcPr>
                <w:p w14:paraId="07B4EF8A">
                  <w:pPr>
                    <w:pStyle w:val="42"/>
                    <w:keepNext w:val="0"/>
                    <w:keepLines w:val="0"/>
                    <w:widowControl/>
                    <w:suppressLineNumbers w:val="0"/>
                    <w:spacing w:before="0" w:beforeAutospacing="0" w:after="0" w:afterAutospacing="0"/>
                    <w:ind w:left="0" w:right="0"/>
                    <w:rPr>
                      <w:rFonts w:hint="default"/>
                    </w:rPr>
                  </w:pPr>
                  <w:r>
                    <w:t>环境空气</w:t>
                  </w:r>
                </w:p>
              </w:tc>
              <w:tc>
                <w:tcPr>
                  <w:tcW w:w="968" w:type="pct"/>
                  <w:vAlign w:val="center"/>
                </w:tcPr>
                <w:p w14:paraId="435636EE">
                  <w:pPr>
                    <w:pStyle w:val="42"/>
                    <w:keepNext w:val="0"/>
                    <w:keepLines w:val="0"/>
                    <w:widowControl/>
                    <w:suppressLineNumbers w:val="0"/>
                    <w:spacing w:before="0" w:beforeAutospacing="0" w:after="0" w:afterAutospacing="0"/>
                    <w:ind w:left="0" w:right="0"/>
                    <w:rPr>
                      <w:rFonts w:hint="default" w:cs="Times New Roman"/>
                    </w:rPr>
                  </w:pPr>
                  <w:r>
                    <w:rPr>
                      <w:rFonts w:hint="default" w:cs="Times New Roman"/>
                    </w:rPr>
                    <w:t>118°33′30.965″</w:t>
                  </w:r>
                </w:p>
              </w:tc>
              <w:tc>
                <w:tcPr>
                  <w:tcW w:w="956" w:type="pct"/>
                  <w:vAlign w:val="center"/>
                </w:tcPr>
                <w:p w14:paraId="5D863255">
                  <w:pPr>
                    <w:pStyle w:val="42"/>
                    <w:keepNext w:val="0"/>
                    <w:keepLines w:val="0"/>
                    <w:widowControl/>
                    <w:suppressLineNumbers w:val="0"/>
                    <w:spacing w:before="0" w:beforeAutospacing="0" w:after="0" w:afterAutospacing="0"/>
                    <w:ind w:left="0" w:right="0"/>
                    <w:rPr>
                      <w:rFonts w:hint="default" w:cs="Times New Roman"/>
                    </w:rPr>
                  </w:pPr>
                  <w:r>
                    <w:rPr>
                      <w:rFonts w:hint="default" w:cs="Times New Roman"/>
                    </w:rPr>
                    <w:t>40°38′52.234″</w:t>
                  </w:r>
                </w:p>
              </w:tc>
              <w:tc>
                <w:tcPr>
                  <w:tcW w:w="618" w:type="pct"/>
                  <w:vAlign w:val="center"/>
                </w:tcPr>
                <w:p w14:paraId="0045D9F9">
                  <w:pPr>
                    <w:pStyle w:val="42"/>
                    <w:keepNext w:val="0"/>
                    <w:keepLines w:val="0"/>
                    <w:widowControl/>
                    <w:suppressLineNumbers w:val="0"/>
                    <w:spacing w:before="0" w:beforeAutospacing="0" w:after="0" w:afterAutospacing="0"/>
                    <w:ind w:left="0" w:right="0"/>
                    <w:rPr>
                      <w:rFonts w:hint="default"/>
                    </w:rPr>
                  </w:pPr>
                  <w:r>
                    <w:t>粱前院村</w:t>
                  </w:r>
                </w:p>
              </w:tc>
              <w:tc>
                <w:tcPr>
                  <w:tcW w:w="289" w:type="pct"/>
                  <w:vAlign w:val="center"/>
                </w:tcPr>
                <w:p w14:paraId="12C7D8F0">
                  <w:pPr>
                    <w:pStyle w:val="42"/>
                    <w:keepNext w:val="0"/>
                    <w:keepLines w:val="0"/>
                    <w:widowControl/>
                    <w:suppressLineNumbers w:val="0"/>
                    <w:spacing w:before="0" w:beforeAutospacing="0" w:after="0" w:afterAutospacing="0"/>
                    <w:ind w:left="0" w:right="0"/>
                    <w:rPr>
                      <w:rFonts w:hint="default"/>
                    </w:rPr>
                  </w:pPr>
                  <w:r>
                    <w:t>居住</w:t>
                  </w:r>
                </w:p>
              </w:tc>
              <w:tc>
                <w:tcPr>
                  <w:tcW w:w="459" w:type="pct"/>
                  <w:vAlign w:val="center"/>
                </w:tcPr>
                <w:p w14:paraId="17DA1A80">
                  <w:pPr>
                    <w:pStyle w:val="42"/>
                    <w:keepNext w:val="0"/>
                    <w:keepLines w:val="0"/>
                    <w:widowControl/>
                    <w:suppressLineNumbers w:val="0"/>
                    <w:spacing w:before="0" w:beforeAutospacing="0" w:after="0" w:afterAutospacing="0"/>
                    <w:ind w:left="0" w:right="0"/>
                    <w:rPr>
                      <w:rFonts w:hint="default"/>
                    </w:rPr>
                  </w:pPr>
                  <w:r>
                    <w:t>二类区</w:t>
                  </w:r>
                </w:p>
              </w:tc>
              <w:tc>
                <w:tcPr>
                  <w:tcW w:w="357" w:type="pct"/>
                  <w:vAlign w:val="center"/>
                </w:tcPr>
                <w:p w14:paraId="253761E5">
                  <w:pPr>
                    <w:pStyle w:val="42"/>
                    <w:keepNext w:val="0"/>
                    <w:keepLines w:val="0"/>
                    <w:widowControl/>
                    <w:suppressLineNumbers w:val="0"/>
                    <w:spacing w:before="0" w:beforeAutospacing="0" w:after="0" w:afterAutospacing="0"/>
                    <w:ind w:left="0" w:right="0"/>
                    <w:rPr>
                      <w:rFonts w:hint="default"/>
                    </w:rPr>
                  </w:pPr>
                  <w:r>
                    <w:t>南</w:t>
                  </w:r>
                </w:p>
              </w:tc>
              <w:tc>
                <w:tcPr>
                  <w:tcW w:w="606" w:type="pct"/>
                  <w:vAlign w:val="center"/>
                </w:tcPr>
                <w:p w14:paraId="58B35F78">
                  <w:pPr>
                    <w:pStyle w:val="42"/>
                    <w:keepNext w:val="0"/>
                    <w:keepLines w:val="0"/>
                    <w:widowControl/>
                    <w:suppressLineNumbers w:val="0"/>
                    <w:spacing w:before="0" w:beforeAutospacing="0" w:after="0" w:afterAutospacing="0"/>
                    <w:ind w:left="0" w:right="0"/>
                    <w:rPr>
                      <w:rFonts w:hint="default"/>
                    </w:rPr>
                  </w:pPr>
                  <w:r>
                    <w:t>南</w:t>
                  </w:r>
                </w:p>
              </w:tc>
              <w:tc>
                <w:tcPr>
                  <w:tcW w:w="458" w:type="pct"/>
                  <w:vAlign w:val="center"/>
                </w:tcPr>
                <w:p w14:paraId="7462635F">
                  <w:pPr>
                    <w:pStyle w:val="42"/>
                    <w:keepNext w:val="0"/>
                    <w:keepLines w:val="0"/>
                    <w:widowControl/>
                    <w:suppressLineNumbers w:val="0"/>
                    <w:spacing w:before="0" w:beforeAutospacing="0" w:after="0" w:afterAutospacing="0"/>
                    <w:ind w:left="0" w:right="0"/>
                    <w:rPr>
                      <w:rFonts w:hint="default"/>
                    </w:rPr>
                  </w:pPr>
                  <w:r>
                    <w:t>150</w:t>
                  </w:r>
                </w:p>
              </w:tc>
            </w:tr>
            <w:tr w14:paraId="3EA5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286" w:type="pct"/>
                  <w:vMerge w:val="continue"/>
                  <w:vAlign w:val="center"/>
                </w:tcPr>
                <w:p w14:paraId="5C4F5310">
                  <w:pPr>
                    <w:pStyle w:val="42"/>
                    <w:keepNext w:val="0"/>
                    <w:keepLines w:val="0"/>
                    <w:widowControl/>
                    <w:suppressLineNumbers w:val="0"/>
                    <w:spacing w:before="0" w:beforeAutospacing="0" w:after="0" w:afterAutospacing="0"/>
                    <w:ind w:left="0" w:right="0"/>
                    <w:rPr>
                      <w:rFonts w:hint="default"/>
                    </w:rPr>
                  </w:pPr>
                </w:p>
              </w:tc>
              <w:tc>
                <w:tcPr>
                  <w:tcW w:w="968" w:type="pct"/>
                  <w:vAlign w:val="center"/>
                </w:tcPr>
                <w:p w14:paraId="6A326B72">
                  <w:pPr>
                    <w:pStyle w:val="42"/>
                    <w:keepNext w:val="0"/>
                    <w:keepLines w:val="0"/>
                    <w:widowControl/>
                    <w:suppressLineNumbers w:val="0"/>
                    <w:spacing w:before="0" w:beforeAutospacing="0" w:after="0" w:afterAutospacing="0"/>
                    <w:ind w:left="0" w:right="0"/>
                    <w:rPr>
                      <w:rFonts w:hint="default" w:cs="Times New Roman"/>
                    </w:rPr>
                  </w:pPr>
                  <w:r>
                    <w:rPr>
                      <w:rFonts w:hint="default" w:cs="Times New Roman"/>
                    </w:rPr>
                    <w:t>118°33′50.431″</w:t>
                  </w:r>
                </w:p>
              </w:tc>
              <w:tc>
                <w:tcPr>
                  <w:tcW w:w="956" w:type="pct"/>
                  <w:vAlign w:val="center"/>
                </w:tcPr>
                <w:p w14:paraId="2B50DE11">
                  <w:pPr>
                    <w:pStyle w:val="42"/>
                    <w:keepNext w:val="0"/>
                    <w:keepLines w:val="0"/>
                    <w:widowControl/>
                    <w:suppressLineNumbers w:val="0"/>
                    <w:spacing w:before="0" w:beforeAutospacing="0" w:after="0" w:afterAutospacing="0"/>
                    <w:ind w:left="0" w:right="0"/>
                    <w:rPr>
                      <w:rFonts w:hint="default" w:cs="Times New Roman"/>
                    </w:rPr>
                  </w:pPr>
                  <w:r>
                    <w:rPr>
                      <w:rFonts w:hint="default" w:cs="Times New Roman"/>
                    </w:rPr>
                    <w:t>40°38′43.427″</w:t>
                  </w:r>
                </w:p>
              </w:tc>
              <w:tc>
                <w:tcPr>
                  <w:tcW w:w="618" w:type="pct"/>
                  <w:vAlign w:val="center"/>
                </w:tcPr>
                <w:p w14:paraId="5863E9FF">
                  <w:pPr>
                    <w:pStyle w:val="42"/>
                    <w:keepNext w:val="0"/>
                    <w:keepLines w:val="0"/>
                    <w:widowControl/>
                    <w:suppressLineNumbers w:val="0"/>
                    <w:spacing w:before="0" w:beforeAutospacing="0" w:after="0" w:afterAutospacing="0"/>
                    <w:ind w:left="0" w:right="0"/>
                    <w:rPr>
                      <w:rFonts w:hint="default"/>
                    </w:rPr>
                  </w:pPr>
                  <w:r>
                    <w:t>黄土梁子村</w:t>
                  </w:r>
                </w:p>
              </w:tc>
              <w:tc>
                <w:tcPr>
                  <w:tcW w:w="289" w:type="pct"/>
                  <w:vAlign w:val="center"/>
                </w:tcPr>
                <w:p w14:paraId="0C14C1D8">
                  <w:pPr>
                    <w:pStyle w:val="42"/>
                    <w:keepNext w:val="0"/>
                    <w:keepLines w:val="0"/>
                    <w:widowControl/>
                    <w:suppressLineNumbers w:val="0"/>
                    <w:spacing w:before="0" w:beforeAutospacing="0" w:after="0" w:afterAutospacing="0"/>
                    <w:ind w:left="0" w:right="0"/>
                    <w:rPr>
                      <w:rFonts w:hint="default"/>
                    </w:rPr>
                  </w:pPr>
                  <w:r>
                    <w:t>居住</w:t>
                  </w:r>
                </w:p>
              </w:tc>
              <w:tc>
                <w:tcPr>
                  <w:tcW w:w="459" w:type="pct"/>
                  <w:vAlign w:val="center"/>
                </w:tcPr>
                <w:p w14:paraId="135D25A8">
                  <w:pPr>
                    <w:pStyle w:val="42"/>
                    <w:keepNext w:val="0"/>
                    <w:keepLines w:val="0"/>
                    <w:widowControl/>
                    <w:suppressLineNumbers w:val="0"/>
                    <w:spacing w:before="0" w:beforeAutospacing="0" w:after="0" w:afterAutospacing="0"/>
                    <w:ind w:left="0" w:right="0"/>
                    <w:rPr>
                      <w:rFonts w:hint="default"/>
                    </w:rPr>
                  </w:pPr>
                  <w:r>
                    <w:t>二类区</w:t>
                  </w:r>
                </w:p>
              </w:tc>
              <w:tc>
                <w:tcPr>
                  <w:tcW w:w="357" w:type="pct"/>
                  <w:vAlign w:val="center"/>
                </w:tcPr>
                <w:p w14:paraId="777A5B9F">
                  <w:pPr>
                    <w:pStyle w:val="42"/>
                    <w:keepNext w:val="0"/>
                    <w:keepLines w:val="0"/>
                    <w:widowControl/>
                    <w:suppressLineNumbers w:val="0"/>
                    <w:spacing w:before="0" w:beforeAutospacing="0" w:after="0" w:afterAutospacing="0"/>
                    <w:ind w:left="0" w:right="0"/>
                    <w:rPr>
                      <w:rFonts w:hint="default"/>
                    </w:rPr>
                  </w:pPr>
                  <w:r>
                    <w:t>南</w:t>
                  </w:r>
                </w:p>
              </w:tc>
              <w:tc>
                <w:tcPr>
                  <w:tcW w:w="606" w:type="pct"/>
                  <w:vAlign w:val="center"/>
                </w:tcPr>
                <w:p w14:paraId="2C19C871">
                  <w:pPr>
                    <w:pStyle w:val="42"/>
                    <w:keepNext w:val="0"/>
                    <w:keepLines w:val="0"/>
                    <w:widowControl/>
                    <w:suppressLineNumbers w:val="0"/>
                    <w:spacing w:before="0" w:beforeAutospacing="0" w:after="0" w:afterAutospacing="0"/>
                    <w:ind w:left="0" w:right="0"/>
                    <w:rPr>
                      <w:rFonts w:hint="default"/>
                    </w:rPr>
                  </w:pPr>
                  <w:r>
                    <w:t>东南</w:t>
                  </w:r>
                </w:p>
              </w:tc>
              <w:tc>
                <w:tcPr>
                  <w:tcW w:w="458" w:type="pct"/>
                  <w:vAlign w:val="center"/>
                </w:tcPr>
                <w:p w14:paraId="742B5D41">
                  <w:pPr>
                    <w:pStyle w:val="42"/>
                    <w:keepNext w:val="0"/>
                    <w:keepLines w:val="0"/>
                    <w:widowControl/>
                    <w:suppressLineNumbers w:val="0"/>
                    <w:spacing w:before="0" w:beforeAutospacing="0" w:after="0" w:afterAutospacing="0"/>
                    <w:ind w:left="0" w:right="0"/>
                    <w:rPr>
                      <w:rFonts w:hint="default"/>
                    </w:rPr>
                  </w:pPr>
                  <w:r>
                    <w:t>260</w:t>
                  </w:r>
                </w:p>
              </w:tc>
            </w:tr>
          </w:tbl>
          <w:p w14:paraId="70542488">
            <w:pPr>
              <w:keepNext w:val="0"/>
              <w:keepLines w:val="0"/>
              <w:suppressLineNumbers w:val="0"/>
              <w:spacing w:before="120" w:beforeLines="50" w:beforeAutospacing="0" w:after="0" w:afterAutospacing="0"/>
              <w:ind w:left="0" w:right="0" w:firstLine="482"/>
              <w:rPr>
                <w:rFonts w:hint="default"/>
                <w:b/>
              </w:rPr>
            </w:pPr>
            <w:r>
              <w:rPr>
                <w:rFonts w:hint="default"/>
                <w:b/>
              </w:rPr>
              <w:t>2．</w:t>
            </w:r>
            <w:r>
              <w:rPr>
                <w:rFonts w:hint="eastAsia"/>
                <w:b/>
              </w:rPr>
              <w:t>声环境保护目标</w:t>
            </w:r>
          </w:p>
          <w:p w14:paraId="670A7AED">
            <w:pPr>
              <w:keepNext w:val="0"/>
              <w:keepLines w:val="0"/>
              <w:suppressLineNumbers w:val="0"/>
              <w:spacing w:before="0" w:beforeAutospacing="0" w:after="0" w:afterAutospacing="0"/>
              <w:ind w:left="0" w:right="0" w:firstLine="480"/>
              <w:rPr>
                <w:rFonts w:hint="default"/>
              </w:rPr>
            </w:pPr>
            <w:r>
              <w:rPr>
                <w:rFonts w:hint="eastAsia"/>
              </w:rPr>
              <w:t>项目厂界外5</w:t>
            </w:r>
            <w:r>
              <w:rPr>
                <w:rFonts w:hint="default"/>
              </w:rPr>
              <w:t>0m</w:t>
            </w:r>
            <w:r>
              <w:rPr>
                <w:rFonts w:hint="eastAsia"/>
              </w:rPr>
              <w:t>范围内无声环境保护目标。</w:t>
            </w:r>
          </w:p>
          <w:p w14:paraId="181ACA50">
            <w:pPr>
              <w:keepNext w:val="0"/>
              <w:keepLines w:val="0"/>
              <w:suppressLineNumbers w:val="0"/>
              <w:spacing w:before="120" w:beforeLines="50" w:beforeAutospacing="0" w:after="0" w:afterAutospacing="0"/>
              <w:ind w:left="0" w:right="0" w:firstLine="482"/>
              <w:rPr>
                <w:rFonts w:hint="default"/>
                <w:b/>
              </w:rPr>
            </w:pPr>
            <w:r>
              <w:rPr>
                <w:rFonts w:hint="default"/>
                <w:b/>
              </w:rPr>
              <w:t>3．</w:t>
            </w:r>
            <w:r>
              <w:rPr>
                <w:rFonts w:hint="eastAsia"/>
                <w:b/>
              </w:rPr>
              <w:t>地下水环境保护目标</w:t>
            </w:r>
          </w:p>
          <w:p w14:paraId="56D02E56">
            <w:pPr>
              <w:keepNext w:val="0"/>
              <w:keepLines w:val="0"/>
              <w:suppressLineNumbers w:val="0"/>
              <w:spacing w:before="0" w:beforeAutospacing="0" w:after="0" w:afterAutospacing="0"/>
              <w:ind w:left="0" w:right="0" w:firstLine="480"/>
              <w:rPr>
                <w:rFonts w:hint="default"/>
              </w:rPr>
            </w:pPr>
            <w:r>
              <w:rPr>
                <w:rFonts w:hint="eastAsia"/>
              </w:rPr>
              <w:t>项目厂界外5</w:t>
            </w:r>
            <w:r>
              <w:rPr>
                <w:rFonts w:hint="default"/>
              </w:rPr>
              <w:t>00m</w:t>
            </w:r>
            <w:r>
              <w:rPr>
                <w:rFonts w:hint="eastAsia"/>
              </w:rPr>
              <w:t>范围内没有地下水集中式饮用水源和热水、矿泉水、温泉等特殊地下水资源。</w:t>
            </w:r>
          </w:p>
          <w:p w14:paraId="0B8E79D4">
            <w:pPr>
              <w:keepNext w:val="0"/>
              <w:keepLines w:val="0"/>
              <w:suppressLineNumbers w:val="0"/>
              <w:spacing w:before="0" w:beforeAutospacing="0" w:after="0" w:afterAutospacing="0"/>
              <w:ind w:left="0" w:right="0" w:firstLine="482"/>
              <w:rPr>
                <w:rFonts w:hint="default"/>
                <w:b/>
              </w:rPr>
            </w:pPr>
            <w:r>
              <w:rPr>
                <w:rFonts w:hint="default"/>
                <w:b/>
              </w:rPr>
              <w:t>4．</w:t>
            </w:r>
            <w:r>
              <w:rPr>
                <w:rFonts w:hint="eastAsia"/>
                <w:b/>
              </w:rPr>
              <w:t>生态环境保护目标</w:t>
            </w:r>
          </w:p>
          <w:p w14:paraId="73E472A9">
            <w:pPr>
              <w:keepNext w:val="0"/>
              <w:keepLines w:val="0"/>
              <w:suppressLineNumbers w:val="0"/>
              <w:spacing w:before="0" w:beforeAutospacing="0" w:after="0" w:afterAutospacing="0"/>
              <w:ind w:left="0" w:right="0" w:firstLine="480"/>
              <w:rPr>
                <w:rFonts w:hint="eastAsia" w:ascii="宋体" w:hAnsi="宋体" w:cs="宋体"/>
                <w:kern w:val="0"/>
                <w:szCs w:val="21"/>
              </w:rPr>
            </w:pPr>
            <w:r>
              <w:rPr>
                <w:rFonts w:hint="eastAsia"/>
              </w:rPr>
              <w:t>项目位于河北省承德市宽城满族自治县宽城经济开发区。用地范围内没有生态环境保护目标。</w:t>
            </w:r>
          </w:p>
        </w:tc>
      </w:tr>
      <w:tr w14:paraId="6C2146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516" w:type="dxa"/>
            <w:tcMar>
              <w:left w:w="28" w:type="dxa"/>
              <w:right w:w="28" w:type="dxa"/>
            </w:tcMar>
            <w:vAlign w:val="center"/>
          </w:tcPr>
          <w:p w14:paraId="59011555">
            <w:pPr>
              <w:pStyle w:val="42"/>
              <w:keepNext w:val="0"/>
              <w:keepLines w:val="0"/>
              <w:widowControl/>
              <w:suppressLineNumbers w:val="0"/>
              <w:spacing w:before="0" w:beforeAutospacing="0" w:after="0" w:afterAutospacing="0"/>
              <w:ind w:left="0" w:right="0"/>
              <w:rPr>
                <w:rFonts w:hint="default"/>
                <w:sz w:val="24"/>
                <w:szCs w:val="24"/>
              </w:rPr>
            </w:pPr>
            <w:r>
              <w:rPr>
                <w:sz w:val="24"/>
                <w:szCs w:val="24"/>
              </w:rPr>
              <w:t>污染</w:t>
            </w:r>
          </w:p>
          <w:p w14:paraId="199C4CED">
            <w:pPr>
              <w:pStyle w:val="42"/>
              <w:keepNext w:val="0"/>
              <w:keepLines w:val="0"/>
              <w:widowControl/>
              <w:suppressLineNumbers w:val="0"/>
              <w:spacing w:before="0" w:beforeAutospacing="0" w:after="0" w:afterAutospacing="0"/>
              <w:ind w:left="0" w:right="0"/>
              <w:rPr>
                <w:rFonts w:hint="default"/>
                <w:sz w:val="24"/>
                <w:szCs w:val="24"/>
              </w:rPr>
            </w:pPr>
            <w:r>
              <w:rPr>
                <w:sz w:val="24"/>
                <w:szCs w:val="24"/>
              </w:rPr>
              <w:t>物排</w:t>
            </w:r>
          </w:p>
          <w:p w14:paraId="1C3FDAEB">
            <w:pPr>
              <w:pStyle w:val="42"/>
              <w:keepNext w:val="0"/>
              <w:keepLines w:val="0"/>
              <w:widowControl/>
              <w:suppressLineNumbers w:val="0"/>
              <w:spacing w:before="0" w:beforeAutospacing="0" w:after="0" w:afterAutospacing="0"/>
              <w:ind w:left="0" w:right="0"/>
              <w:rPr>
                <w:rFonts w:hint="default"/>
                <w:sz w:val="24"/>
                <w:szCs w:val="24"/>
              </w:rPr>
            </w:pPr>
            <w:r>
              <w:rPr>
                <w:sz w:val="24"/>
                <w:szCs w:val="24"/>
              </w:rPr>
              <w:t>放控</w:t>
            </w:r>
          </w:p>
          <w:p w14:paraId="58BE3366">
            <w:pPr>
              <w:pStyle w:val="42"/>
              <w:keepNext w:val="0"/>
              <w:keepLines w:val="0"/>
              <w:widowControl/>
              <w:suppressLineNumbers w:val="0"/>
              <w:spacing w:before="0" w:beforeAutospacing="0" w:after="0" w:afterAutospacing="0"/>
              <w:ind w:left="0" w:right="0"/>
              <w:rPr>
                <w:rFonts w:hint="default"/>
                <w:sz w:val="24"/>
                <w:szCs w:val="24"/>
              </w:rPr>
            </w:pPr>
            <w:r>
              <w:rPr>
                <w:sz w:val="24"/>
                <w:szCs w:val="24"/>
              </w:rPr>
              <w:t>制标</w:t>
            </w:r>
          </w:p>
          <w:p w14:paraId="13C6BB94">
            <w:pPr>
              <w:pStyle w:val="42"/>
              <w:keepNext w:val="0"/>
              <w:keepLines w:val="0"/>
              <w:widowControl/>
              <w:suppressLineNumbers w:val="0"/>
              <w:spacing w:before="0" w:beforeAutospacing="0" w:after="0" w:afterAutospacing="0"/>
              <w:ind w:left="0" w:right="0"/>
              <w:rPr>
                <w:rFonts w:hint="default"/>
              </w:rPr>
            </w:pPr>
            <w:r>
              <w:rPr>
                <w:sz w:val="24"/>
                <w:szCs w:val="24"/>
              </w:rPr>
              <w:t>准</w:t>
            </w:r>
          </w:p>
        </w:tc>
        <w:tc>
          <w:tcPr>
            <w:tcW w:w="8545" w:type="dxa"/>
            <w:vAlign w:val="center"/>
          </w:tcPr>
          <w:p w14:paraId="4A16E958">
            <w:pPr>
              <w:keepNext w:val="0"/>
              <w:keepLines w:val="0"/>
              <w:suppressLineNumbers w:val="0"/>
              <w:spacing w:before="120" w:beforeLines="50" w:beforeAutospacing="0" w:after="0" w:afterAutospacing="0"/>
              <w:ind w:left="0" w:right="0" w:firstLine="482"/>
              <w:rPr>
                <w:rFonts w:hint="default"/>
                <w:b/>
              </w:rPr>
            </w:pPr>
            <w:r>
              <w:rPr>
                <w:rFonts w:hint="eastAsia"/>
                <w:b/>
              </w:rPr>
              <w:t>1</w:t>
            </w:r>
            <w:r>
              <w:rPr>
                <w:rFonts w:hint="default"/>
                <w:b/>
              </w:rPr>
              <w:t>．</w:t>
            </w:r>
            <w:r>
              <w:rPr>
                <w:rFonts w:hint="eastAsia"/>
                <w:b/>
              </w:rPr>
              <w:t>大气污染物排放标准限值</w:t>
            </w:r>
          </w:p>
          <w:p w14:paraId="6C02A0DE">
            <w:pPr>
              <w:pStyle w:val="4"/>
              <w:keepNext w:val="0"/>
              <w:keepLines w:val="0"/>
              <w:suppressLineNumbers w:val="0"/>
              <w:spacing w:beforeAutospacing="0" w:afterAutospacing="0"/>
              <w:ind w:left="-2" w:leftChars="0" w:right="0" w:firstLine="482" w:firstLineChars="0"/>
              <w:rPr>
                <w:rFonts w:hint="default"/>
              </w:rPr>
            </w:pPr>
            <w:r>
              <w:rPr>
                <w:rFonts w:hint="eastAsia"/>
              </w:rPr>
              <w:t>建设阶段</w:t>
            </w:r>
          </w:p>
          <w:p w14:paraId="3BE264ED">
            <w:pPr>
              <w:keepNext w:val="0"/>
              <w:keepLines w:val="0"/>
              <w:suppressLineNumbers w:val="0"/>
              <w:spacing w:before="0" w:beforeAutospacing="0" w:after="0" w:afterAutospacing="0"/>
              <w:ind w:left="0" w:right="0" w:firstLine="480"/>
              <w:rPr>
                <w:rFonts w:hint="default"/>
              </w:rPr>
            </w:pPr>
            <w:r>
              <w:rPr>
                <w:rFonts w:hint="eastAsia"/>
              </w:rPr>
              <w:t>建设阶段施工扬尘执行</w:t>
            </w:r>
            <w:r>
              <w:rPr>
                <w:rFonts w:hint="default"/>
              </w:rPr>
              <w:t>《</w:t>
            </w:r>
            <w:r>
              <w:rPr>
                <w:rFonts w:hint="eastAsia"/>
              </w:rPr>
              <w:t>施工场地扬尘排放标准</w:t>
            </w:r>
            <w:r>
              <w:rPr>
                <w:rFonts w:hint="default"/>
              </w:rPr>
              <w:t>》（DB13/2934-2019）中表1</w:t>
            </w:r>
            <w:r>
              <w:rPr>
                <w:rFonts w:hint="eastAsia"/>
              </w:rPr>
              <w:t>施工场地扬尘排放浓度限值</w:t>
            </w:r>
            <w:r>
              <w:rPr>
                <w:rFonts w:hint="default"/>
              </w:rPr>
              <w:t>的要求</w:t>
            </w:r>
            <w:r>
              <w:rPr>
                <w:rFonts w:hint="eastAsia"/>
              </w:rPr>
              <w:t>；</w:t>
            </w:r>
          </w:p>
          <w:p w14:paraId="7746B0BC">
            <w:pPr>
              <w:keepNext w:val="0"/>
              <w:keepLines w:val="0"/>
              <w:numPr>
                <w:ilvl w:val="0"/>
                <w:numId w:val="13"/>
              </w:numPr>
              <w:suppressLineNumbers w:val="0"/>
              <w:tabs>
                <w:tab w:val="left" w:pos="0"/>
              </w:tabs>
              <w:spacing w:before="0" w:beforeAutospacing="0" w:after="0" w:afterAutospacing="0"/>
              <w:ind w:left="0" w:right="0" w:firstLine="0" w:firstLineChars="0"/>
              <w:jc w:val="center"/>
              <w:rPr>
                <w:rFonts w:hint="default"/>
                <w:b/>
                <w:sz w:val="21"/>
                <w:szCs w:val="21"/>
              </w:rPr>
            </w:pPr>
            <w:r>
              <w:rPr>
                <w:rFonts w:hint="eastAsia"/>
                <w:b/>
                <w:sz w:val="21"/>
                <w:szCs w:val="21"/>
              </w:rPr>
              <w:t>建设阶段大气污染物排放标准及限值一览表</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6"/>
              <w:gridCol w:w="2396"/>
              <w:gridCol w:w="3675"/>
            </w:tblGrid>
            <w:tr w14:paraId="1B25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350" w:type="pct"/>
                  <w:vAlign w:val="center"/>
                </w:tcPr>
                <w:p w14:paraId="6DF717ED">
                  <w:pPr>
                    <w:pStyle w:val="42"/>
                    <w:keepNext w:val="0"/>
                    <w:keepLines w:val="0"/>
                    <w:widowControl/>
                    <w:suppressLineNumbers w:val="0"/>
                    <w:spacing w:before="0" w:beforeAutospacing="0" w:after="0" w:afterAutospacing="0"/>
                    <w:ind w:left="0" w:right="0"/>
                    <w:rPr>
                      <w:rFonts w:hint="default"/>
                      <w:b/>
                      <w:bCs/>
                    </w:rPr>
                  </w:pPr>
                  <w:r>
                    <w:rPr>
                      <w:b/>
                      <w:bCs/>
                    </w:rPr>
                    <w:t>污染物名称</w:t>
                  </w:r>
                </w:p>
              </w:tc>
              <w:tc>
                <w:tcPr>
                  <w:tcW w:w="1440" w:type="pct"/>
                  <w:vAlign w:val="center"/>
                </w:tcPr>
                <w:p w14:paraId="3B5DD436">
                  <w:pPr>
                    <w:pStyle w:val="42"/>
                    <w:keepNext w:val="0"/>
                    <w:keepLines w:val="0"/>
                    <w:widowControl/>
                    <w:suppressLineNumbers w:val="0"/>
                    <w:spacing w:before="0" w:beforeAutospacing="0" w:after="0" w:afterAutospacing="0"/>
                    <w:ind w:left="0" w:right="0"/>
                    <w:rPr>
                      <w:rFonts w:hint="default"/>
                      <w:b/>
                      <w:bCs/>
                    </w:rPr>
                  </w:pPr>
                  <w:r>
                    <w:rPr>
                      <w:b/>
                      <w:bCs/>
                    </w:rPr>
                    <w:t>标准值</w:t>
                  </w:r>
                </w:p>
              </w:tc>
              <w:tc>
                <w:tcPr>
                  <w:tcW w:w="2208" w:type="pct"/>
                  <w:vAlign w:val="center"/>
                </w:tcPr>
                <w:p w14:paraId="19A2F1DD">
                  <w:pPr>
                    <w:pStyle w:val="42"/>
                    <w:keepNext w:val="0"/>
                    <w:keepLines w:val="0"/>
                    <w:widowControl/>
                    <w:suppressLineNumbers w:val="0"/>
                    <w:spacing w:before="0" w:beforeAutospacing="0" w:after="0" w:afterAutospacing="0"/>
                    <w:ind w:left="0" w:right="0"/>
                    <w:rPr>
                      <w:rFonts w:hint="default"/>
                      <w:b/>
                      <w:bCs/>
                    </w:rPr>
                  </w:pPr>
                  <w:r>
                    <w:rPr>
                      <w:b/>
                      <w:bCs/>
                    </w:rPr>
                    <w:t>标准名称</w:t>
                  </w:r>
                </w:p>
              </w:tc>
            </w:tr>
            <w:tr w14:paraId="4211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350" w:type="pct"/>
                  <w:vAlign w:val="center"/>
                </w:tcPr>
                <w:p w14:paraId="0415CBFD">
                  <w:pPr>
                    <w:pStyle w:val="42"/>
                    <w:keepNext w:val="0"/>
                    <w:keepLines w:val="0"/>
                    <w:widowControl/>
                    <w:suppressLineNumbers w:val="0"/>
                    <w:spacing w:before="0" w:beforeAutospacing="0" w:after="0" w:afterAutospacing="0"/>
                    <w:ind w:left="0" w:right="0"/>
                    <w:rPr>
                      <w:rFonts w:hint="default"/>
                    </w:rPr>
                  </w:pPr>
                  <w:r>
                    <w:t>PM</w:t>
                  </w:r>
                  <w:r>
                    <w:rPr>
                      <w:vertAlign w:val="subscript"/>
                    </w:rPr>
                    <w:t>10</w:t>
                  </w:r>
                </w:p>
              </w:tc>
              <w:tc>
                <w:tcPr>
                  <w:tcW w:w="1440" w:type="pct"/>
                  <w:vAlign w:val="center"/>
                </w:tcPr>
                <w:p w14:paraId="533F6527">
                  <w:pPr>
                    <w:pStyle w:val="42"/>
                    <w:keepNext w:val="0"/>
                    <w:keepLines w:val="0"/>
                    <w:widowControl/>
                    <w:suppressLineNumbers w:val="0"/>
                    <w:spacing w:before="0" w:beforeAutospacing="0" w:after="0" w:afterAutospacing="0"/>
                    <w:ind w:left="0" w:right="0"/>
                    <w:rPr>
                      <w:rFonts w:hint="default"/>
                    </w:rPr>
                  </w:pPr>
                  <w:r>
                    <w:t>监测点浓度限值80</w:t>
                  </w:r>
                  <w:r>
                    <w:rPr>
                      <w:rFonts w:hint="default" w:cs="Times New Roman"/>
                    </w:rPr>
                    <w:t>μg/m</w:t>
                  </w:r>
                  <w:r>
                    <w:rPr>
                      <w:rFonts w:hint="default" w:cs="Times New Roman"/>
                      <w:vertAlign w:val="superscript"/>
                    </w:rPr>
                    <w:t>3</w:t>
                  </w:r>
                </w:p>
                <w:p w14:paraId="42186481">
                  <w:pPr>
                    <w:pStyle w:val="42"/>
                    <w:keepNext w:val="0"/>
                    <w:keepLines w:val="0"/>
                    <w:widowControl/>
                    <w:suppressLineNumbers w:val="0"/>
                    <w:spacing w:before="0" w:beforeAutospacing="0" w:after="0" w:afterAutospacing="0"/>
                    <w:ind w:left="0" w:right="0"/>
                    <w:rPr>
                      <w:rFonts w:hint="default"/>
                    </w:rPr>
                  </w:pPr>
                  <w:r>
                    <w:t>达标判定依据≤2次/天</w:t>
                  </w:r>
                </w:p>
              </w:tc>
              <w:tc>
                <w:tcPr>
                  <w:tcW w:w="2208" w:type="pct"/>
                  <w:vAlign w:val="center"/>
                </w:tcPr>
                <w:p w14:paraId="3CD492D0">
                  <w:pPr>
                    <w:pStyle w:val="42"/>
                    <w:keepNext w:val="0"/>
                    <w:keepLines w:val="0"/>
                    <w:widowControl/>
                    <w:suppressLineNumbers w:val="0"/>
                    <w:spacing w:before="0" w:beforeAutospacing="0" w:after="0" w:afterAutospacing="0"/>
                    <w:ind w:left="0" w:right="0"/>
                    <w:rPr>
                      <w:rFonts w:hint="default"/>
                    </w:rPr>
                  </w:pPr>
                  <w:r>
                    <w:t>《施工场地扬尘排放标准》(DB13/2934-2019)表1中的扬尘排放限值</w:t>
                  </w:r>
                </w:p>
              </w:tc>
            </w:tr>
          </w:tbl>
          <w:p w14:paraId="229CFEB2">
            <w:pPr>
              <w:pStyle w:val="4"/>
              <w:keepNext w:val="0"/>
              <w:keepLines w:val="0"/>
              <w:suppressLineNumbers w:val="0"/>
              <w:spacing w:beforeAutospacing="0" w:afterAutospacing="0"/>
              <w:ind w:left="-2" w:leftChars="0" w:right="0" w:firstLine="482" w:firstLineChars="0"/>
              <w:rPr>
                <w:rFonts w:hint="default"/>
              </w:rPr>
            </w:pPr>
            <w:r>
              <w:rPr>
                <w:rFonts w:hint="eastAsia"/>
              </w:rPr>
              <w:t>运行阶段</w:t>
            </w:r>
          </w:p>
          <w:p w14:paraId="7BE3C4B5">
            <w:pPr>
              <w:keepNext w:val="0"/>
              <w:keepLines w:val="0"/>
              <w:suppressLineNumbers w:val="0"/>
              <w:spacing w:before="0" w:beforeAutospacing="0" w:after="0" w:afterAutospacing="0"/>
              <w:ind w:left="0" w:right="0" w:firstLine="480"/>
              <w:rPr>
                <w:rFonts w:hint="default"/>
              </w:rPr>
            </w:pPr>
            <w:r>
              <w:rPr>
                <w:rFonts w:hint="eastAsia"/>
              </w:rPr>
              <w:t>运营期水泥筒仓装卸水泥、料仓上料、搅拌机搅拌产生的有组织粉尘执行《水泥工业大气污染物超低排放标准》（DB13/2167-2020）表1中“水泥仓及其他通风生产设备”颗粒物的浓度限值；石子、石粉装卸、车辆运输产生的无组织粉尘排放执行《水泥工业大气污染物超低排放标准》(DB13/2167-2020)表2无组织排放限值的要求；具体标准值见下表：</w:t>
            </w:r>
          </w:p>
          <w:p w14:paraId="6BFE4FFC">
            <w:pPr>
              <w:keepNext w:val="0"/>
              <w:keepLines w:val="0"/>
              <w:suppressLineNumbers w:val="0"/>
              <w:spacing w:before="0" w:beforeAutospacing="0" w:after="0" w:afterAutospacing="0"/>
              <w:ind w:left="0" w:right="0" w:firstLine="480"/>
              <w:rPr>
                <w:rFonts w:hint="default"/>
              </w:rPr>
            </w:pPr>
            <w:r>
              <w:rPr>
                <w:rFonts w:hint="eastAsia"/>
              </w:rPr>
              <w:t>相关标准限值列表如下：</w:t>
            </w:r>
          </w:p>
          <w:p w14:paraId="164F56AF">
            <w:pPr>
              <w:keepNext w:val="0"/>
              <w:keepLines w:val="0"/>
              <w:numPr>
                <w:ilvl w:val="0"/>
                <w:numId w:val="13"/>
              </w:numPr>
              <w:suppressLineNumbers w:val="0"/>
              <w:tabs>
                <w:tab w:val="left" w:pos="0"/>
              </w:tabs>
              <w:spacing w:before="0" w:beforeAutospacing="0" w:after="0" w:afterAutospacing="0"/>
              <w:ind w:left="0" w:right="0" w:firstLine="0" w:firstLineChars="0"/>
              <w:jc w:val="center"/>
              <w:rPr>
                <w:rFonts w:hint="default"/>
                <w:b/>
                <w:sz w:val="21"/>
                <w:szCs w:val="21"/>
              </w:rPr>
            </w:pPr>
            <w:r>
              <w:rPr>
                <w:rFonts w:hint="eastAsia"/>
                <w:b/>
                <w:sz w:val="21"/>
                <w:szCs w:val="21"/>
              </w:rPr>
              <w:t>运行阶段大气污染物排放标准及限值一览表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747"/>
              <w:gridCol w:w="1120"/>
              <w:gridCol w:w="808"/>
              <w:gridCol w:w="1531"/>
              <w:gridCol w:w="1386"/>
              <w:gridCol w:w="1826"/>
            </w:tblGrid>
            <w:tr w14:paraId="7D78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vMerge w:val="restart"/>
                  <w:vAlign w:val="center"/>
                </w:tcPr>
                <w:p w14:paraId="7CBD2CD8">
                  <w:pPr>
                    <w:pStyle w:val="42"/>
                    <w:keepNext w:val="0"/>
                    <w:keepLines w:val="0"/>
                    <w:widowControl/>
                    <w:suppressLineNumbers w:val="0"/>
                    <w:spacing w:before="0" w:beforeAutospacing="0" w:after="0" w:afterAutospacing="0"/>
                    <w:ind w:left="0" w:right="0"/>
                    <w:rPr>
                      <w:rFonts w:hint="default"/>
                      <w:b/>
                      <w:bCs/>
                    </w:rPr>
                  </w:pPr>
                  <w:r>
                    <w:rPr>
                      <w:b/>
                      <w:bCs/>
                    </w:rPr>
                    <w:t>污染物产生工序</w:t>
                  </w:r>
                </w:p>
              </w:tc>
              <w:tc>
                <w:tcPr>
                  <w:tcW w:w="465" w:type="pct"/>
                  <w:vMerge w:val="restart"/>
                  <w:vAlign w:val="center"/>
                </w:tcPr>
                <w:p w14:paraId="006E604B">
                  <w:pPr>
                    <w:pStyle w:val="42"/>
                    <w:keepNext w:val="0"/>
                    <w:keepLines w:val="0"/>
                    <w:widowControl/>
                    <w:suppressLineNumbers w:val="0"/>
                    <w:spacing w:before="0" w:beforeAutospacing="0" w:after="0" w:afterAutospacing="0"/>
                    <w:ind w:left="0" w:right="0"/>
                    <w:rPr>
                      <w:rFonts w:hint="default"/>
                      <w:b/>
                      <w:bCs/>
                    </w:rPr>
                  </w:pPr>
                  <w:r>
                    <w:rPr>
                      <w:b/>
                      <w:bCs/>
                    </w:rPr>
                    <w:t>污染物排放形式</w:t>
                  </w:r>
                </w:p>
              </w:tc>
              <w:tc>
                <w:tcPr>
                  <w:tcW w:w="689" w:type="pct"/>
                  <w:vMerge w:val="restart"/>
                  <w:vAlign w:val="center"/>
                </w:tcPr>
                <w:p w14:paraId="2570E09C">
                  <w:pPr>
                    <w:pStyle w:val="42"/>
                    <w:keepNext w:val="0"/>
                    <w:keepLines w:val="0"/>
                    <w:widowControl/>
                    <w:suppressLineNumbers w:val="0"/>
                    <w:spacing w:before="0" w:beforeAutospacing="0" w:after="0" w:afterAutospacing="0"/>
                    <w:ind w:left="0" w:right="0"/>
                    <w:rPr>
                      <w:rFonts w:hint="default"/>
                      <w:b/>
                      <w:bCs/>
                    </w:rPr>
                  </w:pPr>
                  <w:r>
                    <w:rPr>
                      <w:b/>
                      <w:bCs/>
                    </w:rPr>
                    <w:t>污染物名称</w:t>
                  </w:r>
                </w:p>
              </w:tc>
              <w:tc>
                <w:tcPr>
                  <w:tcW w:w="1438" w:type="pct"/>
                  <w:gridSpan w:val="2"/>
                  <w:vAlign w:val="center"/>
                </w:tcPr>
                <w:p w14:paraId="76657F76">
                  <w:pPr>
                    <w:pStyle w:val="42"/>
                    <w:keepNext w:val="0"/>
                    <w:keepLines w:val="0"/>
                    <w:widowControl/>
                    <w:suppressLineNumbers w:val="0"/>
                    <w:spacing w:before="0" w:beforeAutospacing="0" w:after="0" w:afterAutospacing="0"/>
                    <w:ind w:left="0" w:right="0"/>
                    <w:rPr>
                      <w:rFonts w:hint="default"/>
                      <w:b/>
                      <w:bCs/>
                    </w:rPr>
                  </w:pPr>
                  <w:r>
                    <w:rPr>
                      <w:b/>
                      <w:bCs/>
                    </w:rPr>
                    <w:t>最高允许排放浓度</w:t>
                  </w:r>
                </w:p>
              </w:tc>
              <w:tc>
                <w:tcPr>
                  <w:tcW w:w="849" w:type="pct"/>
                  <w:vMerge w:val="restart"/>
                  <w:vAlign w:val="center"/>
                </w:tcPr>
                <w:p w14:paraId="2ED7BF74">
                  <w:pPr>
                    <w:pStyle w:val="42"/>
                    <w:keepNext w:val="0"/>
                    <w:keepLines w:val="0"/>
                    <w:widowControl/>
                    <w:suppressLineNumbers w:val="0"/>
                    <w:spacing w:before="0" w:beforeAutospacing="0" w:after="0" w:afterAutospacing="0"/>
                    <w:ind w:left="0" w:right="0"/>
                    <w:rPr>
                      <w:rFonts w:hint="default"/>
                      <w:b/>
                      <w:bCs/>
                    </w:rPr>
                  </w:pPr>
                  <w:r>
                    <w:rPr>
                      <w:b/>
                      <w:bCs/>
                    </w:rPr>
                    <w:t>最高允许排放速率，kg/h</w:t>
                  </w:r>
                </w:p>
              </w:tc>
              <w:tc>
                <w:tcPr>
                  <w:tcW w:w="1000" w:type="pct"/>
                  <w:vMerge w:val="restart"/>
                  <w:vAlign w:val="center"/>
                </w:tcPr>
                <w:p w14:paraId="25D87E76">
                  <w:pPr>
                    <w:pStyle w:val="42"/>
                    <w:keepNext w:val="0"/>
                    <w:keepLines w:val="0"/>
                    <w:widowControl/>
                    <w:suppressLineNumbers w:val="0"/>
                    <w:spacing w:before="0" w:beforeAutospacing="0" w:after="0" w:afterAutospacing="0"/>
                    <w:ind w:left="0" w:right="0"/>
                    <w:rPr>
                      <w:rFonts w:hint="default"/>
                      <w:b/>
                      <w:bCs/>
                    </w:rPr>
                  </w:pPr>
                  <w:r>
                    <w:rPr>
                      <w:b/>
                      <w:bCs/>
                    </w:rPr>
                    <w:t>标准名称</w:t>
                  </w:r>
                </w:p>
              </w:tc>
            </w:tr>
            <w:tr w14:paraId="6BC6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vMerge w:val="continue"/>
                  <w:vAlign w:val="center"/>
                </w:tcPr>
                <w:p w14:paraId="0B2E2A67">
                  <w:pPr>
                    <w:pStyle w:val="42"/>
                    <w:keepNext w:val="0"/>
                    <w:keepLines w:val="0"/>
                    <w:widowControl/>
                    <w:suppressLineNumbers w:val="0"/>
                    <w:spacing w:before="0" w:beforeAutospacing="0" w:after="0" w:afterAutospacing="0"/>
                    <w:ind w:left="0" w:right="0"/>
                    <w:rPr>
                      <w:rFonts w:hint="default"/>
                    </w:rPr>
                  </w:pPr>
                </w:p>
              </w:tc>
              <w:tc>
                <w:tcPr>
                  <w:tcW w:w="465" w:type="pct"/>
                  <w:vMerge w:val="continue"/>
                  <w:vAlign w:val="center"/>
                </w:tcPr>
                <w:p w14:paraId="051D7695">
                  <w:pPr>
                    <w:pStyle w:val="42"/>
                    <w:keepNext w:val="0"/>
                    <w:keepLines w:val="0"/>
                    <w:widowControl/>
                    <w:suppressLineNumbers w:val="0"/>
                    <w:spacing w:before="0" w:beforeAutospacing="0" w:after="0" w:afterAutospacing="0"/>
                    <w:ind w:left="0" w:right="0"/>
                    <w:rPr>
                      <w:rFonts w:hint="default"/>
                    </w:rPr>
                  </w:pPr>
                </w:p>
              </w:tc>
              <w:tc>
                <w:tcPr>
                  <w:tcW w:w="689" w:type="pct"/>
                  <w:vMerge w:val="continue"/>
                  <w:vAlign w:val="center"/>
                </w:tcPr>
                <w:p w14:paraId="565AD857">
                  <w:pPr>
                    <w:pStyle w:val="42"/>
                    <w:keepNext w:val="0"/>
                    <w:keepLines w:val="0"/>
                    <w:widowControl/>
                    <w:suppressLineNumbers w:val="0"/>
                    <w:spacing w:before="0" w:beforeAutospacing="0" w:after="0" w:afterAutospacing="0"/>
                    <w:ind w:left="0" w:right="0"/>
                    <w:rPr>
                      <w:rFonts w:hint="default"/>
                    </w:rPr>
                  </w:pPr>
                </w:p>
              </w:tc>
              <w:tc>
                <w:tcPr>
                  <w:tcW w:w="502" w:type="pct"/>
                  <w:vAlign w:val="center"/>
                </w:tcPr>
                <w:p w14:paraId="762A73DE">
                  <w:pPr>
                    <w:pStyle w:val="42"/>
                    <w:keepNext w:val="0"/>
                    <w:keepLines w:val="0"/>
                    <w:widowControl/>
                    <w:suppressLineNumbers w:val="0"/>
                    <w:spacing w:before="0" w:beforeAutospacing="0" w:after="0" w:afterAutospacing="0"/>
                    <w:ind w:left="0" w:right="0"/>
                    <w:rPr>
                      <w:rFonts w:hint="default"/>
                      <w:b/>
                      <w:bCs/>
                    </w:rPr>
                  </w:pPr>
                  <w:r>
                    <w:rPr>
                      <w:b/>
                      <w:bCs/>
                    </w:rPr>
                    <w:t>单位</w:t>
                  </w:r>
                </w:p>
              </w:tc>
              <w:tc>
                <w:tcPr>
                  <w:tcW w:w="935" w:type="pct"/>
                  <w:vAlign w:val="center"/>
                </w:tcPr>
                <w:p w14:paraId="55AC0BED">
                  <w:pPr>
                    <w:pStyle w:val="42"/>
                    <w:keepNext w:val="0"/>
                    <w:keepLines w:val="0"/>
                    <w:widowControl/>
                    <w:suppressLineNumbers w:val="0"/>
                    <w:spacing w:before="0" w:beforeAutospacing="0" w:after="0" w:afterAutospacing="0"/>
                    <w:ind w:left="0" w:right="0"/>
                    <w:rPr>
                      <w:rFonts w:hint="default"/>
                      <w:b/>
                      <w:bCs/>
                    </w:rPr>
                  </w:pPr>
                  <w:r>
                    <w:rPr>
                      <w:b/>
                      <w:bCs/>
                    </w:rPr>
                    <w:t>标准值</w:t>
                  </w:r>
                </w:p>
              </w:tc>
              <w:tc>
                <w:tcPr>
                  <w:tcW w:w="849" w:type="pct"/>
                  <w:vMerge w:val="continue"/>
                  <w:vAlign w:val="center"/>
                </w:tcPr>
                <w:p w14:paraId="44525BBD">
                  <w:pPr>
                    <w:pStyle w:val="42"/>
                    <w:keepNext w:val="0"/>
                    <w:keepLines w:val="0"/>
                    <w:widowControl/>
                    <w:suppressLineNumbers w:val="0"/>
                    <w:spacing w:before="0" w:beforeAutospacing="0" w:after="0" w:afterAutospacing="0"/>
                    <w:ind w:left="0" w:right="0"/>
                    <w:rPr>
                      <w:rFonts w:hint="default"/>
                    </w:rPr>
                  </w:pPr>
                </w:p>
              </w:tc>
              <w:tc>
                <w:tcPr>
                  <w:tcW w:w="1000" w:type="pct"/>
                  <w:vMerge w:val="continue"/>
                  <w:vAlign w:val="center"/>
                </w:tcPr>
                <w:p w14:paraId="269636EE">
                  <w:pPr>
                    <w:pStyle w:val="42"/>
                    <w:keepNext w:val="0"/>
                    <w:keepLines w:val="0"/>
                    <w:widowControl/>
                    <w:suppressLineNumbers w:val="0"/>
                    <w:spacing w:before="0" w:beforeAutospacing="0" w:after="0" w:afterAutospacing="0"/>
                    <w:ind w:left="0" w:right="0"/>
                    <w:rPr>
                      <w:rFonts w:hint="default"/>
                    </w:rPr>
                  </w:pPr>
                </w:p>
              </w:tc>
            </w:tr>
            <w:tr w14:paraId="5BED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vAlign w:val="center"/>
                </w:tcPr>
                <w:p w14:paraId="296F890C">
                  <w:pPr>
                    <w:pStyle w:val="42"/>
                    <w:keepNext w:val="0"/>
                    <w:keepLines w:val="0"/>
                    <w:widowControl/>
                    <w:suppressLineNumbers w:val="0"/>
                    <w:spacing w:before="0" w:beforeAutospacing="0" w:after="0" w:afterAutospacing="0"/>
                    <w:ind w:left="0" w:right="0"/>
                    <w:rPr>
                      <w:rFonts w:hint="default"/>
                    </w:rPr>
                  </w:pPr>
                  <w:r>
                    <w:rPr>
                      <w:rFonts w:hint="default"/>
                    </w:rPr>
                    <w:t>水泥装卸</w:t>
                  </w:r>
                </w:p>
              </w:tc>
              <w:tc>
                <w:tcPr>
                  <w:tcW w:w="465" w:type="pct"/>
                  <w:vMerge w:val="restart"/>
                  <w:vAlign w:val="center"/>
                </w:tcPr>
                <w:p w14:paraId="36E948BB">
                  <w:pPr>
                    <w:pStyle w:val="42"/>
                    <w:keepNext w:val="0"/>
                    <w:keepLines w:val="0"/>
                    <w:widowControl/>
                    <w:suppressLineNumbers w:val="0"/>
                    <w:spacing w:before="0" w:beforeAutospacing="0" w:after="0" w:afterAutospacing="0"/>
                    <w:ind w:left="0" w:right="0"/>
                    <w:rPr>
                      <w:rFonts w:hint="default"/>
                    </w:rPr>
                  </w:pPr>
                  <w:r>
                    <w:t>有组织排放</w:t>
                  </w:r>
                </w:p>
              </w:tc>
              <w:tc>
                <w:tcPr>
                  <w:tcW w:w="689" w:type="pct"/>
                  <w:vMerge w:val="restart"/>
                  <w:vAlign w:val="center"/>
                </w:tcPr>
                <w:p w14:paraId="2E9810B1">
                  <w:pPr>
                    <w:pStyle w:val="42"/>
                    <w:keepNext w:val="0"/>
                    <w:keepLines w:val="0"/>
                    <w:widowControl/>
                    <w:suppressLineNumbers w:val="0"/>
                    <w:spacing w:before="0" w:beforeAutospacing="0" w:after="0" w:afterAutospacing="0"/>
                    <w:ind w:left="0" w:right="0"/>
                    <w:rPr>
                      <w:rFonts w:hint="default"/>
                    </w:rPr>
                  </w:pPr>
                  <w:r>
                    <w:t>颗粒物</w:t>
                  </w:r>
                </w:p>
              </w:tc>
              <w:tc>
                <w:tcPr>
                  <w:tcW w:w="502" w:type="pct"/>
                  <w:vMerge w:val="restart"/>
                  <w:vAlign w:val="center"/>
                </w:tcPr>
                <w:p w14:paraId="1AC51937">
                  <w:pPr>
                    <w:pStyle w:val="42"/>
                    <w:keepNext w:val="0"/>
                    <w:keepLines w:val="0"/>
                    <w:widowControl/>
                    <w:suppressLineNumbers w:val="0"/>
                    <w:spacing w:before="0" w:beforeAutospacing="0" w:after="0" w:afterAutospacing="0"/>
                    <w:ind w:left="0" w:right="0"/>
                    <w:rPr>
                      <w:rFonts w:hint="default"/>
                    </w:rPr>
                  </w:pPr>
                  <w:r>
                    <w:t>mg/m</w:t>
                  </w:r>
                  <w:r>
                    <w:rPr>
                      <w:vertAlign w:val="superscript"/>
                    </w:rPr>
                    <w:t>3</w:t>
                  </w:r>
                </w:p>
              </w:tc>
              <w:tc>
                <w:tcPr>
                  <w:tcW w:w="935" w:type="pct"/>
                  <w:vMerge w:val="restart"/>
                  <w:tcMar>
                    <w:left w:w="57" w:type="dxa"/>
                    <w:right w:w="57" w:type="dxa"/>
                  </w:tcMar>
                  <w:vAlign w:val="center"/>
                </w:tcPr>
                <w:p w14:paraId="16650E54">
                  <w:pPr>
                    <w:pStyle w:val="42"/>
                    <w:keepNext w:val="0"/>
                    <w:keepLines w:val="0"/>
                    <w:widowControl/>
                    <w:suppressLineNumbers w:val="0"/>
                    <w:spacing w:before="0" w:beforeAutospacing="0" w:after="0" w:afterAutospacing="0"/>
                    <w:ind w:left="0" w:right="0"/>
                    <w:rPr>
                      <w:rFonts w:hint="default"/>
                    </w:rPr>
                  </w:pPr>
                  <w:r>
                    <w:t>10</w:t>
                  </w:r>
                </w:p>
              </w:tc>
              <w:tc>
                <w:tcPr>
                  <w:tcW w:w="849" w:type="pct"/>
                  <w:vMerge w:val="restart"/>
                  <w:vAlign w:val="center"/>
                </w:tcPr>
                <w:p w14:paraId="3DE35A99">
                  <w:pPr>
                    <w:pStyle w:val="42"/>
                    <w:keepNext w:val="0"/>
                    <w:keepLines w:val="0"/>
                    <w:widowControl/>
                    <w:suppressLineNumbers w:val="0"/>
                    <w:spacing w:before="0" w:beforeAutospacing="0" w:after="0" w:afterAutospacing="0"/>
                    <w:ind w:left="0" w:right="0"/>
                    <w:rPr>
                      <w:rFonts w:hint="default"/>
                    </w:rPr>
                  </w:pPr>
                  <w:r>
                    <w:t>/</w:t>
                  </w:r>
                </w:p>
              </w:tc>
              <w:tc>
                <w:tcPr>
                  <w:tcW w:w="1000" w:type="pct"/>
                  <w:vMerge w:val="restart"/>
                  <w:vAlign w:val="center"/>
                </w:tcPr>
                <w:p w14:paraId="56176E41">
                  <w:pPr>
                    <w:pStyle w:val="42"/>
                    <w:keepNext w:val="0"/>
                    <w:keepLines w:val="0"/>
                    <w:widowControl/>
                    <w:suppressLineNumbers w:val="0"/>
                    <w:spacing w:before="0" w:beforeAutospacing="0" w:after="0" w:afterAutospacing="0"/>
                    <w:ind w:left="0" w:right="0"/>
                    <w:rPr>
                      <w:rFonts w:hint="default"/>
                    </w:rPr>
                  </w:pPr>
                  <w:r>
                    <w:t>《水泥工业大气污染物超低排放标准》(DB13/2167-2020)</w:t>
                  </w:r>
                </w:p>
              </w:tc>
            </w:tr>
            <w:tr w14:paraId="5BD3B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vAlign w:val="center"/>
                </w:tcPr>
                <w:p w14:paraId="477FFCF6">
                  <w:pPr>
                    <w:pStyle w:val="42"/>
                    <w:keepNext w:val="0"/>
                    <w:keepLines w:val="0"/>
                    <w:widowControl/>
                    <w:suppressLineNumbers w:val="0"/>
                    <w:spacing w:before="0" w:beforeAutospacing="0" w:after="0" w:afterAutospacing="0"/>
                    <w:ind w:left="0" w:right="0"/>
                    <w:rPr>
                      <w:rFonts w:hint="default"/>
                    </w:rPr>
                  </w:pPr>
                  <w:r>
                    <w:t>料仓上料、</w:t>
                  </w:r>
                  <w:r>
                    <w:rPr>
                      <w:rFonts w:hint="default"/>
                    </w:rPr>
                    <w:t>物料搅拌</w:t>
                  </w:r>
                </w:p>
              </w:tc>
              <w:tc>
                <w:tcPr>
                  <w:tcW w:w="465" w:type="pct"/>
                  <w:vMerge w:val="continue"/>
                  <w:vAlign w:val="center"/>
                </w:tcPr>
                <w:p w14:paraId="14184C80">
                  <w:pPr>
                    <w:pStyle w:val="42"/>
                    <w:keepNext w:val="0"/>
                    <w:keepLines w:val="0"/>
                    <w:widowControl/>
                    <w:suppressLineNumbers w:val="0"/>
                    <w:spacing w:before="0" w:beforeAutospacing="0" w:after="0" w:afterAutospacing="0"/>
                    <w:ind w:left="0" w:right="0"/>
                    <w:rPr>
                      <w:rFonts w:hint="default"/>
                    </w:rPr>
                  </w:pPr>
                </w:p>
              </w:tc>
              <w:tc>
                <w:tcPr>
                  <w:tcW w:w="689" w:type="pct"/>
                  <w:vMerge w:val="continue"/>
                  <w:vAlign w:val="center"/>
                </w:tcPr>
                <w:p w14:paraId="033B89E5">
                  <w:pPr>
                    <w:pStyle w:val="42"/>
                    <w:keepNext w:val="0"/>
                    <w:keepLines w:val="0"/>
                    <w:widowControl/>
                    <w:suppressLineNumbers w:val="0"/>
                    <w:spacing w:before="0" w:beforeAutospacing="0" w:after="0" w:afterAutospacing="0"/>
                    <w:ind w:left="0" w:right="0"/>
                    <w:rPr>
                      <w:rFonts w:hint="default"/>
                    </w:rPr>
                  </w:pPr>
                </w:p>
              </w:tc>
              <w:tc>
                <w:tcPr>
                  <w:tcW w:w="502" w:type="pct"/>
                  <w:vMerge w:val="continue"/>
                  <w:vAlign w:val="center"/>
                </w:tcPr>
                <w:p w14:paraId="1E25BCEF">
                  <w:pPr>
                    <w:pStyle w:val="42"/>
                    <w:keepNext w:val="0"/>
                    <w:keepLines w:val="0"/>
                    <w:widowControl/>
                    <w:suppressLineNumbers w:val="0"/>
                    <w:spacing w:before="0" w:beforeAutospacing="0" w:after="0" w:afterAutospacing="0"/>
                    <w:ind w:left="0" w:right="0"/>
                    <w:rPr>
                      <w:rFonts w:hint="default"/>
                    </w:rPr>
                  </w:pPr>
                </w:p>
              </w:tc>
              <w:tc>
                <w:tcPr>
                  <w:tcW w:w="935" w:type="pct"/>
                  <w:vMerge w:val="continue"/>
                  <w:tcMar>
                    <w:left w:w="57" w:type="dxa"/>
                    <w:right w:w="57" w:type="dxa"/>
                  </w:tcMar>
                  <w:vAlign w:val="center"/>
                </w:tcPr>
                <w:p w14:paraId="28CDCCC8">
                  <w:pPr>
                    <w:pStyle w:val="42"/>
                    <w:keepNext w:val="0"/>
                    <w:keepLines w:val="0"/>
                    <w:widowControl/>
                    <w:suppressLineNumbers w:val="0"/>
                    <w:spacing w:before="0" w:beforeAutospacing="0" w:after="0" w:afterAutospacing="0"/>
                    <w:ind w:left="0" w:right="0"/>
                    <w:rPr>
                      <w:rFonts w:hint="default"/>
                    </w:rPr>
                  </w:pPr>
                </w:p>
              </w:tc>
              <w:tc>
                <w:tcPr>
                  <w:tcW w:w="849" w:type="pct"/>
                  <w:vMerge w:val="continue"/>
                  <w:vAlign w:val="center"/>
                </w:tcPr>
                <w:p w14:paraId="7A35E8B9">
                  <w:pPr>
                    <w:pStyle w:val="42"/>
                    <w:keepNext w:val="0"/>
                    <w:keepLines w:val="0"/>
                    <w:widowControl/>
                    <w:suppressLineNumbers w:val="0"/>
                    <w:spacing w:before="0" w:beforeAutospacing="0" w:after="0" w:afterAutospacing="0"/>
                    <w:ind w:left="0" w:right="0"/>
                    <w:rPr>
                      <w:rFonts w:hint="default"/>
                    </w:rPr>
                  </w:pPr>
                </w:p>
              </w:tc>
              <w:tc>
                <w:tcPr>
                  <w:tcW w:w="1000" w:type="pct"/>
                  <w:vMerge w:val="continue"/>
                  <w:vAlign w:val="center"/>
                </w:tcPr>
                <w:p w14:paraId="012DF9C5">
                  <w:pPr>
                    <w:pStyle w:val="42"/>
                    <w:keepNext w:val="0"/>
                    <w:keepLines w:val="0"/>
                    <w:widowControl/>
                    <w:suppressLineNumbers w:val="0"/>
                    <w:spacing w:before="0" w:beforeAutospacing="0" w:after="0" w:afterAutospacing="0"/>
                    <w:ind w:left="0" w:right="0"/>
                    <w:rPr>
                      <w:rFonts w:hint="default"/>
                    </w:rPr>
                  </w:pPr>
                </w:p>
              </w:tc>
            </w:tr>
            <w:tr w14:paraId="4F8A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vAlign w:val="center"/>
                </w:tcPr>
                <w:p w14:paraId="6449DC56">
                  <w:pPr>
                    <w:pStyle w:val="42"/>
                    <w:keepNext w:val="0"/>
                    <w:keepLines w:val="0"/>
                    <w:widowControl/>
                    <w:suppressLineNumbers w:val="0"/>
                    <w:spacing w:before="0" w:beforeAutospacing="0" w:after="0" w:afterAutospacing="0"/>
                    <w:ind w:left="0" w:right="0"/>
                    <w:rPr>
                      <w:rFonts w:hint="default"/>
                    </w:rPr>
                  </w:pPr>
                  <w:r>
                    <w:t>车辆运输、石子石粉装卸</w:t>
                  </w:r>
                </w:p>
              </w:tc>
              <w:tc>
                <w:tcPr>
                  <w:tcW w:w="465" w:type="pct"/>
                  <w:vAlign w:val="center"/>
                </w:tcPr>
                <w:p w14:paraId="0096CB54">
                  <w:pPr>
                    <w:pStyle w:val="42"/>
                    <w:keepNext w:val="0"/>
                    <w:keepLines w:val="0"/>
                    <w:widowControl/>
                    <w:suppressLineNumbers w:val="0"/>
                    <w:spacing w:before="0" w:beforeAutospacing="0" w:after="0" w:afterAutospacing="0"/>
                    <w:ind w:left="0" w:right="0"/>
                    <w:rPr>
                      <w:rFonts w:hint="default"/>
                    </w:rPr>
                  </w:pPr>
                  <w:r>
                    <w:t>无组织排放</w:t>
                  </w:r>
                </w:p>
              </w:tc>
              <w:tc>
                <w:tcPr>
                  <w:tcW w:w="689" w:type="pct"/>
                  <w:vAlign w:val="center"/>
                </w:tcPr>
                <w:p w14:paraId="34030133">
                  <w:pPr>
                    <w:pStyle w:val="42"/>
                    <w:keepNext w:val="0"/>
                    <w:keepLines w:val="0"/>
                    <w:widowControl/>
                    <w:suppressLineNumbers w:val="0"/>
                    <w:spacing w:before="0" w:beforeAutospacing="0" w:after="0" w:afterAutospacing="0"/>
                    <w:ind w:left="0" w:right="0"/>
                    <w:rPr>
                      <w:rFonts w:hint="default"/>
                    </w:rPr>
                  </w:pPr>
                  <w:r>
                    <w:t>颗粒物</w:t>
                  </w:r>
                </w:p>
              </w:tc>
              <w:tc>
                <w:tcPr>
                  <w:tcW w:w="502" w:type="pct"/>
                  <w:vAlign w:val="center"/>
                </w:tcPr>
                <w:p w14:paraId="7251D765">
                  <w:pPr>
                    <w:pStyle w:val="42"/>
                    <w:keepNext w:val="0"/>
                    <w:keepLines w:val="0"/>
                    <w:widowControl/>
                    <w:suppressLineNumbers w:val="0"/>
                    <w:spacing w:before="0" w:beforeAutospacing="0" w:after="0" w:afterAutospacing="0"/>
                    <w:ind w:left="0" w:right="0"/>
                    <w:rPr>
                      <w:rFonts w:hint="default"/>
                    </w:rPr>
                  </w:pPr>
                  <w:r>
                    <w:t>mg/m</w:t>
                  </w:r>
                  <w:r>
                    <w:rPr>
                      <w:vertAlign w:val="superscript"/>
                    </w:rPr>
                    <w:t>3</w:t>
                  </w:r>
                </w:p>
              </w:tc>
              <w:tc>
                <w:tcPr>
                  <w:tcW w:w="935" w:type="pct"/>
                  <w:tcMar>
                    <w:left w:w="57" w:type="dxa"/>
                    <w:right w:w="57" w:type="dxa"/>
                  </w:tcMar>
                  <w:vAlign w:val="center"/>
                </w:tcPr>
                <w:p w14:paraId="48C1292D">
                  <w:pPr>
                    <w:pStyle w:val="42"/>
                    <w:keepNext w:val="0"/>
                    <w:keepLines w:val="0"/>
                    <w:widowControl/>
                    <w:suppressLineNumbers w:val="0"/>
                    <w:spacing w:before="0" w:beforeAutospacing="0" w:after="0" w:afterAutospacing="0"/>
                    <w:ind w:left="0" w:right="0"/>
                    <w:rPr>
                      <w:rFonts w:hint="default"/>
                    </w:rPr>
                  </w:pPr>
                  <w:r>
                    <w:rPr>
                      <w:rFonts w:hint="default"/>
                    </w:rPr>
                    <w:t>监控点与参照点总悬浮颗粒物1h浓度值的差值＜0.</w:t>
                  </w:r>
                  <w:r>
                    <w:t>5</w:t>
                  </w:r>
                </w:p>
              </w:tc>
              <w:tc>
                <w:tcPr>
                  <w:tcW w:w="849" w:type="pct"/>
                  <w:vAlign w:val="center"/>
                </w:tcPr>
                <w:p w14:paraId="35557FBC">
                  <w:pPr>
                    <w:pStyle w:val="42"/>
                    <w:keepNext w:val="0"/>
                    <w:keepLines w:val="0"/>
                    <w:widowControl/>
                    <w:suppressLineNumbers w:val="0"/>
                    <w:spacing w:before="0" w:beforeAutospacing="0" w:after="0" w:afterAutospacing="0"/>
                    <w:ind w:left="0" w:right="0"/>
                    <w:rPr>
                      <w:rFonts w:hint="default"/>
                    </w:rPr>
                  </w:pPr>
                  <w:r>
                    <w:t>/</w:t>
                  </w:r>
                </w:p>
              </w:tc>
              <w:tc>
                <w:tcPr>
                  <w:tcW w:w="1000" w:type="pct"/>
                  <w:vAlign w:val="center"/>
                </w:tcPr>
                <w:p w14:paraId="2C1227B7">
                  <w:pPr>
                    <w:pStyle w:val="42"/>
                    <w:keepNext w:val="0"/>
                    <w:keepLines w:val="0"/>
                    <w:widowControl/>
                    <w:suppressLineNumbers w:val="0"/>
                    <w:spacing w:before="0" w:beforeAutospacing="0" w:after="0" w:afterAutospacing="0"/>
                    <w:ind w:left="0" w:right="0"/>
                    <w:rPr>
                      <w:rFonts w:hint="default"/>
                    </w:rPr>
                  </w:pPr>
                  <w:r>
                    <w:t>《水泥工业大气污染物超低排放标准》(DB13/2167-2020)</w:t>
                  </w:r>
                </w:p>
              </w:tc>
            </w:tr>
          </w:tbl>
          <w:p w14:paraId="0958D46F">
            <w:pPr>
              <w:keepNext w:val="0"/>
              <w:keepLines w:val="0"/>
              <w:suppressLineNumbers w:val="0"/>
              <w:spacing w:before="120" w:beforeLines="50" w:beforeAutospacing="0" w:after="0" w:afterAutospacing="0"/>
              <w:ind w:left="0" w:right="0" w:firstLine="482"/>
              <w:rPr>
                <w:rFonts w:hint="default"/>
                <w:b/>
              </w:rPr>
            </w:pPr>
            <w:r>
              <w:rPr>
                <w:rFonts w:hint="default"/>
                <w:b/>
              </w:rPr>
              <w:t>2．</w:t>
            </w:r>
            <w:r>
              <w:rPr>
                <w:rFonts w:hint="eastAsia"/>
                <w:b/>
              </w:rPr>
              <w:t>水污染物排放标准</w:t>
            </w:r>
          </w:p>
          <w:p w14:paraId="2FDA6D6F">
            <w:pPr>
              <w:keepNext w:val="0"/>
              <w:keepLines w:val="0"/>
              <w:suppressLineNumbers w:val="0"/>
              <w:spacing w:before="120" w:beforeLines="50" w:beforeAutospacing="0" w:after="0" w:afterAutospacing="0"/>
              <w:ind w:left="0" w:right="0" w:firstLine="480"/>
              <w:rPr>
                <w:rFonts w:hint="default"/>
                <w:bCs/>
              </w:rPr>
            </w:pPr>
            <w:r>
              <w:rPr>
                <w:rFonts w:hint="eastAsia"/>
                <w:bCs/>
              </w:rPr>
              <w:t>生产过程用水</w:t>
            </w:r>
            <w:r>
              <w:rPr>
                <w:rFonts w:hint="default"/>
                <w:bCs/>
              </w:rPr>
              <w:t>全部综合利用</w:t>
            </w:r>
            <w:r>
              <w:rPr>
                <w:rFonts w:hint="eastAsia"/>
                <w:bCs/>
              </w:rPr>
              <w:t>或循环利用</w:t>
            </w:r>
            <w:r>
              <w:rPr>
                <w:rFonts w:hint="default"/>
                <w:bCs/>
              </w:rPr>
              <w:t>，不外排</w:t>
            </w:r>
            <w:r>
              <w:rPr>
                <w:rFonts w:hint="eastAsia"/>
                <w:bCs/>
              </w:rPr>
              <w:t>。</w:t>
            </w:r>
          </w:p>
          <w:p w14:paraId="69A4FD42">
            <w:pPr>
              <w:keepNext w:val="0"/>
              <w:keepLines w:val="0"/>
              <w:suppressLineNumbers w:val="0"/>
              <w:spacing w:before="120" w:beforeLines="50" w:beforeAutospacing="0" w:after="0" w:afterAutospacing="0"/>
              <w:ind w:left="0" w:right="0" w:firstLine="482"/>
              <w:rPr>
                <w:rFonts w:hint="default"/>
                <w:b/>
              </w:rPr>
            </w:pPr>
            <w:r>
              <w:rPr>
                <w:rFonts w:hint="eastAsia"/>
                <w:b/>
              </w:rPr>
              <w:t>3．噪声排放标准</w:t>
            </w:r>
          </w:p>
          <w:p w14:paraId="7994C72E">
            <w:pPr>
              <w:keepNext w:val="0"/>
              <w:keepLines w:val="0"/>
              <w:suppressLineNumbers w:val="0"/>
              <w:spacing w:before="0" w:beforeAutospacing="0" w:after="0" w:afterAutospacing="0"/>
              <w:ind w:left="0" w:right="0" w:firstLine="480"/>
              <w:rPr>
                <w:rFonts w:hint="default"/>
              </w:rPr>
            </w:pPr>
            <w:r>
              <w:rPr>
                <w:rFonts w:hint="eastAsia"/>
              </w:rPr>
              <w:t>建设阶段噪声执行《建筑施工场界环境噪声排放标准》（GB12523-2011）表1建筑施工场界环境噪声排放限值的要求；</w:t>
            </w:r>
          </w:p>
          <w:p w14:paraId="5BAA39BA">
            <w:pPr>
              <w:keepNext w:val="0"/>
              <w:keepLines w:val="0"/>
              <w:suppressLineNumbers w:val="0"/>
              <w:spacing w:before="0" w:beforeAutospacing="0" w:after="0" w:afterAutospacing="0"/>
              <w:ind w:left="0" w:right="0" w:firstLine="480"/>
              <w:rPr>
                <w:rFonts w:hint="default"/>
              </w:rPr>
            </w:pPr>
            <w:r>
              <w:rPr>
                <w:rFonts w:hint="eastAsia"/>
              </w:rPr>
              <w:t>运行阶段厂界噪声执行</w:t>
            </w:r>
            <w:r>
              <w:rPr>
                <w:rFonts w:hint="default"/>
              </w:rPr>
              <w:t>《工业企业厂界环境噪声排放标准》（GB12348-2008）</w:t>
            </w:r>
            <w:r>
              <w:rPr>
                <w:rFonts w:hint="eastAsia"/>
              </w:rPr>
              <w:t>中的3</w:t>
            </w:r>
            <w:r>
              <w:rPr>
                <w:rFonts w:hint="default"/>
              </w:rPr>
              <w:t>类标准</w:t>
            </w:r>
            <w:r>
              <w:rPr>
                <w:rFonts w:hint="eastAsia"/>
              </w:rPr>
              <w:t>要求</w:t>
            </w:r>
            <w:r>
              <w:rPr>
                <w:rFonts w:hint="default"/>
              </w:rPr>
              <w:t>。</w:t>
            </w:r>
          </w:p>
          <w:p w14:paraId="2C7584E4">
            <w:pPr>
              <w:keepNext w:val="0"/>
              <w:keepLines w:val="0"/>
              <w:suppressLineNumbers w:val="0"/>
              <w:spacing w:before="0" w:beforeAutospacing="0" w:after="0" w:afterAutospacing="0"/>
              <w:ind w:left="0" w:right="0" w:firstLine="480"/>
              <w:rPr>
                <w:rFonts w:hint="default"/>
              </w:rPr>
            </w:pPr>
            <w:r>
              <w:rPr>
                <w:rFonts w:hint="eastAsia"/>
              </w:rPr>
              <w:t>相关标准限值列表如下：</w:t>
            </w:r>
          </w:p>
          <w:p w14:paraId="3377DD05">
            <w:pPr>
              <w:keepNext w:val="0"/>
              <w:keepLines w:val="0"/>
              <w:numPr>
                <w:ilvl w:val="0"/>
                <w:numId w:val="13"/>
              </w:numPr>
              <w:suppressLineNumbers w:val="0"/>
              <w:tabs>
                <w:tab w:val="left" w:pos="0"/>
              </w:tabs>
              <w:spacing w:before="0" w:beforeAutospacing="0" w:after="0" w:afterAutospacing="0"/>
              <w:ind w:left="0" w:right="0" w:firstLine="0" w:firstLineChars="0"/>
              <w:jc w:val="center"/>
              <w:rPr>
                <w:rFonts w:hint="default"/>
                <w:b/>
                <w:sz w:val="21"/>
                <w:szCs w:val="21"/>
              </w:rPr>
            </w:pPr>
            <w:r>
              <w:rPr>
                <w:rFonts w:hint="eastAsia"/>
                <w:b/>
                <w:sz w:val="21"/>
                <w:szCs w:val="21"/>
              </w:rPr>
              <w:t>噪声排放标准及限值一览表（单位：dB（A））</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1130"/>
              <w:gridCol w:w="1127"/>
              <w:gridCol w:w="1270"/>
              <w:gridCol w:w="3674"/>
            </w:tblGrid>
            <w:tr w14:paraId="4F5C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0" w:type="pct"/>
                  <w:gridSpan w:val="2"/>
                  <w:vMerge w:val="restart"/>
                  <w:vAlign w:val="center"/>
                </w:tcPr>
                <w:p w14:paraId="1866D984">
                  <w:pPr>
                    <w:pStyle w:val="42"/>
                    <w:keepNext w:val="0"/>
                    <w:keepLines w:val="0"/>
                    <w:widowControl/>
                    <w:suppressLineNumbers w:val="0"/>
                    <w:spacing w:before="0" w:beforeAutospacing="0" w:after="0" w:afterAutospacing="0"/>
                    <w:ind w:left="0" w:right="0"/>
                    <w:rPr>
                      <w:rFonts w:hint="default"/>
                      <w:b/>
                      <w:bCs/>
                    </w:rPr>
                  </w:pPr>
                  <w:r>
                    <w:rPr>
                      <w:b/>
                      <w:bCs/>
                    </w:rPr>
                    <w:t>污染物名称</w:t>
                  </w:r>
                </w:p>
              </w:tc>
              <w:tc>
                <w:tcPr>
                  <w:tcW w:w="1440" w:type="pct"/>
                  <w:gridSpan w:val="2"/>
                  <w:vAlign w:val="center"/>
                </w:tcPr>
                <w:p w14:paraId="3CB3687B">
                  <w:pPr>
                    <w:pStyle w:val="42"/>
                    <w:keepNext w:val="0"/>
                    <w:keepLines w:val="0"/>
                    <w:widowControl/>
                    <w:suppressLineNumbers w:val="0"/>
                    <w:spacing w:before="0" w:beforeAutospacing="0" w:after="0" w:afterAutospacing="0"/>
                    <w:ind w:left="0" w:right="0"/>
                    <w:rPr>
                      <w:rFonts w:hint="default"/>
                      <w:b/>
                      <w:bCs/>
                    </w:rPr>
                  </w:pPr>
                  <w:r>
                    <w:rPr>
                      <w:b/>
                      <w:bCs/>
                    </w:rPr>
                    <w:t>标准值</w:t>
                  </w:r>
                </w:p>
              </w:tc>
              <w:tc>
                <w:tcPr>
                  <w:tcW w:w="2208" w:type="pct"/>
                  <w:vMerge w:val="restart"/>
                  <w:vAlign w:val="center"/>
                </w:tcPr>
                <w:p w14:paraId="49BC141E">
                  <w:pPr>
                    <w:pStyle w:val="42"/>
                    <w:keepNext w:val="0"/>
                    <w:keepLines w:val="0"/>
                    <w:widowControl/>
                    <w:suppressLineNumbers w:val="0"/>
                    <w:spacing w:before="0" w:beforeAutospacing="0" w:after="0" w:afterAutospacing="0"/>
                    <w:ind w:left="0" w:right="0"/>
                    <w:rPr>
                      <w:rFonts w:hint="default"/>
                    </w:rPr>
                  </w:pPr>
                  <w:r>
                    <w:rPr>
                      <w:b/>
                      <w:bCs/>
                    </w:rPr>
                    <w:t>标准名称</w:t>
                  </w:r>
                </w:p>
              </w:tc>
            </w:tr>
            <w:tr w14:paraId="1E1F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0" w:type="pct"/>
                  <w:gridSpan w:val="2"/>
                  <w:vMerge w:val="continue"/>
                  <w:vAlign w:val="center"/>
                </w:tcPr>
                <w:p w14:paraId="31DE4ED6">
                  <w:pPr>
                    <w:pStyle w:val="42"/>
                    <w:keepNext w:val="0"/>
                    <w:keepLines w:val="0"/>
                    <w:widowControl/>
                    <w:suppressLineNumbers w:val="0"/>
                    <w:spacing w:before="0" w:beforeAutospacing="0" w:after="0" w:afterAutospacing="0"/>
                    <w:ind w:left="0" w:right="0"/>
                    <w:rPr>
                      <w:rFonts w:hint="default"/>
                      <w:b/>
                      <w:bCs/>
                    </w:rPr>
                  </w:pPr>
                </w:p>
              </w:tc>
              <w:tc>
                <w:tcPr>
                  <w:tcW w:w="677" w:type="pct"/>
                  <w:vAlign w:val="center"/>
                </w:tcPr>
                <w:p w14:paraId="388347F3">
                  <w:pPr>
                    <w:pStyle w:val="42"/>
                    <w:keepNext w:val="0"/>
                    <w:keepLines w:val="0"/>
                    <w:widowControl/>
                    <w:suppressLineNumbers w:val="0"/>
                    <w:spacing w:before="0" w:beforeAutospacing="0" w:after="0" w:afterAutospacing="0"/>
                    <w:ind w:left="0" w:right="0"/>
                    <w:rPr>
                      <w:rFonts w:hint="default"/>
                      <w:b/>
                      <w:bCs/>
                    </w:rPr>
                  </w:pPr>
                  <w:r>
                    <w:rPr>
                      <w:b/>
                      <w:bCs/>
                    </w:rPr>
                    <w:t>单位</w:t>
                  </w:r>
                </w:p>
              </w:tc>
              <w:tc>
                <w:tcPr>
                  <w:tcW w:w="763" w:type="pct"/>
                  <w:vAlign w:val="center"/>
                </w:tcPr>
                <w:p w14:paraId="1F6C17CF">
                  <w:pPr>
                    <w:pStyle w:val="42"/>
                    <w:keepNext w:val="0"/>
                    <w:keepLines w:val="0"/>
                    <w:widowControl/>
                    <w:suppressLineNumbers w:val="0"/>
                    <w:spacing w:before="0" w:beforeAutospacing="0" w:after="0" w:afterAutospacing="0"/>
                    <w:ind w:left="0" w:right="0"/>
                    <w:rPr>
                      <w:rFonts w:hint="default"/>
                      <w:b/>
                      <w:bCs/>
                    </w:rPr>
                  </w:pPr>
                  <w:r>
                    <w:rPr>
                      <w:b/>
                      <w:bCs/>
                    </w:rPr>
                    <w:t>数值</w:t>
                  </w:r>
                </w:p>
              </w:tc>
              <w:tc>
                <w:tcPr>
                  <w:tcW w:w="2208" w:type="pct"/>
                  <w:vMerge w:val="continue"/>
                  <w:vAlign w:val="center"/>
                </w:tcPr>
                <w:p w14:paraId="10DA3492">
                  <w:pPr>
                    <w:pStyle w:val="42"/>
                    <w:keepNext w:val="0"/>
                    <w:keepLines w:val="0"/>
                    <w:widowControl/>
                    <w:suppressLineNumbers w:val="0"/>
                    <w:spacing w:before="0" w:beforeAutospacing="0" w:after="0" w:afterAutospacing="0"/>
                    <w:ind w:left="0" w:right="0"/>
                    <w:rPr>
                      <w:rFonts w:hint="default"/>
                    </w:rPr>
                  </w:pPr>
                </w:p>
              </w:tc>
            </w:tr>
            <w:tr w14:paraId="4B47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1" w:type="pct"/>
                  <w:vMerge w:val="restart"/>
                  <w:vAlign w:val="center"/>
                </w:tcPr>
                <w:p w14:paraId="3B674EB5">
                  <w:pPr>
                    <w:pStyle w:val="42"/>
                    <w:keepNext w:val="0"/>
                    <w:keepLines w:val="0"/>
                    <w:widowControl/>
                    <w:suppressLineNumbers w:val="0"/>
                    <w:spacing w:before="0" w:beforeAutospacing="0" w:after="0" w:afterAutospacing="0"/>
                    <w:ind w:left="0" w:right="0"/>
                    <w:rPr>
                      <w:rFonts w:hint="default"/>
                    </w:rPr>
                  </w:pPr>
                  <w:r>
                    <w:t>建设阶段噪声</w:t>
                  </w:r>
                </w:p>
              </w:tc>
              <w:tc>
                <w:tcPr>
                  <w:tcW w:w="678" w:type="pct"/>
                  <w:vAlign w:val="center"/>
                </w:tcPr>
                <w:p w14:paraId="05434EFF">
                  <w:pPr>
                    <w:pStyle w:val="42"/>
                    <w:keepNext w:val="0"/>
                    <w:keepLines w:val="0"/>
                    <w:widowControl/>
                    <w:suppressLineNumbers w:val="0"/>
                    <w:spacing w:before="0" w:beforeAutospacing="0" w:after="0" w:afterAutospacing="0"/>
                    <w:ind w:left="0" w:right="0"/>
                    <w:rPr>
                      <w:rFonts w:hint="default"/>
                    </w:rPr>
                  </w:pPr>
                  <w:r>
                    <w:t>昼间</w:t>
                  </w:r>
                </w:p>
              </w:tc>
              <w:tc>
                <w:tcPr>
                  <w:tcW w:w="677" w:type="pct"/>
                  <w:vAlign w:val="center"/>
                </w:tcPr>
                <w:p w14:paraId="023A4CEE">
                  <w:pPr>
                    <w:pStyle w:val="42"/>
                    <w:keepNext w:val="0"/>
                    <w:keepLines w:val="0"/>
                    <w:widowControl/>
                    <w:suppressLineNumbers w:val="0"/>
                    <w:spacing w:before="0" w:beforeAutospacing="0" w:after="0" w:afterAutospacing="0"/>
                    <w:ind w:left="0" w:right="0"/>
                    <w:rPr>
                      <w:rFonts w:hint="default"/>
                    </w:rPr>
                  </w:pPr>
                  <w:r>
                    <w:t>dB</w:t>
                  </w:r>
                </w:p>
              </w:tc>
              <w:tc>
                <w:tcPr>
                  <w:tcW w:w="763" w:type="pct"/>
                  <w:vAlign w:val="center"/>
                </w:tcPr>
                <w:p w14:paraId="11A5F418">
                  <w:pPr>
                    <w:pStyle w:val="42"/>
                    <w:keepNext w:val="0"/>
                    <w:keepLines w:val="0"/>
                    <w:widowControl/>
                    <w:suppressLineNumbers w:val="0"/>
                    <w:spacing w:before="0" w:beforeAutospacing="0" w:after="0" w:afterAutospacing="0"/>
                    <w:ind w:left="0" w:right="0"/>
                    <w:rPr>
                      <w:rFonts w:hint="default"/>
                    </w:rPr>
                  </w:pPr>
                  <w:r>
                    <w:t>70</w:t>
                  </w:r>
                </w:p>
              </w:tc>
              <w:tc>
                <w:tcPr>
                  <w:tcW w:w="2208" w:type="pct"/>
                  <w:vMerge w:val="restart"/>
                  <w:vAlign w:val="center"/>
                </w:tcPr>
                <w:p w14:paraId="269207F3">
                  <w:pPr>
                    <w:pStyle w:val="42"/>
                    <w:keepNext w:val="0"/>
                    <w:keepLines w:val="0"/>
                    <w:widowControl/>
                    <w:suppressLineNumbers w:val="0"/>
                    <w:spacing w:before="0" w:beforeAutospacing="0" w:after="0" w:afterAutospacing="0"/>
                    <w:ind w:left="0" w:right="0"/>
                    <w:rPr>
                      <w:rFonts w:hint="default"/>
                    </w:rPr>
                  </w:pPr>
                  <w:r>
                    <w:t>《建筑施工场界环境噪声排放标准》（GB12523-2011）表1中噪声限值</w:t>
                  </w:r>
                </w:p>
              </w:tc>
            </w:tr>
            <w:tr w14:paraId="3453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1" w:type="pct"/>
                  <w:vMerge w:val="continue"/>
                  <w:vAlign w:val="center"/>
                </w:tcPr>
                <w:p w14:paraId="1CB0A5C5">
                  <w:pPr>
                    <w:pStyle w:val="42"/>
                    <w:keepNext w:val="0"/>
                    <w:keepLines w:val="0"/>
                    <w:widowControl/>
                    <w:suppressLineNumbers w:val="0"/>
                    <w:spacing w:before="0" w:beforeAutospacing="0" w:after="0" w:afterAutospacing="0"/>
                    <w:ind w:left="0" w:right="0"/>
                    <w:rPr>
                      <w:rFonts w:hint="default"/>
                    </w:rPr>
                  </w:pPr>
                </w:p>
              </w:tc>
              <w:tc>
                <w:tcPr>
                  <w:tcW w:w="678" w:type="pct"/>
                  <w:vAlign w:val="center"/>
                </w:tcPr>
                <w:p w14:paraId="3FD4494A">
                  <w:pPr>
                    <w:pStyle w:val="42"/>
                    <w:keepNext w:val="0"/>
                    <w:keepLines w:val="0"/>
                    <w:widowControl/>
                    <w:suppressLineNumbers w:val="0"/>
                    <w:spacing w:before="0" w:beforeAutospacing="0" w:after="0" w:afterAutospacing="0"/>
                    <w:ind w:left="0" w:right="0"/>
                    <w:rPr>
                      <w:rFonts w:hint="default"/>
                    </w:rPr>
                  </w:pPr>
                  <w:r>
                    <w:t>夜间</w:t>
                  </w:r>
                </w:p>
              </w:tc>
              <w:tc>
                <w:tcPr>
                  <w:tcW w:w="677" w:type="pct"/>
                  <w:vAlign w:val="center"/>
                </w:tcPr>
                <w:p w14:paraId="4E0C63BD">
                  <w:pPr>
                    <w:pStyle w:val="42"/>
                    <w:keepNext w:val="0"/>
                    <w:keepLines w:val="0"/>
                    <w:widowControl/>
                    <w:suppressLineNumbers w:val="0"/>
                    <w:spacing w:before="0" w:beforeAutospacing="0" w:after="0" w:afterAutospacing="0"/>
                    <w:ind w:left="0" w:right="0"/>
                    <w:rPr>
                      <w:rFonts w:hint="default"/>
                    </w:rPr>
                  </w:pPr>
                  <w:r>
                    <w:t>dB</w:t>
                  </w:r>
                </w:p>
              </w:tc>
              <w:tc>
                <w:tcPr>
                  <w:tcW w:w="763" w:type="pct"/>
                  <w:vAlign w:val="center"/>
                </w:tcPr>
                <w:p w14:paraId="4C5B2AEB">
                  <w:pPr>
                    <w:pStyle w:val="42"/>
                    <w:keepNext w:val="0"/>
                    <w:keepLines w:val="0"/>
                    <w:widowControl/>
                    <w:suppressLineNumbers w:val="0"/>
                    <w:spacing w:before="0" w:beforeAutospacing="0" w:after="0" w:afterAutospacing="0"/>
                    <w:ind w:left="0" w:right="0"/>
                    <w:rPr>
                      <w:rFonts w:hint="default"/>
                    </w:rPr>
                  </w:pPr>
                  <w:r>
                    <w:t>55</w:t>
                  </w:r>
                </w:p>
              </w:tc>
              <w:tc>
                <w:tcPr>
                  <w:tcW w:w="2208" w:type="pct"/>
                  <w:vMerge w:val="continue"/>
                  <w:vAlign w:val="center"/>
                </w:tcPr>
                <w:p w14:paraId="608A4A5E">
                  <w:pPr>
                    <w:pStyle w:val="42"/>
                    <w:keepNext w:val="0"/>
                    <w:keepLines w:val="0"/>
                    <w:widowControl/>
                    <w:suppressLineNumbers w:val="0"/>
                    <w:spacing w:before="0" w:beforeAutospacing="0" w:after="0" w:afterAutospacing="0"/>
                    <w:ind w:left="0" w:right="0"/>
                    <w:rPr>
                      <w:rFonts w:hint="default"/>
                    </w:rPr>
                  </w:pPr>
                </w:p>
              </w:tc>
            </w:tr>
            <w:tr w14:paraId="1CBCF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1" w:type="pct"/>
                  <w:vMerge w:val="restart"/>
                  <w:vAlign w:val="center"/>
                </w:tcPr>
                <w:p w14:paraId="10B3F12D">
                  <w:pPr>
                    <w:pStyle w:val="42"/>
                    <w:keepNext w:val="0"/>
                    <w:keepLines w:val="0"/>
                    <w:widowControl/>
                    <w:suppressLineNumbers w:val="0"/>
                    <w:spacing w:before="0" w:beforeAutospacing="0" w:after="0" w:afterAutospacing="0"/>
                    <w:ind w:left="0" w:right="0"/>
                    <w:rPr>
                      <w:rFonts w:hint="default"/>
                    </w:rPr>
                  </w:pPr>
                  <w:r>
                    <w:t>生产运行阶段噪声</w:t>
                  </w:r>
                </w:p>
              </w:tc>
              <w:tc>
                <w:tcPr>
                  <w:tcW w:w="678" w:type="pct"/>
                  <w:vAlign w:val="center"/>
                </w:tcPr>
                <w:p w14:paraId="623813BA">
                  <w:pPr>
                    <w:pStyle w:val="42"/>
                    <w:keepNext w:val="0"/>
                    <w:keepLines w:val="0"/>
                    <w:widowControl/>
                    <w:suppressLineNumbers w:val="0"/>
                    <w:spacing w:before="0" w:beforeAutospacing="0" w:after="0" w:afterAutospacing="0"/>
                    <w:ind w:left="0" w:right="0"/>
                    <w:rPr>
                      <w:rFonts w:hint="default"/>
                    </w:rPr>
                  </w:pPr>
                  <w:r>
                    <w:t>昼间</w:t>
                  </w:r>
                </w:p>
              </w:tc>
              <w:tc>
                <w:tcPr>
                  <w:tcW w:w="677" w:type="pct"/>
                  <w:vAlign w:val="center"/>
                </w:tcPr>
                <w:p w14:paraId="1C59B23F">
                  <w:pPr>
                    <w:pStyle w:val="42"/>
                    <w:keepNext w:val="0"/>
                    <w:keepLines w:val="0"/>
                    <w:widowControl/>
                    <w:suppressLineNumbers w:val="0"/>
                    <w:spacing w:before="0" w:beforeAutospacing="0" w:after="0" w:afterAutospacing="0"/>
                    <w:ind w:left="0" w:right="0"/>
                    <w:rPr>
                      <w:rFonts w:hint="default"/>
                    </w:rPr>
                  </w:pPr>
                  <w:r>
                    <w:t>dB</w:t>
                  </w:r>
                </w:p>
              </w:tc>
              <w:tc>
                <w:tcPr>
                  <w:tcW w:w="763" w:type="pct"/>
                  <w:vAlign w:val="center"/>
                </w:tcPr>
                <w:p w14:paraId="3817CF0A">
                  <w:pPr>
                    <w:pStyle w:val="42"/>
                    <w:keepNext w:val="0"/>
                    <w:keepLines w:val="0"/>
                    <w:widowControl/>
                    <w:suppressLineNumbers w:val="0"/>
                    <w:spacing w:before="0" w:beforeAutospacing="0" w:after="0" w:afterAutospacing="0"/>
                    <w:ind w:left="0" w:right="0"/>
                    <w:rPr>
                      <w:rFonts w:hint="default"/>
                    </w:rPr>
                  </w:pPr>
                  <w:r>
                    <w:t>65</w:t>
                  </w:r>
                </w:p>
              </w:tc>
              <w:tc>
                <w:tcPr>
                  <w:tcW w:w="2208" w:type="pct"/>
                  <w:vMerge w:val="restart"/>
                  <w:vAlign w:val="center"/>
                </w:tcPr>
                <w:p w14:paraId="046E764C">
                  <w:pPr>
                    <w:pStyle w:val="42"/>
                    <w:keepNext w:val="0"/>
                    <w:keepLines w:val="0"/>
                    <w:widowControl/>
                    <w:suppressLineNumbers w:val="0"/>
                    <w:spacing w:before="0" w:beforeAutospacing="0" w:after="0" w:afterAutospacing="0"/>
                    <w:ind w:left="0" w:right="0"/>
                    <w:rPr>
                      <w:rFonts w:hint="default"/>
                    </w:rPr>
                  </w:pPr>
                  <w:r>
                    <w:t>《工业企业厂界环境噪声排放标准》（GB12348-2008）3类标准</w:t>
                  </w:r>
                </w:p>
              </w:tc>
            </w:tr>
            <w:tr w14:paraId="16018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1" w:type="pct"/>
                  <w:vMerge w:val="continue"/>
                  <w:vAlign w:val="center"/>
                </w:tcPr>
                <w:p w14:paraId="1832BD3F">
                  <w:pPr>
                    <w:pStyle w:val="42"/>
                    <w:keepNext w:val="0"/>
                    <w:keepLines w:val="0"/>
                    <w:widowControl/>
                    <w:suppressLineNumbers w:val="0"/>
                    <w:spacing w:before="0" w:beforeAutospacing="0" w:after="0" w:afterAutospacing="0"/>
                    <w:ind w:left="0" w:right="0"/>
                    <w:rPr>
                      <w:rFonts w:hint="default"/>
                    </w:rPr>
                  </w:pPr>
                </w:p>
              </w:tc>
              <w:tc>
                <w:tcPr>
                  <w:tcW w:w="678" w:type="pct"/>
                  <w:vAlign w:val="center"/>
                </w:tcPr>
                <w:p w14:paraId="6D92C5F1">
                  <w:pPr>
                    <w:pStyle w:val="42"/>
                    <w:keepNext w:val="0"/>
                    <w:keepLines w:val="0"/>
                    <w:widowControl/>
                    <w:suppressLineNumbers w:val="0"/>
                    <w:spacing w:before="0" w:beforeAutospacing="0" w:after="0" w:afterAutospacing="0"/>
                    <w:ind w:left="0" w:right="0"/>
                    <w:rPr>
                      <w:rFonts w:hint="default"/>
                    </w:rPr>
                  </w:pPr>
                  <w:r>
                    <w:t>夜间</w:t>
                  </w:r>
                </w:p>
              </w:tc>
              <w:tc>
                <w:tcPr>
                  <w:tcW w:w="677" w:type="pct"/>
                  <w:vAlign w:val="center"/>
                </w:tcPr>
                <w:p w14:paraId="32C0A743">
                  <w:pPr>
                    <w:pStyle w:val="42"/>
                    <w:keepNext w:val="0"/>
                    <w:keepLines w:val="0"/>
                    <w:widowControl/>
                    <w:suppressLineNumbers w:val="0"/>
                    <w:spacing w:before="0" w:beforeAutospacing="0" w:after="0" w:afterAutospacing="0"/>
                    <w:ind w:left="0" w:right="0"/>
                    <w:rPr>
                      <w:rFonts w:hint="default"/>
                    </w:rPr>
                  </w:pPr>
                  <w:r>
                    <w:t>dB</w:t>
                  </w:r>
                </w:p>
              </w:tc>
              <w:tc>
                <w:tcPr>
                  <w:tcW w:w="763" w:type="pct"/>
                  <w:vAlign w:val="center"/>
                </w:tcPr>
                <w:p w14:paraId="23DD80CB">
                  <w:pPr>
                    <w:pStyle w:val="42"/>
                    <w:keepNext w:val="0"/>
                    <w:keepLines w:val="0"/>
                    <w:widowControl/>
                    <w:suppressLineNumbers w:val="0"/>
                    <w:spacing w:before="0" w:beforeAutospacing="0" w:after="0" w:afterAutospacing="0"/>
                    <w:ind w:left="0" w:right="0"/>
                    <w:rPr>
                      <w:rFonts w:hint="default"/>
                    </w:rPr>
                  </w:pPr>
                  <w:r>
                    <w:t>55</w:t>
                  </w:r>
                </w:p>
              </w:tc>
              <w:tc>
                <w:tcPr>
                  <w:tcW w:w="2208" w:type="pct"/>
                  <w:vMerge w:val="continue"/>
                  <w:vAlign w:val="center"/>
                </w:tcPr>
                <w:p w14:paraId="03A2C238">
                  <w:pPr>
                    <w:pStyle w:val="42"/>
                    <w:keepNext w:val="0"/>
                    <w:keepLines w:val="0"/>
                    <w:widowControl/>
                    <w:suppressLineNumbers w:val="0"/>
                    <w:spacing w:before="0" w:beforeAutospacing="0" w:after="0" w:afterAutospacing="0"/>
                    <w:ind w:left="0" w:right="0"/>
                    <w:rPr>
                      <w:rFonts w:hint="default"/>
                    </w:rPr>
                  </w:pPr>
                </w:p>
              </w:tc>
            </w:tr>
          </w:tbl>
          <w:p w14:paraId="530AD091">
            <w:pPr>
              <w:keepNext w:val="0"/>
              <w:keepLines w:val="0"/>
              <w:suppressLineNumbers w:val="0"/>
              <w:spacing w:before="120" w:beforeLines="50" w:beforeAutospacing="0" w:after="0" w:afterAutospacing="0"/>
              <w:ind w:left="0" w:right="0" w:firstLine="482"/>
              <w:rPr>
                <w:rFonts w:hint="default"/>
                <w:b/>
              </w:rPr>
            </w:pPr>
            <w:r>
              <w:rPr>
                <w:rFonts w:hint="default"/>
                <w:b/>
              </w:rPr>
              <w:t>4．</w:t>
            </w:r>
            <w:r>
              <w:rPr>
                <w:rFonts w:hint="eastAsia"/>
                <w:b/>
              </w:rPr>
              <w:t>固体废物控制标准</w:t>
            </w:r>
          </w:p>
          <w:p w14:paraId="60F02E67">
            <w:pPr>
              <w:keepNext w:val="0"/>
              <w:keepLines w:val="0"/>
              <w:suppressLineNumbers w:val="0"/>
              <w:spacing w:before="0" w:beforeAutospacing="0" w:after="0" w:afterAutospacing="0"/>
              <w:ind w:left="0" w:right="0" w:firstLine="480"/>
              <w:rPr>
                <w:rFonts w:hint="default"/>
              </w:rPr>
            </w:pPr>
            <w:r>
              <w:rPr>
                <w:rFonts w:hint="eastAsia"/>
              </w:rPr>
              <w:t>一般工业固体废物执行</w:t>
            </w:r>
            <w:r>
              <w:rPr>
                <w:rFonts w:hint="default"/>
              </w:rPr>
              <w:t>《一般工业固体废物贮存</w:t>
            </w:r>
            <w:r>
              <w:rPr>
                <w:rFonts w:hint="eastAsia"/>
              </w:rPr>
              <w:t>和填埋</w:t>
            </w:r>
            <w:r>
              <w:rPr>
                <w:rFonts w:hint="default"/>
              </w:rPr>
              <w:t>污染控制标准》（GB18599-2020）</w:t>
            </w:r>
            <w:r>
              <w:rPr>
                <w:rFonts w:hint="eastAsia"/>
              </w:rPr>
              <w:t>；</w:t>
            </w:r>
          </w:p>
          <w:p w14:paraId="79311C8D">
            <w:pPr>
              <w:keepNext w:val="0"/>
              <w:keepLines w:val="0"/>
              <w:suppressLineNumbers w:val="0"/>
              <w:spacing w:before="0" w:beforeAutospacing="0" w:after="0" w:afterAutospacing="0"/>
              <w:ind w:left="0" w:right="0" w:firstLine="480"/>
              <w:rPr>
                <w:rFonts w:hint="eastAsia" w:ascii="宋体" w:hAnsi="宋体" w:cs="宋体"/>
                <w:kern w:val="0"/>
                <w:szCs w:val="21"/>
              </w:rPr>
            </w:pPr>
            <w:r>
              <w:rPr>
                <w:rFonts w:hint="eastAsia"/>
              </w:rPr>
              <w:t>危险废物执行《危险废物贮存污染控制标准》（GB18597-2023）。</w:t>
            </w:r>
          </w:p>
        </w:tc>
      </w:tr>
      <w:tr w14:paraId="126BEF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516" w:type="dxa"/>
            <w:vAlign w:val="center"/>
          </w:tcPr>
          <w:p w14:paraId="538A6D04">
            <w:pPr>
              <w:pStyle w:val="42"/>
              <w:keepNext w:val="0"/>
              <w:keepLines w:val="0"/>
              <w:widowControl/>
              <w:suppressLineNumbers w:val="0"/>
              <w:spacing w:before="0" w:beforeAutospacing="0" w:after="0" w:afterAutospacing="0"/>
              <w:ind w:left="0" w:right="0"/>
              <w:rPr>
                <w:rFonts w:hint="default"/>
                <w:sz w:val="24"/>
                <w:szCs w:val="24"/>
              </w:rPr>
            </w:pPr>
            <w:r>
              <w:rPr>
                <w:sz w:val="24"/>
                <w:szCs w:val="24"/>
              </w:rPr>
              <w:t>总量</w:t>
            </w:r>
          </w:p>
          <w:p w14:paraId="0085271F">
            <w:pPr>
              <w:pStyle w:val="42"/>
              <w:keepNext w:val="0"/>
              <w:keepLines w:val="0"/>
              <w:widowControl/>
              <w:suppressLineNumbers w:val="0"/>
              <w:spacing w:before="0" w:beforeAutospacing="0" w:after="0" w:afterAutospacing="0"/>
              <w:ind w:left="0" w:right="0"/>
              <w:rPr>
                <w:rFonts w:hint="default"/>
                <w:sz w:val="24"/>
                <w:szCs w:val="24"/>
              </w:rPr>
            </w:pPr>
            <w:r>
              <w:rPr>
                <w:sz w:val="24"/>
                <w:szCs w:val="24"/>
              </w:rPr>
              <w:t>控制</w:t>
            </w:r>
          </w:p>
          <w:p w14:paraId="0F3A7C9F">
            <w:pPr>
              <w:pStyle w:val="42"/>
              <w:keepNext w:val="0"/>
              <w:keepLines w:val="0"/>
              <w:widowControl/>
              <w:suppressLineNumbers w:val="0"/>
              <w:spacing w:before="0" w:beforeAutospacing="0" w:after="0" w:afterAutospacing="0"/>
              <w:ind w:left="0" w:right="0"/>
              <w:rPr>
                <w:rFonts w:hint="default"/>
              </w:rPr>
            </w:pPr>
            <w:r>
              <w:rPr>
                <w:sz w:val="24"/>
                <w:szCs w:val="24"/>
              </w:rPr>
              <w:t>指标</w:t>
            </w:r>
          </w:p>
        </w:tc>
        <w:tc>
          <w:tcPr>
            <w:tcW w:w="8545" w:type="dxa"/>
            <w:vAlign w:val="center"/>
          </w:tcPr>
          <w:p w14:paraId="0CEA4529">
            <w:pPr>
              <w:keepNext w:val="0"/>
              <w:keepLines w:val="0"/>
              <w:suppressLineNumbers w:val="0"/>
              <w:spacing w:before="0" w:beforeAutospacing="0" w:after="0" w:afterAutospacing="0"/>
              <w:ind w:left="0" w:leftChars="0" w:right="0" w:firstLine="0" w:firstLineChars="0"/>
              <w:jc w:val="center"/>
              <w:rPr>
                <w:rFonts w:hint="eastAsia" w:eastAsia="宋体"/>
                <w:lang w:val="en-US" w:eastAsia="zh-CN"/>
              </w:rPr>
            </w:pPr>
            <w:r>
              <w:rPr>
                <w:rFonts w:hint="eastAsia"/>
                <w:lang w:val="en-US" w:eastAsia="zh-CN"/>
              </w:rPr>
              <w:t>无</w:t>
            </w:r>
          </w:p>
        </w:tc>
      </w:tr>
    </w:tbl>
    <w:p w14:paraId="51C2093A">
      <w:pPr>
        <w:pStyle w:val="19"/>
        <w:numPr>
          <w:ilvl w:val="0"/>
          <w:numId w:val="14"/>
        </w:numPr>
        <w:ind w:firstLineChars="0"/>
        <w:jc w:val="center"/>
        <w:outlineLvl w:val="0"/>
        <w:rPr>
          <w:rFonts w:hint="eastAsia" w:ascii="黑体" w:hAnsi="黑体" w:eastAsia="黑体"/>
          <w:snapToGrid w:val="0"/>
          <w:sz w:val="30"/>
          <w:szCs w:val="30"/>
        </w:rPr>
      </w:pPr>
      <w:r>
        <w:rPr>
          <w:rFonts w:ascii="黑体" w:hAnsi="黑体" w:eastAsia="黑体"/>
          <w:snapToGrid w:val="0"/>
          <w:sz w:val="36"/>
          <w:szCs w:val="36"/>
        </w:rPr>
        <w:br w:type="page"/>
      </w:r>
    </w:p>
    <w:p w14:paraId="1BE8C50C">
      <w:pPr>
        <w:pStyle w:val="2"/>
      </w:pPr>
      <w:r>
        <w:rPr>
          <w:rFonts w:hint="eastAsia"/>
        </w:rPr>
        <w:t>主要环境影响和保护措施</w:t>
      </w:r>
    </w:p>
    <w:tbl>
      <w:tblPr>
        <w:tblStyle w:val="22"/>
        <w:tblW w:w="90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5"/>
        <w:gridCol w:w="8628"/>
      </w:tblGrid>
      <w:tr w14:paraId="0F1DE1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395" w:type="dxa"/>
            <w:tcMar>
              <w:left w:w="28" w:type="dxa"/>
              <w:right w:w="28" w:type="dxa"/>
            </w:tcMar>
            <w:vAlign w:val="center"/>
          </w:tcPr>
          <w:p w14:paraId="4BDC2211">
            <w:pPr>
              <w:pStyle w:val="42"/>
              <w:keepNext w:val="0"/>
              <w:keepLines w:val="0"/>
              <w:widowControl/>
              <w:suppressLineNumbers w:val="0"/>
              <w:spacing w:before="0" w:beforeAutospacing="0" w:after="0" w:afterAutospacing="0"/>
              <w:ind w:left="0" w:right="0"/>
              <w:rPr>
                <w:rFonts w:hint="default"/>
                <w:sz w:val="24"/>
                <w:szCs w:val="24"/>
              </w:rPr>
            </w:pPr>
            <w:r>
              <w:rPr>
                <w:sz w:val="24"/>
                <w:szCs w:val="24"/>
              </w:rPr>
              <w:t>施工</w:t>
            </w:r>
          </w:p>
          <w:p w14:paraId="5713D5AB">
            <w:pPr>
              <w:pStyle w:val="42"/>
              <w:keepNext w:val="0"/>
              <w:keepLines w:val="0"/>
              <w:widowControl/>
              <w:suppressLineNumbers w:val="0"/>
              <w:spacing w:before="0" w:beforeAutospacing="0" w:after="0" w:afterAutospacing="0"/>
              <w:ind w:left="0" w:right="0"/>
              <w:rPr>
                <w:rFonts w:hint="default"/>
                <w:sz w:val="24"/>
                <w:szCs w:val="24"/>
              </w:rPr>
            </w:pPr>
            <w:r>
              <w:rPr>
                <w:sz w:val="24"/>
                <w:szCs w:val="24"/>
              </w:rPr>
              <w:t>期环</w:t>
            </w:r>
          </w:p>
          <w:p w14:paraId="2EF8E5C0">
            <w:pPr>
              <w:pStyle w:val="42"/>
              <w:keepNext w:val="0"/>
              <w:keepLines w:val="0"/>
              <w:widowControl/>
              <w:suppressLineNumbers w:val="0"/>
              <w:spacing w:before="0" w:beforeAutospacing="0" w:after="0" w:afterAutospacing="0"/>
              <w:ind w:left="0" w:right="0"/>
              <w:rPr>
                <w:rFonts w:hint="default"/>
                <w:sz w:val="24"/>
                <w:szCs w:val="24"/>
              </w:rPr>
            </w:pPr>
            <w:r>
              <w:rPr>
                <w:sz w:val="24"/>
                <w:szCs w:val="24"/>
              </w:rPr>
              <w:t>境保</w:t>
            </w:r>
          </w:p>
          <w:p w14:paraId="1D92CE6B">
            <w:pPr>
              <w:pStyle w:val="42"/>
              <w:keepNext w:val="0"/>
              <w:keepLines w:val="0"/>
              <w:widowControl/>
              <w:suppressLineNumbers w:val="0"/>
              <w:spacing w:before="0" w:beforeAutospacing="0" w:after="0" w:afterAutospacing="0"/>
              <w:ind w:left="0" w:right="0"/>
              <w:rPr>
                <w:rFonts w:hint="default"/>
                <w:sz w:val="24"/>
                <w:szCs w:val="24"/>
              </w:rPr>
            </w:pPr>
            <w:r>
              <w:rPr>
                <w:sz w:val="24"/>
                <w:szCs w:val="24"/>
              </w:rPr>
              <w:t>护措</w:t>
            </w:r>
          </w:p>
          <w:p w14:paraId="2405A648">
            <w:pPr>
              <w:pStyle w:val="42"/>
              <w:keepNext w:val="0"/>
              <w:keepLines w:val="0"/>
              <w:widowControl/>
              <w:suppressLineNumbers w:val="0"/>
              <w:spacing w:before="0" w:beforeAutospacing="0" w:after="0" w:afterAutospacing="0"/>
              <w:ind w:left="0" w:right="0"/>
              <w:rPr>
                <w:rFonts w:hint="default"/>
                <w:bCs/>
                <w:kern w:val="2"/>
              </w:rPr>
            </w:pPr>
            <w:r>
              <w:rPr>
                <w:sz w:val="24"/>
                <w:szCs w:val="24"/>
              </w:rPr>
              <w:t>施</w:t>
            </w:r>
          </w:p>
        </w:tc>
        <w:tc>
          <w:tcPr>
            <w:tcW w:w="8628" w:type="dxa"/>
            <w:vAlign w:val="center"/>
          </w:tcPr>
          <w:p w14:paraId="07C8CF9B">
            <w:pPr>
              <w:keepNext w:val="0"/>
              <w:keepLines w:val="0"/>
              <w:suppressLineNumbers w:val="0"/>
              <w:spacing w:before="120" w:beforeLines="50" w:beforeAutospacing="0" w:after="0" w:afterAutospacing="0"/>
              <w:ind w:left="0" w:right="0" w:firstLine="482"/>
              <w:rPr>
                <w:rFonts w:hint="default"/>
                <w:b/>
              </w:rPr>
            </w:pPr>
            <w:r>
              <w:rPr>
                <w:rFonts w:hint="eastAsia"/>
                <w:b/>
              </w:rPr>
              <w:t>1</w:t>
            </w:r>
            <w:r>
              <w:rPr>
                <w:rFonts w:hint="default"/>
                <w:b/>
              </w:rPr>
              <w:t>．</w:t>
            </w:r>
            <w:r>
              <w:rPr>
                <w:rFonts w:hint="eastAsia"/>
                <w:b/>
              </w:rPr>
              <w:t>施工扬尘环境影响和施工扬尘污染防治措施</w:t>
            </w:r>
          </w:p>
          <w:p w14:paraId="3DD130AB">
            <w:pPr>
              <w:keepNext w:val="0"/>
              <w:keepLines w:val="0"/>
              <w:suppressLineNumbers w:val="0"/>
              <w:spacing w:before="0" w:beforeAutospacing="0" w:after="0" w:afterAutospacing="0"/>
              <w:ind w:left="0" w:right="0" w:firstLine="480"/>
              <w:rPr>
                <w:rFonts w:hint="default"/>
              </w:rPr>
            </w:pPr>
            <w:r>
              <w:rPr>
                <w:rFonts w:hint="default"/>
              </w:rPr>
              <w:t>项目建设阶段土方挖掘及运输、土地平整、建筑材料装卸及堆存、工程施工</w:t>
            </w:r>
            <w:r>
              <w:rPr>
                <w:rFonts w:hint="eastAsia"/>
              </w:rPr>
              <w:t>、</w:t>
            </w:r>
            <w:r>
              <w:rPr>
                <w:rFonts w:hint="default"/>
              </w:rPr>
              <w:t>车辆行驶等过程产生的扬尘，对周边环境空气产生一定的影响。</w:t>
            </w:r>
          </w:p>
          <w:p w14:paraId="1D44F547">
            <w:pPr>
              <w:keepNext w:val="0"/>
              <w:keepLines w:val="0"/>
              <w:suppressLineNumbers w:val="0"/>
              <w:spacing w:before="0" w:beforeAutospacing="0" w:after="0" w:afterAutospacing="0"/>
              <w:ind w:left="0" w:right="0" w:firstLine="480"/>
              <w:rPr>
                <w:rFonts w:hint="default"/>
              </w:rPr>
            </w:pPr>
            <w:r>
              <w:rPr>
                <w:rFonts w:hint="default"/>
              </w:rPr>
              <w:t>就一般而言，建设项目施工过程中由于土石方挖掘</w:t>
            </w:r>
            <w:r>
              <w:rPr>
                <w:rFonts w:hint="eastAsia"/>
              </w:rPr>
              <w:t>会</w:t>
            </w:r>
            <w:r>
              <w:rPr>
                <w:rFonts w:hint="default"/>
              </w:rPr>
              <w:t>破坏地表的原有结构，造成地面扬尘污染环境</w:t>
            </w:r>
            <w:r>
              <w:rPr>
                <w:rFonts w:hint="eastAsia"/>
              </w:rPr>
              <w:t>。</w:t>
            </w:r>
            <w:r>
              <w:rPr>
                <w:rFonts w:hint="default"/>
              </w:rPr>
              <w:t>扬尘量的大小与</w:t>
            </w:r>
            <w:r>
              <w:rPr>
                <w:rFonts w:hint="eastAsia"/>
              </w:rPr>
              <w:t>建设施工</w:t>
            </w:r>
            <w:r>
              <w:rPr>
                <w:rFonts w:hint="default"/>
              </w:rPr>
              <w:t>现场条件、施工阶段、管理水平、机械化程度及施工季节、土质及天气条件等诸多因素有关。根据对多个建筑施工工地的扬尘情况进行的类比调查：建筑施工扬尘较严重，施工场界周边无组织排放浓度一般达到4-6mg/m</w:t>
            </w:r>
            <w:r>
              <w:rPr>
                <w:rFonts w:hint="default"/>
                <w:vertAlign w:val="superscript"/>
              </w:rPr>
              <w:t>3</w:t>
            </w:r>
            <w:r>
              <w:rPr>
                <w:rFonts w:hint="default"/>
              </w:rPr>
              <w:t>左右；当风速为2.5m/s时，工地内的</w:t>
            </w:r>
            <w:r>
              <w:rPr>
                <w:rFonts w:hint="eastAsia"/>
              </w:rPr>
              <w:t>颗粒物</w:t>
            </w:r>
            <w:r>
              <w:rPr>
                <w:rFonts w:hint="default"/>
              </w:rPr>
              <w:t>浓度为上风向对照点的1.9倍。实践表明，施工场地洒水与否对扬尘的影响很大，场地洒水后扬尘量将降低28%～75%，大大减少其对</w:t>
            </w:r>
            <w:r>
              <w:rPr>
                <w:rFonts w:hint="eastAsia"/>
              </w:rPr>
              <w:t>区域环境空气</w:t>
            </w:r>
            <w:r>
              <w:rPr>
                <w:rFonts w:hint="default"/>
              </w:rPr>
              <w:t>的影响。</w:t>
            </w:r>
          </w:p>
          <w:p w14:paraId="79826082">
            <w:pPr>
              <w:keepNext w:val="0"/>
              <w:keepLines w:val="0"/>
              <w:suppressLineNumbers w:val="0"/>
              <w:spacing w:before="0" w:beforeAutospacing="0" w:after="0" w:afterAutospacing="0"/>
              <w:ind w:left="0" w:right="0" w:firstLine="480"/>
              <w:rPr>
                <w:rFonts w:hint="default"/>
              </w:rPr>
            </w:pPr>
            <w:r>
              <w:rPr>
                <w:rFonts w:hint="eastAsia"/>
              </w:rPr>
              <w:t>对照</w:t>
            </w:r>
            <w:r>
              <w:rPr>
                <w:rFonts w:hint="default"/>
              </w:rPr>
              <w:t>《河北省扬尘污染防治办法》（河北省人民政府令</w:t>
            </w:r>
            <w:r>
              <w:rPr>
                <w:rFonts w:hint="eastAsia"/>
              </w:rPr>
              <w:t>〔</w:t>
            </w:r>
            <w:r>
              <w:rPr>
                <w:rFonts w:hint="default"/>
              </w:rPr>
              <w:t>2020</w:t>
            </w:r>
            <w:r>
              <w:rPr>
                <w:rFonts w:hint="eastAsia"/>
              </w:rPr>
              <w:t>〕</w:t>
            </w:r>
            <w:r>
              <w:rPr>
                <w:rFonts w:hint="default"/>
              </w:rPr>
              <w:t>第1号）</w:t>
            </w:r>
            <w:r>
              <w:rPr>
                <w:rFonts w:hint="eastAsia"/>
              </w:rPr>
              <w:t>的规定，项目建设阶段采取以下扬尘污染防治措施：</w:t>
            </w:r>
          </w:p>
          <w:p w14:paraId="19BD5284">
            <w:pPr>
              <w:keepNext w:val="0"/>
              <w:keepLines w:val="0"/>
              <w:suppressLineNumbers w:val="0"/>
              <w:spacing w:before="0" w:beforeAutospacing="0" w:after="0" w:afterAutospacing="0"/>
              <w:ind w:left="0" w:right="0" w:firstLine="482"/>
              <w:rPr>
                <w:rFonts w:hint="default"/>
                <w:b/>
                <w:bCs/>
              </w:rPr>
            </w:pPr>
            <w:r>
              <w:rPr>
                <w:rFonts w:hint="eastAsia"/>
                <w:b/>
                <w:bCs/>
              </w:rPr>
              <w:t>（1）建设施工过程中：</w:t>
            </w:r>
          </w:p>
          <w:p w14:paraId="0F134C07">
            <w:pPr>
              <w:keepNext w:val="0"/>
              <w:keepLines w:val="0"/>
              <w:suppressLineNumbers w:val="0"/>
              <w:spacing w:before="0" w:beforeAutospacing="0" w:after="0" w:afterAutospacing="0"/>
              <w:ind w:left="0" w:right="0" w:firstLine="480"/>
              <w:rPr>
                <w:rFonts w:hint="default"/>
              </w:rPr>
            </w:pPr>
            <w:r>
              <w:rPr>
                <w:rFonts w:hint="eastAsia"/>
              </w:rPr>
              <w:t>建设工程施工应当采取有效措施防止、减少扬尘污染，保证施工场地扬尘污染物排放符合国家和河北省污染物排放标准；</w:t>
            </w:r>
          </w:p>
          <w:p w14:paraId="72585340">
            <w:pPr>
              <w:keepNext w:val="0"/>
              <w:keepLines w:val="0"/>
              <w:suppressLineNumbers w:val="0"/>
              <w:spacing w:before="0" w:beforeAutospacing="0" w:after="0" w:afterAutospacing="0"/>
              <w:ind w:left="0" w:right="0" w:firstLine="480"/>
              <w:rPr>
                <w:rFonts w:hint="default"/>
              </w:rPr>
            </w:pPr>
            <w:r>
              <w:rPr>
                <w:rFonts w:hint="eastAsia"/>
              </w:rPr>
              <w:t>在施工现场出入口明显位置设置公示牌，公示施工现场负责人、环保监督员、防尘措施、扬尘监督管理部门、举报投诉电话等信息；</w:t>
            </w:r>
          </w:p>
          <w:p w14:paraId="417EAC9F">
            <w:pPr>
              <w:keepNext w:val="0"/>
              <w:keepLines w:val="0"/>
              <w:suppressLineNumbers w:val="0"/>
              <w:spacing w:before="0" w:beforeAutospacing="0" w:after="0" w:afterAutospacing="0"/>
              <w:ind w:left="0" w:right="0" w:firstLine="480"/>
              <w:rPr>
                <w:rFonts w:hint="default"/>
              </w:rPr>
            </w:pPr>
            <w:r>
              <w:rPr>
                <w:rFonts w:hint="eastAsia"/>
              </w:rPr>
              <w:t>在施工现场周边设置硬质封闭围挡或者围墙，位于主要路段的，高度不低于</w:t>
            </w:r>
            <w:r>
              <w:rPr>
                <w:rFonts w:hint="default"/>
              </w:rPr>
              <w:t>2.5</w:t>
            </w:r>
            <w:r>
              <w:rPr>
                <w:rFonts w:hint="eastAsia"/>
              </w:rPr>
              <w:t>米，位于一般路段的，高度不低于</w:t>
            </w:r>
            <w:r>
              <w:rPr>
                <w:rFonts w:hint="default"/>
              </w:rPr>
              <w:t>1.8</w:t>
            </w:r>
            <w:r>
              <w:rPr>
                <w:rFonts w:hint="eastAsia"/>
              </w:rPr>
              <w:t>米，并在围挡底端设置不低于</w:t>
            </w:r>
            <w:r>
              <w:rPr>
                <w:rFonts w:hint="default"/>
              </w:rPr>
              <w:t>0.2</w:t>
            </w:r>
            <w:r>
              <w:rPr>
                <w:rFonts w:hint="eastAsia"/>
              </w:rPr>
              <w:t>米的防溢座；</w:t>
            </w:r>
          </w:p>
          <w:p w14:paraId="33B118AB">
            <w:pPr>
              <w:keepNext w:val="0"/>
              <w:keepLines w:val="0"/>
              <w:suppressLineNumbers w:val="0"/>
              <w:spacing w:before="0" w:beforeAutospacing="0" w:after="0" w:afterAutospacing="0"/>
              <w:ind w:left="0" w:right="0" w:firstLine="480"/>
              <w:rPr>
                <w:rFonts w:hint="default"/>
              </w:rPr>
            </w:pPr>
            <w:r>
              <w:rPr>
                <w:rFonts w:hint="eastAsia"/>
              </w:rPr>
              <w:t>对施工现场出入口、场内施工道路、材料加工堆放区、办公区、生活区进行硬化处理，并保持地面整洁；</w:t>
            </w:r>
          </w:p>
          <w:p w14:paraId="2C0C27D9">
            <w:pPr>
              <w:keepNext w:val="0"/>
              <w:keepLines w:val="0"/>
              <w:suppressLineNumbers w:val="0"/>
              <w:spacing w:before="0" w:beforeAutospacing="0" w:after="0" w:afterAutospacing="0"/>
              <w:ind w:left="0" w:right="0" w:firstLine="480"/>
              <w:rPr>
                <w:rFonts w:hint="default"/>
              </w:rPr>
            </w:pPr>
            <w:r>
              <w:rPr>
                <w:rFonts w:hint="eastAsia"/>
              </w:rPr>
              <w:t>在施工现场出口处设置车辆清洗设施并配套设置排水、泥浆沉淀设施，车辆冲洗干净后方可驶出；</w:t>
            </w:r>
          </w:p>
          <w:p w14:paraId="69616D7F">
            <w:pPr>
              <w:keepNext w:val="0"/>
              <w:keepLines w:val="0"/>
              <w:suppressLineNumbers w:val="0"/>
              <w:spacing w:before="0" w:beforeAutospacing="0" w:after="0" w:afterAutospacing="0"/>
              <w:ind w:left="0" w:right="0" w:firstLine="480"/>
              <w:rPr>
                <w:rFonts w:hint="default"/>
              </w:rPr>
            </w:pPr>
            <w:r>
              <w:rPr>
                <w:rFonts w:hint="eastAsia"/>
              </w:rPr>
              <w:t>按照规定使用预拌混凝土、预拌砂浆等建筑材料，只能现场搅拌的，应当采取防尘措施；</w:t>
            </w:r>
          </w:p>
          <w:p w14:paraId="59B28DC8">
            <w:pPr>
              <w:keepNext w:val="0"/>
              <w:keepLines w:val="0"/>
              <w:suppressLineNumbers w:val="0"/>
              <w:spacing w:before="0" w:beforeAutospacing="0" w:after="0" w:afterAutospacing="0"/>
              <w:ind w:left="0" w:right="0" w:firstLine="480"/>
              <w:rPr>
                <w:rFonts w:hint="default"/>
              </w:rPr>
            </w:pPr>
            <w:r>
              <w:rPr>
                <w:rFonts w:hint="eastAsia"/>
              </w:rPr>
              <w:t>在施工工地内堆放水泥、灰土、砂石、建筑土方等易产生扬尘的粉状、粒状建筑材料的，应当采取密闭或者遮盖等防尘措施，装卸、搬运时应当采取防尘措施；</w:t>
            </w:r>
          </w:p>
          <w:p w14:paraId="31F61A08">
            <w:pPr>
              <w:keepNext w:val="0"/>
              <w:keepLines w:val="0"/>
              <w:suppressLineNumbers w:val="0"/>
              <w:spacing w:before="0" w:beforeAutospacing="0" w:after="0" w:afterAutospacing="0"/>
              <w:ind w:left="0" w:right="0" w:firstLine="480"/>
              <w:rPr>
                <w:rFonts w:hint="default"/>
              </w:rPr>
            </w:pPr>
            <w:r>
              <w:rPr>
                <w:rFonts w:hint="eastAsia"/>
              </w:rPr>
              <w:t>建筑垃圾应当及时清运，在场地内堆存的，应当集中堆放并采取密闭或者遮盖等防尘措施；</w:t>
            </w:r>
          </w:p>
          <w:p w14:paraId="49517FB8">
            <w:pPr>
              <w:keepNext w:val="0"/>
              <w:keepLines w:val="0"/>
              <w:suppressLineNumbers w:val="0"/>
              <w:spacing w:before="0" w:beforeAutospacing="0" w:after="0" w:afterAutospacing="0"/>
              <w:ind w:left="0" w:right="0" w:firstLine="480"/>
              <w:rPr>
                <w:rFonts w:hint="default"/>
              </w:rPr>
            </w:pPr>
            <w:r>
              <w:rPr>
                <w:rFonts w:hint="eastAsia"/>
              </w:rPr>
              <w:t>在施工工地同步安装视频监控设备和扬尘污染物在线监测设备，分别与建设主管部门、生态环境主管部门的监控设备联网，并保证系统正常运行，发生故障应当在二十四小时内修复。</w:t>
            </w:r>
          </w:p>
          <w:p w14:paraId="569D9560">
            <w:pPr>
              <w:keepNext w:val="0"/>
              <w:keepLines w:val="0"/>
              <w:suppressLineNumbers w:val="0"/>
              <w:spacing w:before="0" w:beforeAutospacing="0" w:after="0" w:afterAutospacing="0"/>
              <w:ind w:left="0" w:right="0" w:firstLine="482"/>
              <w:rPr>
                <w:rFonts w:hint="default"/>
                <w:b/>
                <w:bCs/>
              </w:rPr>
            </w:pPr>
            <w:r>
              <w:rPr>
                <w:rFonts w:hint="eastAsia"/>
                <w:b/>
                <w:bCs/>
              </w:rPr>
              <w:t>（2）物料堆存过程中：</w:t>
            </w:r>
          </w:p>
          <w:p w14:paraId="7678746A">
            <w:pPr>
              <w:keepNext w:val="0"/>
              <w:keepLines w:val="0"/>
              <w:suppressLineNumbers w:val="0"/>
              <w:spacing w:before="0" w:beforeAutospacing="0" w:after="0" w:afterAutospacing="0"/>
              <w:ind w:left="0" w:right="0" w:firstLine="480"/>
              <w:rPr>
                <w:rFonts w:hint="default"/>
              </w:rPr>
            </w:pPr>
            <w:r>
              <w:rPr>
                <w:rFonts w:hint="eastAsia"/>
              </w:rPr>
              <w:t>划分物料区域和道路界限，及时清除散落的物料，保持物料堆放区域和道路整洁；</w:t>
            </w:r>
          </w:p>
          <w:p w14:paraId="0616FFF8">
            <w:pPr>
              <w:keepNext w:val="0"/>
              <w:keepLines w:val="0"/>
              <w:suppressLineNumbers w:val="0"/>
              <w:spacing w:before="0" w:beforeAutospacing="0" w:after="0" w:afterAutospacing="0"/>
              <w:ind w:left="0" w:right="0" w:firstLine="480"/>
              <w:rPr>
                <w:rFonts w:hint="default"/>
              </w:rPr>
            </w:pPr>
            <w:r>
              <w:rPr>
                <w:rFonts w:hint="eastAsia"/>
              </w:rPr>
              <w:t>场地进行硬化处理，并及时清扫、清洗；</w:t>
            </w:r>
          </w:p>
          <w:p w14:paraId="3B669181">
            <w:pPr>
              <w:keepNext w:val="0"/>
              <w:keepLines w:val="0"/>
              <w:suppressLineNumbers w:val="0"/>
              <w:spacing w:before="0" w:beforeAutospacing="0" w:after="0" w:afterAutospacing="0"/>
              <w:ind w:left="0" w:right="0" w:firstLine="480"/>
              <w:rPr>
                <w:rFonts w:hint="default"/>
              </w:rPr>
            </w:pPr>
            <w:r>
              <w:rPr>
                <w:rFonts w:hint="eastAsia"/>
              </w:rPr>
              <w:t>物料堆场周边设置高于堆存物料的围挡、防风网等设施，并采取遮盖、喷淋等防尘措施；</w:t>
            </w:r>
          </w:p>
          <w:p w14:paraId="68E8D57B">
            <w:pPr>
              <w:keepNext w:val="0"/>
              <w:keepLines w:val="0"/>
              <w:suppressLineNumbers w:val="0"/>
              <w:spacing w:before="0" w:beforeAutospacing="0" w:after="0" w:afterAutospacing="0"/>
              <w:ind w:left="0" w:right="0" w:firstLine="480"/>
              <w:rPr>
                <w:rFonts w:hint="default"/>
              </w:rPr>
            </w:pPr>
            <w:r>
              <w:rPr>
                <w:rFonts w:hint="eastAsia"/>
              </w:rPr>
              <w:t>露天装卸作业的，应当采取洒水等防尘措施，采用密闭输送设备作业的，在装料、卸料处配备吸尘、喷淋等防尘设施，并保持防尘设施正常使用；</w:t>
            </w:r>
          </w:p>
          <w:p w14:paraId="4752C4CC">
            <w:pPr>
              <w:keepNext w:val="0"/>
              <w:keepLines w:val="0"/>
              <w:suppressLineNumbers w:val="0"/>
              <w:spacing w:before="0" w:beforeAutospacing="0" w:after="0" w:afterAutospacing="0"/>
              <w:ind w:left="0" w:right="0" w:firstLine="480"/>
              <w:rPr>
                <w:rFonts w:hint="default"/>
              </w:rPr>
            </w:pPr>
            <w:r>
              <w:rPr>
                <w:rFonts w:hint="eastAsia"/>
              </w:rPr>
              <w:t>出口应硬化地面并设置车辆清洗保洁设施，车辆冲洗干净后方可驶出；</w:t>
            </w:r>
          </w:p>
          <w:p w14:paraId="4D549C47">
            <w:pPr>
              <w:keepNext w:val="0"/>
              <w:keepLines w:val="0"/>
              <w:suppressLineNumbers w:val="0"/>
              <w:spacing w:before="0" w:beforeAutospacing="0" w:after="0" w:afterAutospacing="0"/>
              <w:ind w:left="0" w:right="0" w:firstLine="480"/>
              <w:rPr>
                <w:rFonts w:hint="default"/>
              </w:rPr>
            </w:pPr>
            <w:r>
              <w:rPr>
                <w:rFonts w:hint="eastAsia"/>
              </w:rPr>
              <w:t>需要使用防尘网遮盖的，防尘网的密度应当符合要求，并采取有效防风加固措施。防尘网应当保持完整无损，破损的应当及时修复或者更换。</w:t>
            </w:r>
          </w:p>
          <w:p w14:paraId="41FC2549">
            <w:pPr>
              <w:keepNext w:val="0"/>
              <w:keepLines w:val="0"/>
              <w:suppressLineNumbers w:val="0"/>
              <w:spacing w:before="0" w:beforeAutospacing="0" w:after="0" w:afterAutospacing="0"/>
              <w:ind w:left="0" w:right="0" w:firstLine="482"/>
              <w:rPr>
                <w:rFonts w:hint="default"/>
                <w:b/>
                <w:bCs/>
              </w:rPr>
            </w:pPr>
            <w:r>
              <w:rPr>
                <w:rFonts w:hint="eastAsia"/>
                <w:b/>
                <w:bCs/>
              </w:rPr>
              <w:t>（3）结论</w:t>
            </w:r>
          </w:p>
          <w:p w14:paraId="012F4507">
            <w:pPr>
              <w:keepNext w:val="0"/>
              <w:keepLines w:val="0"/>
              <w:suppressLineNumbers w:val="0"/>
              <w:spacing w:before="0" w:beforeAutospacing="0" w:after="0" w:afterAutospacing="0"/>
              <w:ind w:left="0" w:right="0" w:firstLine="480"/>
              <w:rPr>
                <w:rFonts w:hint="default"/>
              </w:rPr>
            </w:pPr>
            <w:r>
              <w:rPr>
                <w:rFonts w:hint="eastAsia"/>
              </w:rPr>
              <w:t>在采取上述大气施工扬尘污染防治措施后，施工场地扬尘能够满足《施工场地扬尘排放标准》（DB13/2934-2019）中表1施工场地扬尘排放浓度限值的要求。</w:t>
            </w:r>
          </w:p>
          <w:p w14:paraId="0D77D96A">
            <w:pPr>
              <w:keepNext w:val="0"/>
              <w:keepLines w:val="0"/>
              <w:suppressLineNumbers w:val="0"/>
              <w:spacing w:before="0" w:beforeAutospacing="0" w:after="0" w:afterAutospacing="0"/>
              <w:ind w:left="0" w:right="0" w:firstLine="482"/>
              <w:rPr>
                <w:rFonts w:hint="default"/>
                <w:b/>
              </w:rPr>
            </w:pPr>
            <w:r>
              <w:rPr>
                <w:rFonts w:hint="default"/>
                <w:b/>
              </w:rPr>
              <w:t>2．</w:t>
            </w:r>
            <w:r>
              <w:rPr>
                <w:rFonts w:hint="eastAsia"/>
                <w:b/>
              </w:rPr>
              <w:t>施工废水环境影响和施工废水污染防治措施</w:t>
            </w:r>
          </w:p>
          <w:p w14:paraId="49DC7001">
            <w:pPr>
              <w:keepNext w:val="0"/>
              <w:keepLines w:val="0"/>
              <w:suppressLineNumbers w:val="0"/>
              <w:spacing w:before="0" w:beforeAutospacing="0" w:after="0" w:afterAutospacing="0"/>
              <w:ind w:left="0" w:right="0" w:firstLine="480"/>
              <w:rPr>
                <w:rFonts w:hint="default"/>
              </w:rPr>
            </w:pPr>
            <w:r>
              <w:rPr>
                <w:rFonts w:hint="default"/>
              </w:rPr>
              <w:t>项目建设过程中产生的污水主要为施工作业产生的泥浆水、受雨水冲刷</w:t>
            </w:r>
            <w:r>
              <w:rPr>
                <w:rFonts w:hint="eastAsia"/>
              </w:rPr>
              <w:t>造成</w:t>
            </w:r>
            <w:r>
              <w:rPr>
                <w:rFonts w:hint="default"/>
              </w:rPr>
              <w:t>地表径流</w:t>
            </w:r>
            <w:r>
              <w:rPr>
                <w:rFonts w:hint="eastAsia"/>
              </w:rPr>
              <w:t>而</w:t>
            </w:r>
            <w:r>
              <w:rPr>
                <w:rFonts w:hint="default"/>
              </w:rPr>
              <w:t>形成的泥浆水等施工污水及工人的生活污水。</w:t>
            </w:r>
          </w:p>
          <w:p w14:paraId="28C1BA0F">
            <w:pPr>
              <w:keepNext w:val="0"/>
              <w:keepLines w:val="0"/>
              <w:suppressLineNumbers w:val="0"/>
              <w:spacing w:before="0" w:beforeAutospacing="0" w:after="0" w:afterAutospacing="0"/>
              <w:ind w:left="0" w:right="0" w:firstLine="482"/>
              <w:rPr>
                <w:rFonts w:hint="default"/>
                <w:b/>
                <w:bCs/>
              </w:rPr>
            </w:pPr>
            <w:r>
              <w:rPr>
                <w:rFonts w:hint="eastAsia"/>
                <w:b/>
                <w:bCs/>
              </w:rPr>
              <w:t>（1）采取的施工废水污染防治措施为：</w:t>
            </w:r>
          </w:p>
          <w:p w14:paraId="2B0B8B98">
            <w:pPr>
              <w:keepNext w:val="0"/>
              <w:keepLines w:val="0"/>
              <w:suppressLineNumbers w:val="0"/>
              <w:spacing w:before="0" w:beforeAutospacing="0" w:after="0" w:afterAutospacing="0"/>
              <w:ind w:left="0" w:right="0" w:firstLine="480"/>
              <w:rPr>
                <w:rFonts w:hint="default"/>
              </w:rPr>
            </w:pPr>
            <w:r>
              <w:rPr>
                <w:rFonts w:hint="default"/>
              </w:rPr>
              <w:t>项目</w:t>
            </w:r>
            <w:r>
              <w:rPr>
                <w:rFonts w:hint="eastAsia"/>
              </w:rPr>
              <w:t>建设</w:t>
            </w:r>
            <w:r>
              <w:rPr>
                <w:rFonts w:hint="default"/>
              </w:rPr>
              <w:t>区域雨季时间6月至8月，在雨季</w:t>
            </w:r>
            <w:r>
              <w:rPr>
                <w:rFonts w:hint="eastAsia"/>
              </w:rPr>
              <w:t>建设施工</w:t>
            </w:r>
            <w:r>
              <w:rPr>
                <w:rFonts w:hint="default"/>
              </w:rPr>
              <w:t>场地不可避免受雨水的冲刷，雨后的地表径流冲刷浮土、建筑砂石、垃圾等会形成泥浆水。</w:t>
            </w:r>
            <w:r>
              <w:rPr>
                <w:rFonts w:hint="eastAsia"/>
              </w:rPr>
              <w:t>通过</w:t>
            </w:r>
            <w:r>
              <w:rPr>
                <w:rFonts w:hint="default"/>
              </w:rPr>
              <w:t>在施工现场修建临时</w:t>
            </w:r>
            <w:r>
              <w:rPr>
                <w:rFonts w:hint="eastAsia"/>
              </w:rPr>
              <w:t>性</w:t>
            </w:r>
            <w:r>
              <w:rPr>
                <w:rFonts w:hint="default"/>
              </w:rPr>
              <w:t>集水池，将雨后地表径流形成的泥浆水和施工废水引至集水池收集处理后，用于</w:t>
            </w:r>
            <w:r>
              <w:rPr>
                <w:rFonts w:hint="eastAsia"/>
              </w:rPr>
              <w:t>建筑</w:t>
            </w:r>
            <w:r>
              <w:rPr>
                <w:rFonts w:hint="default"/>
              </w:rPr>
              <w:t>场地的洒水降尘，</w:t>
            </w:r>
            <w:r>
              <w:rPr>
                <w:rFonts w:hint="eastAsia"/>
              </w:rPr>
              <w:t>不外排；集水池远离河道修建</w:t>
            </w:r>
            <w:r>
              <w:rPr>
                <w:rFonts w:hint="default"/>
              </w:rPr>
              <w:t>。</w:t>
            </w:r>
            <w:r>
              <w:rPr>
                <w:rFonts w:hint="eastAsia"/>
              </w:rPr>
              <w:t>另外，项目应合理选择施工时间，不选在雨期进行建设，加强施工管理，合理安排施工进度、施工时段，降低废水污染。</w:t>
            </w:r>
          </w:p>
          <w:p w14:paraId="74F71E42">
            <w:pPr>
              <w:keepNext w:val="0"/>
              <w:keepLines w:val="0"/>
              <w:suppressLineNumbers w:val="0"/>
              <w:spacing w:before="0" w:beforeAutospacing="0" w:after="0" w:afterAutospacing="0"/>
              <w:ind w:left="0" w:right="0" w:firstLine="482"/>
              <w:rPr>
                <w:rFonts w:hint="default"/>
                <w:b/>
                <w:bCs/>
              </w:rPr>
            </w:pPr>
            <w:r>
              <w:rPr>
                <w:rFonts w:hint="eastAsia"/>
                <w:b/>
                <w:bCs/>
              </w:rPr>
              <w:t>（</w:t>
            </w:r>
            <w:r>
              <w:rPr>
                <w:rFonts w:hint="default"/>
                <w:b/>
                <w:bCs/>
              </w:rPr>
              <w:t>2</w:t>
            </w:r>
            <w:r>
              <w:rPr>
                <w:rFonts w:hint="eastAsia"/>
                <w:b/>
                <w:bCs/>
              </w:rPr>
              <w:t>）采取的职工生活污水污染防治措施为：</w:t>
            </w:r>
          </w:p>
          <w:p w14:paraId="4750B43A">
            <w:pPr>
              <w:keepNext w:val="0"/>
              <w:keepLines w:val="0"/>
              <w:suppressLineNumbers w:val="0"/>
              <w:spacing w:before="0" w:beforeAutospacing="0" w:after="0" w:afterAutospacing="0"/>
              <w:ind w:left="0" w:right="0" w:firstLine="480"/>
              <w:rPr>
                <w:rFonts w:hint="default"/>
              </w:rPr>
            </w:pPr>
            <w:r>
              <w:rPr>
                <w:rFonts w:hint="eastAsia"/>
              </w:rPr>
              <w:t>建设过程中</w:t>
            </w:r>
            <w:r>
              <w:rPr>
                <w:rFonts w:hint="default"/>
              </w:rPr>
              <w:t>工人生活污水产生量较少，主要是工人的盥洗用水，泼洒至施工现场用于降尘使用</w:t>
            </w:r>
            <w:r>
              <w:rPr>
                <w:rFonts w:hint="eastAsia"/>
              </w:rPr>
              <w:t>。</w:t>
            </w:r>
          </w:p>
          <w:p w14:paraId="7E1EDE6C">
            <w:pPr>
              <w:keepNext w:val="0"/>
              <w:keepLines w:val="0"/>
              <w:suppressLineNumbers w:val="0"/>
              <w:spacing w:before="0" w:beforeAutospacing="0" w:after="0" w:afterAutospacing="0"/>
              <w:ind w:left="0" w:right="0" w:firstLine="482"/>
              <w:rPr>
                <w:rFonts w:hint="default"/>
                <w:b/>
              </w:rPr>
            </w:pPr>
            <w:r>
              <w:rPr>
                <w:rFonts w:hint="default"/>
                <w:b/>
              </w:rPr>
              <w:t>3．</w:t>
            </w:r>
            <w:r>
              <w:rPr>
                <w:rFonts w:hint="eastAsia"/>
                <w:b/>
              </w:rPr>
              <w:t>施工噪声环境影响和污染防治措施</w:t>
            </w:r>
          </w:p>
          <w:p w14:paraId="0147CEC6">
            <w:pPr>
              <w:keepNext w:val="0"/>
              <w:keepLines w:val="0"/>
              <w:suppressLineNumbers w:val="0"/>
              <w:spacing w:before="0" w:beforeAutospacing="0" w:after="0" w:afterAutospacing="0"/>
              <w:ind w:left="0" w:right="0" w:firstLine="480"/>
              <w:rPr>
                <w:rFonts w:hint="default"/>
              </w:rPr>
            </w:pPr>
            <w:r>
              <w:rPr>
                <w:rFonts w:hint="eastAsia"/>
              </w:rPr>
              <w:t>项目</w:t>
            </w:r>
            <w:r>
              <w:rPr>
                <w:rFonts w:hint="default"/>
              </w:rPr>
              <w:t>建设过程中，噪声主要来自建设施工机械</w:t>
            </w:r>
            <w:r>
              <w:rPr>
                <w:rFonts w:hint="eastAsia"/>
              </w:rPr>
              <w:t>、施工作业</w:t>
            </w:r>
            <w:r>
              <w:rPr>
                <w:rFonts w:hint="default"/>
              </w:rPr>
              <w:t>和运输车辆的噪声。</w:t>
            </w:r>
          </w:p>
          <w:p w14:paraId="3AD42705">
            <w:pPr>
              <w:keepNext w:val="0"/>
              <w:keepLines w:val="0"/>
              <w:suppressLineNumbers w:val="0"/>
              <w:spacing w:before="0" w:beforeAutospacing="0" w:after="0" w:afterAutospacing="0"/>
              <w:ind w:left="0" w:right="0" w:firstLine="480"/>
              <w:rPr>
                <w:rFonts w:hint="default"/>
              </w:rPr>
            </w:pPr>
            <w:r>
              <w:rPr>
                <w:rFonts w:hint="default"/>
              </w:rPr>
              <w:t>采取的</w:t>
            </w:r>
            <w:r>
              <w:rPr>
                <w:rFonts w:hint="eastAsia"/>
              </w:rPr>
              <w:t>噪声污染防治</w:t>
            </w:r>
            <w:r>
              <w:rPr>
                <w:rFonts w:hint="default"/>
              </w:rPr>
              <w:t>措施为</w:t>
            </w:r>
            <w:r>
              <w:rPr>
                <w:rFonts w:hint="eastAsia"/>
              </w:rPr>
              <w:t>：</w:t>
            </w:r>
          </w:p>
          <w:p w14:paraId="77E9C148">
            <w:pPr>
              <w:keepNext w:val="0"/>
              <w:keepLines w:val="0"/>
              <w:suppressLineNumbers w:val="0"/>
              <w:spacing w:before="0" w:beforeAutospacing="0" w:after="0" w:afterAutospacing="0"/>
              <w:ind w:left="0" w:right="0" w:firstLine="480"/>
              <w:rPr>
                <w:rFonts w:hint="default"/>
              </w:rPr>
            </w:pPr>
            <w:r>
              <w:rPr>
                <w:rFonts w:hint="eastAsia"/>
              </w:rPr>
              <w:t>（1）</w:t>
            </w:r>
            <w:r>
              <w:rPr>
                <w:rFonts w:hint="default"/>
              </w:rPr>
              <w:t>选用低噪声的</w:t>
            </w:r>
            <w:r>
              <w:rPr>
                <w:rFonts w:hint="eastAsia"/>
              </w:rPr>
              <w:t>施工</w:t>
            </w:r>
            <w:r>
              <w:rPr>
                <w:rFonts w:hint="default"/>
              </w:rPr>
              <w:t>设备和先进的</w:t>
            </w:r>
            <w:r>
              <w:rPr>
                <w:rFonts w:hint="eastAsia"/>
              </w:rPr>
              <w:t>施工</w:t>
            </w:r>
            <w:r>
              <w:rPr>
                <w:rFonts w:hint="default"/>
              </w:rPr>
              <w:t>工艺，保持设备处于良好的运转状态</w:t>
            </w:r>
            <w:r>
              <w:rPr>
                <w:rFonts w:hint="eastAsia"/>
              </w:rPr>
              <w:t>；</w:t>
            </w:r>
            <w:r>
              <w:rPr>
                <w:rFonts w:hint="default"/>
              </w:rPr>
              <w:t>闲置设备及时关闭</w:t>
            </w:r>
            <w:r>
              <w:rPr>
                <w:rFonts w:hint="eastAsia"/>
              </w:rPr>
              <w:t>，定时</w:t>
            </w:r>
            <w:r>
              <w:rPr>
                <w:rFonts w:hint="default"/>
              </w:rPr>
              <w:t>检修</w:t>
            </w:r>
            <w:r>
              <w:rPr>
                <w:rFonts w:hint="eastAsia"/>
              </w:rPr>
              <w:t>。</w:t>
            </w:r>
          </w:p>
          <w:p w14:paraId="5DA8E3FC">
            <w:pPr>
              <w:keepNext w:val="0"/>
              <w:keepLines w:val="0"/>
              <w:suppressLineNumbers w:val="0"/>
              <w:spacing w:before="0" w:beforeAutospacing="0" w:after="0" w:afterAutospacing="0"/>
              <w:ind w:left="0" w:right="0" w:firstLine="480"/>
              <w:rPr>
                <w:rFonts w:hint="default"/>
              </w:rPr>
            </w:pPr>
            <w:r>
              <w:rPr>
                <w:rFonts w:hint="eastAsia"/>
              </w:rPr>
              <w:t>（2）</w:t>
            </w:r>
            <w:r>
              <w:rPr>
                <w:rFonts w:hint="default"/>
              </w:rPr>
              <w:t>夜间</w:t>
            </w:r>
            <w:r>
              <w:rPr>
                <w:rFonts w:hint="eastAsia"/>
              </w:rPr>
              <w:t>2</w:t>
            </w:r>
            <w:r>
              <w:rPr>
                <w:rFonts w:hint="default"/>
              </w:rPr>
              <w:t>2</w:t>
            </w:r>
            <w:r>
              <w:rPr>
                <w:rFonts w:hint="eastAsia"/>
              </w:rPr>
              <w:t>:0</w:t>
            </w:r>
            <w:r>
              <w:rPr>
                <w:rFonts w:hint="default"/>
              </w:rPr>
              <w:t>0</w:t>
            </w:r>
            <w:r>
              <w:rPr>
                <w:rFonts w:hint="eastAsia"/>
              </w:rPr>
              <w:t>~</w:t>
            </w:r>
            <w:r>
              <w:rPr>
                <w:rFonts w:hint="default"/>
              </w:rPr>
              <w:t>6</w:t>
            </w:r>
            <w:r>
              <w:rPr>
                <w:rFonts w:hint="eastAsia"/>
              </w:rPr>
              <w:t>:0</w:t>
            </w:r>
            <w:r>
              <w:rPr>
                <w:rFonts w:hint="default"/>
              </w:rPr>
              <w:t>0不建设，</w:t>
            </w:r>
            <w:r>
              <w:rPr>
                <w:rFonts w:hint="eastAsia"/>
              </w:rPr>
              <w:t>不</w:t>
            </w:r>
            <w:r>
              <w:rPr>
                <w:rFonts w:hint="default"/>
              </w:rPr>
              <w:t>在同一时间集中使用大量的动力机械设备</w:t>
            </w:r>
            <w:r>
              <w:rPr>
                <w:rFonts w:hint="eastAsia"/>
              </w:rPr>
              <w:t>；</w:t>
            </w:r>
            <w:r>
              <w:rPr>
                <w:rFonts w:hint="default"/>
              </w:rPr>
              <w:t>如</w:t>
            </w:r>
            <w:r>
              <w:rPr>
                <w:rFonts w:hint="eastAsia"/>
              </w:rPr>
              <w:t>昼间6:00~22:00施工</w:t>
            </w:r>
            <w:r>
              <w:rPr>
                <w:rFonts w:hint="default"/>
              </w:rPr>
              <w:t>期间使用噪声值大的设备分散使用</w:t>
            </w:r>
            <w:r>
              <w:rPr>
                <w:rFonts w:hint="eastAsia"/>
              </w:rPr>
              <w:t>。</w:t>
            </w:r>
          </w:p>
          <w:p w14:paraId="333F2C10">
            <w:pPr>
              <w:keepNext w:val="0"/>
              <w:keepLines w:val="0"/>
              <w:suppressLineNumbers w:val="0"/>
              <w:spacing w:before="0" w:beforeAutospacing="0" w:after="0" w:afterAutospacing="0"/>
              <w:ind w:left="0" w:right="0" w:firstLine="480"/>
              <w:rPr>
                <w:rFonts w:hint="default"/>
              </w:rPr>
            </w:pPr>
            <w:r>
              <w:rPr>
                <w:rFonts w:hint="eastAsia"/>
              </w:rPr>
              <w:t>（3）建设</w:t>
            </w:r>
            <w:r>
              <w:rPr>
                <w:rFonts w:hint="default"/>
              </w:rPr>
              <w:t>现场不安装混凝土搅拌机，混凝土外购</w:t>
            </w:r>
            <w:r>
              <w:rPr>
                <w:rFonts w:hint="eastAsia"/>
              </w:rPr>
              <w:t>。</w:t>
            </w:r>
          </w:p>
          <w:p w14:paraId="198A42C6">
            <w:pPr>
              <w:keepNext w:val="0"/>
              <w:keepLines w:val="0"/>
              <w:suppressLineNumbers w:val="0"/>
              <w:spacing w:before="0" w:beforeAutospacing="0" w:after="0" w:afterAutospacing="0"/>
              <w:ind w:left="0" w:right="0" w:firstLine="480"/>
              <w:rPr>
                <w:rFonts w:hint="default"/>
              </w:rPr>
            </w:pPr>
            <w:r>
              <w:rPr>
                <w:rFonts w:hint="eastAsia"/>
              </w:rPr>
              <w:t>（4）</w:t>
            </w:r>
            <w:r>
              <w:rPr>
                <w:rFonts w:hint="default"/>
              </w:rPr>
              <w:t>对于运输材料、土石方等物料的车辆，</w:t>
            </w:r>
            <w:r>
              <w:rPr>
                <w:rFonts w:hint="eastAsia"/>
              </w:rPr>
              <w:t>不在</w:t>
            </w:r>
            <w:r>
              <w:rPr>
                <w:rFonts w:hint="default"/>
              </w:rPr>
              <w:t>敏感时段运输，加强管理，车辆减速、禁鸣，</w:t>
            </w:r>
            <w:r>
              <w:rPr>
                <w:rFonts w:hint="eastAsia"/>
              </w:rPr>
              <w:t>场地内</w:t>
            </w:r>
            <w:r>
              <w:rPr>
                <w:rFonts w:hint="default"/>
              </w:rPr>
              <w:t>运输车辆</w:t>
            </w:r>
            <w:r>
              <w:rPr>
                <w:rFonts w:hint="eastAsia"/>
              </w:rPr>
              <w:t>不长时间</w:t>
            </w:r>
            <w:r>
              <w:rPr>
                <w:rFonts w:hint="default"/>
              </w:rPr>
              <w:t>行驶</w:t>
            </w:r>
            <w:r>
              <w:rPr>
                <w:rFonts w:hint="eastAsia"/>
              </w:rPr>
              <w:t>。</w:t>
            </w:r>
          </w:p>
          <w:p w14:paraId="68305B0D">
            <w:pPr>
              <w:keepNext w:val="0"/>
              <w:keepLines w:val="0"/>
              <w:suppressLineNumbers w:val="0"/>
              <w:spacing w:before="0" w:beforeAutospacing="0" w:after="0" w:afterAutospacing="0"/>
              <w:ind w:left="0" w:right="0" w:firstLine="480"/>
              <w:rPr>
                <w:rFonts w:hint="default"/>
              </w:rPr>
            </w:pPr>
            <w:r>
              <w:rPr>
                <w:rFonts w:hint="eastAsia"/>
              </w:rPr>
              <w:t>（5）加强建设阶段的环境管理工作。</w:t>
            </w:r>
          </w:p>
          <w:p w14:paraId="2221F99C">
            <w:pPr>
              <w:keepNext w:val="0"/>
              <w:keepLines w:val="0"/>
              <w:suppressLineNumbers w:val="0"/>
              <w:spacing w:before="0" w:beforeAutospacing="0" w:after="0" w:afterAutospacing="0"/>
              <w:ind w:left="0" w:right="0" w:firstLine="480"/>
              <w:rPr>
                <w:rFonts w:hint="default"/>
              </w:rPr>
            </w:pPr>
            <w:r>
              <w:rPr>
                <w:rFonts w:hint="eastAsia"/>
              </w:rPr>
              <w:t>在采取上述施工噪声污染防治措施后，施工噪声能够满足《建筑施工场界环境噪声排放标准》（GB12523-2011）表1建筑施工场界环境噪声排放限值的要求。</w:t>
            </w:r>
          </w:p>
          <w:p w14:paraId="0C71A121">
            <w:pPr>
              <w:keepNext w:val="0"/>
              <w:keepLines w:val="0"/>
              <w:suppressLineNumbers w:val="0"/>
              <w:spacing w:before="0" w:beforeAutospacing="0" w:after="0" w:afterAutospacing="0"/>
              <w:ind w:left="0" w:right="0" w:firstLine="482"/>
              <w:rPr>
                <w:rFonts w:hint="default"/>
                <w:bCs/>
                <w:spacing w:val="-10"/>
                <w:szCs w:val="21"/>
              </w:rPr>
            </w:pPr>
            <w:r>
              <w:rPr>
                <w:rFonts w:hint="default"/>
                <w:b/>
              </w:rPr>
              <w:t>4．</w:t>
            </w:r>
            <w:r>
              <w:rPr>
                <w:rFonts w:hint="eastAsia"/>
                <w:b/>
              </w:rPr>
              <w:t>施工期固体废物环境影响和处置措施</w:t>
            </w:r>
          </w:p>
          <w:p w14:paraId="7E3F1F17">
            <w:pPr>
              <w:keepNext w:val="0"/>
              <w:keepLines w:val="0"/>
              <w:suppressLineNumbers w:val="0"/>
              <w:spacing w:before="0" w:beforeAutospacing="0" w:after="0" w:afterAutospacing="0"/>
              <w:ind w:left="0" w:right="0" w:firstLine="480"/>
              <w:rPr>
                <w:rFonts w:hint="default"/>
              </w:rPr>
            </w:pPr>
            <w:r>
              <w:rPr>
                <w:rFonts w:hint="default"/>
              </w:rPr>
              <w:t>项目建设过程中产生的固体废物主要为弃土、弃渣、建筑垃圾和工人</w:t>
            </w:r>
            <w:r>
              <w:rPr>
                <w:rFonts w:hint="eastAsia"/>
              </w:rPr>
              <w:t>施工</w:t>
            </w:r>
            <w:r>
              <w:rPr>
                <w:rFonts w:hint="default"/>
              </w:rPr>
              <w:t>产生的生活垃圾。</w:t>
            </w:r>
          </w:p>
          <w:p w14:paraId="5698A6B9">
            <w:pPr>
              <w:keepNext w:val="0"/>
              <w:keepLines w:val="0"/>
              <w:suppressLineNumbers w:val="0"/>
              <w:spacing w:before="0" w:beforeAutospacing="0" w:after="0" w:afterAutospacing="0"/>
              <w:ind w:left="0" w:right="0" w:firstLine="480"/>
              <w:rPr>
                <w:rFonts w:hint="default"/>
              </w:rPr>
            </w:pPr>
            <w:r>
              <w:rPr>
                <w:rFonts w:hint="eastAsia"/>
              </w:rPr>
              <w:t>采取的固废废物处置措施为：</w:t>
            </w:r>
          </w:p>
          <w:p w14:paraId="3940DA4E">
            <w:pPr>
              <w:keepNext w:val="0"/>
              <w:keepLines w:val="0"/>
              <w:suppressLineNumbers w:val="0"/>
              <w:spacing w:before="0" w:beforeAutospacing="0" w:after="0" w:afterAutospacing="0"/>
              <w:ind w:left="0" w:right="0" w:firstLine="480"/>
              <w:rPr>
                <w:rFonts w:hint="default"/>
              </w:rPr>
            </w:pPr>
            <w:r>
              <w:rPr>
                <w:rFonts w:hint="eastAsia"/>
              </w:rPr>
              <w:t>（1）</w:t>
            </w:r>
            <w:r>
              <w:rPr>
                <w:rFonts w:hint="default"/>
              </w:rPr>
              <w:t>建设过程中产生的弃土</w:t>
            </w:r>
            <w:r>
              <w:rPr>
                <w:rFonts w:hint="eastAsia"/>
              </w:rPr>
              <w:t>、</w:t>
            </w:r>
            <w:r>
              <w:rPr>
                <w:rFonts w:hint="default"/>
              </w:rPr>
              <w:t>石及建筑垃圾等</w:t>
            </w:r>
            <w:r>
              <w:rPr>
                <w:rFonts w:hint="eastAsia"/>
              </w:rPr>
              <w:t>指定地点堆存，优先进行回用</w:t>
            </w:r>
            <w:r>
              <w:rPr>
                <w:rFonts w:hint="default"/>
              </w:rPr>
              <w:t>，剩余部分</w:t>
            </w:r>
            <w:r>
              <w:rPr>
                <w:rFonts w:hint="eastAsia"/>
              </w:rPr>
              <w:t>及时清运，</w:t>
            </w:r>
            <w:r>
              <w:rPr>
                <w:rFonts w:hint="default"/>
              </w:rPr>
              <w:t>送至</w:t>
            </w:r>
            <w:r>
              <w:rPr>
                <w:rFonts w:hint="eastAsia"/>
              </w:rPr>
              <w:t>区域指定</w:t>
            </w:r>
            <w:r>
              <w:rPr>
                <w:rFonts w:hint="default"/>
              </w:rPr>
              <w:t>建筑垃圾场堆存处置</w:t>
            </w:r>
            <w:r>
              <w:rPr>
                <w:rFonts w:hint="eastAsia"/>
              </w:rPr>
              <w:t>。</w:t>
            </w:r>
          </w:p>
          <w:p w14:paraId="0803A6AD">
            <w:pPr>
              <w:keepNext w:val="0"/>
              <w:keepLines w:val="0"/>
              <w:suppressLineNumbers w:val="0"/>
              <w:spacing w:before="0" w:beforeAutospacing="0" w:after="0" w:afterAutospacing="0"/>
              <w:ind w:left="0" w:right="0" w:firstLine="480"/>
              <w:rPr>
                <w:rFonts w:hint="eastAsia" w:ascii="宋体" w:hAnsi="宋体" w:cs="宋体"/>
                <w:bCs/>
                <w:spacing w:val="-10"/>
                <w:szCs w:val="21"/>
              </w:rPr>
            </w:pPr>
            <w:r>
              <w:rPr>
                <w:rFonts w:hint="eastAsia"/>
              </w:rPr>
              <w:t>（2）</w:t>
            </w:r>
            <w:r>
              <w:rPr>
                <w:rFonts w:hint="default"/>
              </w:rPr>
              <w:t>建设过程中产生的生活垃圾集中收集，送至</w:t>
            </w:r>
            <w:r>
              <w:rPr>
                <w:rFonts w:hint="eastAsia"/>
              </w:rPr>
              <w:t>区域指定垃圾集中堆存点，由区域</w:t>
            </w:r>
            <w:r>
              <w:rPr>
                <w:rFonts w:hint="default"/>
              </w:rPr>
              <w:t>环卫部门</w:t>
            </w:r>
            <w:r>
              <w:rPr>
                <w:rFonts w:hint="eastAsia"/>
              </w:rPr>
              <w:t>统一负责处置</w:t>
            </w:r>
            <w:r>
              <w:rPr>
                <w:rFonts w:hint="default"/>
              </w:rPr>
              <w:t>。</w:t>
            </w:r>
          </w:p>
        </w:tc>
      </w:tr>
      <w:tr w14:paraId="42563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95" w:type="dxa"/>
            <w:tcMar>
              <w:left w:w="28" w:type="dxa"/>
              <w:right w:w="28" w:type="dxa"/>
            </w:tcMar>
            <w:vAlign w:val="center"/>
          </w:tcPr>
          <w:p w14:paraId="0852CE97">
            <w:pPr>
              <w:pStyle w:val="42"/>
              <w:keepNext w:val="0"/>
              <w:keepLines w:val="0"/>
              <w:widowControl/>
              <w:suppressLineNumbers w:val="0"/>
              <w:spacing w:before="0" w:beforeAutospacing="0" w:after="0" w:afterAutospacing="0"/>
              <w:ind w:left="0" w:right="0"/>
              <w:rPr>
                <w:rFonts w:hint="default"/>
                <w:sz w:val="24"/>
                <w:szCs w:val="24"/>
              </w:rPr>
            </w:pPr>
            <w:r>
              <w:rPr>
                <w:sz w:val="24"/>
                <w:szCs w:val="24"/>
              </w:rPr>
              <w:t>运营</w:t>
            </w:r>
          </w:p>
          <w:p w14:paraId="6BCC2648">
            <w:pPr>
              <w:pStyle w:val="42"/>
              <w:keepNext w:val="0"/>
              <w:keepLines w:val="0"/>
              <w:widowControl/>
              <w:suppressLineNumbers w:val="0"/>
              <w:spacing w:before="0" w:beforeAutospacing="0" w:after="0" w:afterAutospacing="0"/>
              <w:ind w:left="0" w:right="0"/>
              <w:rPr>
                <w:rFonts w:hint="default"/>
                <w:sz w:val="24"/>
                <w:szCs w:val="24"/>
              </w:rPr>
            </w:pPr>
            <w:r>
              <w:rPr>
                <w:sz w:val="24"/>
                <w:szCs w:val="24"/>
              </w:rPr>
              <w:t>期环</w:t>
            </w:r>
          </w:p>
          <w:p w14:paraId="11E5978A">
            <w:pPr>
              <w:pStyle w:val="42"/>
              <w:keepNext w:val="0"/>
              <w:keepLines w:val="0"/>
              <w:widowControl/>
              <w:suppressLineNumbers w:val="0"/>
              <w:spacing w:before="0" w:beforeAutospacing="0" w:after="0" w:afterAutospacing="0"/>
              <w:ind w:left="0" w:right="0"/>
              <w:rPr>
                <w:rFonts w:hint="default"/>
                <w:sz w:val="24"/>
                <w:szCs w:val="24"/>
              </w:rPr>
            </w:pPr>
            <w:r>
              <w:rPr>
                <w:sz w:val="24"/>
                <w:szCs w:val="24"/>
              </w:rPr>
              <w:t>境影</w:t>
            </w:r>
          </w:p>
          <w:p w14:paraId="2FF33485">
            <w:pPr>
              <w:pStyle w:val="42"/>
              <w:keepNext w:val="0"/>
              <w:keepLines w:val="0"/>
              <w:widowControl/>
              <w:suppressLineNumbers w:val="0"/>
              <w:spacing w:before="0" w:beforeAutospacing="0" w:after="0" w:afterAutospacing="0"/>
              <w:ind w:left="0" w:right="0"/>
              <w:rPr>
                <w:rFonts w:hint="default"/>
                <w:sz w:val="24"/>
                <w:szCs w:val="24"/>
              </w:rPr>
            </w:pPr>
            <w:r>
              <w:rPr>
                <w:sz w:val="24"/>
                <w:szCs w:val="24"/>
              </w:rPr>
              <w:t>响和</w:t>
            </w:r>
          </w:p>
          <w:p w14:paraId="20328C50">
            <w:pPr>
              <w:pStyle w:val="42"/>
              <w:keepNext w:val="0"/>
              <w:keepLines w:val="0"/>
              <w:widowControl/>
              <w:suppressLineNumbers w:val="0"/>
              <w:spacing w:before="0" w:beforeAutospacing="0" w:after="0" w:afterAutospacing="0"/>
              <w:ind w:left="0" w:right="0"/>
              <w:rPr>
                <w:rFonts w:hint="default"/>
                <w:sz w:val="24"/>
                <w:szCs w:val="24"/>
              </w:rPr>
            </w:pPr>
            <w:r>
              <w:rPr>
                <w:sz w:val="24"/>
                <w:szCs w:val="24"/>
              </w:rPr>
              <w:t>保护</w:t>
            </w:r>
          </w:p>
          <w:p w14:paraId="4E3DA32B">
            <w:pPr>
              <w:pStyle w:val="42"/>
              <w:keepNext w:val="0"/>
              <w:keepLines w:val="0"/>
              <w:widowControl/>
              <w:suppressLineNumbers w:val="0"/>
              <w:spacing w:before="0" w:beforeAutospacing="0" w:after="0" w:afterAutospacing="0"/>
              <w:ind w:left="0" w:right="0"/>
              <w:rPr>
                <w:rFonts w:ascii="宋体" w:hAnsi="宋体"/>
                <w:bCs/>
              </w:rPr>
            </w:pPr>
            <w:r>
              <w:rPr>
                <w:sz w:val="24"/>
                <w:szCs w:val="24"/>
              </w:rPr>
              <w:t>措施</w:t>
            </w:r>
          </w:p>
        </w:tc>
        <w:tc>
          <w:tcPr>
            <w:tcW w:w="8628" w:type="dxa"/>
            <w:vAlign w:val="center"/>
          </w:tcPr>
          <w:p w14:paraId="2DA974C0">
            <w:pPr>
              <w:keepNext w:val="0"/>
              <w:keepLines w:val="0"/>
              <w:suppressLineNumbers w:val="0"/>
              <w:spacing w:before="120" w:beforeLines="50" w:beforeAutospacing="0" w:after="0" w:afterAutospacing="0"/>
              <w:ind w:left="0" w:right="0" w:firstLine="482"/>
              <w:rPr>
                <w:rFonts w:hint="default"/>
                <w:color w:val="FF0000"/>
              </w:rPr>
            </w:pPr>
            <w:r>
              <w:rPr>
                <w:rFonts w:hint="eastAsia"/>
                <w:b/>
              </w:rPr>
              <w:t>1</w:t>
            </w:r>
            <w:r>
              <w:rPr>
                <w:rFonts w:hint="default"/>
                <w:b/>
              </w:rPr>
              <w:t>．</w:t>
            </w:r>
            <w:r>
              <w:rPr>
                <w:rFonts w:hint="eastAsia"/>
                <w:b/>
              </w:rPr>
              <w:t>大气环境影响和保护措施</w:t>
            </w:r>
          </w:p>
          <w:p w14:paraId="58F0B234">
            <w:pPr>
              <w:keepNext w:val="0"/>
              <w:keepLines w:val="0"/>
              <w:suppressLineNumbers w:val="0"/>
              <w:spacing w:before="0" w:beforeAutospacing="0" w:after="0" w:afterAutospacing="0"/>
              <w:ind w:left="0" w:right="0" w:firstLine="480"/>
              <w:rPr>
                <w:rFonts w:hint="default"/>
              </w:rPr>
            </w:pPr>
            <w:r>
              <w:rPr>
                <w:rFonts w:hint="eastAsia"/>
              </w:rPr>
              <w:t>项目产生的大气污染物主要是颗粒物，石子、石粉装卸过程产生的无组织颗粒物，水泥筒仓卸料过程产生的有组织颗粒物及料仓上料、混凝土搅拌过程产生的有组织颗粒物。项目对大气环境采取的保护措施为石子、石粉堆存库封闭，堆存区设置喷淋抑尘装置抑尘。有组织颗粒物设置布袋除尘器，经布袋除尘器处理后由15m高排气筒排放。</w:t>
            </w:r>
          </w:p>
          <w:p w14:paraId="24F16788">
            <w:pPr>
              <w:keepNext w:val="0"/>
              <w:keepLines w:val="0"/>
              <w:suppressLineNumbers w:val="0"/>
              <w:spacing w:before="0" w:beforeAutospacing="0" w:after="0" w:afterAutospacing="0"/>
              <w:ind w:left="0" w:right="0" w:firstLine="482"/>
              <w:rPr>
                <w:rFonts w:hint="default"/>
                <w:b/>
              </w:rPr>
            </w:pPr>
            <w:r>
              <w:rPr>
                <w:rFonts w:hint="eastAsia" w:ascii="宋体" w:hAnsi="宋体" w:cs="宋体"/>
                <w:b/>
                <w:lang w:bidi="ar"/>
              </w:rPr>
              <w:t>（</w:t>
            </w:r>
            <w:r>
              <w:rPr>
                <w:rFonts w:hint="eastAsia"/>
                <w:b/>
                <w:lang w:bidi="ar"/>
              </w:rPr>
              <w:t>1</w:t>
            </w:r>
            <w:r>
              <w:rPr>
                <w:rFonts w:hint="eastAsia" w:ascii="宋体" w:hAnsi="宋体" w:cs="宋体"/>
                <w:b/>
                <w:lang w:bidi="ar"/>
              </w:rPr>
              <w:t>）大气污染物产生和排放情况</w:t>
            </w:r>
          </w:p>
          <w:p w14:paraId="5C1DA2CC">
            <w:pPr>
              <w:keepNext w:val="0"/>
              <w:keepLines w:val="0"/>
              <w:suppressLineNumbers w:val="0"/>
              <w:spacing w:before="0" w:beforeAutospacing="0" w:after="0" w:afterAutospacing="0"/>
              <w:ind w:left="0" w:right="0" w:firstLine="480"/>
              <w:rPr>
                <w:rFonts w:hint="eastAsia" w:ascii="宋体" w:hAnsi="宋体"/>
              </w:rPr>
            </w:pPr>
            <w:r>
              <w:rPr>
                <w:rFonts w:hint="eastAsia" w:ascii="宋体" w:hAnsi="宋体" w:cs="宋体"/>
                <w:lang w:bidi="ar"/>
              </w:rPr>
              <w:t>项目大气污染物产生和排放情况如下表所示。</w:t>
            </w:r>
          </w:p>
          <w:p w14:paraId="77FB5681">
            <w:pPr>
              <w:pStyle w:val="19"/>
              <w:keepNext w:val="0"/>
              <w:keepLines w:val="0"/>
              <w:widowControl w:val="0"/>
              <w:numPr>
                <w:ilvl w:val="0"/>
                <w:numId w:val="15"/>
              </w:numPr>
              <w:suppressLineNumbers w:val="0"/>
              <w:spacing w:before="0" w:beforeAutospacing="0" w:after="0" w:afterAutospacing="0"/>
              <w:ind w:left="0" w:right="0" w:firstLine="0" w:firstLineChars="0"/>
              <w:jc w:val="center"/>
              <w:rPr>
                <w:rFonts w:hint="default" w:ascii="Times New Roman" w:hAnsi="Times New Roman"/>
                <w:b/>
                <w:sz w:val="21"/>
                <w:szCs w:val="21"/>
              </w:rPr>
            </w:pPr>
            <w:r>
              <w:rPr>
                <w:rFonts w:hint="eastAsia" w:cs="宋体"/>
                <w:b/>
                <w:sz w:val="21"/>
                <w:szCs w:val="21"/>
                <w:lang w:bidi="ar"/>
              </w:rPr>
              <w:t>各工序污染物产生和排放情况一览表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976"/>
              <w:gridCol w:w="1138"/>
              <w:gridCol w:w="1139"/>
              <w:gridCol w:w="1301"/>
              <w:gridCol w:w="1464"/>
              <w:gridCol w:w="1080"/>
            </w:tblGrid>
            <w:tr w14:paraId="040C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0032905F">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产生工序</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14:paraId="2ED94994">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污染物</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60E88E07">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产生量</w:t>
                  </w:r>
                </w:p>
                <w:p w14:paraId="549D93E9">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w:t>
                  </w:r>
                  <w:r>
                    <w:rPr>
                      <w:rFonts w:hint="default" w:ascii="Times New Roman" w:hAnsi="Times New Roman"/>
                      <w:b/>
                      <w:bCs/>
                      <w:sz w:val="21"/>
                      <w:szCs w:val="21"/>
                      <w:lang w:bidi="ar"/>
                    </w:rPr>
                    <w:t>t</w:t>
                  </w:r>
                  <w:r>
                    <w:rPr>
                      <w:rFonts w:hint="eastAsia" w:ascii="Times New Roman" w:hAnsi="Times New Roman"/>
                      <w:b/>
                      <w:bCs/>
                      <w:sz w:val="21"/>
                      <w:szCs w:val="21"/>
                      <w:lang w:bidi="ar"/>
                    </w:rPr>
                    <w:t>/a</w:t>
                  </w:r>
                  <w:r>
                    <w:rPr>
                      <w:rFonts w:hint="eastAsia" w:cs="宋体"/>
                      <w:b/>
                      <w:bCs/>
                      <w:sz w:val="21"/>
                      <w:szCs w:val="21"/>
                      <w:lang w:bidi="ar"/>
                    </w:rPr>
                    <w:t>）</w:t>
                  </w:r>
                </w:p>
              </w:tc>
              <w:tc>
                <w:tcPr>
                  <w:tcW w:w="1139" w:type="dxa"/>
                  <w:tcBorders>
                    <w:top w:val="single" w:color="auto" w:sz="4" w:space="0"/>
                    <w:left w:val="single" w:color="auto" w:sz="4" w:space="0"/>
                    <w:bottom w:val="single" w:color="auto" w:sz="4" w:space="0"/>
                    <w:right w:val="single" w:color="auto" w:sz="4" w:space="0"/>
                  </w:tcBorders>
                  <w:shd w:val="clear" w:color="auto" w:fill="auto"/>
                  <w:vAlign w:val="center"/>
                </w:tcPr>
                <w:p w14:paraId="3C4024AA">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排放量</w:t>
                  </w:r>
                </w:p>
                <w:p w14:paraId="03CB717E">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w:t>
                  </w:r>
                  <w:r>
                    <w:rPr>
                      <w:rFonts w:hint="default" w:ascii="Times New Roman" w:hAnsi="Times New Roman"/>
                      <w:b/>
                      <w:bCs/>
                      <w:sz w:val="21"/>
                      <w:szCs w:val="21"/>
                      <w:lang w:bidi="ar"/>
                    </w:rPr>
                    <w:t>t</w:t>
                  </w:r>
                  <w:r>
                    <w:rPr>
                      <w:rFonts w:hint="eastAsia" w:ascii="Times New Roman" w:hAnsi="Times New Roman"/>
                      <w:b/>
                      <w:bCs/>
                      <w:sz w:val="21"/>
                      <w:szCs w:val="21"/>
                      <w:lang w:bidi="ar"/>
                    </w:rPr>
                    <w:t>/a</w:t>
                  </w:r>
                  <w:r>
                    <w:rPr>
                      <w:rFonts w:hint="eastAsia" w:cs="宋体"/>
                      <w:b/>
                      <w:bCs/>
                      <w:sz w:val="21"/>
                      <w:szCs w:val="21"/>
                      <w:lang w:bidi="ar"/>
                    </w:rPr>
                    <w:t>）</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2ECD992F">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排放速率</w:t>
                  </w:r>
                </w:p>
                <w:p w14:paraId="207A7293">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w:t>
                  </w:r>
                  <w:r>
                    <w:rPr>
                      <w:rFonts w:hint="default" w:ascii="Times New Roman" w:hAnsi="Times New Roman"/>
                      <w:b/>
                      <w:bCs/>
                      <w:sz w:val="21"/>
                      <w:szCs w:val="21"/>
                      <w:lang w:bidi="ar"/>
                    </w:rPr>
                    <w:t>kg/h</w:t>
                  </w:r>
                  <w:r>
                    <w:rPr>
                      <w:rFonts w:hint="eastAsia" w:cs="宋体"/>
                      <w:b/>
                      <w:bCs/>
                      <w:sz w:val="21"/>
                      <w:szCs w:val="21"/>
                      <w:lang w:bidi="ar"/>
                    </w:rPr>
                    <w:t>）</w:t>
                  </w:r>
                </w:p>
              </w:tc>
              <w:tc>
                <w:tcPr>
                  <w:tcW w:w="1464" w:type="dxa"/>
                  <w:tcBorders>
                    <w:top w:val="single" w:color="auto" w:sz="4" w:space="0"/>
                    <w:left w:val="single" w:color="auto" w:sz="4" w:space="0"/>
                    <w:bottom w:val="single" w:color="auto" w:sz="4" w:space="0"/>
                    <w:right w:val="single" w:color="auto" w:sz="4" w:space="0"/>
                  </w:tcBorders>
                  <w:shd w:val="clear" w:color="auto" w:fill="auto"/>
                  <w:vAlign w:val="center"/>
                </w:tcPr>
                <w:p w14:paraId="148A245B">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排放浓度</w:t>
                  </w:r>
                </w:p>
                <w:p w14:paraId="12A17E52">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w:t>
                  </w:r>
                  <w:r>
                    <w:rPr>
                      <w:rFonts w:hint="default" w:ascii="Times New Roman" w:hAnsi="Times New Roman"/>
                      <w:b/>
                      <w:bCs/>
                      <w:sz w:val="21"/>
                      <w:szCs w:val="21"/>
                      <w:lang w:bidi="ar"/>
                    </w:rPr>
                    <w:t>mg/m</w:t>
                  </w:r>
                  <w:r>
                    <w:rPr>
                      <w:rFonts w:hint="default" w:ascii="Times New Roman" w:hAnsi="Times New Roman"/>
                      <w:b/>
                      <w:bCs/>
                      <w:sz w:val="21"/>
                      <w:szCs w:val="21"/>
                      <w:vertAlign w:val="superscript"/>
                      <w:lang w:bidi="ar"/>
                    </w:rPr>
                    <w:t>3</w:t>
                  </w:r>
                  <w:r>
                    <w:rPr>
                      <w:rFonts w:hint="eastAsia" w:cs="宋体"/>
                      <w:b/>
                      <w:bCs/>
                      <w:sz w:val="21"/>
                      <w:szCs w:val="21"/>
                      <w:lang w:bidi="ar"/>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5877B94C">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排放形式</w:t>
                  </w:r>
                </w:p>
              </w:tc>
            </w:tr>
            <w:tr w14:paraId="5D1B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702D0DCE">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车辆运输</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14:paraId="0B7780F7">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颗粒物</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029B3137">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0.43</w:t>
                  </w:r>
                </w:p>
              </w:tc>
              <w:tc>
                <w:tcPr>
                  <w:tcW w:w="1139" w:type="dxa"/>
                  <w:tcBorders>
                    <w:top w:val="single" w:color="auto" w:sz="4" w:space="0"/>
                    <w:left w:val="single" w:color="auto" w:sz="4" w:space="0"/>
                    <w:bottom w:val="single" w:color="auto" w:sz="4" w:space="0"/>
                    <w:right w:val="single" w:color="auto" w:sz="4" w:space="0"/>
                  </w:tcBorders>
                  <w:shd w:val="clear" w:color="auto" w:fill="auto"/>
                  <w:vAlign w:val="center"/>
                </w:tcPr>
                <w:p w14:paraId="16BBC846">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0.085</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3CFEEF3D">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0.044</w:t>
                  </w:r>
                </w:p>
              </w:tc>
              <w:tc>
                <w:tcPr>
                  <w:tcW w:w="1464" w:type="dxa"/>
                  <w:tcBorders>
                    <w:top w:val="single" w:color="auto" w:sz="4" w:space="0"/>
                    <w:left w:val="single" w:color="auto" w:sz="4" w:space="0"/>
                    <w:bottom w:val="single" w:color="auto" w:sz="4" w:space="0"/>
                    <w:right w:val="single" w:color="auto" w:sz="4" w:space="0"/>
                  </w:tcBorders>
                  <w:shd w:val="clear" w:color="auto" w:fill="auto"/>
                  <w:vAlign w:val="center"/>
                </w:tcPr>
                <w:p w14:paraId="1B2CBE6B">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1E91DEBF">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无组织</w:t>
                  </w:r>
                </w:p>
              </w:tc>
            </w:tr>
            <w:tr w14:paraId="7310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1" w:type="dxa"/>
                  <w:tcBorders>
                    <w:top w:val="nil"/>
                    <w:left w:val="single" w:color="auto" w:sz="4" w:space="0"/>
                    <w:bottom w:val="single" w:color="auto" w:sz="4" w:space="0"/>
                    <w:right w:val="single" w:color="auto" w:sz="4" w:space="0"/>
                  </w:tcBorders>
                  <w:shd w:val="clear" w:color="auto" w:fill="auto"/>
                  <w:vAlign w:val="center"/>
                </w:tcPr>
                <w:p w14:paraId="72679E50">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石子、石粉装卸</w:t>
                  </w:r>
                </w:p>
              </w:tc>
              <w:tc>
                <w:tcPr>
                  <w:tcW w:w="976" w:type="dxa"/>
                  <w:tcBorders>
                    <w:top w:val="nil"/>
                    <w:left w:val="single" w:color="auto" w:sz="4" w:space="0"/>
                    <w:bottom w:val="single" w:color="auto" w:sz="4" w:space="0"/>
                    <w:right w:val="single" w:color="auto" w:sz="4" w:space="0"/>
                  </w:tcBorders>
                  <w:shd w:val="clear" w:color="auto" w:fill="auto"/>
                  <w:vAlign w:val="center"/>
                </w:tcPr>
                <w:p w14:paraId="0C314C31">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颗粒物</w:t>
                  </w:r>
                </w:p>
              </w:tc>
              <w:tc>
                <w:tcPr>
                  <w:tcW w:w="1138" w:type="dxa"/>
                  <w:tcBorders>
                    <w:top w:val="nil"/>
                    <w:left w:val="single" w:color="auto" w:sz="4" w:space="0"/>
                    <w:bottom w:val="single" w:color="auto" w:sz="4" w:space="0"/>
                    <w:right w:val="single" w:color="auto" w:sz="4" w:space="0"/>
                  </w:tcBorders>
                  <w:shd w:val="clear" w:color="auto" w:fill="auto"/>
                  <w:vAlign w:val="center"/>
                </w:tcPr>
                <w:p w14:paraId="5A44A148">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39.42</w:t>
                  </w:r>
                </w:p>
              </w:tc>
              <w:tc>
                <w:tcPr>
                  <w:tcW w:w="1139" w:type="dxa"/>
                  <w:tcBorders>
                    <w:top w:val="single" w:color="auto" w:sz="4" w:space="0"/>
                    <w:left w:val="single" w:color="auto" w:sz="4" w:space="0"/>
                    <w:bottom w:val="single" w:color="auto" w:sz="4" w:space="0"/>
                    <w:right w:val="single" w:color="auto" w:sz="4" w:space="0"/>
                  </w:tcBorders>
                  <w:shd w:val="clear" w:color="auto" w:fill="auto"/>
                  <w:vAlign w:val="center"/>
                </w:tcPr>
                <w:p w14:paraId="15EC2AD0">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0.10</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2033375E">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0.053</w:t>
                  </w:r>
                </w:p>
              </w:tc>
              <w:tc>
                <w:tcPr>
                  <w:tcW w:w="1464" w:type="dxa"/>
                  <w:tcBorders>
                    <w:top w:val="single" w:color="auto" w:sz="4" w:space="0"/>
                    <w:left w:val="single" w:color="auto" w:sz="4" w:space="0"/>
                    <w:bottom w:val="single" w:color="auto" w:sz="4" w:space="0"/>
                    <w:right w:val="single" w:color="auto" w:sz="4" w:space="0"/>
                  </w:tcBorders>
                  <w:shd w:val="clear" w:color="auto" w:fill="auto"/>
                  <w:vAlign w:val="center"/>
                </w:tcPr>
                <w:p w14:paraId="67DFE7C3">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13CB2325">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无组织</w:t>
                  </w:r>
                </w:p>
              </w:tc>
            </w:tr>
            <w:tr w14:paraId="4A35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1" w:type="dxa"/>
                  <w:tcBorders>
                    <w:top w:val="nil"/>
                    <w:left w:val="single" w:color="auto" w:sz="4" w:space="0"/>
                    <w:bottom w:val="single" w:color="auto" w:sz="4" w:space="0"/>
                    <w:right w:val="single" w:color="auto" w:sz="4" w:space="0"/>
                  </w:tcBorders>
                  <w:shd w:val="clear" w:color="auto" w:fill="auto"/>
                  <w:vAlign w:val="center"/>
                </w:tcPr>
                <w:p w14:paraId="49D801D3">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sz w:val="21"/>
                      <w:szCs w:val="21"/>
                      <w:lang w:bidi="ar"/>
                    </w:rPr>
                  </w:pPr>
                  <w:r>
                    <w:rPr>
                      <w:rFonts w:hint="default" w:ascii="Times New Roman" w:hAnsi="Times New Roman"/>
                      <w:sz w:val="21"/>
                      <w:szCs w:val="21"/>
                      <w:lang w:bidi="ar"/>
                    </w:rPr>
                    <w:t>水泥筒仓装卸水泥</w:t>
                  </w:r>
                </w:p>
              </w:tc>
              <w:tc>
                <w:tcPr>
                  <w:tcW w:w="976" w:type="dxa"/>
                  <w:tcBorders>
                    <w:top w:val="nil"/>
                    <w:left w:val="single" w:color="auto" w:sz="4" w:space="0"/>
                    <w:bottom w:val="single" w:color="auto" w:sz="4" w:space="0"/>
                    <w:right w:val="single" w:color="auto" w:sz="4" w:space="0"/>
                  </w:tcBorders>
                  <w:shd w:val="clear" w:color="auto" w:fill="auto"/>
                  <w:vAlign w:val="center"/>
                </w:tcPr>
                <w:p w14:paraId="7ECAC574">
                  <w:pPr>
                    <w:pStyle w:val="42"/>
                    <w:keepNext w:val="0"/>
                    <w:keepLines w:val="0"/>
                    <w:widowControl/>
                    <w:suppressLineNumbers w:val="0"/>
                    <w:spacing w:before="0" w:beforeAutospacing="0" w:after="0" w:afterAutospacing="0"/>
                    <w:ind w:left="0" w:right="0"/>
                    <w:rPr>
                      <w:rFonts w:hint="default"/>
                    </w:rPr>
                  </w:pPr>
                  <w:r>
                    <w:t>颗粒物</w:t>
                  </w:r>
                </w:p>
              </w:tc>
              <w:tc>
                <w:tcPr>
                  <w:tcW w:w="1138" w:type="dxa"/>
                  <w:tcBorders>
                    <w:top w:val="nil"/>
                    <w:left w:val="single" w:color="auto" w:sz="4" w:space="0"/>
                    <w:bottom w:val="single" w:color="auto" w:sz="4" w:space="0"/>
                    <w:right w:val="single" w:color="auto" w:sz="4" w:space="0"/>
                  </w:tcBorders>
                  <w:shd w:val="clear" w:color="auto" w:fill="auto"/>
                  <w:vAlign w:val="center"/>
                </w:tcPr>
                <w:p w14:paraId="4405F01F">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sz w:val="21"/>
                      <w:szCs w:val="21"/>
                      <w:lang w:bidi="ar"/>
                    </w:rPr>
                  </w:pPr>
                  <w:r>
                    <w:rPr>
                      <w:rFonts w:hint="eastAsia" w:ascii="Times New Roman" w:hAnsi="Times New Roman"/>
                      <w:sz w:val="21"/>
                      <w:szCs w:val="21"/>
                      <w:lang w:bidi="ar"/>
                    </w:rPr>
                    <w:t>1.08</w:t>
                  </w:r>
                </w:p>
              </w:tc>
              <w:tc>
                <w:tcPr>
                  <w:tcW w:w="1139" w:type="dxa"/>
                  <w:tcBorders>
                    <w:top w:val="single" w:color="auto" w:sz="4" w:space="0"/>
                    <w:left w:val="single" w:color="auto" w:sz="4" w:space="0"/>
                    <w:bottom w:val="single" w:color="auto" w:sz="4" w:space="0"/>
                    <w:right w:val="single" w:color="auto" w:sz="4" w:space="0"/>
                  </w:tcBorders>
                  <w:shd w:val="clear" w:color="auto" w:fill="auto"/>
                  <w:vAlign w:val="center"/>
                </w:tcPr>
                <w:p w14:paraId="32D9AE34">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sz w:val="21"/>
                      <w:szCs w:val="21"/>
                      <w:lang w:bidi="ar"/>
                    </w:rPr>
                  </w:pPr>
                  <w:r>
                    <w:rPr>
                      <w:rFonts w:hint="eastAsia" w:ascii="Times New Roman" w:hAnsi="Times New Roman"/>
                      <w:sz w:val="21"/>
                      <w:szCs w:val="21"/>
                      <w:lang w:bidi="ar"/>
                    </w:rPr>
                    <w:t>0.0032</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63FCCBAB">
                  <w:pPr>
                    <w:pStyle w:val="42"/>
                    <w:keepNext w:val="0"/>
                    <w:keepLines w:val="0"/>
                    <w:widowControl/>
                    <w:suppressLineNumbers w:val="0"/>
                    <w:spacing w:before="0" w:beforeAutospacing="0" w:after="0" w:afterAutospacing="0"/>
                    <w:ind w:left="0" w:right="0"/>
                    <w:rPr>
                      <w:rFonts w:hint="default" w:cs="Times New Roman"/>
                      <w:lang w:bidi="ar"/>
                    </w:rPr>
                  </w:pPr>
                  <w:r>
                    <w:t>0.022</w:t>
                  </w:r>
                </w:p>
              </w:tc>
              <w:tc>
                <w:tcPr>
                  <w:tcW w:w="1464" w:type="dxa"/>
                  <w:tcBorders>
                    <w:top w:val="single" w:color="auto" w:sz="4" w:space="0"/>
                    <w:left w:val="single" w:color="auto" w:sz="4" w:space="0"/>
                    <w:bottom w:val="single" w:color="auto" w:sz="4" w:space="0"/>
                    <w:right w:val="single" w:color="auto" w:sz="4" w:space="0"/>
                  </w:tcBorders>
                  <w:shd w:val="clear" w:color="auto" w:fill="auto"/>
                  <w:vAlign w:val="center"/>
                </w:tcPr>
                <w:p w14:paraId="741E4399">
                  <w:pPr>
                    <w:pStyle w:val="42"/>
                    <w:keepNext w:val="0"/>
                    <w:keepLines w:val="0"/>
                    <w:widowControl/>
                    <w:suppressLineNumbers w:val="0"/>
                    <w:spacing w:before="0" w:beforeAutospacing="0" w:after="0" w:afterAutospacing="0"/>
                    <w:ind w:left="0" w:right="0"/>
                    <w:rPr>
                      <w:rFonts w:hint="default" w:cs="Times New Roman"/>
                      <w:lang w:bidi="ar"/>
                    </w:rPr>
                  </w:pPr>
                  <w:r>
                    <w:t>9</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481434AD">
                  <w:pPr>
                    <w:pStyle w:val="42"/>
                    <w:keepNext w:val="0"/>
                    <w:keepLines w:val="0"/>
                    <w:widowControl/>
                    <w:suppressLineNumbers w:val="0"/>
                    <w:spacing w:before="0" w:beforeAutospacing="0" w:after="0" w:afterAutospacing="0"/>
                    <w:ind w:left="0" w:right="0"/>
                    <w:rPr>
                      <w:rFonts w:hint="default"/>
                    </w:rPr>
                  </w:pPr>
                  <w:r>
                    <w:t>有组织</w:t>
                  </w:r>
                </w:p>
              </w:tc>
            </w:tr>
            <w:tr w14:paraId="7432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1" w:type="dxa"/>
                  <w:vMerge w:val="restart"/>
                  <w:tcBorders>
                    <w:top w:val="nil"/>
                    <w:left w:val="single" w:color="auto" w:sz="4" w:space="0"/>
                    <w:right w:val="single" w:color="auto" w:sz="4" w:space="0"/>
                  </w:tcBorders>
                  <w:shd w:val="clear" w:color="auto" w:fill="auto"/>
                  <w:vAlign w:val="center"/>
                </w:tcPr>
                <w:p w14:paraId="065B0534">
                  <w:pPr>
                    <w:pStyle w:val="19"/>
                    <w:keepNext w:val="0"/>
                    <w:keepLines w:val="0"/>
                    <w:suppressLineNumbers w:val="0"/>
                    <w:spacing w:before="0" w:beforeAutospacing="0" w:after="0" w:afterAutospacing="0" w:line="240" w:lineRule="auto"/>
                    <w:ind w:left="0" w:right="0" w:firstLine="0" w:firstLineChars="0"/>
                    <w:jc w:val="center"/>
                    <w:rPr>
                      <w:rFonts w:hint="eastAsia" w:cs="宋体"/>
                      <w:sz w:val="21"/>
                      <w:szCs w:val="21"/>
                      <w:lang w:bidi="ar"/>
                    </w:rPr>
                  </w:pPr>
                  <w:r>
                    <w:rPr>
                      <w:rFonts w:hint="eastAsia" w:cs="宋体"/>
                      <w:sz w:val="21"/>
                      <w:szCs w:val="21"/>
                      <w:lang w:bidi="ar"/>
                    </w:rPr>
                    <w:t>料仓上料</w:t>
                  </w:r>
                </w:p>
              </w:tc>
              <w:tc>
                <w:tcPr>
                  <w:tcW w:w="976" w:type="dxa"/>
                  <w:vMerge w:val="restart"/>
                  <w:tcBorders>
                    <w:top w:val="nil"/>
                    <w:left w:val="single" w:color="auto" w:sz="4" w:space="0"/>
                    <w:right w:val="single" w:color="auto" w:sz="4" w:space="0"/>
                  </w:tcBorders>
                  <w:shd w:val="clear" w:color="auto" w:fill="auto"/>
                  <w:vAlign w:val="center"/>
                </w:tcPr>
                <w:p w14:paraId="6CE33FEE">
                  <w:pPr>
                    <w:pStyle w:val="42"/>
                    <w:keepNext w:val="0"/>
                    <w:keepLines w:val="0"/>
                    <w:widowControl/>
                    <w:suppressLineNumbers w:val="0"/>
                    <w:spacing w:before="0" w:beforeAutospacing="0" w:after="0" w:afterAutospacing="0"/>
                    <w:ind w:left="0" w:right="0"/>
                    <w:rPr>
                      <w:rFonts w:hint="default"/>
                    </w:rPr>
                  </w:pPr>
                  <w:r>
                    <w:t>颗粒物</w:t>
                  </w:r>
                </w:p>
              </w:tc>
              <w:tc>
                <w:tcPr>
                  <w:tcW w:w="1138" w:type="dxa"/>
                  <w:vMerge w:val="restart"/>
                  <w:tcBorders>
                    <w:top w:val="nil"/>
                    <w:left w:val="single" w:color="auto" w:sz="4" w:space="0"/>
                    <w:right w:val="single" w:color="auto" w:sz="4" w:space="0"/>
                  </w:tcBorders>
                  <w:shd w:val="clear" w:color="auto" w:fill="auto"/>
                  <w:vAlign w:val="center"/>
                </w:tcPr>
                <w:p w14:paraId="65187576">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sz w:val="21"/>
                      <w:szCs w:val="21"/>
                      <w:lang w:bidi="ar"/>
                    </w:rPr>
                  </w:pPr>
                  <w:r>
                    <w:rPr>
                      <w:rFonts w:hint="eastAsia" w:ascii="Times New Roman" w:hAnsi="Times New Roman"/>
                      <w:sz w:val="21"/>
                      <w:szCs w:val="21"/>
                      <w:lang w:bidi="ar"/>
                    </w:rPr>
                    <w:t>0.83</w:t>
                  </w:r>
                </w:p>
              </w:tc>
              <w:tc>
                <w:tcPr>
                  <w:tcW w:w="1139" w:type="dxa"/>
                  <w:tcBorders>
                    <w:top w:val="single" w:color="auto" w:sz="4" w:space="0"/>
                    <w:left w:val="single" w:color="auto" w:sz="4" w:space="0"/>
                    <w:bottom w:val="single" w:color="auto" w:sz="4" w:space="0"/>
                    <w:right w:val="single" w:color="auto" w:sz="4" w:space="0"/>
                  </w:tcBorders>
                  <w:shd w:val="clear" w:color="auto" w:fill="auto"/>
                  <w:vAlign w:val="center"/>
                </w:tcPr>
                <w:p w14:paraId="765F0E33">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FF0000"/>
                      <w:sz w:val="21"/>
                      <w:szCs w:val="21"/>
                      <w:lang w:bidi="ar"/>
                    </w:rPr>
                  </w:pPr>
                  <w:r>
                    <w:rPr>
                      <w:rFonts w:hint="eastAsia" w:ascii="Times New Roman" w:hAnsi="Times New Roman"/>
                      <w:sz w:val="21"/>
                      <w:szCs w:val="21"/>
                      <w:lang w:bidi="ar"/>
                    </w:rPr>
                    <w:t>0.0024</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37B0AEAB">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sz w:val="21"/>
                      <w:szCs w:val="21"/>
                      <w:lang w:bidi="ar"/>
                    </w:rPr>
                  </w:pPr>
                  <w:r>
                    <w:rPr>
                      <w:rFonts w:hint="eastAsia" w:ascii="Times New Roman" w:hAnsi="Times New Roman"/>
                      <w:sz w:val="21"/>
                      <w:szCs w:val="21"/>
                      <w:lang w:bidi="ar"/>
                    </w:rPr>
                    <w:t>0.016（料仓上料、搅拌工序总计）</w:t>
                  </w:r>
                </w:p>
              </w:tc>
              <w:tc>
                <w:tcPr>
                  <w:tcW w:w="1464" w:type="dxa"/>
                  <w:tcBorders>
                    <w:top w:val="single" w:color="auto" w:sz="4" w:space="0"/>
                    <w:left w:val="single" w:color="auto" w:sz="4" w:space="0"/>
                    <w:bottom w:val="single" w:color="auto" w:sz="4" w:space="0"/>
                    <w:right w:val="single" w:color="auto" w:sz="4" w:space="0"/>
                  </w:tcBorders>
                  <w:shd w:val="clear" w:color="auto" w:fill="auto"/>
                  <w:vAlign w:val="center"/>
                </w:tcPr>
                <w:p w14:paraId="10299E94">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sz w:val="21"/>
                      <w:szCs w:val="21"/>
                      <w:lang w:bidi="ar"/>
                    </w:rPr>
                  </w:pPr>
                  <w:r>
                    <w:rPr>
                      <w:rFonts w:hint="eastAsia" w:ascii="Times New Roman" w:hAnsi="Times New Roman"/>
                      <w:sz w:val="21"/>
                      <w:szCs w:val="21"/>
                      <w:lang w:bidi="ar"/>
                    </w:rPr>
                    <w:t>3.18</w:t>
                  </w:r>
                  <w:r>
                    <w:rPr>
                      <w:rFonts w:hint="default" w:ascii="Times New Roman" w:hAnsi="Times New Roman"/>
                      <w:sz w:val="21"/>
                      <w:szCs w:val="21"/>
                      <w:lang w:bidi="ar"/>
                    </w:rPr>
                    <w:t>（料仓上料、搅拌工序总计）</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27B5600B">
                  <w:pPr>
                    <w:pStyle w:val="19"/>
                    <w:keepNext w:val="0"/>
                    <w:keepLines w:val="0"/>
                    <w:suppressLineNumbers w:val="0"/>
                    <w:spacing w:before="0" w:beforeAutospacing="0" w:after="0" w:afterAutospacing="0" w:line="240" w:lineRule="auto"/>
                    <w:ind w:left="0" w:right="0" w:firstLine="0" w:firstLineChars="0"/>
                    <w:jc w:val="center"/>
                    <w:rPr>
                      <w:rFonts w:hint="eastAsia" w:cs="宋体"/>
                      <w:sz w:val="21"/>
                      <w:szCs w:val="21"/>
                      <w:lang w:bidi="ar"/>
                    </w:rPr>
                  </w:pPr>
                  <w:r>
                    <w:rPr>
                      <w:rFonts w:hint="eastAsia" w:cs="宋体"/>
                      <w:sz w:val="21"/>
                      <w:szCs w:val="21"/>
                      <w:lang w:bidi="ar"/>
                    </w:rPr>
                    <w:t>有组织</w:t>
                  </w:r>
                </w:p>
              </w:tc>
            </w:tr>
            <w:tr w14:paraId="5D4A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1" w:type="dxa"/>
                  <w:vMerge w:val="continue"/>
                  <w:tcBorders>
                    <w:left w:val="single" w:color="auto" w:sz="4" w:space="0"/>
                    <w:bottom w:val="single" w:color="auto" w:sz="4" w:space="0"/>
                    <w:right w:val="single" w:color="auto" w:sz="4" w:space="0"/>
                  </w:tcBorders>
                  <w:shd w:val="clear" w:color="auto" w:fill="auto"/>
                  <w:vAlign w:val="center"/>
                </w:tcPr>
                <w:p w14:paraId="4B0F2C5D">
                  <w:pPr>
                    <w:pStyle w:val="19"/>
                    <w:keepNext w:val="0"/>
                    <w:keepLines w:val="0"/>
                    <w:suppressLineNumbers w:val="0"/>
                    <w:spacing w:before="0" w:beforeAutospacing="0" w:after="0" w:afterAutospacing="0" w:line="240" w:lineRule="auto"/>
                    <w:ind w:left="0" w:right="0" w:firstLine="0" w:firstLineChars="0"/>
                    <w:jc w:val="center"/>
                    <w:rPr>
                      <w:rFonts w:hint="eastAsia" w:cs="宋体"/>
                      <w:color w:val="FF0000"/>
                      <w:sz w:val="21"/>
                      <w:szCs w:val="21"/>
                      <w:lang w:bidi="ar"/>
                    </w:rPr>
                  </w:pPr>
                </w:p>
              </w:tc>
              <w:tc>
                <w:tcPr>
                  <w:tcW w:w="976" w:type="dxa"/>
                  <w:vMerge w:val="continue"/>
                  <w:tcBorders>
                    <w:left w:val="single" w:color="auto" w:sz="4" w:space="0"/>
                    <w:bottom w:val="single" w:color="auto" w:sz="4" w:space="0"/>
                    <w:right w:val="single" w:color="auto" w:sz="4" w:space="0"/>
                  </w:tcBorders>
                  <w:shd w:val="clear" w:color="auto" w:fill="auto"/>
                  <w:vAlign w:val="center"/>
                </w:tcPr>
                <w:p w14:paraId="2025C2EE">
                  <w:pPr>
                    <w:pStyle w:val="42"/>
                    <w:keepNext w:val="0"/>
                    <w:keepLines w:val="0"/>
                    <w:widowControl/>
                    <w:suppressLineNumbers w:val="0"/>
                    <w:spacing w:before="0" w:beforeAutospacing="0" w:after="0" w:afterAutospacing="0"/>
                    <w:ind w:left="0" w:right="0"/>
                    <w:rPr>
                      <w:rFonts w:hint="default"/>
                      <w:color w:val="FF0000"/>
                    </w:rPr>
                  </w:pPr>
                </w:p>
              </w:tc>
              <w:tc>
                <w:tcPr>
                  <w:tcW w:w="1138" w:type="dxa"/>
                  <w:vMerge w:val="continue"/>
                  <w:tcBorders>
                    <w:left w:val="single" w:color="auto" w:sz="4" w:space="0"/>
                    <w:bottom w:val="single" w:color="auto" w:sz="4" w:space="0"/>
                    <w:right w:val="single" w:color="auto" w:sz="4" w:space="0"/>
                  </w:tcBorders>
                  <w:shd w:val="clear" w:color="auto" w:fill="auto"/>
                  <w:vAlign w:val="center"/>
                </w:tcPr>
                <w:p w14:paraId="63B3E173">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FF0000"/>
                      <w:sz w:val="21"/>
                      <w:szCs w:val="21"/>
                      <w:lang w:bidi="ar"/>
                    </w:rPr>
                  </w:pPr>
                </w:p>
              </w:tc>
              <w:tc>
                <w:tcPr>
                  <w:tcW w:w="1139" w:type="dxa"/>
                  <w:tcBorders>
                    <w:top w:val="single" w:color="auto" w:sz="4" w:space="0"/>
                    <w:left w:val="single" w:color="auto" w:sz="4" w:space="0"/>
                    <w:bottom w:val="single" w:color="auto" w:sz="4" w:space="0"/>
                    <w:right w:val="single" w:color="auto" w:sz="4" w:space="0"/>
                  </w:tcBorders>
                  <w:shd w:val="clear" w:color="auto" w:fill="auto"/>
                  <w:vAlign w:val="center"/>
                </w:tcPr>
                <w:p w14:paraId="06DCF370">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sz w:val="21"/>
                      <w:szCs w:val="21"/>
                      <w:lang w:bidi="ar"/>
                    </w:rPr>
                  </w:pPr>
                  <w:r>
                    <w:rPr>
                      <w:rFonts w:hint="eastAsia" w:ascii="Times New Roman" w:hAnsi="Times New Roman"/>
                      <w:sz w:val="21"/>
                      <w:szCs w:val="21"/>
                      <w:lang w:bidi="ar"/>
                    </w:rPr>
                    <w:t>0.0041</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6573D06C">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sz w:val="21"/>
                      <w:szCs w:val="21"/>
                      <w:lang w:bidi="ar"/>
                    </w:rPr>
                  </w:pPr>
                  <w:r>
                    <w:rPr>
                      <w:rFonts w:hint="eastAsia" w:ascii="Times New Roman" w:hAnsi="Times New Roman"/>
                      <w:sz w:val="21"/>
                      <w:szCs w:val="21"/>
                      <w:lang w:bidi="ar"/>
                    </w:rPr>
                    <w:t>0.0021</w:t>
                  </w:r>
                </w:p>
              </w:tc>
              <w:tc>
                <w:tcPr>
                  <w:tcW w:w="1464" w:type="dxa"/>
                  <w:tcBorders>
                    <w:top w:val="single" w:color="auto" w:sz="4" w:space="0"/>
                    <w:left w:val="single" w:color="auto" w:sz="4" w:space="0"/>
                    <w:bottom w:val="single" w:color="auto" w:sz="4" w:space="0"/>
                    <w:right w:val="single" w:color="auto" w:sz="4" w:space="0"/>
                  </w:tcBorders>
                  <w:shd w:val="clear" w:color="auto" w:fill="auto"/>
                  <w:vAlign w:val="center"/>
                </w:tcPr>
                <w:p w14:paraId="270FBD0A">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FF0000"/>
                      <w:sz w:val="21"/>
                      <w:szCs w:val="21"/>
                      <w:lang w:bidi="ar"/>
                    </w:rPr>
                  </w:pPr>
                  <w:r>
                    <w:rPr>
                      <w:rFonts w:hint="eastAsia" w:ascii="Times New Roman" w:hAnsi="Times New Roman"/>
                      <w:sz w:val="21"/>
                      <w:szCs w:val="21"/>
                      <w:lang w:bidi="ar"/>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21D40180">
                  <w:pPr>
                    <w:pStyle w:val="19"/>
                    <w:keepNext w:val="0"/>
                    <w:keepLines w:val="0"/>
                    <w:suppressLineNumbers w:val="0"/>
                    <w:spacing w:before="0" w:beforeAutospacing="0" w:after="0" w:afterAutospacing="0" w:line="240" w:lineRule="auto"/>
                    <w:ind w:left="0" w:right="0" w:firstLine="0" w:firstLineChars="0"/>
                    <w:jc w:val="center"/>
                    <w:rPr>
                      <w:rFonts w:hint="eastAsia" w:cs="宋体"/>
                      <w:sz w:val="21"/>
                      <w:szCs w:val="21"/>
                      <w:lang w:bidi="ar"/>
                    </w:rPr>
                  </w:pPr>
                  <w:r>
                    <w:rPr>
                      <w:rFonts w:hint="eastAsia" w:cs="宋体"/>
                      <w:sz w:val="21"/>
                      <w:szCs w:val="21"/>
                      <w:lang w:bidi="ar"/>
                    </w:rPr>
                    <w:t>无组织</w:t>
                  </w:r>
                </w:p>
              </w:tc>
            </w:tr>
            <w:tr w14:paraId="28E4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1" w:type="dxa"/>
                  <w:vMerge w:val="restart"/>
                  <w:tcBorders>
                    <w:top w:val="single" w:color="auto" w:sz="4" w:space="0"/>
                    <w:left w:val="single" w:color="auto" w:sz="4" w:space="0"/>
                    <w:right w:val="single" w:color="auto" w:sz="4" w:space="0"/>
                  </w:tcBorders>
                  <w:shd w:val="clear" w:color="auto" w:fill="auto"/>
                  <w:vAlign w:val="center"/>
                </w:tcPr>
                <w:p w14:paraId="06D1724E">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混凝土搅拌</w:t>
                  </w:r>
                </w:p>
              </w:tc>
              <w:tc>
                <w:tcPr>
                  <w:tcW w:w="976" w:type="dxa"/>
                  <w:vMerge w:val="restart"/>
                  <w:tcBorders>
                    <w:top w:val="single" w:color="auto" w:sz="4" w:space="0"/>
                    <w:left w:val="single" w:color="auto" w:sz="4" w:space="0"/>
                    <w:right w:val="single" w:color="auto" w:sz="4" w:space="0"/>
                  </w:tcBorders>
                  <w:shd w:val="clear" w:color="auto" w:fill="auto"/>
                  <w:vAlign w:val="center"/>
                </w:tcPr>
                <w:p w14:paraId="2C1ABD54">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颗粒物</w:t>
                  </w:r>
                </w:p>
              </w:tc>
              <w:tc>
                <w:tcPr>
                  <w:tcW w:w="1138" w:type="dxa"/>
                  <w:vMerge w:val="restart"/>
                  <w:tcBorders>
                    <w:top w:val="single" w:color="auto" w:sz="4" w:space="0"/>
                    <w:left w:val="single" w:color="auto" w:sz="4" w:space="0"/>
                    <w:right w:val="single" w:color="auto" w:sz="4" w:space="0"/>
                  </w:tcBorders>
                  <w:shd w:val="clear" w:color="auto" w:fill="auto"/>
                  <w:vAlign w:val="center"/>
                </w:tcPr>
                <w:p w14:paraId="18DE12B0">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9.88</w:t>
                  </w:r>
                </w:p>
              </w:tc>
              <w:tc>
                <w:tcPr>
                  <w:tcW w:w="1139" w:type="dxa"/>
                  <w:tcBorders>
                    <w:top w:val="single" w:color="auto" w:sz="4" w:space="0"/>
                    <w:left w:val="single" w:color="auto" w:sz="4" w:space="0"/>
                    <w:bottom w:val="single" w:color="auto" w:sz="4" w:space="0"/>
                    <w:right w:val="single" w:color="auto" w:sz="4" w:space="0"/>
                  </w:tcBorders>
                  <w:shd w:val="clear" w:color="auto" w:fill="auto"/>
                  <w:vAlign w:val="center"/>
                </w:tcPr>
                <w:p w14:paraId="1A7FB53E">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color w:val="FF0000"/>
                      <w:sz w:val="21"/>
                      <w:szCs w:val="21"/>
                    </w:rPr>
                  </w:pPr>
                  <w:r>
                    <w:rPr>
                      <w:rFonts w:hint="eastAsia" w:ascii="Times New Roman" w:hAnsi="Times New Roman" w:cs="宋体"/>
                      <w:sz w:val="21"/>
                      <w:szCs w:val="21"/>
                    </w:rPr>
                    <w:t>0.028</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3058D40E">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color w:val="FF0000"/>
                      <w:sz w:val="21"/>
                      <w:szCs w:val="21"/>
                    </w:rPr>
                  </w:pPr>
                  <w:r>
                    <w:rPr>
                      <w:rFonts w:hint="eastAsia" w:ascii="Times New Roman" w:hAnsi="Times New Roman"/>
                      <w:sz w:val="21"/>
                      <w:szCs w:val="21"/>
                      <w:lang w:bidi="ar"/>
                    </w:rPr>
                    <w:t>0.016（料仓上料、搅拌工序总计）</w:t>
                  </w:r>
                </w:p>
              </w:tc>
              <w:tc>
                <w:tcPr>
                  <w:tcW w:w="1464" w:type="dxa"/>
                  <w:tcBorders>
                    <w:top w:val="single" w:color="auto" w:sz="4" w:space="0"/>
                    <w:left w:val="single" w:color="auto" w:sz="4" w:space="0"/>
                    <w:bottom w:val="single" w:color="auto" w:sz="4" w:space="0"/>
                    <w:right w:val="single" w:color="auto" w:sz="4" w:space="0"/>
                  </w:tcBorders>
                  <w:shd w:val="clear" w:color="auto" w:fill="auto"/>
                  <w:vAlign w:val="center"/>
                </w:tcPr>
                <w:p w14:paraId="5ACBF054">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color w:val="FF0000"/>
                      <w:sz w:val="21"/>
                      <w:szCs w:val="21"/>
                    </w:rPr>
                  </w:pPr>
                  <w:r>
                    <w:rPr>
                      <w:rFonts w:hint="eastAsia" w:ascii="Times New Roman" w:hAnsi="Times New Roman"/>
                      <w:sz w:val="21"/>
                      <w:szCs w:val="21"/>
                      <w:lang w:bidi="ar"/>
                    </w:rPr>
                    <w:t>3.18</w:t>
                  </w:r>
                  <w:r>
                    <w:rPr>
                      <w:rFonts w:hint="default" w:ascii="Times New Roman" w:hAnsi="Times New Roman"/>
                      <w:sz w:val="21"/>
                      <w:szCs w:val="21"/>
                      <w:lang w:bidi="ar"/>
                    </w:rPr>
                    <w:t>（料仓上料、搅拌工序总计）</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5CCFBF26">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有组织</w:t>
                  </w:r>
                </w:p>
              </w:tc>
            </w:tr>
            <w:tr w14:paraId="0C263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1" w:type="dxa"/>
                  <w:vMerge w:val="continue"/>
                  <w:tcBorders>
                    <w:left w:val="single" w:color="auto" w:sz="4" w:space="0"/>
                    <w:bottom w:val="single" w:color="auto" w:sz="4" w:space="0"/>
                    <w:right w:val="single" w:color="auto" w:sz="4" w:space="0"/>
                  </w:tcBorders>
                  <w:shd w:val="clear" w:color="auto" w:fill="auto"/>
                  <w:vAlign w:val="center"/>
                </w:tcPr>
                <w:p w14:paraId="742DA462">
                  <w:pPr>
                    <w:pStyle w:val="19"/>
                    <w:keepNext w:val="0"/>
                    <w:keepLines w:val="0"/>
                    <w:suppressLineNumbers w:val="0"/>
                    <w:spacing w:before="0" w:beforeAutospacing="0" w:after="0" w:afterAutospacing="0" w:line="240" w:lineRule="auto"/>
                    <w:ind w:left="0" w:right="0" w:firstLine="0" w:firstLineChars="0"/>
                    <w:jc w:val="center"/>
                    <w:rPr>
                      <w:rFonts w:hint="eastAsia" w:cs="宋体"/>
                      <w:color w:val="FF0000"/>
                      <w:sz w:val="21"/>
                      <w:szCs w:val="21"/>
                      <w:lang w:bidi="ar"/>
                    </w:rPr>
                  </w:pPr>
                </w:p>
              </w:tc>
              <w:tc>
                <w:tcPr>
                  <w:tcW w:w="976" w:type="dxa"/>
                  <w:vMerge w:val="continue"/>
                  <w:tcBorders>
                    <w:left w:val="single" w:color="auto" w:sz="4" w:space="0"/>
                    <w:bottom w:val="single" w:color="auto" w:sz="4" w:space="0"/>
                    <w:right w:val="single" w:color="auto" w:sz="4" w:space="0"/>
                  </w:tcBorders>
                  <w:shd w:val="clear" w:color="auto" w:fill="auto"/>
                  <w:vAlign w:val="center"/>
                </w:tcPr>
                <w:p w14:paraId="160838B8">
                  <w:pPr>
                    <w:pStyle w:val="19"/>
                    <w:keepNext w:val="0"/>
                    <w:keepLines w:val="0"/>
                    <w:suppressLineNumbers w:val="0"/>
                    <w:spacing w:before="0" w:beforeAutospacing="0" w:after="0" w:afterAutospacing="0" w:line="240" w:lineRule="auto"/>
                    <w:ind w:left="0" w:right="0" w:firstLine="0" w:firstLineChars="0"/>
                    <w:jc w:val="center"/>
                    <w:rPr>
                      <w:rFonts w:hint="eastAsia" w:cs="宋体"/>
                      <w:color w:val="FF0000"/>
                      <w:sz w:val="21"/>
                      <w:szCs w:val="21"/>
                      <w:lang w:bidi="ar"/>
                    </w:rPr>
                  </w:pPr>
                </w:p>
              </w:tc>
              <w:tc>
                <w:tcPr>
                  <w:tcW w:w="1138" w:type="dxa"/>
                  <w:vMerge w:val="continue"/>
                  <w:tcBorders>
                    <w:left w:val="single" w:color="auto" w:sz="4" w:space="0"/>
                    <w:bottom w:val="single" w:color="auto" w:sz="4" w:space="0"/>
                    <w:right w:val="single" w:color="auto" w:sz="4" w:space="0"/>
                  </w:tcBorders>
                  <w:shd w:val="clear" w:color="auto" w:fill="auto"/>
                  <w:vAlign w:val="center"/>
                </w:tcPr>
                <w:p w14:paraId="54749AB9">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color w:val="FF0000"/>
                      <w:sz w:val="21"/>
                      <w:szCs w:val="21"/>
                    </w:rPr>
                  </w:pPr>
                </w:p>
              </w:tc>
              <w:tc>
                <w:tcPr>
                  <w:tcW w:w="1139" w:type="dxa"/>
                  <w:tcBorders>
                    <w:top w:val="single" w:color="auto" w:sz="4" w:space="0"/>
                    <w:left w:val="single" w:color="auto" w:sz="4" w:space="0"/>
                    <w:bottom w:val="single" w:color="auto" w:sz="4" w:space="0"/>
                    <w:right w:val="single" w:color="auto" w:sz="4" w:space="0"/>
                  </w:tcBorders>
                  <w:shd w:val="clear" w:color="auto" w:fill="auto"/>
                  <w:vAlign w:val="center"/>
                </w:tcPr>
                <w:p w14:paraId="186087AC">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0.049</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4A418A81">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0.026</w:t>
                  </w:r>
                </w:p>
              </w:tc>
              <w:tc>
                <w:tcPr>
                  <w:tcW w:w="1464" w:type="dxa"/>
                  <w:tcBorders>
                    <w:top w:val="single" w:color="auto" w:sz="4" w:space="0"/>
                    <w:left w:val="single" w:color="auto" w:sz="4" w:space="0"/>
                    <w:bottom w:val="single" w:color="auto" w:sz="4" w:space="0"/>
                    <w:right w:val="single" w:color="auto" w:sz="4" w:space="0"/>
                  </w:tcBorders>
                  <w:shd w:val="clear" w:color="auto" w:fill="auto"/>
                  <w:vAlign w:val="center"/>
                </w:tcPr>
                <w:p w14:paraId="4F6B5978">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color w:val="FF0000"/>
                      <w:sz w:val="21"/>
                      <w:szCs w:val="21"/>
                    </w:rPr>
                  </w:pPr>
                  <w:r>
                    <w:rPr>
                      <w:rFonts w:hint="eastAsia" w:ascii="Times New Roman" w:hAnsi="Times New Roman" w:cs="宋体"/>
                      <w:sz w:val="21"/>
                      <w:szCs w:val="21"/>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64542BEE">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无组织</w:t>
                  </w:r>
                </w:p>
              </w:tc>
            </w:tr>
            <w:tr w14:paraId="26EC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77"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308F16D7">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合计</w:t>
                  </w:r>
                </w:p>
              </w:tc>
              <w:tc>
                <w:tcPr>
                  <w:tcW w:w="1138" w:type="dxa"/>
                  <w:vMerge w:val="restart"/>
                  <w:tcBorders>
                    <w:top w:val="nil"/>
                    <w:left w:val="single" w:color="auto" w:sz="4" w:space="0"/>
                    <w:bottom w:val="single" w:color="auto" w:sz="4" w:space="0"/>
                    <w:right w:val="single" w:color="auto" w:sz="4" w:space="0"/>
                  </w:tcBorders>
                  <w:shd w:val="clear" w:color="auto" w:fill="auto"/>
                  <w:vAlign w:val="center"/>
                </w:tcPr>
                <w:p w14:paraId="7C6C0BD2">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51.64</w:t>
                  </w:r>
                </w:p>
              </w:tc>
              <w:tc>
                <w:tcPr>
                  <w:tcW w:w="1139" w:type="dxa"/>
                  <w:tcBorders>
                    <w:top w:val="single" w:color="auto" w:sz="4" w:space="0"/>
                    <w:left w:val="single" w:color="auto" w:sz="4" w:space="0"/>
                    <w:bottom w:val="single" w:color="auto" w:sz="4" w:space="0"/>
                    <w:right w:val="single" w:color="auto" w:sz="4" w:space="0"/>
                  </w:tcBorders>
                  <w:shd w:val="clear" w:color="auto" w:fill="auto"/>
                  <w:vAlign w:val="center"/>
                </w:tcPr>
                <w:p w14:paraId="580E6FB3">
                  <w:pPr>
                    <w:pStyle w:val="42"/>
                    <w:keepNext w:val="0"/>
                    <w:keepLines w:val="0"/>
                    <w:widowControl/>
                    <w:suppressLineNumbers w:val="0"/>
                    <w:spacing w:before="0" w:beforeAutospacing="0" w:after="0" w:afterAutospacing="0"/>
                    <w:ind w:left="0" w:right="0"/>
                    <w:rPr>
                      <w:rFonts w:hint="default"/>
                    </w:rPr>
                  </w:pPr>
                  <w:r>
                    <w:rPr>
                      <w:rFonts w:hint="default"/>
                    </w:rPr>
                    <w:t>0.0336</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3CDFFBF8">
                  <w:pPr>
                    <w:pStyle w:val="42"/>
                    <w:keepNext w:val="0"/>
                    <w:keepLines w:val="0"/>
                    <w:widowControl/>
                    <w:suppressLineNumbers w:val="0"/>
                    <w:spacing w:before="0" w:beforeAutospacing="0" w:after="0" w:afterAutospacing="0"/>
                    <w:ind w:left="0" w:right="0"/>
                    <w:rPr>
                      <w:rFonts w:hint="default"/>
                    </w:rPr>
                  </w:pPr>
                  <w:r>
                    <w:rPr>
                      <w:rFonts w:hint="default"/>
                    </w:rPr>
                    <w:t>0.054</w:t>
                  </w:r>
                </w:p>
              </w:tc>
              <w:tc>
                <w:tcPr>
                  <w:tcW w:w="1464" w:type="dxa"/>
                  <w:tcBorders>
                    <w:top w:val="single" w:color="auto" w:sz="4" w:space="0"/>
                    <w:left w:val="single" w:color="auto" w:sz="4" w:space="0"/>
                    <w:bottom w:val="single" w:color="auto" w:sz="4" w:space="0"/>
                    <w:right w:val="single" w:color="auto" w:sz="4" w:space="0"/>
                  </w:tcBorders>
                  <w:shd w:val="clear" w:color="auto" w:fill="auto"/>
                  <w:vAlign w:val="center"/>
                </w:tcPr>
                <w:p w14:paraId="77D2400B">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57EFD5DD">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有组织</w:t>
                  </w:r>
                </w:p>
              </w:tc>
            </w:tr>
            <w:tr w14:paraId="551A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77" w:type="dxa"/>
                  <w:gridSpan w:val="2"/>
                  <w:vMerge w:val="continue"/>
                  <w:tcBorders>
                    <w:top w:val="nil"/>
                    <w:left w:val="single" w:color="auto" w:sz="4" w:space="0"/>
                    <w:bottom w:val="single" w:color="auto" w:sz="4" w:space="0"/>
                    <w:right w:val="single" w:color="auto" w:sz="4" w:space="0"/>
                  </w:tcBorders>
                  <w:shd w:val="clear" w:color="auto" w:fill="auto"/>
                  <w:vAlign w:val="center"/>
                </w:tcPr>
                <w:p w14:paraId="553DA59F">
                  <w:pPr>
                    <w:keepNext w:val="0"/>
                    <w:keepLines w:val="0"/>
                    <w:suppressLineNumbers w:val="0"/>
                    <w:spacing w:before="0" w:beforeAutospacing="0" w:after="0" w:afterAutospacing="0"/>
                    <w:ind w:left="0" w:right="0" w:firstLine="400"/>
                    <w:rPr>
                      <w:rFonts w:hint="default"/>
                      <w:sz w:val="20"/>
                      <w:szCs w:val="20"/>
                    </w:rPr>
                  </w:pPr>
                </w:p>
              </w:tc>
              <w:tc>
                <w:tcPr>
                  <w:tcW w:w="1138" w:type="dxa"/>
                  <w:vMerge w:val="continue"/>
                  <w:tcBorders>
                    <w:top w:val="nil"/>
                    <w:left w:val="single" w:color="auto" w:sz="4" w:space="0"/>
                    <w:bottom w:val="single" w:color="auto" w:sz="4" w:space="0"/>
                    <w:right w:val="single" w:color="auto" w:sz="4" w:space="0"/>
                  </w:tcBorders>
                  <w:shd w:val="clear" w:color="auto" w:fill="auto"/>
                  <w:vAlign w:val="center"/>
                </w:tcPr>
                <w:p w14:paraId="3907B049">
                  <w:pPr>
                    <w:keepNext w:val="0"/>
                    <w:keepLines w:val="0"/>
                    <w:suppressLineNumbers w:val="0"/>
                    <w:spacing w:before="0" w:beforeAutospacing="0" w:after="0" w:afterAutospacing="0"/>
                    <w:ind w:left="0" w:right="0" w:firstLine="400"/>
                    <w:rPr>
                      <w:rFonts w:hint="default"/>
                      <w:sz w:val="20"/>
                      <w:szCs w:val="20"/>
                    </w:rPr>
                  </w:pPr>
                </w:p>
              </w:tc>
              <w:tc>
                <w:tcPr>
                  <w:tcW w:w="1139" w:type="dxa"/>
                  <w:tcBorders>
                    <w:top w:val="single" w:color="auto" w:sz="4" w:space="0"/>
                    <w:left w:val="single" w:color="auto" w:sz="4" w:space="0"/>
                    <w:bottom w:val="single" w:color="auto" w:sz="4" w:space="0"/>
                    <w:right w:val="single" w:color="auto" w:sz="4" w:space="0"/>
                  </w:tcBorders>
                  <w:shd w:val="clear" w:color="auto" w:fill="auto"/>
                  <w:vAlign w:val="center"/>
                </w:tcPr>
                <w:p w14:paraId="7702AD18">
                  <w:pPr>
                    <w:pStyle w:val="42"/>
                    <w:keepNext w:val="0"/>
                    <w:keepLines w:val="0"/>
                    <w:widowControl/>
                    <w:suppressLineNumbers w:val="0"/>
                    <w:spacing w:before="0" w:beforeAutospacing="0" w:after="0" w:afterAutospacing="0"/>
                    <w:ind w:left="0" w:right="0"/>
                    <w:rPr>
                      <w:rFonts w:hint="default"/>
                    </w:rPr>
                  </w:pPr>
                  <w:r>
                    <w:rPr>
                      <w:rFonts w:hint="default"/>
                    </w:rPr>
                    <w:t>0.2381</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3CB763FC">
                  <w:pPr>
                    <w:pStyle w:val="42"/>
                    <w:keepNext w:val="0"/>
                    <w:keepLines w:val="0"/>
                    <w:widowControl/>
                    <w:suppressLineNumbers w:val="0"/>
                    <w:spacing w:before="0" w:beforeAutospacing="0" w:after="0" w:afterAutospacing="0"/>
                    <w:ind w:left="0" w:right="0"/>
                    <w:rPr>
                      <w:rFonts w:hint="default"/>
                    </w:rPr>
                  </w:pPr>
                  <w:r>
                    <w:rPr>
                      <w:rFonts w:hint="default"/>
                    </w:rPr>
                    <w:t>0.1251</w:t>
                  </w:r>
                </w:p>
              </w:tc>
              <w:tc>
                <w:tcPr>
                  <w:tcW w:w="1464" w:type="dxa"/>
                  <w:tcBorders>
                    <w:top w:val="single" w:color="auto" w:sz="4" w:space="0"/>
                    <w:left w:val="single" w:color="auto" w:sz="4" w:space="0"/>
                    <w:bottom w:val="single" w:color="auto" w:sz="4" w:space="0"/>
                    <w:right w:val="single" w:color="auto" w:sz="4" w:space="0"/>
                  </w:tcBorders>
                  <w:shd w:val="clear" w:color="auto" w:fill="auto"/>
                  <w:vAlign w:val="center"/>
                </w:tcPr>
                <w:p w14:paraId="62839489">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6CE62B60">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无组织</w:t>
                  </w:r>
                </w:p>
              </w:tc>
            </w:tr>
            <w:tr w14:paraId="60C5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77" w:type="dxa"/>
                  <w:gridSpan w:val="2"/>
                  <w:vMerge w:val="continue"/>
                  <w:tcBorders>
                    <w:top w:val="nil"/>
                    <w:left w:val="single" w:color="auto" w:sz="4" w:space="0"/>
                    <w:bottom w:val="single" w:color="auto" w:sz="4" w:space="0"/>
                    <w:right w:val="single" w:color="auto" w:sz="4" w:space="0"/>
                  </w:tcBorders>
                  <w:shd w:val="clear" w:color="auto" w:fill="auto"/>
                  <w:vAlign w:val="center"/>
                </w:tcPr>
                <w:p w14:paraId="06DE1A05">
                  <w:pPr>
                    <w:keepNext w:val="0"/>
                    <w:keepLines w:val="0"/>
                    <w:suppressLineNumbers w:val="0"/>
                    <w:spacing w:before="0" w:beforeAutospacing="0" w:after="0" w:afterAutospacing="0"/>
                    <w:ind w:left="0" w:right="0" w:firstLine="400"/>
                    <w:rPr>
                      <w:rFonts w:hint="default"/>
                      <w:sz w:val="20"/>
                      <w:szCs w:val="20"/>
                    </w:rPr>
                  </w:pPr>
                </w:p>
              </w:tc>
              <w:tc>
                <w:tcPr>
                  <w:tcW w:w="1138" w:type="dxa"/>
                  <w:vMerge w:val="continue"/>
                  <w:tcBorders>
                    <w:top w:val="nil"/>
                    <w:left w:val="single" w:color="auto" w:sz="4" w:space="0"/>
                    <w:bottom w:val="single" w:color="auto" w:sz="4" w:space="0"/>
                    <w:right w:val="single" w:color="auto" w:sz="4" w:space="0"/>
                  </w:tcBorders>
                  <w:shd w:val="clear" w:color="auto" w:fill="auto"/>
                  <w:vAlign w:val="center"/>
                </w:tcPr>
                <w:p w14:paraId="1198D722">
                  <w:pPr>
                    <w:keepNext w:val="0"/>
                    <w:keepLines w:val="0"/>
                    <w:suppressLineNumbers w:val="0"/>
                    <w:spacing w:before="0" w:beforeAutospacing="0" w:after="0" w:afterAutospacing="0"/>
                    <w:ind w:left="0" w:right="0" w:firstLine="400"/>
                    <w:rPr>
                      <w:rFonts w:hint="default"/>
                      <w:sz w:val="20"/>
                      <w:szCs w:val="20"/>
                    </w:rPr>
                  </w:pPr>
                </w:p>
              </w:tc>
              <w:tc>
                <w:tcPr>
                  <w:tcW w:w="1139" w:type="dxa"/>
                  <w:tcBorders>
                    <w:top w:val="single" w:color="auto" w:sz="4" w:space="0"/>
                    <w:left w:val="single" w:color="auto" w:sz="4" w:space="0"/>
                    <w:bottom w:val="single" w:color="auto" w:sz="4" w:space="0"/>
                    <w:right w:val="single" w:color="auto" w:sz="4" w:space="0"/>
                  </w:tcBorders>
                  <w:shd w:val="clear" w:color="auto" w:fill="auto"/>
                  <w:vAlign w:val="center"/>
                </w:tcPr>
                <w:p w14:paraId="2F81F85D">
                  <w:pPr>
                    <w:pStyle w:val="42"/>
                    <w:keepNext w:val="0"/>
                    <w:keepLines w:val="0"/>
                    <w:widowControl/>
                    <w:suppressLineNumbers w:val="0"/>
                    <w:spacing w:before="0" w:beforeAutospacing="0" w:after="0" w:afterAutospacing="0"/>
                    <w:ind w:left="0" w:right="0"/>
                    <w:rPr>
                      <w:rFonts w:hint="default"/>
                    </w:rPr>
                  </w:pPr>
                  <w:r>
                    <w:rPr>
                      <w:rFonts w:hint="default"/>
                    </w:rPr>
                    <w:t>0.2717</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2821C66D">
                  <w:pPr>
                    <w:pStyle w:val="42"/>
                    <w:keepNext w:val="0"/>
                    <w:keepLines w:val="0"/>
                    <w:widowControl/>
                    <w:suppressLineNumbers w:val="0"/>
                    <w:spacing w:before="0" w:beforeAutospacing="0" w:after="0" w:afterAutospacing="0"/>
                    <w:ind w:left="0" w:right="0"/>
                    <w:rPr>
                      <w:rFonts w:hint="default"/>
                    </w:rPr>
                  </w:pPr>
                  <w:r>
                    <w:rPr>
                      <w:rFonts w:hint="default"/>
                    </w:rPr>
                    <w:t>/</w:t>
                  </w:r>
                </w:p>
              </w:tc>
              <w:tc>
                <w:tcPr>
                  <w:tcW w:w="1464" w:type="dxa"/>
                  <w:tcBorders>
                    <w:top w:val="single" w:color="auto" w:sz="4" w:space="0"/>
                    <w:left w:val="single" w:color="auto" w:sz="4" w:space="0"/>
                    <w:bottom w:val="single" w:color="auto" w:sz="4" w:space="0"/>
                    <w:right w:val="single" w:color="auto" w:sz="4" w:space="0"/>
                  </w:tcBorders>
                  <w:shd w:val="clear" w:color="auto" w:fill="auto"/>
                  <w:vAlign w:val="center"/>
                </w:tcPr>
                <w:p w14:paraId="32C617BE">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7489AD2F">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合计</w:t>
                  </w:r>
                </w:p>
              </w:tc>
            </w:tr>
          </w:tbl>
          <w:p w14:paraId="23B37F74">
            <w:pPr>
              <w:keepNext w:val="0"/>
              <w:keepLines w:val="0"/>
              <w:suppressLineNumbers w:val="0"/>
              <w:spacing w:before="0" w:beforeAutospacing="0" w:after="0" w:afterAutospacing="0"/>
              <w:ind w:left="0" w:right="0" w:firstLine="482"/>
              <w:rPr>
                <w:rFonts w:hint="default"/>
                <w:b/>
              </w:rPr>
            </w:pPr>
            <w:r>
              <w:rPr>
                <w:rFonts w:hint="eastAsia"/>
                <w:b/>
              </w:rPr>
              <w:t>（2）大气污染物源强核算</w:t>
            </w:r>
          </w:p>
          <w:p w14:paraId="382D56F7">
            <w:pPr>
              <w:keepNext w:val="0"/>
              <w:keepLines w:val="0"/>
              <w:numPr>
                <w:ilvl w:val="0"/>
                <w:numId w:val="16"/>
              </w:numPr>
              <w:suppressLineNumbers w:val="0"/>
              <w:spacing w:before="0" w:beforeAutospacing="0" w:after="0" w:afterAutospacing="0"/>
              <w:ind w:right="0" w:firstLine="480"/>
              <w:rPr>
                <w:rFonts w:hint="default"/>
              </w:rPr>
            </w:pPr>
            <w:r>
              <w:rPr>
                <w:rFonts w:hint="eastAsia" w:ascii="宋体" w:hAnsi="宋体" w:cs="宋体"/>
              </w:rPr>
              <w:t>车辆运输道路扬尘</w:t>
            </w:r>
          </w:p>
          <w:p w14:paraId="3E6E02B2">
            <w:pPr>
              <w:keepNext w:val="0"/>
              <w:keepLines w:val="0"/>
              <w:suppressLineNumbers w:val="0"/>
              <w:spacing w:before="0" w:beforeAutospacing="0" w:after="0" w:afterAutospacing="0"/>
              <w:ind w:left="0" w:right="0" w:firstLine="480"/>
              <w:rPr>
                <w:rFonts w:hint="default"/>
              </w:rPr>
            </w:pPr>
            <w:r>
              <w:rPr>
                <w:rFonts w:hint="default"/>
              </w:rPr>
              <w:t>项目运输车辆在行驶过程中产生的扬尘，在道路完全干燥的情况下，按下列经验公式计算：</w:t>
            </w:r>
          </w:p>
          <w:p w14:paraId="1D6A2CA6">
            <w:pPr>
              <w:keepNext w:val="0"/>
              <w:keepLines w:val="0"/>
              <w:suppressLineNumbers w:val="0"/>
              <w:spacing w:before="0" w:beforeAutospacing="0" w:after="0" w:afterAutospacing="0"/>
              <w:ind w:left="0" w:right="0" w:firstLine="0" w:firstLineChars="0"/>
              <w:jc w:val="center"/>
              <w:rPr>
                <w:rFonts w:hint="default"/>
              </w:rPr>
            </w:pPr>
            <w:r>
              <w:rPr>
                <w:rFonts w:hint="default"/>
              </w:rPr>
              <w:t>Q</w:t>
            </w:r>
            <w:r>
              <w:rPr>
                <w:rFonts w:hint="default"/>
                <w:vertAlign w:val="subscript"/>
              </w:rPr>
              <w:t>y</w:t>
            </w:r>
            <w:r>
              <w:rPr>
                <w:rFonts w:hint="default"/>
              </w:rPr>
              <w:t>=0.123×（V/5）×（W/6.8）</w:t>
            </w:r>
            <w:r>
              <w:rPr>
                <w:rFonts w:hint="default"/>
                <w:vertAlign w:val="superscript"/>
              </w:rPr>
              <w:t>0.85</w:t>
            </w:r>
            <w:r>
              <w:rPr>
                <w:rFonts w:hint="default"/>
              </w:rPr>
              <w:t>×（P/0.5）</w:t>
            </w:r>
            <w:r>
              <w:rPr>
                <w:rFonts w:hint="default"/>
                <w:vertAlign w:val="superscript"/>
              </w:rPr>
              <w:t>0.72</w:t>
            </w:r>
          </w:p>
          <w:p w14:paraId="0D3FA8CF">
            <w:pPr>
              <w:keepNext w:val="0"/>
              <w:keepLines w:val="0"/>
              <w:suppressLineNumbers w:val="0"/>
              <w:spacing w:before="0" w:beforeAutospacing="0" w:after="0" w:afterAutospacing="0"/>
              <w:ind w:left="0" w:right="0" w:firstLine="480"/>
              <w:rPr>
                <w:rFonts w:hint="default"/>
              </w:rPr>
            </w:pPr>
            <w:r>
              <w:rPr>
                <w:rFonts w:hint="default"/>
              </w:rPr>
              <w:t>式中：Q</w:t>
            </w:r>
            <w:r>
              <w:rPr>
                <w:rFonts w:hint="default"/>
                <w:vertAlign w:val="subscript"/>
              </w:rPr>
              <w:t>y</w:t>
            </w:r>
            <w:r>
              <w:rPr>
                <w:rFonts w:hint="default"/>
              </w:rPr>
              <w:t>——交通运输起尘量，kg/km·辆；</w:t>
            </w:r>
          </w:p>
          <w:p w14:paraId="5E3BD222">
            <w:pPr>
              <w:keepNext w:val="0"/>
              <w:keepLines w:val="0"/>
              <w:suppressLineNumbers w:val="0"/>
              <w:spacing w:before="0" w:beforeAutospacing="0" w:after="0" w:afterAutospacing="0"/>
              <w:ind w:left="0" w:right="0" w:firstLine="1200" w:firstLineChars="500"/>
              <w:rPr>
                <w:rFonts w:hint="default"/>
              </w:rPr>
            </w:pPr>
            <w:r>
              <w:rPr>
                <w:rFonts w:hint="default"/>
              </w:rPr>
              <w:t>V——车辆行驶速度，km/h；</w:t>
            </w:r>
          </w:p>
          <w:p w14:paraId="37F94063">
            <w:pPr>
              <w:keepNext w:val="0"/>
              <w:keepLines w:val="0"/>
              <w:suppressLineNumbers w:val="0"/>
              <w:spacing w:before="0" w:beforeAutospacing="0" w:after="0" w:afterAutospacing="0"/>
              <w:ind w:left="0" w:right="0" w:firstLine="1200" w:firstLineChars="500"/>
              <w:rPr>
                <w:rFonts w:hint="default"/>
              </w:rPr>
            </w:pPr>
            <w:r>
              <w:rPr>
                <w:rFonts w:hint="default"/>
              </w:rPr>
              <w:t>W——汽车载重量，吨/辆；</w:t>
            </w:r>
          </w:p>
          <w:p w14:paraId="7027EE3A">
            <w:pPr>
              <w:keepNext w:val="0"/>
              <w:keepLines w:val="0"/>
              <w:suppressLineNumbers w:val="0"/>
              <w:spacing w:before="0" w:beforeAutospacing="0" w:after="0" w:afterAutospacing="0"/>
              <w:ind w:left="0" w:right="0" w:firstLine="1200" w:firstLineChars="500"/>
              <w:rPr>
                <w:rFonts w:hint="default"/>
              </w:rPr>
            </w:pPr>
            <w:r>
              <w:rPr>
                <w:rFonts w:hint="default"/>
              </w:rPr>
              <w:t>P——路面状况，以每平米路面灰尘覆盖率表示，kg/m</w:t>
            </w:r>
            <w:r>
              <w:rPr>
                <w:rFonts w:hint="default"/>
                <w:vertAlign w:val="superscript"/>
              </w:rPr>
              <w:t>2</w:t>
            </w:r>
            <w:r>
              <w:rPr>
                <w:rFonts w:hint="default"/>
              </w:rPr>
              <w:t>；</w:t>
            </w:r>
          </w:p>
          <w:p w14:paraId="46EB2639">
            <w:pPr>
              <w:keepNext w:val="0"/>
              <w:keepLines w:val="0"/>
              <w:suppressLineNumbers w:val="0"/>
              <w:spacing w:before="0" w:beforeAutospacing="0" w:after="0" w:afterAutospacing="0"/>
              <w:ind w:left="0" w:right="0" w:firstLine="480"/>
              <w:rPr>
                <w:rFonts w:hint="default"/>
              </w:rPr>
            </w:pPr>
            <w:r>
              <w:rPr>
                <w:rFonts w:hint="default"/>
              </w:rPr>
              <w:t>项目车辆在厂区内行驶距离按</w:t>
            </w:r>
            <w:r>
              <w:rPr>
                <w:rFonts w:hint="eastAsia"/>
              </w:rPr>
              <w:t>3</w:t>
            </w:r>
            <w:r>
              <w:rPr>
                <w:rFonts w:hint="default"/>
              </w:rPr>
              <w:t>00m计，项目年运输原料及成品车次共</w:t>
            </w:r>
            <w:r>
              <w:rPr>
                <w:rFonts w:hint="eastAsia"/>
              </w:rPr>
              <w:t>约2600</w:t>
            </w:r>
            <w:r>
              <w:rPr>
                <w:rFonts w:hint="default"/>
              </w:rPr>
              <w:t>车次；平均车重按30t计，以20km/h的速度行驶，对道路路况以0.10kg/m</w:t>
            </w:r>
            <w:r>
              <w:rPr>
                <w:rFonts w:hint="default"/>
                <w:vertAlign w:val="superscript"/>
              </w:rPr>
              <w:t>2</w:t>
            </w:r>
            <w:r>
              <w:rPr>
                <w:rFonts w:hint="default"/>
              </w:rPr>
              <w:t>计，则经过核算，项目运输扬尘量为0.</w:t>
            </w:r>
            <w:r>
              <w:rPr>
                <w:rFonts w:hint="eastAsia"/>
              </w:rPr>
              <w:t>43</w:t>
            </w:r>
            <w:r>
              <w:rPr>
                <w:rFonts w:hint="default"/>
              </w:rPr>
              <w:t>t/a。</w:t>
            </w:r>
          </w:p>
          <w:p w14:paraId="46263BFD">
            <w:pPr>
              <w:keepNext w:val="0"/>
              <w:keepLines w:val="0"/>
              <w:suppressLineNumbers w:val="0"/>
              <w:spacing w:before="0" w:beforeAutospacing="0" w:after="0" w:afterAutospacing="0"/>
              <w:ind w:left="0" w:right="0" w:firstLine="480"/>
              <w:rPr>
                <w:rFonts w:hint="default"/>
              </w:rPr>
            </w:pPr>
            <w:r>
              <w:rPr>
                <w:rFonts w:hint="default"/>
              </w:rPr>
              <w:t>通过厂区内道路地面硬化、及时清扫、定期洒水</w:t>
            </w:r>
            <w:r>
              <w:rPr>
                <w:rFonts w:hint="eastAsia"/>
              </w:rPr>
              <w:t>、</w:t>
            </w:r>
            <w:r>
              <w:rPr>
                <w:rFonts w:hint="default"/>
              </w:rPr>
              <w:t>车辆减速慢行、</w:t>
            </w:r>
            <w:r>
              <w:rPr>
                <w:rFonts w:hint="eastAsia"/>
              </w:rPr>
              <w:t>进出厂区冲洗、</w:t>
            </w:r>
            <w:r>
              <w:rPr>
                <w:rFonts w:hint="default"/>
              </w:rPr>
              <w:t>物料遮盖等措施，减少运输扬尘的产生，采取上述措施后，道路运输产生的扬尘可减少80%，则运输扬尘的年排放总量为0.</w:t>
            </w:r>
            <w:r>
              <w:rPr>
                <w:rFonts w:hint="eastAsia"/>
              </w:rPr>
              <w:t>085</w:t>
            </w:r>
            <w:r>
              <w:rPr>
                <w:rFonts w:hint="default"/>
              </w:rPr>
              <w:t>t/a。</w:t>
            </w:r>
          </w:p>
          <w:p w14:paraId="43D8263C">
            <w:pPr>
              <w:keepNext w:val="0"/>
              <w:keepLines w:val="0"/>
              <w:numPr>
                <w:ilvl w:val="0"/>
                <w:numId w:val="16"/>
              </w:numPr>
              <w:suppressLineNumbers w:val="0"/>
              <w:spacing w:before="0" w:beforeAutospacing="0" w:after="0" w:afterAutospacing="0"/>
              <w:ind w:right="0" w:firstLine="480"/>
              <w:rPr>
                <w:rFonts w:hint="eastAsia" w:ascii="宋体" w:hAnsi="宋体" w:cs="宋体"/>
              </w:rPr>
            </w:pPr>
            <w:r>
              <w:rPr>
                <w:rFonts w:hint="eastAsia" w:ascii="宋体" w:hAnsi="宋体" w:cs="宋体"/>
              </w:rPr>
              <w:t>原料库房物料堆场扬尘</w:t>
            </w:r>
          </w:p>
          <w:p w14:paraId="563FB705">
            <w:pPr>
              <w:keepNext w:val="0"/>
              <w:keepLines w:val="0"/>
              <w:suppressLineNumbers w:val="0"/>
              <w:spacing w:before="0" w:beforeAutospacing="0" w:after="0" w:afterAutospacing="0"/>
              <w:ind w:left="0" w:right="0" w:firstLine="480"/>
              <w:rPr>
                <w:rFonts w:hint="default"/>
              </w:rPr>
            </w:pPr>
            <w:r>
              <w:rPr>
                <w:rFonts w:hint="eastAsia" w:ascii="宋体" w:hAnsi="宋体" w:cs="宋体"/>
                <w:lang w:bidi="ar"/>
              </w:rPr>
              <w:t>根据中华人民共和国生态环境部</w:t>
            </w:r>
            <w:r>
              <w:rPr>
                <w:rFonts w:hint="default"/>
                <w:lang w:bidi="ar"/>
              </w:rPr>
              <w:t>2021</w:t>
            </w:r>
            <w:r>
              <w:rPr>
                <w:rFonts w:hint="eastAsia" w:ascii="宋体" w:hAnsi="宋体" w:cs="宋体"/>
                <w:lang w:bidi="ar"/>
              </w:rPr>
              <w:t>年</w:t>
            </w:r>
            <w:r>
              <w:rPr>
                <w:rFonts w:hint="default"/>
                <w:lang w:bidi="ar"/>
              </w:rPr>
              <w:t>6</w:t>
            </w:r>
            <w:r>
              <w:rPr>
                <w:rFonts w:hint="eastAsia" w:ascii="宋体" w:hAnsi="宋体" w:cs="宋体"/>
                <w:lang w:bidi="ar"/>
              </w:rPr>
              <w:t>月</w:t>
            </w:r>
            <w:r>
              <w:rPr>
                <w:rFonts w:hint="default"/>
                <w:lang w:bidi="ar"/>
              </w:rPr>
              <w:t>11</w:t>
            </w:r>
            <w:r>
              <w:rPr>
                <w:rFonts w:hint="eastAsia" w:ascii="宋体" w:hAnsi="宋体" w:cs="宋体"/>
                <w:lang w:bidi="ar"/>
              </w:rPr>
              <w:t>日发布的《关于发布“排放源统计调查产排污核算方法和系数手册”的公告》（公告</w:t>
            </w:r>
            <w:r>
              <w:rPr>
                <w:rFonts w:hint="default"/>
                <w:lang w:bidi="ar"/>
              </w:rPr>
              <w:t>2021</w:t>
            </w:r>
            <w:r>
              <w:rPr>
                <w:rFonts w:hint="eastAsia" w:ascii="宋体" w:hAnsi="宋体" w:cs="宋体"/>
                <w:lang w:bidi="ar"/>
              </w:rPr>
              <w:t>年第</w:t>
            </w:r>
            <w:r>
              <w:rPr>
                <w:rFonts w:hint="default"/>
                <w:lang w:bidi="ar"/>
              </w:rPr>
              <w:t>24</w:t>
            </w:r>
            <w:r>
              <w:rPr>
                <w:rFonts w:hint="eastAsia" w:ascii="宋体" w:hAnsi="宋体" w:cs="宋体"/>
                <w:lang w:bidi="ar"/>
              </w:rPr>
              <w:t>号），固体物料堆存颗粒物产排污核算系数手册中指出工业企业固体物料堆存颗粒物包括装卸扬尘和风蚀扬尘，颗粒物产生量核算公式如下：</w:t>
            </w:r>
          </w:p>
          <w:p w14:paraId="655D11E2">
            <w:pPr>
              <w:keepNext w:val="0"/>
              <w:keepLines w:val="0"/>
              <w:widowControl/>
              <w:suppressLineNumbers w:val="0"/>
              <w:spacing w:before="0" w:beforeAutospacing="1" w:after="0" w:afterAutospacing="1"/>
              <w:ind w:left="0" w:right="0" w:firstLine="0" w:firstLineChars="0"/>
              <w:jc w:val="center"/>
              <w:rPr>
                <w:rFonts w:hint="default"/>
              </w:rPr>
            </w:pPr>
            <w:r>
              <w:rPr>
                <w:rFonts w:hint="default"/>
                <w:lang w:bidi="ar"/>
              </w:rPr>
              <w:t>P=ZCy+FCy</w:t>
            </w:r>
          </w:p>
          <w:p w14:paraId="3E83E77D">
            <w:pPr>
              <w:keepNext w:val="0"/>
              <w:keepLines w:val="0"/>
              <w:suppressLineNumbers w:val="0"/>
              <w:spacing w:before="0" w:beforeAutospacing="0" w:after="0" w:afterAutospacing="0"/>
              <w:ind w:left="0" w:right="0" w:firstLine="480"/>
              <w:jc w:val="both"/>
              <w:rPr>
                <w:rFonts w:hint="default"/>
              </w:rPr>
            </w:pPr>
            <w:r>
              <w:rPr>
                <w:rFonts w:hint="eastAsia" w:ascii="宋体" w:hAnsi="宋体" w:cs="宋体"/>
                <w:lang w:bidi="ar"/>
              </w:rPr>
              <w:t>式中：</w:t>
            </w:r>
            <w:r>
              <w:rPr>
                <w:rFonts w:hint="default"/>
                <w:lang w:bidi="ar"/>
              </w:rPr>
              <w:t>P——</w:t>
            </w:r>
            <w:r>
              <w:rPr>
                <w:rFonts w:hint="eastAsia" w:ascii="宋体" w:hAnsi="宋体" w:cs="宋体"/>
                <w:lang w:bidi="ar"/>
              </w:rPr>
              <w:t>颗粒物产生量，</w:t>
            </w:r>
            <w:r>
              <w:rPr>
                <w:rFonts w:hint="default"/>
                <w:lang w:bidi="ar"/>
              </w:rPr>
              <w:t>t/a</w:t>
            </w:r>
            <w:r>
              <w:rPr>
                <w:rFonts w:hint="eastAsia" w:ascii="宋体" w:hAnsi="宋体" w:cs="宋体"/>
                <w:lang w:bidi="ar"/>
              </w:rPr>
              <w:t>；</w:t>
            </w:r>
          </w:p>
          <w:p w14:paraId="65547ED3">
            <w:pPr>
              <w:keepNext w:val="0"/>
              <w:keepLines w:val="0"/>
              <w:suppressLineNumbers w:val="0"/>
              <w:spacing w:before="0" w:beforeAutospacing="0" w:after="0" w:afterAutospacing="0"/>
              <w:ind w:left="0" w:right="0" w:firstLine="480"/>
              <w:jc w:val="both"/>
              <w:rPr>
                <w:rFonts w:hint="default"/>
              </w:rPr>
            </w:pPr>
            <w:r>
              <w:rPr>
                <w:rFonts w:hint="default"/>
                <w:lang w:bidi="ar"/>
              </w:rPr>
              <w:t>ZCy——</w:t>
            </w:r>
            <w:r>
              <w:rPr>
                <w:rFonts w:hint="eastAsia" w:ascii="宋体" w:hAnsi="宋体" w:cs="宋体"/>
                <w:lang w:bidi="ar"/>
              </w:rPr>
              <w:t>装卸扬尘产生量，</w:t>
            </w:r>
            <w:r>
              <w:rPr>
                <w:rFonts w:hint="default"/>
                <w:lang w:bidi="ar"/>
              </w:rPr>
              <w:t>t/a</w:t>
            </w:r>
            <w:r>
              <w:rPr>
                <w:rFonts w:hint="eastAsia" w:ascii="宋体" w:hAnsi="宋体" w:cs="宋体"/>
                <w:lang w:bidi="ar"/>
              </w:rPr>
              <w:t>；</w:t>
            </w:r>
          </w:p>
          <w:p w14:paraId="75924B60">
            <w:pPr>
              <w:keepNext w:val="0"/>
              <w:keepLines w:val="0"/>
              <w:suppressLineNumbers w:val="0"/>
              <w:spacing w:before="0" w:beforeAutospacing="0" w:after="0" w:afterAutospacing="0"/>
              <w:ind w:left="0" w:right="0" w:firstLine="480"/>
              <w:jc w:val="both"/>
              <w:rPr>
                <w:rFonts w:hint="default"/>
              </w:rPr>
            </w:pPr>
            <w:r>
              <w:rPr>
                <w:rFonts w:hint="default"/>
                <w:lang w:bidi="ar"/>
              </w:rPr>
              <w:t>FCy——</w:t>
            </w:r>
            <w:r>
              <w:rPr>
                <w:rFonts w:hint="eastAsia" w:ascii="宋体" w:hAnsi="宋体" w:cs="宋体"/>
                <w:lang w:bidi="ar"/>
              </w:rPr>
              <w:t>风蚀扬尘产生量，</w:t>
            </w:r>
            <w:r>
              <w:rPr>
                <w:rFonts w:hint="default"/>
                <w:lang w:bidi="ar"/>
              </w:rPr>
              <w:t>t/a</w:t>
            </w:r>
            <w:r>
              <w:rPr>
                <w:rFonts w:hint="eastAsia" w:ascii="宋体" w:hAnsi="宋体" w:cs="宋体"/>
                <w:lang w:bidi="ar"/>
              </w:rPr>
              <w:t>；</w:t>
            </w:r>
          </w:p>
          <w:p w14:paraId="0862A334">
            <w:pPr>
              <w:keepNext w:val="0"/>
              <w:keepLines w:val="0"/>
              <w:suppressLineNumbers w:val="0"/>
              <w:spacing w:before="0" w:beforeAutospacing="0" w:after="0" w:afterAutospacing="0"/>
              <w:ind w:left="0" w:right="0" w:firstLine="480"/>
              <w:jc w:val="both"/>
              <w:rPr>
                <w:rFonts w:hint="default"/>
                <w:bCs/>
              </w:rPr>
            </w:pPr>
            <w:r>
              <w:rPr>
                <w:rFonts w:hint="eastAsia" w:ascii="宋体" w:hAnsi="宋体" w:cs="宋体"/>
                <w:bCs/>
                <w:lang w:bidi="ar"/>
              </w:rPr>
              <w:t>由于项目原料库房均设置为封闭式库房，可不考虑风蚀扬尘（</w:t>
            </w:r>
            <w:r>
              <w:rPr>
                <w:rFonts w:hint="eastAsia" w:ascii="宋体" w:hAnsi="宋体" w:cs="宋体"/>
                <w:lang w:bidi="ar"/>
              </w:rPr>
              <w:t>即风蚀扬尘产生量为</w:t>
            </w:r>
            <w:r>
              <w:rPr>
                <w:rFonts w:hint="default"/>
                <w:lang w:bidi="ar"/>
              </w:rPr>
              <w:t>0</w:t>
            </w:r>
            <w:r>
              <w:rPr>
                <w:rFonts w:hint="eastAsia" w:ascii="宋体" w:hAnsi="宋体" w:cs="宋体"/>
                <w:bCs/>
                <w:lang w:bidi="ar"/>
              </w:rPr>
              <w:t>），本次计算仅考虑装卸扬尘。</w:t>
            </w:r>
          </w:p>
          <w:p w14:paraId="4B1BC926">
            <w:pPr>
              <w:keepNext w:val="0"/>
              <w:keepLines w:val="0"/>
              <w:suppressLineNumbers w:val="0"/>
              <w:spacing w:before="0" w:beforeAutospacing="0" w:after="0" w:afterAutospacing="0"/>
              <w:ind w:left="0" w:right="0" w:firstLine="482"/>
              <w:jc w:val="both"/>
              <w:rPr>
                <w:rFonts w:hint="default"/>
                <w:b/>
                <w:bCs/>
              </w:rPr>
            </w:pPr>
            <w:r>
              <w:rPr>
                <w:rFonts w:hint="eastAsia" w:ascii="宋体" w:hAnsi="宋体" w:cs="宋体"/>
                <w:b/>
                <w:bCs/>
                <w:lang w:bidi="ar"/>
              </w:rPr>
              <w:t>堆场装卸扬尘产生量计算公式如下：</w:t>
            </w:r>
          </w:p>
          <w:p w14:paraId="040086AF">
            <w:pPr>
              <w:keepNext w:val="0"/>
              <w:keepLines w:val="0"/>
              <w:widowControl/>
              <w:suppressLineNumbers w:val="0"/>
              <w:spacing w:before="0" w:beforeAutospacing="0" w:after="0" w:afterAutospacing="0"/>
              <w:ind w:left="0" w:right="0" w:firstLine="0" w:firstLineChars="0"/>
              <w:jc w:val="center"/>
              <w:rPr>
                <w:rFonts w:hint="default"/>
                <w:kern w:val="0"/>
              </w:rPr>
            </w:pPr>
            <w:r>
              <w:rPr>
                <w:rFonts w:hint="default"/>
                <w:kern w:val="0"/>
                <w:lang w:bidi="ar"/>
              </w:rPr>
              <w:t>ZCy=Nc×D×</w:t>
            </w:r>
            <w:r>
              <w:rPr>
                <w:rFonts w:hint="eastAsia" w:ascii="宋体" w:hAnsi="宋体" w:cs="宋体"/>
                <w:kern w:val="0"/>
                <w:lang w:bidi="ar"/>
              </w:rPr>
              <w:t>（</w:t>
            </w:r>
            <w:r>
              <w:rPr>
                <w:rFonts w:hint="default"/>
                <w:kern w:val="0"/>
                <w:lang w:bidi="ar"/>
              </w:rPr>
              <w:t>a/b</w:t>
            </w:r>
            <w:r>
              <w:rPr>
                <w:rFonts w:hint="eastAsia" w:ascii="宋体" w:hAnsi="宋体" w:cs="宋体"/>
                <w:kern w:val="0"/>
                <w:lang w:bidi="ar"/>
              </w:rPr>
              <w:t>）</w:t>
            </w:r>
            <w:r>
              <w:rPr>
                <w:rFonts w:hint="default"/>
                <w:kern w:val="0"/>
                <w:lang w:bidi="ar"/>
              </w:rPr>
              <w:t>×10</w:t>
            </w:r>
            <w:r>
              <w:rPr>
                <w:rFonts w:hint="default"/>
                <w:kern w:val="0"/>
                <w:vertAlign w:val="superscript"/>
                <w:lang w:bidi="ar"/>
              </w:rPr>
              <w:t>-3</w:t>
            </w:r>
          </w:p>
          <w:p w14:paraId="233B8CD1">
            <w:pPr>
              <w:keepNext w:val="0"/>
              <w:keepLines w:val="0"/>
              <w:suppressLineNumbers w:val="0"/>
              <w:spacing w:before="0" w:beforeAutospacing="0" w:after="0" w:afterAutospacing="0"/>
              <w:ind w:left="0" w:right="0" w:firstLine="480"/>
              <w:jc w:val="both"/>
              <w:rPr>
                <w:rFonts w:hint="eastAsia" w:ascii="宋体" w:hAnsi="宋体" w:cs="宋体"/>
              </w:rPr>
            </w:pPr>
            <w:r>
              <w:rPr>
                <w:rFonts w:hint="eastAsia" w:ascii="宋体" w:hAnsi="宋体" w:cs="宋体"/>
                <w:lang w:bidi="ar"/>
              </w:rPr>
              <w:t>式中：</w:t>
            </w:r>
            <w:r>
              <w:rPr>
                <w:rFonts w:hint="default" w:cs="宋体"/>
                <w:lang w:bidi="ar"/>
              </w:rPr>
              <w:t>ZCy</w:t>
            </w:r>
            <w:r>
              <w:rPr>
                <w:rFonts w:hint="eastAsia" w:ascii="宋体" w:hAnsi="宋体" w:cs="宋体"/>
                <w:lang w:bidi="ar"/>
              </w:rPr>
              <w:t>——装卸扬尘产生量，</w:t>
            </w:r>
            <w:r>
              <w:rPr>
                <w:rFonts w:hint="default" w:cs="宋体"/>
                <w:lang w:bidi="ar"/>
              </w:rPr>
              <w:t>t</w:t>
            </w:r>
            <w:r>
              <w:rPr>
                <w:rFonts w:hint="eastAsia" w:ascii="宋体" w:hAnsi="宋体" w:cs="宋体"/>
                <w:lang w:bidi="ar"/>
              </w:rPr>
              <w:t>/</w:t>
            </w:r>
            <w:r>
              <w:rPr>
                <w:rFonts w:hint="default" w:cs="宋体"/>
                <w:lang w:bidi="ar"/>
              </w:rPr>
              <w:t>a</w:t>
            </w:r>
            <w:r>
              <w:rPr>
                <w:rFonts w:hint="eastAsia" w:ascii="宋体" w:hAnsi="宋体" w:cs="宋体"/>
                <w:lang w:bidi="ar"/>
              </w:rPr>
              <w:t>；</w:t>
            </w:r>
          </w:p>
          <w:p w14:paraId="3E95EBF8">
            <w:pPr>
              <w:keepNext w:val="0"/>
              <w:keepLines w:val="0"/>
              <w:suppressLineNumbers w:val="0"/>
              <w:spacing w:before="0" w:beforeAutospacing="0" w:after="0" w:afterAutospacing="0"/>
              <w:ind w:left="0" w:right="0" w:firstLine="480"/>
              <w:jc w:val="both"/>
              <w:rPr>
                <w:rFonts w:hint="eastAsia" w:ascii="宋体" w:hAnsi="宋体" w:cs="宋体"/>
              </w:rPr>
            </w:pPr>
            <w:r>
              <w:rPr>
                <w:rFonts w:hint="default" w:cs="宋体"/>
                <w:lang w:bidi="ar"/>
              </w:rPr>
              <w:t>Nc</w:t>
            </w:r>
            <w:r>
              <w:rPr>
                <w:rFonts w:hint="eastAsia" w:ascii="宋体" w:hAnsi="宋体" w:cs="宋体"/>
                <w:lang w:bidi="ar"/>
              </w:rPr>
              <w:t>——指年物料运载车次（单位：车）；</w:t>
            </w:r>
          </w:p>
          <w:p w14:paraId="188A4BDC">
            <w:pPr>
              <w:keepNext w:val="0"/>
              <w:keepLines w:val="0"/>
              <w:suppressLineNumbers w:val="0"/>
              <w:spacing w:before="0" w:beforeAutospacing="0" w:after="0" w:afterAutospacing="0"/>
              <w:ind w:left="0" w:right="0" w:firstLine="480"/>
              <w:jc w:val="both"/>
              <w:rPr>
                <w:rFonts w:hint="eastAsia" w:ascii="宋体" w:hAnsi="宋体" w:cs="宋体"/>
              </w:rPr>
            </w:pPr>
            <w:r>
              <w:rPr>
                <w:rFonts w:hint="default" w:cs="宋体"/>
                <w:lang w:bidi="ar"/>
              </w:rPr>
              <w:t>D</w:t>
            </w:r>
            <w:r>
              <w:rPr>
                <w:rFonts w:hint="eastAsia" w:ascii="宋体" w:hAnsi="宋体" w:cs="宋体"/>
                <w:lang w:bidi="ar"/>
              </w:rPr>
              <w:t>——指单车平均运载量（单位：吨/车）；</w:t>
            </w:r>
          </w:p>
          <w:p w14:paraId="0C8CE455">
            <w:pPr>
              <w:keepNext w:val="0"/>
              <w:keepLines w:val="0"/>
              <w:suppressLineNumbers w:val="0"/>
              <w:spacing w:before="0" w:beforeAutospacing="0" w:after="0" w:afterAutospacing="0"/>
              <w:ind w:left="0" w:right="0" w:firstLine="480"/>
              <w:jc w:val="both"/>
              <w:rPr>
                <w:rFonts w:hint="eastAsia" w:ascii="宋体" w:hAnsi="宋体" w:cs="宋体"/>
              </w:rPr>
            </w:pPr>
            <w:r>
              <w:rPr>
                <w:rFonts w:hint="default" w:cs="宋体"/>
                <w:lang w:bidi="ar"/>
              </w:rPr>
              <w:t>a</w:t>
            </w:r>
            <w:r>
              <w:rPr>
                <w:rFonts w:hint="eastAsia" w:ascii="宋体" w:hAnsi="宋体" w:cs="宋体"/>
                <w:lang w:bidi="ar"/>
              </w:rPr>
              <w:t>/</w:t>
            </w:r>
            <w:r>
              <w:rPr>
                <w:rFonts w:hint="default" w:cs="宋体"/>
                <w:lang w:bidi="ar"/>
              </w:rPr>
              <w:t>b</w:t>
            </w:r>
            <w:r>
              <w:rPr>
                <w:rFonts w:hint="eastAsia" w:ascii="宋体" w:hAnsi="宋体" w:cs="宋体"/>
                <w:lang w:bidi="ar"/>
              </w:rPr>
              <w:t>——装卸扬尘概化系数（单位：千克/吨），</w:t>
            </w:r>
            <w:r>
              <w:rPr>
                <w:rFonts w:hint="default" w:cs="宋体"/>
                <w:lang w:bidi="ar"/>
              </w:rPr>
              <w:t>a</w:t>
            </w:r>
            <w:r>
              <w:rPr>
                <w:rFonts w:hint="eastAsia" w:ascii="宋体" w:hAnsi="宋体" w:cs="宋体"/>
                <w:lang w:bidi="ar"/>
              </w:rPr>
              <w:t>指各省风速概化系数，河北省取</w:t>
            </w:r>
            <w:r>
              <w:rPr>
                <w:rFonts w:hint="default" w:cs="宋体"/>
                <w:lang w:bidi="ar"/>
              </w:rPr>
              <w:t>0</w:t>
            </w:r>
            <w:r>
              <w:rPr>
                <w:rFonts w:hint="eastAsia" w:ascii="宋体" w:hAnsi="宋体" w:cs="宋体"/>
                <w:lang w:bidi="ar"/>
              </w:rPr>
              <w:t>.</w:t>
            </w:r>
            <w:r>
              <w:rPr>
                <w:rFonts w:hint="default" w:cs="宋体"/>
                <w:lang w:bidi="ar"/>
              </w:rPr>
              <w:t>001</w:t>
            </w:r>
            <w:r>
              <w:rPr>
                <w:rFonts w:hint="eastAsia" w:ascii="宋体" w:hAnsi="宋体" w:cs="宋体"/>
                <w:lang w:bidi="ar"/>
              </w:rPr>
              <w:t>，</w:t>
            </w:r>
            <w:r>
              <w:rPr>
                <w:rFonts w:hint="default" w:cs="宋体"/>
                <w:lang w:bidi="ar"/>
              </w:rPr>
              <w:t>b</w:t>
            </w:r>
            <w:r>
              <w:rPr>
                <w:rFonts w:hint="eastAsia" w:ascii="宋体" w:hAnsi="宋体" w:cs="宋体"/>
                <w:lang w:bidi="ar"/>
              </w:rPr>
              <w:t>指物料含水率概化系数，项目石子、石粉含水率参考《排放源统计调查产排污核算方法和系数手册》中工业源固体物料堆场颗粒物核算系数手册的</w:t>
            </w:r>
            <w:r>
              <w:rPr>
                <w:rFonts w:hint="default"/>
                <w:lang w:bidi="ar"/>
              </w:rPr>
              <w:t>附录2中各种石灰石产品的含水率，石子和石粉的含水率为2.1%，概化系数为0.0017。</w:t>
            </w:r>
          </w:p>
          <w:p w14:paraId="14204734">
            <w:pPr>
              <w:keepNext w:val="0"/>
              <w:keepLines w:val="0"/>
              <w:suppressLineNumbers w:val="0"/>
              <w:spacing w:before="0" w:beforeAutospacing="0" w:after="0" w:afterAutospacing="0"/>
              <w:ind w:left="0" w:right="0" w:firstLine="482"/>
              <w:jc w:val="both"/>
              <w:rPr>
                <w:rFonts w:hint="default"/>
                <w:b/>
                <w:bCs/>
              </w:rPr>
            </w:pPr>
            <w:r>
              <w:rPr>
                <w:rFonts w:hint="eastAsia" w:ascii="宋体" w:hAnsi="宋体" w:cs="宋体"/>
                <w:b/>
                <w:bCs/>
                <w:lang w:bidi="ar"/>
              </w:rPr>
              <w:t>工业企业固体物料堆场颗粒物排放量计算公式如下：</w:t>
            </w:r>
          </w:p>
          <w:p w14:paraId="355863D1">
            <w:pPr>
              <w:keepNext w:val="0"/>
              <w:keepLines w:val="0"/>
              <w:widowControl/>
              <w:suppressLineNumbers w:val="0"/>
              <w:spacing w:before="0" w:beforeAutospacing="0" w:after="0" w:afterAutospacing="0"/>
              <w:ind w:left="0" w:right="0" w:firstLine="0" w:firstLineChars="0"/>
              <w:jc w:val="center"/>
              <w:rPr>
                <w:rFonts w:hint="default"/>
                <w:kern w:val="0"/>
              </w:rPr>
            </w:pPr>
            <w:r>
              <w:rPr>
                <w:rFonts w:hint="default"/>
                <w:kern w:val="0"/>
                <w:lang w:bidi="ar"/>
              </w:rPr>
              <w:t>Uc=P×</w:t>
            </w:r>
            <w:r>
              <w:rPr>
                <w:rFonts w:hint="eastAsia" w:ascii="宋体" w:hAnsi="宋体" w:cs="宋体"/>
                <w:kern w:val="0"/>
                <w:lang w:bidi="ar"/>
              </w:rPr>
              <w:t>（</w:t>
            </w:r>
            <w:r>
              <w:rPr>
                <w:rFonts w:hint="default"/>
                <w:kern w:val="0"/>
                <w:lang w:bidi="ar"/>
              </w:rPr>
              <w:t>1-Cm</w:t>
            </w:r>
            <w:r>
              <w:rPr>
                <w:rFonts w:hint="eastAsia" w:ascii="宋体" w:hAnsi="宋体" w:cs="宋体"/>
                <w:kern w:val="0"/>
                <w:lang w:bidi="ar"/>
              </w:rPr>
              <w:t>）</w:t>
            </w:r>
            <w:r>
              <w:rPr>
                <w:rFonts w:hint="default"/>
                <w:kern w:val="0"/>
                <w:lang w:bidi="ar"/>
              </w:rPr>
              <w:t>×</w:t>
            </w:r>
            <w:r>
              <w:rPr>
                <w:rFonts w:hint="eastAsia" w:ascii="宋体" w:hAnsi="宋体" w:cs="宋体"/>
                <w:kern w:val="0"/>
                <w:lang w:bidi="ar"/>
              </w:rPr>
              <w:t>（</w:t>
            </w:r>
            <w:r>
              <w:rPr>
                <w:rFonts w:hint="default"/>
                <w:kern w:val="0"/>
                <w:lang w:bidi="ar"/>
              </w:rPr>
              <w:t>1-Tm</w:t>
            </w:r>
            <w:r>
              <w:rPr>
                <w:rFonts w:hint="eastAsia" w:ascii="宋体" w:hAnsi="宋体" w:cs="宋体"/>
                <w:kern w:val="0"/>
                <w:lang w:bidi="ar"/>
              </w:rPr>
              <w:t>）</w:t>
            </w:r>
          </w:p>
          <w:p w14:paraId="1AFA1F2C">
            <w:pPr>
              <w:keepNext w:val="0"/>
              <w:keepLines w:val="0"/>
              <w:suppressLineNumbers w:val="0"/>
              <w:spacing w:before="0" w:beforeAutospacing="0" w:after="0" w:afterAutospacing="0"/>
              <w:ind w:left="0" w:right="0" w:firstLine="480"/>
              <w:jc w:val="both"/>
              <w:rPr>
                <w:rFonts w:hint="eastAsia" w:ascii="宋体" w:hAnsi="宋体" w:cs="宋体"/>
              </w:rPr>
            </w:pPr>
            <w:r>
              <w:rPr>
                <w:rFonts w:hint="eastAsia" w:ascii="宋体" w:hAnsi="宋体" w:cs="宋体"/>
                <w:lang w:bidi="ar"/>
              </w:rPr>
              <w:t>式中：</w:t>
            </w:r>
            <w:r>
              <w:rPr>
                <w:rFonts w:hint="default" w:cs="宋体"/>
                <w:lang w:bidi="ar"/>
              </w:rPr>
              <w:t>P</w:t>
            </w:r>
            <w:r>
              <w:rPr>
                <w:rFonts w:hint="eastAsia" w:ascii="宋体" w:hAnsi="宋体" w:cs="宋体"/>
                <w:lang w:bidi="ar"/>
              </w:rPr>
              <w:t>——颗粒物产生量，</w:t>
            </w:r>
            <w:r>
              <w:rPr>
                <w:rFonts w:hint="default" w:cs="宋体"/>
                <w:lang w:bidi="ar"/>
              </w:rPr>
              <w:t>t</w:t>
            </w:r>
            <w:r>
              <w:rPr>
                <w:rFonts w:hint="eastAsia" w:ascii="宋体" w:hAnsi="宋体" w:cs="宋体"/>
                <w:lang w:bidi="ar"/>
              </w:rPr>
              <w:t>/</w:t>
            </w:r>
            <w:r>
              <w:rPr>
                <w:rFonts w:hint="default" w:cs="宋体"/>
                <w:lang w:bidi="ar"/>
              </w:rPr>
              <w:t>a</w:t>
            </w:r>
            <w:r>
              <w:rPr>
                <w:rFonts w:hint="eastAsia" w:ascii="宋体" w:hAnsi="宋体" w:cs="宋体"/>
                <w:lang w:bidi="ar"/>
              </w:rPr>
              <w:t>；</w:t>
            </w:r>
          </w:p>
          <w:p w14:paraId="088A9116">
            <w:pPr>
              <w:keepNext w:val="0"/>
              <w:keepLines w:val="0"/>
              <w:suppressLineNumbers w:val="0"/>
              <w:spacing w:before="0" w:beforeAutospacing="0" w:after="0" w:afterAutospacing="0"/>
              <w:ind w:left="0" w:right="0" w:firstLine="480"/>
              <w:jc w:val="both"/>
              <w:rPr>
                <w:rFonts w:hint="eastAsia" w:ascii="宋体" w:hAnsi="宋体" w:cs="宋体"/>
              </w:rPr>
            </w:pPr>
            <w:r>
              <w:rPr>
                <w:rFonts w:hint="default" w:cs="宋体"/>
                <w:lang w:bidi="ar"/>
              </w:rPr>
              <w:t>Uc</w:t>
            </w:r>
            <w:r>
              <w:rPr>
                <w:rFonts w:hint="eastAsia" w:ascii="宋体" w:hAnsi="宋体" w:cs="宋体"/>
                <w:lang w:bidi="ar"/>
              </w:rPr>
              <w:t>——颗粒物排放量，</w:t>
            </w:r>
            <w:r>
              <w:rPr>
                <w:rFonts w:hint="default" w:cs="宋体"/>
                <w:lang w:bidi="ar"/>
              </w:rPr>
              <w:t>t</w:t>
            </w:r>
            <w:r>
              <w:rPr>
                <w:rFonts w:hint="eastAsia" w:ascii="宋体" w:hAnsi="宋体" w:cs="宋体"/>
                <w:lang w:bidi="ar"/>
              </w:rPr>
              <w:t>/</w:t>
            </w:r>
            <w:r>
              <w:rPr>
                <w:rFonts w:hint="default" w:cs="宋体"/>
                <w:lang w:bidi="ar"/>
              </w:rPr>
              <w:t>a</w:t>
            </w:r>
            <w:r>
              <w:rPr>
                <w:rFonts w:hint="eastAsia" w:ascii="宋体" w:hAnsi="宋体" w:cs="宋体"/>
                <w:lang w:bidi="ar"/>
              </w:rPr>
              <w:t>；</w:t>
            </w:r>
          </w:p>
          <w:p w14:paraId="46ECB203">
            <w:pPr>
              <w:keepNext w:val="0"/>
              <w:keepLines w:val="0"/>
              <w:suppressLineNumbers w:val="0"/>
              <w:spacing w:before="0" w:beforeAutospacing="0" w:after="0" w:afterAutospacing="0"/>
              <w:ind w:left="0" w:right="0" w:firstLine="480"/>
              <w:jc w:val="both"/>
              <w:rPr>
                <w:rFonts w:hint="eastAsia" w:ascii="宋体" w:hAnsi="宋体" w:cs="宋体"/>
              </w:rPr>
            </w:pPr>
            <w:r>
              <w:rPr>
                <w:rFonts w:hint="default" w:cs="宋体"/>
                <w:lang w:bidi="ar"/>
              </w:rPr>
              <w:t>Cm</w:t>
            </w:r>
            <w:r>
              <w:rPr>
                <w:rFonts w:hint="eastAsia" w:ascii="宋体" w:hAnsi="宋体" w:cs="宋体"/>
                <w:lang w:bidi="ar"/>
              </w:rPr>
              <w:t>——颗粒物控制措施控制效率，%；</w:t>
            </w:r>
          </w:p>
          <w:p w14:paraId="0175FFB3">
            <w:pPr>
              <w:keepNext w:val="0"/>
              <w:keepLines w:val="0"/>
              <w:suppressLineNumbers w:val="0"/>
              <w:spacing w:before="0" w:beforeAutospacing="0" w:after="0" w:afterAutospacing="0"/>
              <w:ind w:left="0" w:right="0" w:firstLine="480"/>
              <w:jc w:val="both"/>
              <w:rPr>
                <w:rFonts w:hint="eastAsia" w:ascii="宋体" w:hAnsi="宋体" w:cs="宋体"/>
              </w:rPr>
            </w:pPr>
            <w:r>
              <w:rPr>
                <w:rFonts w:hint="default" w:cs="宋体"/>
                <w:lang w:bidi="ar"/>
              </w:rPr>
              <w:t>Tm</w:t>
            </w:r>
            <w:r>
              <w:rPr>
                <w:rFonts w:hint="eastAsia" w:ascii="宋体" w:hAnsi="宋体" w:cs="宋体"/>
                <w:lang w:bidi="ar"/>
              </w:rPr>
              <w:t>——堆场类型控制效率，%。</w:t>
            </w:r>
          </w:p>
          <w:p w14:paraId="26DF2B01">
            <w:pPr>
              <w:pStyle w:val="19"/>
              <w:keepNext w:val="0"/>
              <w:keepLines w:val="0"/>
              <w:widowControl w:val="0"/>
              <w:numPr>
                <w:ilvl w:val="0"/>
                <w:numId w:val="15"/>
              </w:numPr>
              <w:suppressLineNumbers w:val="0"/>
              <w:spacing w:before="0" w:beforeAutospacing="0" w:after="0" w:afterAutospacing="0"/>
              <w:ind w:left="0" w:right="0" w:firstLine="0" w:firstLineChars="0"/>
              <w:jc w:val="center"/>
              <w:rPr>
                <w:rFonts w:hint="default" w:ascii="Times New Roman" w:hAnsi="Times New Roman"/>
                <w:b/>
                <w:sz w:val="21"/>
              </w:rPr>
            </w:pPr>
            <w:r>
              <w:rPr>
                <w:rFonts w:hint="eastAsia" w:ascii="Times New Roman" w:hAnsi="Times New Roman"/>
                <w:b/>
                <w:sz w:val="21"/>
              </w:rPr>
              <w:t>粉尘控制措施</w:t>
            </w:r>
            <w:r>
              <w:rPr>
                <w:rFonts w:hint="eastAsia" w:cs="宋体"/>
                <w:b/>
                <w:sz w:val="21"/>
                <w:szCs w:val="21"/>
                <w:lang w:bidi="ar"/>
              </w:rPr>
              <w:t>控制</w:t>
            </w:r>
            <w:r>
              <w:rPr>
                <w:rFonts w:hint="eastAsia" w:ascii="Times New Roman" w:hAnsi="Times New Roman"/>
                <w:b/>
                <w:sz w:val="21"/>
              </w:rPr>
              <w:t>效率</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3777"/>
              <w:gridCol w:w="2801"/>
            </w:tblGrid>
            <w:tr w14:paraId="52A2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5A8188F3">
                  <w:pPr>
                    <w:pStyle w:val="42"/>
                    <w:keepNext w:val="0"/>
                    <w:keepLines w:val="0"/>
                    <w:widowControl/>
                    <w:suppressLineNumbers w:val="0"/>
                    <w:spacing w:before="0" w:beforeAutospacing="0" w:after="0" w:afterAutospacing="0"/>
                    <w:ind w:left="0" w:right="0"/>
                    <w:rPr>
                      <w:rFonts w:hint="default"/>
                      <w:b/>
                      <w:bCs/>
                    </w:rPr>
                  </w:pPr>
                  <w:r>
                    <w:rPr>
                      <w:b/>
                      <w:bCs/>
                    </w:rPr>
                    <w:t>序号</w:t>
                  </w:r>
                </w:p>
              </w:tc>
              <w:tc>
                <w:tcPr>
                  <w:tcW w:w="3827" w:type="dxa"/>
                  <w:tcBorders>
                    <w:top w:val="single" w:color="auto" w:sz="4" w:space="0"/>
                    <w:left w:val="nil"/>
                    <w:bottom w:val="single" w:color="auto" w:sz="4" w:space="0"/>
                    <w:right w:val="single" w:color="auto" w:sz="4" w:space="0"/>
                  </w:tcBorders>
                  <w:shd w:val="clear" w:color="auto" w:fill="auto"/>
                  <w:vAlign w:val="center"/>
                </w:tcPr>
                <w:p w14:paraId="366FB17A">
                  <w:pPr>
                    <w:pStyle w:val="42"/>
                    <w:keepNext w:val="0"/>
                    <w:keepLines w:val="0"/>
                    <w:widowControl/>
                    <w:suppressLineNumbers w:val="0"/>
                    <w:spacing w:before="0" w:beforeAutospacing="0" w:after="0" w:afterAutospacing="0"/>
                    <w:ind w:left="0" w:right="0"/>
                    <w:rPr>
                      <w:rFonts w:hint="default"/>
                      <w:b/>
                      <w:bCs/>
                    </w:rPr>
                  </w:pPr>
                  <w:r>
                    <w:rPr>
                      <w:b/>
                      <w:bCs/>
                    </w:rPr>
                    <w:t>控制措施</w:t>
                  </w:r>
                </w:p>
              </w:tc>
              <w:tc>
                <w:tcPr>
                  <w:tcW w:w="2834" w:type="dxa"/>
                  <w:tcBorders>
                    <w:top w:val="single" w:color="auto" w:sz="4" w:space="0"/>
                    <w:left w:val="nil"/>
                    <w:bottom w:val="single" w:color="auto" w:sz="4" w:space="0"/>
                    <w:right w:val="single" w:color="auto" w:sz="4" w:space="0"/>
                  </w:tcBorders>
                  <w:shd w:val="clear" w:color="auto" w:fill="auto"/>
                  <w:vAlign w:val="center"/>
                </w:tcPr>
                <w:p w14:paraId="75F8535C">
                  <w:pPr>
                    <w:pStyle w:val="42"/>
                    <w:keepNext w:val="0"/>
                    <w:keepLines w:val="0"/>
                    <w:widowControl/>
                    <w:suppressLineNumbers w:val="0"/>
                    <w:spacing w:before="0" w:beforeAutospacing="0" w:after="0" w:afterAutospacing="0"/>
                    <w:ind w:left="0" w:right="0"/>
                    <w:rPr>
                      <w:rFonts w:hint="default"/>
                      <w:b/>
                      <w:bCs/>
                    </w:rPr>
                  </w:pPr>
                  <w:r>
                    <w:rPr>
                      <w:b/>
                      <w:bCs/>
                    </w:rPr>
                    <w:t>控制效率</w:t>
                  </w:r>
                </w:p>
              </w:tc>
            </w:tr>
            <w:tr w14:paraId="13F4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4C80A3B4">
                  <w:pPr>
                    <w:pStyle w:val="42"/>
                    <w:keepNext w:val="0"/>
                    <w:keepLines w:val="0"/>
                    <w:widowControl/>
                    <w:suppressLineNumbers w:val="0"/>
                    <w:spacing w:before="0" w:beforeAutospacing="0" w:after="0" w:afterAutospacing="0"/>
                    <w:ind w:left="0" w:right="0"/>
                    <w:rPr>
                      <w:rFonts w:hint="default"/>
                    </w:rPr>
                  </w:pPr>
                  <w:r>
                    <w:rPr>
                      <w:rFonts w:hint="default"/>
                    </w:rPr>
                    <w:t>1</w:t>
                  </w:r>
                </w:p>
              </w:tc>
              <w:tc>
                <w:tcPr>
                  <w:tcW w:w="3827" w:type="dxa"/>
                  <w:tcBorders>
                    <w:top w:val="single" w:color="auto" w:sz="4" w:space="0"/>
                    <w:left w:val="nil"/>
                    <w:bottom w:val="single" w:color="auto" w:sz="4" w:space="0"/>
                    <w:right w:val="single" w:color="auto" w:sz="4" w:space="0"/>
                  </w:tcBorders>
                  <w:shd w:val="clear" w:color="auto" w:fill="auto"/>
                  <w:vAlign w:val="center"/>
                </w:tcPr>
                <w:p w14:paraId="7E15140B">
                  <w:pPr>
                    <w:pStyle w:val="42"/>
                    <w:keepNext w:val="0"/>
                    <w:keepLines w:val="0"/>
                    <w:widowControl/>
                    <w:suppressLineNumbers w:val="0"/>
                    <w:spacing w:before="0" w:beforeAutospacing="0" w:after="0" w:afterAutospacing="0"/>
                    <w:ind w:left="0" w:right="0"/>
                    <w:rPr>
                      <w:rFonts w:hint="default"/>
                    </w:rPr>
                  </w:pPr>
                  <w:r>
                    <w:t>洒水</w:t>
                  </w:r>
                </w:p>
              </w:tc>
              <w:tc>
                <w:tcPr>
                  <w:tcW w:w="2834" w:type="dxa"/>
                  <w:tcBorders>
                    <w:top w:val="single" w:color="auto" w:sz="4" w:space="0"/>
                    <w:left w:val="nil"/>
                    <w:bottom w:val="single" w:color="auto" w:sz="4" w:space="0"/>
                    <w:right w:val="single" w:color="auto" w:sz="4" w:space="0"/>
                  </w:tcBorders>
                  <w:shd w:val="clear" w:color="auto" w:fill="auto"/>
                  <w:vAlign w:val="center"/>
                </w:tcPr>
                <w:p w14:paraId="09AEDA2B">
                  <w:pPr>
                    <w:pStyle w:val="42"/>
                    <w:keepNext w:val="0"/>
                    <w:keepLines w:val="0"/>
                    <w:widowControl/>
                    <w:suppressLineNumbers w:val="0"/>
                    <w:spacing w:before="0" w:beforeAutospacing="0" w:after="0" w:afterAutospacing="0"/>
                    <w:ind w:left="0" w:right="0"/>
                    <w:rPr>
                      <w:rFonts w:hint="default"/>
                    </w:rPr>
                  </w:pPr>
                  <w:r>
                    <w:rPr>
                      <w:rFonts w:hint="default"/>
                    </w:rPr>
                    <w:t>0.74</w:t>
                  </w:r>
                </w:p>
              </w:tc>
            </w:tr>
            <w:tr w14:paraId="6B17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1F457130">
                  <w:pPr>
                    <w:pStyle w:val="42"/>
                    <w:keepNext w:val="0"/>
                    <w:keepLines w:val="0"/>
                    <w:widowControl/>
                    <w:suppressLineNumbers w:val="0"/>
                    <w:spacing w:before="0" w:beforeAutospacing="0" w:after="0" w:afterAutospacing="0"/>
                    <w:ind w:left="0" w:right="0"/>
                    <w:rPr>
                      <w:rFonts w:hint="default"/>
                    </w:rPr>
                  </w:pPr>
                  <w:r>
                    <w:rPr>
                      <w:rFonts w:hint="default"/>
                    </w:rPr>
                    <w:t>2</w:t>
                  </w:r>
                </w:p>
              </w:tc>
              <w:tc>
                <w:tcPr>
                  <w:tcW w:w="3827" w:type="dxa"/>
                  <w:tcBorders>
                    <w:top w:val="single" w:color="auto" w:sz="4" w:space="0"/>
                    <w:left w:val="nil"/>
                    <w:bottom w:val="single" w:color="auto" w:sz="4" w:space="0"/>
                    <w:right w:val="single" w:color="auto" w:sz="4" w:space="0"/>
                  </w:tcBorders>
                  <w:shd w:val="clear" w:color="auto" w:fill="auto"/>
                  <w:vAlign w:val="center"/>
                </w:tcPr>
                <w:p w14:paraId="46140518">
                  <w:pPr>
                    <w:pStyle w:val="42"/>
                    <w:keepNext w:val="0"/>
                    <w:keepLines w:val="0"/>
                    <w:widowControl/>
                    <w:suppressLineNumbers w:val="0"/>
                    <w:spacing w:before="0" w:beforeAutospacing="0" w:after="0" w:afterAutospacing="0"/>
                    <w:ind w:left="0" w:right="0"/>
                    <w:rPr>
                      <w:rFonts w:hint="default"/>
                    </w:rPr>
                  </w:pPr>
                  <w:r>
                    <w:t>围挡</w:t>
                  </w:r>
                </w:p>
              </w:tc>
              <w:tc>
                <w:tcPr>
                  <w:tcW w:w="2834" w:type="dxa"/>
                  <w:tcBorders>
                    <w:top w:val="single" w:color="auto" w:sz="4" w:space="0"/>
                    <w:left w:val="nil"/>
                    <w:bottom w:val="single" w:color="auto" w:sz="4" w:space="0"/>
                    <w:right w:val="single" w:color="auto" w:sz="4" w:space="0"/>
                  </w:tcBorders>
                  <w:shd w:val="clear" w:color="auto" w:fill="auto"/>
                  <w:vAlign w:val="center"/>
                </w:tcPr>
                <w:p w14:paraId="09144E93">
                  <w:pPr>
                    <w:pStyle w:val="42"/>
                    <w:keepNext w:val="0"/>
                    <w:keepLines w:val="0"/>
                    <w:widowControl/>
                    <w:suppressLineNumbers w:val="0"/>
                    <w:spacing w:before="0" w:beforeAutospacing="0" w:after="0" w:afterAutospacing="0"/>
                    <w:ind w:left="0" w:right="0"/>
                    <w:rPr>
                      <w:rFonts w:hint="default"/>
                    </w:rPr>
                  </w:pPr>
                  <w:r>
                    <w:rPr>
                      <w:rFonts w:hint="default"/>
                    </w:rPr>
                    <w:t>0.60</w:t>
                  </w:r>
                </w:p>
              </w:tc>
            </w:tr>
            <w:tr w14:paraId="73A8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71BDF913">
                  <w:pPr>
                    <w:pStyle w:val="42"/>
                    <w:keepNext w:val="0"/>
                    <w:keepLines w:val="0"/>
                    <w:widowControl/>
                    <w:suppressLineNumbers w:val="0"/>
                    <w:spacing w:before="0" w:beforeAutospacing="0" w:after="0" w:afterAutospacing="0"/>
                    <w:ind w:left="0" w:right="0"/>
                    <w:rPr>
                      <w:rFonts w:hint="default"/>
                    </w:rPr>
                  </w:pPr>
                  <w:r>
                    <w:rPr>
                      <w:rFonts w:hint="default"/>
                    </w:rPr>
                    <w:t>3</w:t>
                  </w:r>
                </w:p>
              </w:tc>
              <w:tc>
                <w:tcPr>
                  <w:tcW w:w="3827" w:type="dxa"/>
                  <w:tcBorders>
                    <w:top w:val="single" w:color="auto" w:sz="4" w:space="0"/>
                    <w:left w:val="nil"/>
                    <w:bottom w:val="single" w:color="auto" w:sz="4" w:space="0"/>
                    <w:right w:val="single" w:color="auto" w:sz="4" w:space="0"/>
                  </w:tcBorders>
                  <w:shd w:val="clear" w:color="auto" w:fill="auto"/>
                  <w:vAlign w:val="center"/>
                </w:tcPr>
                <w:p w14:paraId="20095334">
                  <w:pPr>
                    <w:pStyle w:val="42"/>
                    <w:keepNext w:val="0"/>
                    <w:keepLines w:val="0"/>
                    <w:widowControl/>
                    <w:suppressLineNumbers w:val="0"/>
                    <w:spacing w:before="0" w:beforeAutospacing="0" w:after="0" w:afterAutospacing="0"/>
                    <w:ind w:left="0" w:right="0"/>
                    <w:rPr>
                      <w:rFonts w:hint="default"/>
                    </w:rPr>
                  </w:pPr>
                  <w:r>
                    <w:t>化学剂</w:t>
                  </w:r>
                </w:p>
              </w:tc>
              <w:tc>
                <w:tcPr>
                  <w:tcW w:w="2834" w:type="dxa"/>
                  <w:tcBorders>
                    <w:top w:val="single" w:color="auto" w:sz="4" w:space="0"/>
                    <w:left w:val="nil"/>
                    <w:bottom w:val="single" w:color="auto" w:sz="4" w:space="0"/>
                    <w:right w:val="single" w:color="auto" w:sz="4" w:space="0"/>
                  </w:tcBorders>
                  <w:shd w:val="clear" w:color="auto" w:fill="auto"/>
                  <w:vAlign w:val="center"/>
                </w:tcPr>
                <w:p w14:paraId="20C9AAC3">
                  <w:pPr>
                    <w:pStyle w:val="42"/>
                    <w:keepNext w:val="0"/>
                    <w:keepLines w:val="0"/>
                    <w:widowControl/>
                    <w:suppressLineNumbers w:val="0"/>
                    <w:spacing w:before="0" w:beforeAutospacing="0" w:after="0" w:afterAutospacing="0"/>
                    <w:ind w:left="0" w:right="0"/>
                    <w:rPr>
                      <w:rFonts w:hint="default"/>
                    </w:rPr>
                  </w:pPr>
                  <w:r>
                    <w:rPr>
                      <w:rFonts w:hint="default"/>
                    </w:rPr>
                    <w:t>0.88</w:t>
                  </w:r>
                </w:p>
              </w:tc>
            </w:tr>
            <w:tr w14:paraId="5C68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2E2D91CF">
                  <w:pPr>
                    <w:pStyle w:val="42"/>
                    <w:keepNext w:val="0"/>
                    <w:keepLines w:val="0"/>
                    <w:widowControl/>
                    <w:suppressLineNumbers w:val="0"/>
                    <w:spacing w:before="0" w:beforeAutospacing="0" w:after="0" w:afterAutospacing="0"/>
                    <w:ind w:left="0" w:right="0"/>
                    <w:rPr>
                      <w:rFonts w:hint="default"/>
                    </w:rPr>
                  </w:pPr>
                  <w:r>
                    <w:rPr>
                      <w:rFonts w:hint="default"/>
                    </w:rPr>
                    <w:t>4</w:t>
                  </w:r>
                </w:p>
              </w:tc>
              <w:tc>
                <w:tcPr>
                  <w:tcW w:w="3827" w:type="dxa"/>
                  <w:tcBorders>
                    <w:top w:val="single" w:color="auto" w:sz="4" w:space="0"/>
                    <w:left w:val="nil"/>
                    <w:bottom w:val="single" w:color="auto" w:sz="4" w:space="0"/>
                    <w:right w:val="single" w:color="auto" w:sz="4" w:space="0"/>
                  </w:tcBorders>
                  <w:shd w:val="clear" w:color="auto" w:fill="auto"/>
                  <w:vAlign w:val="center"/>
                </w:tcPr>
                <w:p w14:paraId="253F751D">
                  <w:pPr>
                    <w:pStyle w:val="42"/>
                    <w:keepNext w:val="0"/>
                    <w:keepLines w:val="0"/>
                    <w:widowControl/>
                    <w:suppressLineNumbers w:val="0"/>
                    <w:spacing w:before="0" w:beforeAutospacing="0" w:after="0" w:afterAutospacing="0"/>
                    <w:ind w:left="0" w:right="0"/>
                    <w:rPr>
                      <w:rFonts w:hint="default"/>
                    </w:rPr>
                  </w:pPr>
                  <w:r>
                    <w:t>编制覆盖</w:t>
                  </w:r>
                </w:p>
              </w:tc>
              <w:tc>
                <w:tcPr>
                  <w:tcW w:w="2834" w:type="dxa"/>
                  <w:tcBorders>
                    <w:top w:val="single" w:color="auto" w:sz="4" w:space="0"/>
                    <w:left w:val="nil"/>
                    <w:bottom w:val="single" w:color="auto" w:sz="4" w:space="0"/>
                    <w:right w:val="single" w:color="auto" w:sz="4" w:space="0"/>
                  </w:tcBorders>
                  <w:shd w:val="clear" w:color="auto" w:fill="auto"/>
                  <w:vAlign w:val="center"/>
                </w:tcPr>
                <w:p w14:paraId="0E7C94E2">
                  <w:pPr>
                    <w:pStyle w:val="42"/>
                    <w:keepNext w:val="0"/>
                    <w:keepLines w:val="0"/>
                    <w:widowControl/>
                    <w:suppressLineNumbers w:val="0"/>
                    <w:spacing w:before="0" w:beforeAutospacing="0" w:after="0" w:afterAutospacing="0"/>
                    <w:ind w:left="0" w:right="0"/>
                    <w:rPr>
                      <w:rFonts w:hint="default"/>
                    </w:rPr>
                  </w:pPr>
                  <w:r>
                    <w:rPr>
                      <w:rFonts w:hint="default"/>
                    </w:rPr>
                    <w:t>0.86</w:t>
                  </w:r>
                </w:p>
              </w:tc>
            </w:tr>
            <w:tr w14:paraId="0B34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28D8E9C0">
                  <w:pPr>
                    <w:pStyle w:val="42"/>
                    <w:keepNext w:val="0"/>
                    <w:keepLines w:val="0"/>
                    <w:widowControl/>
                    <w:suppressLineNumbers w:val="0"/>
                    <w:spacing w:before="0" w:beforeAutospacing="0" w:after="0" w:afterAutospacing="0"/>
                    <w:ind w:left="0" w:right="0"/>
                    <w:rPr>
                      <w:rFonts w:hint="default"/>
                    </w:rPr>
                  </w:pPr>
                  <w:r>
                    <w:rPr>
                      <w:rFonts w:hint="default"/>
                    </w:rPr>
                    <w:t>5</w:t>
                  </w:r>
                </w:p>
              </w:tc>
              <w:tc>
                <w:tcPr>
                  <w:tcW w:w="3827" w:type="dxa"/>
                  <w:tcBorders>
                    <w:top w:val="single" w:color="auto" w:sz="4" w:space="0"/>
                    <w:left w:val="nil"/>
                    <w:bottom w:val="single" w:color="auto" w:sz="4" w:space="0"/>
                    <w:right w:val="single" w:color="auto" w:sz="4" w:space="0"/>
                  </w:tcBorders>
                  <w:shd w:val="clear" w:color="auto" w:fill="auto"/>
                  <w:vAlign w:val="center"/>
                </w:tcPr>
                <w:p w14:paraId="248C39F4">
                  <w:pPr>
                    <w:pStyle w:val="42"/>
                    <w:keepNext w:val="0"/>
                    <w:keepLines w:val="0"/>
                    <w:widowControl/>
                    <w:suppressLineNumbers w:val="0"/>
                    <w:spacing w:before="0" w:beforeAutospacing="0" w:after="0" w:afterAutospacing="0"/>
                    <w:ind w:left="0" w:right="0"/>
                    <w:rPr>
                      <w:rFonts w:hint="default"/>
                    </w:rPr>
                  </w:pPr>
                  <w:r>
                    <w:t>出入车辆冲洗</w:t>
                  </w:r>
                </w:p>
              </w:tc>
              <w:tc>
                <w:tcPr>
                  <w:tcW w:w="2834" w:type="dxa"/>
                  <w:tcBorders>
                    <w:top w:val="single" w:color="auto" w:sz="4" w:space="0"/>
                    <w:left w:val="nil"/>
                    <w:bottom w:val="single" w:color="auto" w:sz="4" w:space="0"/>
                    <w:right w:val="single" w:color="auto" w:sz="4" w:space="0"/>
                  </w:tcBorders>
                  <w:shd w:val="clear" w:color="auto" w:fill="auto"/>
                  <w:vAlign w:val="center"/>
                </w:tcPr>
                <w:p w14:paraId="3297F8E5">
                  <w:pPr>
                    <w:pStyle w:val="42"/>
                    <w:keepNext w:val="0"/>
                    <w:keepLines w:val="0"/>
                    <w:widowControl/>
                    <w:suppressLineNumbers w:val="0"/>
                    <w:spacing w:before="0" w:beforeAutospacing="0" w:after="0" w:afterAutospacing="0"/>
                    <w:ind w:left="0" w:right="0"/>
                    <w:rPr>
                      <w:rFonts w:hint="default"/>
                    </w:rPr>
                  </w:pPr>
                  <w:r>
                    <w:rPr>
                      <w:rFonts w:hint="default"/>
                    </w:rPr>
                    <w:t>0.78</w:t>
                  </w:r>
                </w:p>
              </w:tc>
            </w:tr>
          </w:tbl>
          <w:p w14:paraId="6AA10DC1">
            <w:pPr>
              <w:pStyle w:val="19"/>
              <w:keepNext w:val="0"/>
              <w:keepLines w:val="0"/>
              <w:widowControl w:val="0"/>
              <w:numPr>
                <w:ilvl w:val="0"/>
                <w:numId w:val="15"/>
              </w:numPr>
              <w:suppressLineNumbers w:val="0"/>
              <w:spacing w:before="0" w:beforeAutospacing="0" w:after="0" w:afterAutospacing="0"/>
              <w:ind w:left="0" w:right="0" w:firstLine="0" w:firstLineChars="0"/>
              <w:jc w:val="center"/>
              <w:rPr>
                <w:rFonts w:hint="default" w:ascii="Times New Roman" w:hAnsi="Times New Roman"/>
                <w:b/>
                <w:sz w:val="21"/>
              </w:rPr>
            </w:pPr>
            <w:r>
              <w:rPr>
                <w:rFonts w:hint="eastAsia" w:ascii="Times New Roman" w:hAnsi="Times New Roman"/>
                <w:b/>
                <w:sz w:val="21"/>
              </w:rPr>
              <w:t>堆场类型控制效率</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3777"/>
              <w:gridCol w:w="2801"/>
            </w:tblGrid>
            <w:tr w14:paraId="7A6A7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3F999894">
                  <w:pPr>
                    <w:pStyle w:val="42"/>
                    <w:keepNext w:val="0"/>
                    <w:keepLines w:val="0"/>
                    <w:widowControl/>
                    <w:suppressLineNumbers w:val="0"/>
                    <w:spacing w:before="0" w:beforeAutospacing="0" w:after="0" w:afterAutospacing="0"/>
                    <w:ind w:left="0" w:right="0"/>
                    <w:rPr>
                      <w:rFonts w:hint="default"/>
                      <w:b/>
                      <w:bCs/>
                    </w:rPr>
                  </w:pPr>
                  <w:r>
                    <w:rPr>
                      <w:b/>
                      <w:bCs/>
                    </w:rPr>
                    <w:t>序号</w:t>
                  </w:r>
                </w:p>
              </w:tc>
              <w:tc>
                <w:tcPr>
                  <w:tcW w:w="3827" w:type="dxa"/>
                  <w:tcBorders>
                    <w:top w:val="single" w:color="auto" w:sz="4" w:space="0"/>
                    <w:left w:val="nil"/>
                    <w:bottom w:val="single" w:color="auto" w:sz="4" w:space="0"/>
                    <w:right w:val="single" w:color="auto" w:sz="4" w:space="0"/>
                  </w:tcBorders>
                  <w:shd w:val="clear" w:color="auto" w:fill="auto"/>
                  <w:vAlign w:val="center"/>
                </w:tcPr>
                <w:p w14:paraId="027F3C16">
                  <w:pPr>
                    <w:pStyle w:val="42"/>
                    <w:keepNext w:val="0"/>
                    <w:keepLines w:val="0"/>
                    <w:widowControl/>
                    <w:suppressLineNumbers w:val="0"/>
                    <w:spacing w:before="0" w:beforeAutospacing="0" w:after="0" w:afterAutospacing="0"/>
                    <w:ind w:left="0" w:right="0"/>
                    <w:rPr>
                      <w:rFonts w:hint="default"/>
                      <w:b/>
                      <w:bCs/>
                    </w:rPr>
                  </w:pPr>
                  <w:r>
                    <w:rPr>
                      <w:b/>
                      <w:bCs/>
                    </w:rPr>
                    <w:t>堆场类型</w:t>
                  </w:r>
                </w:p>
              </w:tc>
              <w:tc>
                <w:tcPr>
                  <w:tcW w:w="2834" w:type="dxa"/>
                  <w:tcBorders>
                    <w:top w:val="single" w:color="auto" w:sz="4" w:space="0"/>
                    <w:left w:val="nil"/>
                    <w:bottom w:val="single" w:color="auto" w:sz="4" w:space="0"/>
                    <w:right w:val="single" w:color="auto" w:sz="4" w:space="0"/>
                  </w:tcBorders>
                  <w:shd w:val="clear" w:color="auto" w:fill="auto"/>
                  <w:vAlign w:val="center"/>
                </w:tcPr>
                <w:p w14:paraId="6630D50F">
                  <w:pPr>
                    <w:pStyle w:val="42"/>
                    <w:keepNext w:val="0"/>
                    <w:keepLines w:val="0"/>
                    <w:widowControl/>
                    <w:suppressLineNumbers w:val="0"/>
                    <w:spacing w:before="0" w:beforeAutospacing="0" w:after="0" w:afterAutospacing="0"/>
                    <w:ind w:left="0" w:right="0"/>
                    <w:rPr>
                      <w:rFonts w:hint="default"/>
                      <w:b/>
                      <w:bCs/>
                    </w:rPr>
                  </w:pPr>
                  <w:r>
                    <w:rPr>
                      <w:b/>
                      <w:bCs/>
                    </w:rPr>
                    <w:t>控制效率</w:t>
                  </w:r>
                </w:p>
              </w:tc>
            </w:tr>
            <w:tr w14:paraId="392A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6218EF19">
                  <w:pPr>
                    <w:pStyle w:val="42"/>
                    <w:keepNext w:val="0"/>
                    <w:keepLines w:val="0"/>
                    <w:widowControl/>
                    <w:suppressLineNumbers w:val="0"/>
                    <w:spacing w:before="0" w:beforeAutospacing="0" w:after="0" w:afterAutospacing="0"/>
                    <w:ind w:left="0" w:right="0"/>
                    <w:rPr>
                      <w:rFonts w:hint="default"/>
                    </w:rPr>
                  </w:pPr>
                  <w:r>
                    <w:rPr>
                      <w:rFonts w:hint="default"/>
                    </w:rPr>
                    <w:t>1</w:t>
                  </w:r>
                </w:p>
              </w:tc>
              <w:tc>
                <w:tcPr>
                  <w:tcW w:w="3827" w:type="dxa"/>
                  <w:tcBorders>
                    <w:top w:val="single" w:color="auto" w:sz="4" w:space="0"/>
                    <w:left w:val="nil"/>
                    <w:bottom w:val="single" w:color="auto" w:sz="4" w:space="0"/>
                    <w:right w:val="single" w:color="auto" w:sz="4" w:space="0"/>
                  </w:tcBorders>
                  <w:shd w:val="clear" w:color="auto" w:fill="auto"/>
                  <w:vAlign w:val="center"/>
                </w:tcPr>
                <w:p w14:paraId="71998731">
                  <w:pPr>
                    <w:pStyle w:val="42"/>
                    <w:keepNext w:val="0"/>
                    <w:keepLines w:val="0"/>
                    <w:widowControl/>
                    <w:suppressLineNumbers w:val="0"/>
                    <w:spacing w:before="0" w:beforeAutospacing="0" w:after="0" w:afterAutospacing="0"/>
                    <w:ind w:left="0" w:right="0"/>
                    <w:rPr>
                      <w:rFonts w:hint="default"/>
                    </w:rPr>
                  </w:pPr>
                  <w:r>
                    <w:t>敞开式</w:t>
                  </w:r>
                </w:p>
              </w:tc>
              <w:tc>
                <w:tcPr>
                  <w:tcW w:w="2834" w:type="dxa"/>
                  <w:tcBorders>
                    <w:top w:val="single" w:color="auto" w:sz="4" w:space="0"/>
                    <w:left w:val="nil"/>
                    <w:bottom w:val="single" w:color="auto" w:sz="4" w:space="0"/>
                    <w:right w:val="single" w:color="auto" w:sz="4" w:space="0"/>
                  </w:tcBorders>
                  <w:shd w:val="clear" w:color="auto" w:fill="auto"/>
                  <w:vAlign w:val="center"/>
                </w:tcPr>
                <w:p w14:paraId="29E45F55">
                  <w:pPr>
                    <w:pStyle w:val="42"/>
                    <w:keepNext w:val="0"/>
                    <w:keepLines w:val="0"/>
                    <w:widowControl/>
                    <w:suppressLineNumbers w:val="0"/>
                    <w:spacing w:before="0" w:beforeAutospacing="0" w:after="0" w:afterAutospacing="0"/>
                    <w:ind w:left="0" w:right="0"/>
                    <w:rPr>
                      <w:rFonts w:hint="default"/>
                    </w:rPr>
                  </w:pPr>
                  <w:r>
                    <w:rPr>
                      <w:rFonts w:hint="default"/>
                    </w:rPr>
                    <w:t>0</w:t>
                  </w:r>
                </w:p>
              </w:tc>
            </w:tr>
            <w:tr w14:paraId="1BDD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1E8880C3">
                  <w:pPr>
                    <w:pStyle w:val="42"/>
                    <w:keepNext w:val="0"/>
                    <w:keepLines w:val="0"/>
                    <w:widowControl/>
                    <w:suppressLineNumbers w:val="0"/>
                    <w:spacing w:before="0" w:beforeAutospacing="0" w:after="0" w:afterAutospacing="0"/>
                    <w:ind w:left="0" w:right="0"/>
                    <w:rPr>
                      <w:rFonts w:hint="default"/>
                    </w:rPr>
                  </w:pPr>
                  <w:r>
                    <w:rPr>
                      <w:rFonts w:hint="default"/>
                    </w:rPr>
                    <w:t>2</w:t>
                  </w:r>
                </w:p>
              </w:tc>
              <w:tc>
                <w:tcPr>
                  <w:tcW w:w="3827" w:type="dxa"/>
                  <w:tcBorders>
                    <w:top w:val="single" w:color="auto" w:sz="4" w:space="0"/>
                    <w:left w:val="nil"/>
                    <w:bottom w:val="single" w:color="auto" w:sz="4" w:space="0"/>
                    <w:right w:val="single" w:color="auto" w:sz="4" w:space="0"/>
                  </w:tcBorders>
                  <w:shd w:val="clear" w:color="auto" w:fill="auto"/>
                  <w:vAlign w:val="center"/>
                </w:tcPr>
                <w:p w14:paraId="75C06C76">
                  <w:pPr>
                    <w:pStyle w:val="42"/>
                    <w:keepNext w:val="0"/>
                    <w:keepLines w:val="0"/>
                    <w:widowControl/>
                    <w:suppressLineNumbers w:val="0"/>
                    <w:spacing w:before="0" w:beforeAutospacing="0" w:after="0" w:afterAutospacing="0"/>
                    <w:ind w:left="0" w:right="0"/>
                    <w:rPr>
                      <w:rFonts w:hint="default"/>
                    </w:rPr>
                  </w:pPr>
                  <w:r>
                    <w:t>密闭式</w:t>
                  </w:r>
                </w:p>
              </w:tc>
              <w:tc>
                <w:tcPr>
                  <w:tcW w:w="2834" w:type="dxa"/>
                  <w:tcBorders>
                    <w:top w:val="single" w:color="auto" w:sz="4" w:space="0"/>
                    <w:left w:val="nil"/>
                    <w:bottom w:val="single" w:color="auto" w:sz="4" w:space="0"/>
                    <w:right w:val="single" w:color="auto" w:sz="4" w:space="0"/>
                  </w:tcBorders>
                  <w:shd w:val="clear" w:color="auto" w:fill="auto"/>
                  <w:vAlign w:val="center"/>
                </w:tcPr>
                <w:p w14:paraId="720DF0D6">
                  <w:pPr>
                    <w:pStyle w:val="42"/>
                    <w:keepNext w:val="0"/>
                    <w:keepLines w:val="0"/>
                    <w:widowControl/>
                    <w:suppressLineNumbers w:val="0"/>
                    <w:spacing w:before="0" w:beforeAutospacing="0" w:after="0" w:afterAutospacing="0"/>
                    <w:ind w:left="0" w:right="0"/>
                    <w:rPr>
                      <w:rFonts w:hint="default"/>
                    </w:rPr>
                  </w:pPr>
                  <w:r>
                    <w:rPr>
                      <w:rFonts w:hint="default"/>
                    </w:rPr>
                    <w:t>0.99</w:t>
                  </w:r>
                </w:p>
              </w:tc>
            </w:tr>
            <w:tr w14:paraId="4F2A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10EA41AA">
                  <w:pPr>
                    <w:pStyle w:val="42"/>
                    <w:keepNext w:val="0"/>
                    <w:keepLines w:val="0"/>
                    <w:widowControl/>
                    <w:suppressLineNumbers w:val="0"/>
                    <w:spacing w:before="0" w:beforeAutospacing="0" w:after="0" w:afterAutospacing="0"/>
                    <w:ind w:left="0" w:right="0"/>
                    <w:rPr>
                      <w:rFonts w:hint="default"/>
                    </w:rPr>
                  </w:pPr>
                  <w:r>
                    <w:rPr>
                      <w:rFonts w:hint="default"/>
                    </w:rPr>
                    <w:t>3</w:t>
                  </w:r>
                </w:p>
              </w:tc>
              <w:tc>
                <w:tcPr>
                  <w:tcW w:w="3827" w:type="dxa"/>
                  <w:tcBorders>
                    <w:top w:val="single" w:color="auto" w:sz="4" w:space="0"/>
                    <w:left w:val="nil"/>
                    <w:bottom w:val="single" w:color="auto" w:sz="4" w:space="0"/>
                    <w:right w:val="single" w:color="auto" w:sz="4" w:space="0"/>
                  </w:tcBorders>
                  <w:shd w:val="clear" w:color="auto" w:fill="auto"/>
                  <w:vAlign w:val="center"/>
                </w:tcPr>
                <w:p w14:paraId="05E5E270">
                  <w:pPr>
                    <w:pStyle w:val="42"/>
                    <w:keepNext w:val="0"/>
                    <w:keepLines w:val="0"/>
                    <w:widowControl/>
                    <w:suppressLineNumbers w:val="0"/>
                    <w:spacing w:before="0" w:beforeAutospacing="0" w:after="0" w:afterAutospacing="0"/>
                    <w:ind w:left="0" w:right="0"/>
                    <w:rPr>
                      <w:rFonts w:hint="default"/>
                    </w:rPr>
                  </w:pPr>
                  <w:r>
                    <w:t>半敞开式</w:t>
                  </w:r>
                </w:p>
              </w:tc>
              <w:tc>
                <w:tcPr>
                  <w:tcW w:w="2834" w:type="dxa"/>
                  <w:tcBorders>
                    <w:top w:val="single" w:color="auto" w:sz="4" w:space="0"/>
                    <w:left w:val="nil"/>
                    <w:bottom w:val="single" w:color="auto" w:sz="4" w:space="0"/>
                    <w:right w:val="single" w:color="auto" w:sz="4" w:space="0"/>
                  </w:tcBorders>
                  <w:shd w:val="clear" w:color="auto" w:fill="auto"/>
                  <w:vAlign w:val="center"/>
                </w:tcPr>
                <w:p w14:paraId="5F2CA7B2">
                  <w:pPr>
                    <w:pStyle w:val="42"/>
                    <w:keepNext w:val="0"/>
                    <w:keepLines w:val="0"/>
                    <w:widowControl/>
                    <w:suppressLineNumbers w:val="0"/>
                    <w:spacing w:before="0" w:beforeAutospacing="0" w:after="0" w:afterAutospacing="0"/>
                    <w:ind w:left="0" w:right="0"/>
                    <w:rPr>
                      <w:rFonts w:hint="default"/>
                    </w:rPr>
                  </w:pPr>
                  <w:r>
                    <w:rPr>
                      <w:rFonts w:hint="default"/>
                    </w:rPr>
                    <w:t>0.60</w:t>
                  </w:r>
                </w:p>
              </w:tc>
            </w:tr>
          </w:tbl>
          <w:p w14:paraId="22664045">
            <w:pPr>
              <w:keepNext w:val="0"/>
              <w:keepLines w:val="0"/>
              <w:suppressLineNumbers w:val="0"/>
              <w:spacing w:before="0" w:beforeAutospacing="0" w:after="0" w:afterAutospacing="0"/>
              <w:ind w:left="0" w:right="0" w:firstLine="480"/>
              <w:jc w:val="both"/>
              <w:rPr>
                <w:rFonts w:hint="default"/>
              </w:rPr>
            </w:pPr>
            <w:r>
              <w:rPr>
                <w:rFonts w:hint="default"/>
                <w:lang w:bidi="ar"/>
              </w:rPr>
              <w:t>项目石子装卸量为</w:t>
            </w:r>
            <w:r>
              <w:rPr>
                <w:rFonts w:hint="eastAsia"/>
                <w:lang w:bidi="ar"/>
              </w:rPr>
              <w:t>42000</w:t>
            </w:r>
            <w:r>
              <w:rPr>
                <w:rFonts w:hint="default"/>
                <w:lang w:bidi="ar"/>
              </w:rPr>
              <w:t>t，石粉装卸量为</w:t>
            </w:r>
            <w:r>
              <w:rPr>
                <w:rFonts w:hint="eastAsia"/>
                <w:lang w:bidi="ar"/>
              </w:rPr>
              <w:t>25000</w:t>
            </w:r>
            <w:r>
              <w:rPr>
                <w:rFonts w:hint="default"/>
                <w:lang w:bidi="ar"/>
              </w:rPr>
              <w:t>t，石子、石粉总装卸量为</w:t>
            </w:r>
            <w:r>
              <w:rPr>
                <w:rFonts w:hint="eastAsia"/>
                <w:lang w:bidi="ar"/>
              </w:rPr>
              <w:t>67000</w:t>
            </w:r>
            <w:r>
              <w:rPr>
                <w:rFonts w:hint="default"/>
                <w:lang w:bidi="ar"/>
              </w:rPr>
              <w:t>t，根据上述公式计算，石子装卸过程的扬尘TSP的产生量为</w:t>
            </w:r>
            <w:r>
              <w:rPr>
                <w:rFonts w:hint="eastAsia"/>
                <w:lang w:bidi="ar"/>
              </w:rPr>
              <w:t>24.71</w:t>
            </w:r>
            <w:r>
              <w:rPr>
                <w:rFonts w:hint="default"/>
                <w:lang w:bidi="ar"/>
              </w:rPr>
              <w:t>t，石粉装卸过程的扬尘TSP的产生量为</w:t>
            </w:r>
            <w:r>
              <w:rPr>
                <w:rFonts w:hint="eastAsia"/>
                <w:lang w:bidi="ar"/>
              </w:rPr>
              <w:t>14.71</w:t>
            </w:r>
            <w:r>
              <w:rPr>
                <w:rFonts w:hint="default"/>
                <w:lang w:bidi="ar"/>
              </w:rPr>
              <w:t>t，石子、石粉装卸过程的扬尘TSP的产生量为</w:t>
            </w:r>
            <w:r>
              <w:rPr>
                <w:rFonts w:hint="eastAsia"/>
                <w:lang w:bidi="ar"/>
              </w:rPr>
              <w:t>39.42</w:t>
            </w:r>
            <w:r>
              <w:rPr>
                <w:rFonts w:hint="default"/>
                <w:lang w:bidi="ar"/>
              </w:rPr>
              <w:t>t，项目石子、石粉堆放库为封闭式库房，库内设置水喷淋抑尘，采取上述措施降尘抑尘后，石子、石粉堆放库扬尘源中颗粒物排放量为0.1</w:t>
            </w:r>
            <w:r>
              <w:rPr>
                <w:rFonts w:hint="eastAsia"/>
                <w:lang w:bidi="ar"/>
              </w:rPr>
              <w:t>0</w:t>
            </w:r>
            <w:r>
              <w:rPr>
                <w:rFonts w:hint="default"/>
                <w:lang w:bidi="ar"/>
              </w:rPr>
              <w:t>t</w:t>
            </w:r>
            <w:r>
              <w:rPr>
                <w:rFonts w:hint="eastAsia"/>
                <w:lang w:bidi="ar"/>
              </w:rPr>
              <w:t>/a</w:t>
            </w:r>
            <w:r>
              <w:rPr>
                <w:rFonts w:hint="default"/>
                <w:lang w:bidi="ar"/>
              </w:rPr>
              <w:t>，排放速率为0.0</w:t>
            </w:r>
            <w:r>
              <w:rPr>
                <w:rFonts w:hint="eastAsia"/>
                <w:lang w:bidi="ar"/>
              </w:rPr>
              <w:t>47</w:t>
            </w:r>
            <w:r>
              <w:rPr>
                <w:rFonts w:hint="default"/>
                <w:lang w:bidi="ar"/>
              </w:rPr>
              <w:t>kg/h。</w:t>
            </w:r>
          </w:p>
          <w:p w14:paraId="47BC49DE">
            <w:pPr>
              <w:keepNext w:val="0"/>
              <w:keepLines w:val="0"/>
              <w:numPr>
                <w:ilvl w:val="0"/>
                <w:numId w:val="16"/>
              </w:numPr>
              <w:suppressLineNumbers w:val="0"/>
              <w:spacing w:before="0" w:beforeAutospacing="0" w:after="0" w:afterAutospacing="0"/>
              <w:ind w:right="0" w:firstLine="480"/>
              <w:rPr>
                <w:rFonts w:hint="eastAsia" w:ascii="宋体" w:hAnsi="宋体" w:cs="宋体"/>
              </w:rPr>
            </w:pPr>
            <w:r>
              <w:rPr>
                <w:rFonts w:hint="eastAsia" w:ascii="宋体" w:hAnsi="宋体" w:cs="宋体"/>
              </w:rPr>
              <w:t>水泥筒仓呼吸口粉尘</w:t>
            </w:r>
          </w:p>
          <w:p w14:paraId="1D6AA956">
            <w:pPr>
              <w:keepNext w:val="0"/>
              <w:keepLines w:val="0"/>
              <w:suppressLineNumbers w:val="0"/>
              <w:spacing w:before="0" w:beforeAutospacing="0" w:after="0" w:afterAutospacing="0"/>
              <w:ind w:left="0" w:right="0" w:firstLine="480"/>
              <w:rPr>
                <w:rFonts w:hint="default"/>
              </w:rPr>
            </w:pPr>
            <w:r>
              <w:rPr>
                <w:rFonts w:hint="default"/>
              </w:rPr>
              <w:t>项目设置</w:t>
            </w:r>
            <w:r>
              <w:rPr>
                <w:rFonts w:hint="eastAsia"/>
              </w:rPr>
              <w:t>1</w:t>
            </w:r>
            <w:r>
              <w:rPr>
                <w:rFonts w:hint="default"/>
              </w:rPr>
              <w:t>座水泥筒仓。</w:t>
            </w:r>
          </w:p>
          <w:p w14:paraId="1FEEF9FF">
            <w:pPr>
              <w:keepNext w:val="0"/>
              <w:keepLines w:val="0"/>
              <w:suppressLineNumbers w:val="0"/>
              <w:spacing w:before="0" w:beforeAutospacing="0" w:after="0" w:afterAutospacing="0"/>
              <w:ind w:left="0" w:right="0" w:firstLine="480"/>
              <w:rPr>
                <w:rFonts w:hint="default"/>
              </w:rPr>
            </w:pPr>
            <w:r>
              <w:rPr>
                <w:rFonts w:hint="default"/>
              </w:rPr>
              <w:t>评价依据《逸散性工业粉尘控制技术》中混凝土分批搅拌厂水泥贮仓排气的排放因子计算，排放因子为0.12kg/t-卸料。项目总计水泥用量为</w:t>
            </w:r>
            <w:r>
              <w:rPr>
                <w:rFonts w:hint="eastAsia"/>
              </w:rPr>
              <w:t>9000</w:t>
            </w:r>
            <w:r>
              <w:rPr>
                <w:rFonts w:hint="default"/>
              </w:rPr>
              <w:t>t</w:t>
            </w:r>
            <w:r>
              <w:rPr>
                <w:rFonts w:hint="eastAsia"/>
              </w:rPr>
              <w:t>/a。</w:t>
            </w:r>
          </w:p>
          <w:p w14:paraId="2DF9767E">
            <w:pPr>
              <w:keepNext w:val="0"/>
              <w:keepLines w:val="0"/>
              <w:suppressLineNumbers w:val="0"/>
              <w:spacing w:before="0" w:beforeAutospacing="0" w:after="0" w:afterAutospacing="0"/>
              <w:ind w:left="0" w:right="0" w:firstLine="480"/>
              <w:rPr>
                <w:rFonts w:hint="default"/>
              </w:rPr>
            </w:pPr>
            <w:r>
              <w:rPr>
                <w:rFonts w:hint="default"/>
              </w:rPr>
              <w:t>则根据核算，对于单个水泥筒仓：水泥筒仓粉尘初始产生量为</w:t>
            </w:r>
            <w:r>
              <w:rPr>
                <w:rFonts w:hint="eastAsia"/>
              </w:rPr>
              <w:t>1.08</w:t>
            </w:r>
            <w:r>
              <w:rPr>
                <w:rFonts w:hint="default"/>
              </w:rPr>
              <w:t>t</w:t>
            </w:r>
            <w:r>
              <w:rPr>
                <w:rFonts w:hint="eastAsia"/>
              </w:rPr>
              <w:t>/a</w:t>
            </w:r>
            <w:r>
              <w:rPr>
                <w:rFonts w:hint="default"/>
              </w:rPr>
              <w:t>。</w:t>
            </w:r>
          </w:p>
          <w:p w14:paraId="564384DB">
            <w:pPr>
              <w:keepNext w:val="0"/>
              <w:keepLines w:val="0"/>
              <w:suppressLineNumbers w:val="0"/>
              <w:spacing w:before="0" w:beforeAutospacing="0" w:after="0" w:afterAutospacing="0"/>
              <w:ind w:left="0" w:right="0" w:firstLine="480"/>
              <w:rPr>
                <w:rFonts w:hint="default"/>
              </w:rPr>
            </w:pPr>
            <w:r>
              <w:rPr>
                <w:rFonts w:hint="default"/>
              </w:rPr>
              <w:t>项目针对水泥筒仓采取的治理措施为：水泥筒仓顶部分别配备1仓顶泄压式布袋除尘器，除尘器收集的粉尘重新利用，净化的气体由除尘器顶口排放。参考水泥罐车排气量和水泥平均卸料速度，水泥罐车的中型空压机排气量为40m³/min，2400m³/h，平均卸料速度为1t/min，项目</w:t>
            </w:r>
            <w:r>
              <w:rPr>
                <w:rFonts w:hint="eastAsia"/>
              </w:rPr>
              <w:t>水泥筒仓</w:t>
            </w:r>
            <w:r>
              <w:rPr>
                <w:rFonts w:hint="default"/>
              </w:rPr>
              <w:t>容量为</w:t>
            </w:r>
            <w:r>
              <w:rPr>
                <w:rFonts w:hint="eastAsia"/>
              </w:rPr>
              <w:t>60</w:t>
            </w:r>
            <w:r>
              <w:rPr>
                <w:rFonts w:hint="default"/>
              </w:rPr>
              <w:t>t，则</w:t>
            </w:r>
            <w:r>
              <w:rPr>
                <w:rFonts w:hint="eastAsia"/>
              </w:rPr>
              <w:t>水泥</w:t>
            </w:r>
            <w:r>
              <w:rPr>
                <w:rFonts w:hint="default"/>
              </w:rPr>
              <w:t>筒仓理想冲料时间为1h。</w:t>
            </w:r>
          </w:p>
          <w:p w14:paraId="774CB187">
            <w:pPr>
              <w:keepNext w:val="0"/>
              <w:keepLines w:val="0"/>
              <w:suppressLineNumbers w:val="0"/>
              <w:spacing w:before="0" w:beforeAutospacing="0" w:after="0" w:afterAutospacing="0"/>
              <w:ind w:left="0" w:right="0" w:firstLine="480"/>
              <w:rPr>
                <w:rFonts w:hint="default"/>
              </w:rPr>
            </w:pPr>
            <w:r>
              <w:rPr>
                <w:rFonts w:hint="default"/>
              </w:rPr>
              <w:t>项目水泥筒仓储存水泥</w:t>
            </w:r>
            <w:r>
              <w:rPr>
                <w:rFonts w:hint="eastAsia"/>
              </w:rPr>
              <w:t>9000</w:t>
            </w:r>
            <w:r>
              <w:rPr>
                <w:rFonts w:hint="default"/>
              </w:rPr>
              <w:t>t，则</w:t>
            </w:r>
            <w:r>
              <w:rPr>
                <w:rFonts w:hint="eastAsia"/>
              </w:rPr>
              <w:t>水泥筒仓</w:t>
            </w:r>
            <w:r>
              <w:rPr>
                <w:rFonts w:hint="default"/>
              </w:rPr>
              <w:t>年冲料共计</w:t>
            </w:r>
            <w:r>
              <w:rPr>
                <w:rFonts w:hint="eastAsia"/>
              </w:rPr>
              <w:t>150</w:t>
            </w:r>
            <w:r>
              <w:rPr>
                <w:rFonts w:hint="default"/>
              </w:rPr>
              <w:t>次，年总冲料时间1</w:t>
            </w:r>
            <w:r>
              <w:rPr>
                <w:rFonts w:hint="eastAsia"/>
              </w:rPr>
              <w:t>50</w:t>
            </w:r>
            <w:r>
              <w:rPr>
                <w:rFonts w:hint="default"/>
              </w:rPr>
              <w:t>h。则项目水泥筒仓颗粒物年产生量</w:t>
            </w:r>
            <w:r>
              <w:rPr>
                <w:rFonts w:hint="eastAsia"/>
              </w:rPr>
              <w:t>1.08</w:t>
            </w:r>
            <w:r>
              <w:rPr>
                <w:rFonts w:hint="default"/>
              </w:rPr>
              <w:t>t/a，产生速率为</w:t>
            </w:r>
            <w:r>
              <w:rPr>
                <w:rFonts w:hint="eastAsia"/>
              </w:rPr>
              <w:t>7.2</w:t>
            </w:r>
            <w:r>
              <w:rPr>
                <w:rFonts w:hint="default"/>
              </w:rPr>
              <w:t>kg/h</w:t>
            </w:r>
          </w:p>
          <w:p w14:paraId="54437E6E">
            <w:pPr>
              <w:keepNext w:val="0"/>
              <w:keepLines w:val="0"/>
              <w:suppressLineNumbers w:val="0"/>
              <w:spacing w:before="0" w:beforeAutospacing="0" w:after="0" w:afterAutospacing="0"/>
              <w:ind w:left="0" w:right="0" w:firstLine="480"/>
              <w:rPr>
                <w:rFonts w:hint="default"/>
              </w:rPr>
            </w:pPr>
            <w:r>
              <w:rPr>
                <w:rFonts w:hint="default"/>
              </w:rPr>
              <w:t>根据《排放源统计调查产排污核算方法和系数手册》（公告 2021年 第24号），对于混凝土制品，物料的输送储存环节，采用袋式除尘的末端治理技术，其污染物的治理效率按99.7%计（k值按1计）。</w:t>
            </w:r>
          </w:p>
          <w:p w14:paraId="3C561B80">
            <w:pPr>
              <w:keepNext w:val="0"/>
              <w:keepLines w:val="0"/>
              <w:suppressLineNumbers w:val="0"/>
              <w:spacing w:before="0" w:beforeAutospacing="0" w:after="0" w:afterAutospacing="0"/>
              <w:ind w:left="0" w:right="0" w:firstLine="480"/>
              <w:rPr>
                <w:rFonts w:hint="default"/>
              </w:rPr>
            </w:pPr>
            <w:r>
              <w:rPr>
                <w:rFonts w:hint="default"/>
              </w:rPr>
              <w:t>根据上述参数计算，项目水泥筒仓产生的粉尘经筒仓顶部配带的仓顶泄压式布袋除尘器（效率99.7%）处理后，净化的气体由除尘器顶口排放，粉尘颗粒物排放量为0.00</w:t>
            </w:r>
            <w:r>
              <w:rPr>
                <w:rFonts w:hint="eastAsia"/>
              </w:rPr>
              <w:t>32</w:t>
            </w:r>
            <w:r>
              <w:rPr>
                <w:rFonts w:hint="default"/>
              </w:rPr>
              <w:t>t，排放速率为0.0</w:t>
            </w:r>
            <w:r>
              <w:rPr>
                <w:rFonts w:hint="eastAsia"/>
              </w:rPr>
              <w:t>22</w:t>
            </w:r>
            <w:r>
              <w:rPr>
                <w:rFonts w:hint="default"/>
              </w:rPr>
              <w:t>kg/h，排放浓度为</w:t>
            </w:r>
            <w:r>
              <w:rPr>
                <w:rFonts w:hint="eastAsia"/>
              </w:rPr>
              <w:t>9</w:t>
            </w:r>
            <w:r>
              <w:rPr>
                <w:rFonts w:hint="default"/>
              </w:rPr>
              <w:t>mg/m</w:t>
            </w:r>
            <w:r>
              <w:rPr>
                <w:rFonts w:hint="default"/>
                <w:vertAlign w:val="superscript"/>
              </w:rPr>
              <w:t>3</w:t>
            </w:r>
            <w:r>
              <w:rPr>
                <w:rFonts w:hint="default"/>
              </w:rPr>
              <w:t>。</w:t>
            </w:r>
          </w:p>
          <w:p w14:paraId="4E69D9A9">
            <w:pPr>
              <w:keepNext w:val="0"/>
              <w:keepLines w:val="0"/>
              <w:numPr>
                <w:ilvl w:val="0"/>
                <w:numId w:val="16"/>
              </w:numPr>
              <w:suppressLineNumbers w:val="0"/>
              <w:spacing w:before="0" w:beforeAutospacing="0" w:after="0" w:afterAutospacing="0"/>
              <w:ind w:right="0" w:firstLine="480"/>
              <w:rPr>
                <w:rFonts w:hint="default"/>
              </w:rPr>
            </w:pPr>
            <w:r>
              <w:rPr>
                <w:rFonts w:hint="eastAsia" w:ascii="宋体" w:hAnsi="宋体" w:cs="宋体"/>
                <w:lang w:bidi="ar"/>
              </w:rPr>
              <w:t>石子、石粉转移到料仓过程有组织和无组织粉尘颗粒物</w:t>
            </w:r>
          </w:p>
          <w:p w14:paraId="4DD01245">
            <w:pPr>
              <w:keepNext w:val="0"/>
              <w:keepLines w:val="0"/>
              <w:suppressLineNumbers w:val="0"/>
              <w:spacing w:before="0" w:beforeAutospacing="0" w:after="0" w:afterAutospacing="0"/>
              <w:ind w:left="0" w:right="0" w:firstLine="480"/>
              <w:jc w:val="both"/>
              <w:rPr>
                <w:rFonts w:hint="default"/>
              </w:rPr>
            </w:pPr>
            <w:r>
              <w:rPr>
                <w:rFonts w:hint="eastAsia" w:ascii="宋体" w:hAnsi="宋体" w:cs="宋体"/>
                <w:lang w:bidi="ar"/>
              </w:rPr>
              <w:t>石粉、石子主要产尘工序为装卸过程。石粉、石子通过装载机运输至料仓进行装卸，此过程产生一定的扬尘，且是主要产尘来源。评价参考《无组织排放源常用分析与估算方法》（李亚军，西北铀矿地质，</w:t>
            </w:r>
            <w:r>
              <w:rPr>
                <w:rFonts w:hint="default"/>
                <w:lang w:bidi="ar"/>
              </w:rPr>
              <w:t>2005</w:t>
            </w:r>
            <w:r>
              <w:rPr>
                <w:rFonts w:hint="eastAsia" w:ascii="宋体" w:hAnsi="宋体" w:cs="宋体"/>
                <w:lang w:bidi="ar"/>
              </w:rPr>
              <w:t>年）中推荐的起尘公式进行计算：</w:t>
            </w:r>
          </w:p>
          <w:p w14:paraId="4259ADCB">
            <w:pPr>
              <w:keepNext w:val="0"/>
              <w:keepLines w:val="0"/>
              <w:suppressLineNumbers w:val="0"/>
              <w:spacing w:before="0" w:beforeAutospacing="0" w:after="0" w:afterAutospacing="0"/>
              <w:ind w:left="0" w:right="0" w:firstLine="480"/>
              <w:jc w:val="center"/>
              <w:rPr>
                <w:rFonts w:hint="default"/>
                <w:iCs/>
              </w:rPr>
            </w:pPr>
            <w:r>
              <w:rPr>
                <w:rFonts w:hint="default"/>
                <w:iCs/>
                <w:lang w:bidi="ar"/>
              </w:rPr>
              <w:t>Q</w:t>
            </w:r>
            <w:r>
              <w:rPr>
                <w:rFonts w:hint="default"/>
                <w:iCs/>
                <w:vertAlign w:val="subscript"/>
                <w:lang w:bidi="ar"/>
              </w:rPr>
              <w:t>y</w:t>
            </w:r>
            <w:r>
              <w:rPr>
                <w:rFonts w:hint="default"/>
                <w:iCs/>
                <w:lang w:bidi="ar"/>
              </w:rPr>
              <w:t>=0.03V</w:t>
            </w:r>
            <w:r>
              <w:rPr>
                <w:rFonts w:hint="default"/>
                <w:iCs/>
                <w:vertAlign w:val="subscript"/>
                <w:lang w:bidi="ar"/>
              </w:rPr>
              <w:t>i</w:t>
            </w:r>
            <w:r>
              <w:rPr>
                <w:rFonts w:hint="default"/>
                <w:iCs/>
                <w:vertAlign w:val="superscript"/>
                <w:lang w:bidi="ar"/>
              </w:rPr>
              <w:t>1.6</w:t>
            </w:r>
            <w:r>
              <w:rPr>
                <w:rFonts w:hint="default" w:ascii="Arial" w:hAnsi="Arial" w:cs="Arial"/>
                <w:iCs/>
                <w:lang w:bidi="ar"/>
              </w:rPr>
              <w:t>×</w:t>
            </w:r>
            <w:r>
              <w:rPr>
                <w:rFonts w:hint="default"/>
                <w:iCs/>
                <w:lang w:bidi="ar"/>
              </w:rPr>
              <w:t>H</w:t>
            </w:r>
            <w:r>
              <w:rPr>
                <w:rFonts w:hint="default"/>
                <w:iCs/>
                <w:vertAlign w:val="superscript"/>
                <w:lang w:bidi="ar"/>
              </w:rPr>
              <w:t>1.23</w:t>
            </w:r>
            <w:r>
              <w:rPr>
                <w:rFonts w:hint="default"/>
                <w:iCs/>
                <w:lang w:bidi="ar"/>
              </w:rPr>
              <w:t>×e</w:t>
            </w:r>
            <w:r>
              <w:rPr>
                <w:rFonts w:hint="default"/>
                <w:iCs/>
                <w:vertAlign w:val="superscript"/>
                <w:lang w:bidi="ar"/>
              </w:rPr>
              <w:t>-0.28w</w:t>
            </w:r>
            <w:r>
              <w:rPr>
                <w:rFonts w:hint="default"/>
                <w:iCs/>
                <w:lang w:bidi="ar"/>
              </w:rPr>
              <w:t>×G</w:t>
            </w:r>
            <w:r>
              <w:rPr>
                <w:rFonts w:hint="default"/>
                <w:iCs/>
                <w:vertAlign w:val="subscript"/>
                <w:lang w:bidi="ar"/>
              </w:rPr>
              <w:t>i</w:t>
            </w:r>
            <w:r>
              <w:rPr>
                <w:rFonts w:hint="default"/>
                <w:iCs/>
                <w:lang w:bidi="ar"/>
              </w:rPr>
              <w:t>×f</w:t>
            </w:r>
            <w:r>
              <w:rPr>
                <w:rFonts w:hint="default"/>
                <w:iCs/>
                <w:vertAlign w:val="subscript"/>
                <w:lang w:bidi="ar"/>
              </w:rPr>
              <w:t>i</w:t>
            </w:r>
            <w:r>
              <w:rPr>
                <w:rFonts w:hint="default"/>
                <w:iCs/>
                <w:lang w:bidi="ar"/>
              </w:rPr>
              <w:t>×a</w:t>
            </w:r>
          </w:p>
          <w:p w14:paraId="056D1E97">
            <w:pPr>
              <w:keepNext w:val="0"/>
              <w:keepLines w:val="0"/>
              <w:suppressLineNumbers w:val="0"/>
              <w:spacing w:before="0" w:beforeAutospacing="0" w:after="0" w:afterAutospacing="0"/>
              <w:ind w:left="0" w:right="0" w:firstLine="480"/>
              <w:jc w:val="both"/>
              <w:rPr>
                <w:rFonts w:hint="default"/>
              </w:rPr>
            </w:pPr>
            <w:r>
              <w:rPr>
                <w:rFonts w:hint="eastAsia" w:ascii="宋体" w:hAnsi="宋体" w:cs="宋体"/>
                <w:lang w:bidi="ar"/>
              </w:rPr>
              <w:t>式中：</w:t>
            </w:r>
            <w:r>
              <w:rPr>
                <w:rFonts w:hint="default"/>
                <w:lang w:bidi="ar"/>
              </w:rPr>
              <w:t>Q—</w:t>
            </w:r>
            <w:r>
              <w:rPr>
                <w:rFonts w:hint="eastAsia" w:ascii="宋体" w:hAnsi="宋体" w:cs="宋体"/>
                <w:lang w:bidi="ar"/>
              </w:rPr>
              <w:t>装卸起尘量，</w:t>
            </w:r>
            <w:r>
              <w:rPr>
                <w:rFonts w:hint="default"/>
                <w:lang w:bidi="ar"/>
              </w:rPr>
              <w:t>kg</w:t>
            </w:r>
          </w:p>
          <w:p w14:paraId="463B322A">
            <w:pPr>
              <w:keepNext w:val="0"/>
              <w:keepLines w:val="0"/>
              <w:suppressLineNumbers w:val="0"/>
              <w:spacing w:before="0" w:beforeAutospacing="0" w:after="0" w:afterAutospacing="0"/>
              <w:ind w:left="0" w:right="0" w:firstLine="1200" w:firstLineChars="500"/>
              <w:jc w:val="both"/>
              <w:rPr>
                <w:rFonts w:hint="default"/>
              </w:rPr>
            </w:pPr>
            <w:r>
              <w:rPr>
                <w:rFonts w:hint="default"/>
                <w:lang w:bidi="ar"/>
              </w:rPr>
              <w:t>H—</w:t>
            </w:r>
            <w:r>
              <w:rPr>
                <w:rFonts w:hint="eastAsia" w:ascii="宋体" w:hAnsi="宋体" w:cs="宋体"/>
                <w:lang w:bidi="ar"/>
              </w:rPr>
              <w:t>装卸平均高度，</w:t>
            </w:r>
            <w:r>
              <w:rPr>
                <w:rFonts w:hint="default"/>
                <w:lang w:bidi="ar"/>
              </w:rPr>
              <w:t>m</w:t>
            </w:r>
            <w:r>
              <w:rPr>
                <w:rFonts w:hint="eastAsia" w:ascii="宋体" w:hAnsi="宋体" w:cs="宋体"/>
                <w:lang w:bidi="ar"/>
              </w:rPr>
              <w:t>，取</w:t>
            </w:r>
            <w:r>
              <w:rPr>
                <w:rFonts w:hint="default"/>
                <w:lang w:bidi="ar"/>
              </w:rPr>
              <w:t>2.0m</w:t>
            </w:r>
          </w:p>
          <w:p w14:paraId="68004EA5">
            <w:pPr>
              <w:keepNext w:val="0"/>
              <w:keepLines w:val="0"/>
              <w:suppressLineNumbers w:val="0"/>
              <w:spacing w:before="0" w:beforeAutospacing="0" w:after="0" w:afterAutospacing="0"/>
              <w:ind w:left="0" w:right="0" w:firstLine="1200" w:firstLineChars="500"/>
              <w:jc w:val="both"/>
              <w:rPr>
                <w:rFonts w:hint="default"/>
              </w:rPr>
            </w:pPr>
            <w:r>
              <w:rPr>
                <w:rFonts w:hint="default"/>
                <w:lang w:bidi="ar"/>
              </w:rPr>
              <w:t>G</w:t>
            </w:r>
            <w:r>
              <w:rPr>
                <w:rFonts w:hint="default"/>
                <w:vertAlign w:val="subscript"/>
                <w:lang w:bidi="ar"/>
              </w:rPr>
              <w:t>i</w:t>
            </w:r>
            <w:r>
              <w:rPr>
                <w:rFonts w:hint="default"/>
                <w:lang w:bidi="ar"/>
              </w:rPr>
              <w:t>—i</w:t>
            </w:r>
            <w:r>
              <w:rPr>
                <w:rFonts w:hint="eastAsia" w:ascii="宋体" w:hAnsi="宋体" w:cs="宋体"/>
                <w:lang w:bidi="ar"/>
              </w:rPr>
              <w:t>种设备年装卸量，</w:t>
            </w:r>
            <w:r>
              <w:rPr>
                <w:rFonts w:hint="default"/>
                <w:lang w:bidi="ar"/>
              </w:rPr>
              <w:t>t</w:t>
            </w:r>
            <w:r>
              <w:rPr>
                <w:rFonts w:hint="eastAsia" w:ascii="宋体" w:hAnsi="宋体" w:cs="宋体"/>
                <w:lang w:bidi="ar"/>
              </w:rPr>
              <w:t>，项目石子</w:t>
            </w:r>
            <w:r>
              <w:rPr>
                <w:rFonts w:hint="eastAsia"/>
                <w:lang w:bidi="ar"/>
              </w:rPr>
              <w:t>42000t</w:t>
            </w:r>
            <w:r>
              <w:rPr>
                <w:rFonts w:hint="eastAsia" w:ascii="宋体" w:hAnsi="宋体" w:cs="宋体"/>
                <w:lang w:bidi="ar"/>
              </w:rPr>
              <w:t>、石粉</w:t>
            </w:r>
            <w:r>
              <w:rPr>
                <w:rFonts w:hint="eastAsia"/>
                <w:lang w:bidi="ar"/>
              </w:rPr>
              <w:t>25000t</w:t>
            </w:r>
          </w:p>
          <w:p w14:paraId="6ED60487">
            <w:pPr>
              <w:keepNext w:val="0"/>
              <w:keepLines w:val="0"/>
              <w:suppressLineNumbers w:val="0"/>
              <w:spacing w:before="0" w:beforeAutospacing="0" w:after="0" w:afterAutospacing="0"/>
              <w:ind w:left="0" w:right="0" w:firstLine="1200" w:firstLineChars="500"/>
              <w:jc w:val="both"/>
              <w:rPr>
                <w:rFonts w:hint="default"/>
              </w:rPr>
            </w:pPr>
            <w:r>
              <w:rPr>
                <w:rFonts w:hint="default"/>
                <w:lang w:bidi="ar"/>
              </w:rPr>
              <w:t>V</w:t>
            </w:r>
            <w:r>
              <w:rPr>
                <w:rFonts w:hint="default"/>
                <w:vertAlign w:val="subscript"/>
                <w:lang w:bidi="ar"/>
              </w:rPr>
              <w:t>i</w:t>
            </w:r>
            <w:r>
              <w:rPr>
                <w:rFonts w:hint="default"/>
                <w:lang w:bidi="ar"/>
              </w:rPr>
              <w:t>—35m</w:t>
            </w:r>
            <w:r>
              <w:rPr>
                <w:rFonts w:hint="eastAsia" w:ascii="宋体" w:hAnsi="宋体" w:cs="宋体"/>
                <w:lang w:bidi="ar"/>
              </w:rPr>
              <w:t>上空风速，</w:t>
            </w:r>
            <w:r>
              <w:rPr>
                <w:rFonts w:hint="default"/>
                <w:lang w:bidi="ar"/>
              </w:rPr>
              <w:t>m/s</w:t>
            </w:r>
            <w:r>
              <w:rPr>
                <w:rFonts w:hint="eastAsia" w:ascii="宋体" w:hAnsi="宋体" w:cs="宋体"/>
                <w:lang w:bidi="ar"/>
              </w:rPr>
              <w:t>，取</w:t>
            </w:r>
            <w:r>
              <w:rPr>
                <w:rFonts w:hint="default"/>
                <w:lang w:bidi="ar"/>
              </w:rPr>
              <w:t>5.5m/s</w:t>
            </w:r>
          </w:p>
          <w:p w14:paraId="2378A129">
            <w:pPr>
              <w:keepNext w:val="0"/>
              <w:keepLines w:val="0"/>
              <w:suppressLineNumbers w:val="0"/>
              <w:spacing w:before="0" w:beforeAutospacing="0" w:after="0" w:afterAutospacing="0"/>
              <w:ind w:left="0" w:right="0" w:firstLine="1200" w:firstLineChars="500"/>
              <w:jc w:val="both"/>
              <w:rPr>
                <w:rFonts w:hint="default"/>
              </w:rPr>
            </w:pPr>
            <w:r>
              <w:rPr>
                <w:rFonts w:hint="default"/>
                <w:lang w:bidi="ar"/>
              </w:rPr>
              <w:t>W—</w:t>
            </w:r>
            <w:r>
              <w:rPr>
                <w:rFonts w:hint="eastAsia" w:ascii="宋体" w:hAnsi="宋体" w:cs="宋体"/>
                <w:lang w:bidi="ar"/>
              </w:rPr>
              <w:t>含水量</w:t>
            </w:r>
            <w:r>
              <w:rPr>
                <w:rFonts w:hint="default"/>
                <w:lang w:bidi="ar"/>
              </w:rPr>
              <w:t>%</w:t>
            </w:r>
            <w:r>
              <w:rPr>
                <w:rFonts w:hint="eastAsia" w:ascii="宋体" w:hAnsi="宋体" w:cs="宋体"/>
                <w:lang w:bidi="ar"/>
              </w:rPr>
              <w:t>，取</w:t>
            </w:r>
            <w:r>
              <w:rPr>
                <w:rFonts w:hint="default"/>
                <w:lang w:bidi="ar"/>
              </w:rPr>
              <w:t>2%</w:t>
            </w:r>
          </w:p>
          <w:p w14:paraId="65CB6DF2">
            <w:pPr>
              <w:keepNext w:val="0"/>
              <w:keepLines w:val="0"/>
              <w:suppressLineNumbers w:val="0"/>
              <w:spacing w:before="0" w:beforeAutospacing="0" w:after="0" w:afterAutospacing="0"/>
              <w:ind w:left="0" w:right="0" w:firstLine="1200" w:firstLineChars="500"/>
              <w:jc w:val="both"/>
              <w:rPr>
                <w:rFonts w:hint="default"/>
              </w:rPr>
            </w:pPr>
            <w:r>
              <w:rPr>
                <w:rFonts w:hint="default"/>
                <w:lang w:bidi="ar"/>
              </w:rPr>
              <w:t>f</w:t>
            </w:r>
            <w:r>
              <w:rPr>
                <w:rFonts w:hint="default"/>
                <w:vertAlign w:val="subscript"/>
                <w:lang w:bidi="ar"/>
              </w:rPr>
              <w:t>i</w:t>
            </w:r>
            <w:r>
              <w:rPr>
                <w:rFonts w:hint="default"/>
                <w:lang w:bidi="ar"/>
              </w:rPr>
              <w:t>—i</w:t>
            </w:r>
            <w:r>
              <w:rPr>
                <w:rFonts w:hint="eastAsia" w:ascii="宋体" w:hAnsi="宋体" w:cs="宋体"/>
                <w:lang w:bidi="ar"/>
              </w:rPr>
              <w:t>类风速年频率（≥</w:t>
            </w:r>
            <w:r>
              <w:rPr>
                <w:rFonts w:hint="default"/>
                <w:lang w:bidi="ar"/>
              </w:rPr>
              <w:t>5m/s</w:t>
            </w:r>
            <w:r>
              <w:rPr>
                <w:rFonts w:hint="eastAsia" w:ascii="宋体" w:hAnsi="宋体" w:cs="宋体"/>
                <w:lang w:bidi="ar"/>
              </w:rPr>
              <w:t>的风频为</w:t>
            </w:r>
            <w:r>
              <w:rPr>
                <w:rFonts w:hint="default"/>
                <w:lang w:bidi="ar"/>
              </w:rPr>
              <w:t>5%</w:t>
            </w:r>
            <w:r>
              <w:rPr>
                <w:rFonts w:hint="eastAsia" w:ascii="宋体" w:hAnsi="宋体" w:cs="宋体"/>
                <w:lang w:bidi="ar"/>
              </w:rPr>
              <w:t>）</w:t>
            </w:r>
            <w:r>
              <w:rPr>
                <w:rFonts w:hint="default"/>
                <w:lang w:bidi="ar"/>
              </w:rPr>
              <w:t>%</w:t>
            </w:r>
          </w:p>
          <w:p w14:paraId="4845C4C4">
            <w:pPr>
              <w:keepNext w:val="0"/>
              <w:keepLines w:val="0"/>
              <w:suppressLineNumbers w:val="0"/>
              <w:spacing w:before="0" w:beforeAutospacing="0" w:after="0" w:afterAutospacing="0"/>
              <w:ind w:left="0" w:right="0" w:firstLine="1200" w:firstLineChars="500"/>
              <w:jc w:val="both"/>
              <w:rPr>
                <w:rFonts w:hint="default"/>
              </w:rPr>
            </w:pPr>
            <w:r>
              <w:rPr>
                <w:rFonts w:hint="default"/>
                <w:lang w:bidi="ar"/>
              </w:rPr>
              <w:t>a—</w:t>
            </w:r>
            <w:r>
              <w:rPr>
                <w:rFonts w:hint="eastAsia" w:ascii="宋体" w:hAnsi="宋体" w:cs="宋体"/>
                <w:lang w:bidi="ar"/>
              </w:rPr>
              <w:t>大气降水修正系数，</w:t>
            </w:r>
            <w:r>
              <w:rPr>
                <w:rFonts w:hint="default"/>
                <w:lang w:bidi="ar"/>
              </w:rPr>
              <w:t>0.40</w:t>
            </w:r>
            <w:r>
              <w:rPr>
                <w:rFonts w:hint="eastAsia" w:ascii="宋体" w:hAnsi="宋体" w:cs="宋体"/>
                <w:lang w:bidi="ar"/>
              </w:rPr>
              <w:t>。</w:t>
            </w:r>
          </w:p>
          <w:p w14:paraId="379A639A">
            <w:pPr>
              <w:keepNext w:val="0"/>
              <w:keepLines w:val="0"/>
              <w:suppressLineNumbers w:val="0"/>
              <w:spacing w:before="0" w:beforeAutospacing="0" w:after="0" w:afterAutospacing="0"/>
              <w:ind w:left="0" w:right="0" w:firstLine="480"/>
              <w:jc w:val="both"/>
              <w:rPr>
                <w:rFonts w:hint="default"/>
              </w:rPr>
            </w:pPr>
            <w:r>
              <w:rPr>
                <w:rFonts w:hint="eastAsia" w:ascii="宋体" w:hAnsi="宋体" w:cs="宋体"/>
                <w:lang w:bidi="ar"/>
              </w:rPr>
              <w:t>经计算，该工序扬尘的产生情况列表如下：</w:t>
            </w:r>
          </w:p>
          <w:p w14:paraId="38EBE0F7">
            <w:pPr>
              <w:pStyle w:val="19"/>
              <w:keepNext w:val="0"/>
              <w:keepLines w:val="0"/>
              <w:widowControl w:val="0"/>
              <w:numPr>
                <w:ilvl w:val="0"/>
                <w:numId w:val="15"/>
              </w:numPr>
              <w:suppressLineNumbers w:val="0"/>
              <w:spacing w:before="0" w:beforeAutospacing="0" w:after="0" w:afterAutospacing="0"/>
              <w:ind w:left="0" w:right="0" w:firstLine="0" w:firstLineChars="0"/>
              <w:jc w:val="center"/>
              <w:rPr>
                <w:rFonts w:hint="default" w:ascii="Times New Roman" w:hAnsi="Times New Roman"/>
                <w:szCs w:val="24"/>
              </w:rPr>
            </w:pPr>
            <w:r>
              <w:rPr>
                <w:rFonts w:hint="eastAsia" w:cs="宋体"/>
                <w:b/>
                <w:sz w:val="21"/>
                <w:szCs w:val="21"/>
                <w:lang w:bidi="ar"/>
              </w:rPr>
              <w:t>石粉、石子装卸扬尘产生情况一览表</w:t>
            </w:r>
          </w:p>
          <w:tbl>
            <w:tblPr>
              <w:tblStyle w:val="23"/>
              <w:tblW w:w="8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1"/>
              <w:gridCol w:w="1787"/>
              <w:gridCol w:w="2957"/>
            </w:tblGrid>
            <w:tr w14:paraId="058C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1" w:type="dxa"/>
                  <w:tcBorders>
                    <w:top w:val="single" w:color="auto" w:sz="4" w:space="0"/>
                    <w:left w:val="single" w:color="auto" w:sz="4" w:space="0"/>
                    <w:bottom w:val="single" w:color="auto" w:sz="4" w:space="0"/>
                    <w:right w:val="single" w:color="auto" w:sz="4" w:space="0"/>
                  </w:tcBorders>
                  <w:shd w:val="clear" w:color="auto" w:fill="auto"/>
                  <w:vAlign w:val="center"/>
                </w:tcPr>
                <w:p w14:paraId="4C222B49">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位置</w:t>
                  </w:r>
                </w:p>
              </w:tc>
              <w:tc>
                <w:tcPr>
                  <w:tcW w:w="1787" w:type="dxa"/>
                  <w:tcBorders>
                    <w:top w:val="single" w:color="auto" w:sz="4" w:space="0"/>
                    <w:left w:val="nil"/>
                    <w:bottom w:val="single" w:color="auto" w:sz="4" w:space="0"/>
                    <w:right w:val="single" w:color="auto" w:sz="4" w:space="0"/>
                  </w:tcBorders>
                  <w:shd w:val="clear" w:color="auto" w:fill="auto"/>
                  <w:vAlign w:val="center"/>
                </w:tcPr>
                <w:p w14:paraId="55E37B44">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操作过程</w:t>
                  </w:r>
                </w:p>
              </w:tc>
              <w:tc>
                <w:tcPr>
                  <w:tcW w:w="2957" w:type="dxa"/>
                  <w:tcBorders>
                    <w:top w:val="single" w:color="auto" w:sz="4" w:space="0"/>
                    <w:left w:val="nil"/>
                    <w:bottom w:val="single" w:color="auto" w:sz="4" w:space="0"/>
                    <w:right w:val="single" w:color="auto" w:sz="4" w:space="0"/>
                  </w:tcBorders>
                  <w:shd w:val="clear" w:color="auto" w:fill="auto"/>
                  <w:vAlign w:val="center"/>
                </w:tcPr>
                <w:p w14:paraId="12FCC130">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起尘量</w:t>
                  </w:r>
                </w:p>
              </w:tc>
            </w:tr>
            <w:tr w14:paraId="49CE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1" w:type="dxa"/>
                  <w:tcBorders>
                    <w:top w:val="single" w:color="auto" w:sz="4" w:space="0"/>
                    <w:left w:val="single" w:color="auto" w:sz="4" w:space="0"/>
                    <w:bottom w:val="single" w:color="auto" w:sz="4" w:space="0"/>
                    <w:right w:val="single" w:color="auto" w:sz="4" w:space="0"/>
                  </w:tcBorders>
                  <w:shd w:val="clear" w:color="auto" w:fill="auto"/>
                  <w:vAlign w:val="center"/>
                </w:tcPr>
                <w:p w14:paraId="69010ADB">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原料石子料仓</w:t>
                  </w:r>
                </w:p>
              </w:tc>
              <w:tc>
                <w:tcPr>
                  <w:tcW w:w="1787" w:type="dxa"/>
                  <w:tcBorders>
                    <w:top w:val="single" w:color="auto" w:sz="4" w:space="0"/>
                    <w:left w:val="nil"/>
                    <w:bottom w:val="single" w:color="auto" w:sz="4" w:space="0"/>
                    <w:right w:val="single" w:color="auto" w:sz="4" w:space="0"/>
                  </w:tcBorders>
                  <w:shd w:val="clear" w:color="auto" w:fill="auto"/>
                  <w:vAlign w:val="center"/>
                </w:tcPr>
                <w:p w14:paraId="680A67FF">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上料仓装卸</w:t>
                  </w:r>
                </w:p>
              </w:tc>
              <w:tc>
                <w:tcPr>
                  <w:tcW w:w="2957" w:type="dxa"/>
                  <w:tcBorders>
                    <w:top w:val="single" w:color="auto" w:sz="4" w:space="0"/>
                    <w:left w:val="nil"/>
                    <w:bottom w:val="single" w:color="auto" w:sz="4" w:space="0"/>
                    <w:right w:val="single" w:color="auto" w:sz="4" w:space="0"/>
                  </w:tcBorders>
                  <w:shd w:val="clear" w:color="auto" w:fill="auto"/>
                  <w:vAlign w:val="center"/>
                </w:tcPr>
                <w:p w14:paraId="724485D0">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sz w:val="21"/>
                      <w:szCs w:val="21"/>
                      <w:lang w:bidi="ar"/>
                    </w:rPr>
                    <w:t>0.52</w:t>
                  </w:r>
                  <w:r>
                    <w:rPr>
                      <w:rFonts w:hint="default" w:ascii="Times New Roman" w:hAnsi="Times New Roman" w:cs="宋体"/>
                      <w:sz w:val="21"/>
                      <w:szCs w:val="21"/>
                      <w:lang w:bidi="ar"/>
                    </w:rPr>
                    <w:t>t</w:t>
                  </w:r>
                </w:p>
              </w:tc>
            </w:tr>
            <w:tr w14:paraId="5F7B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1" w:type="dxa"/>
                  <w:tcBorders>
                    <w:top w:val="single" w:color="auto" w:sz="4" w:space="0"/>
                    <w:left w:val="single" w:color="auto" w:sz="4" w:space="0"/>
                    <w:bottom w:val="single" w:color="auto" w:sz="4" w:space="0"/>
                    <w:right w:val="single" w:color="auto" w:sz="4" w:space="0"/>
                  </w:tcBorders>
                  <w:shd w:val="clear" w:color="auto" w:fill="auto"/>
                  <w:vAlign w:val="center"/>
                </w:tcPr>
                <w:p w14:paraId="10BDA694">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原料石粉料仓</w:t>
                  </w:r>
                </w:p>
              </w:tc>
              <w:tc>
                <w:tcPr>
                  <w:tcW w:w="1787" w:type="dxa"/>
                  <w:tcBorders>
                    <w:top w:val="single" w:color="auto" w:sz="4" w:space="0"/>
                    <w:left w:val="nil"/>
                    <w:bottom w:val="single" w:color="auto" w:sz="4" w:space="0"/>
                    <w:right w:val="single" w:color="auto" w:sz="4" w:space="0"/>
                  </w:tcBorders>
                  <w:shd w:val="clear" w:color="auto" w:fill="auto"/>
                  <w:vAlign w:val="center"/>
                </w:tcPr>
                <w:p w14:paraId="56AC30F7">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上料仓装卸</w:t>
                  </w:r>
                </w:p>
              </w:tc>
              <w:tc>
                <w:tcPr>
                  <w:tcW w:w="2957" w:type="dxa"/>
                  <w:tcBorders>
                    <w:top w:val="single" w:color="auto" w:sz="4" w:space="0"/>
                    <w:left w:val="nil"/>
                    <w:bottom w:val="single" w:color="auto" w:sz="4" w:space="0"/>
                    <w:right w:val="single" w:color="auto" w:sz="4" w:space="0"/>
                  </w:tcBorders>
                  <w:shd w:val="clear" w:color="auto" w:fill="auto"/>
                  <w:vAlign w:val="center"/>
                </w:tcPr>
                <w:p w14:paraId="26DF4C39">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cs="宋体"/>
                      <w:sz w:val="21"/>
                      <w:szCs w:val="21"/>
                      <w:lang w:bidi="ar"/>
                    </w:rPr>
                    <w:t>0.</w:t>
                  </w:r>
                  <w:r>
                    <w:rPr>
                      <w:rFonts w:hint="eastAsia" w:ascii="Times New Roman" w:hAnsi="Times New Roman"/>
                      <w:sz w:val="21"/>
                      <w:szCs w:val="21"/>
                      <w:lang w:bidi="ar"/>
                    </w:rPr>
                    <w:t>31</w:t>
                  </w:r>
                  <w:r>
                    <w:rPr>
                      <w:rFonts w:hint="default" w:ascii="Times New Roman" w:hAnsi="Times New Roman" w:cs="宋体"/>
                      <w:sz w:val="21"/>
                      <w:szCs w:val="21"/>
                      <w:lang w:bidi="ar"/>
                    </w:rPr>
                    <w:t>t</w:t>
                  </w:r>
                </w:p>
              </w:tc>
            </w:tr>
            <w:tr w14:paraId="68C9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067CC7A">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合计</w:t>
                  </w:r>
                </w:p>
              </w:tc>
              <w:tc>
                <w:tcPr>
                  <w:tcW w:w="2957" w:type="dxa"/>
                  <w:tcBorders>
                    <w:top w:val="single" w:color="auto" w:sz="4" w:space="0"/>
                    <w:left w:val="nil"/>
                    <w:bottom w:val="single" w:color="auto" w:sz="4" w:space="0"/>
                    <w:right w:val="single" w:color="auto" w:sz="4" w:space="0"/>
                  </w:tcBorders>
                  <w:shd w:val="clear" w:color="auto" w:fill="auto"/>
                  <w:vAlign w:val="center"/>
                </w:tcPr>
                <w:p w14:paraId="191C2BCE">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sz w:val="21"/>
                      <w:szCs w:val="21"/>
                      <w:lang w:bidi="ar"/>
                    </w:rPr>
                    <w:t>0.83</w:t>
                  </w:r>
                  <w:r>
                    <w:rPr>
                      <w:rFonts w:hint="default" w:ascii="Times New Roman" w:hAnsi="Times New Roman" w:cs="宋体"/>
                      <w:sz w:val="21"/>
                      <w:szCs w:val="21"/>
                      <w:lang w:bidi="ar"/>
                    </w:rPr>
                    <w:t>t</w:t>
                  </w:r>
                </w:p>
              </w:tc>
            </w:tr>
          </w:tbl>
          <w:p w14:paraId="0B1948DB">
            <w:pPr>
              <w:keepNext w:val="0"/>
              <w:keepLines w:val="0"/>
              <w:suppressLineNumbers w:val="0"/>
              <w:spacing w:before="0" w:beforeAutospacing="0" w:after="0" w:afterAutospacing="0"/>
              <w:ind w:left="0" w:right="0" w:firstLine="480"/>
              <w:jc w:val="both"/>
              <w:rPr>
                <w:rFonts w:hint="default"/>
              </w:rPr>
            </w:pPr>
            <w:r>
              <w:rPr>
                <w:rFonts w:hint="eastAsia" w:ascii="宋体" w:hAnsi="宋体" w:cs="宋体"/>
                <w:lang w:bidi="ar"/>
              </w:rPr>
              <w:t>在各个料仓上方设置集气罩，集气效率为</w:t>
            </w:r>
            <w:r>
              <w:rPr>
                <w:rFonts w:hint="default"/>
                <w:lang w:bidi="ar"/>
              </w:rPr>
              <w:t>95%</w:t>
            </w:r>
            <w:r>
              <w:rPr>
                <w:rFonts w:hint="eastAsia" w:ascii="宋体" w:hAnsi="宋体" w:cs="宋体"/>
                <w:lang w:bidi="ar"/>
              </w:rPr>
              <w:t>，由引风机将含尘气体引入</w:t>
            </w:r>
            <w:r>
              <w:rPr>
                <w:rFonts w:hint="default"/>
                <w:lang w:bidi="ar"/>
              </w:rPr>
              <w:t>1</w:t>
            </w:r>
            <w:r>
              <w:rPr>
                <w:rFonts w:hint="eastAsia" w:ascii="宋体" w:hAnsi="宋体" w:cs="宋体"/>
                <w:lang w:bidi="ar"/>
              </w:rPr>
              <w:t>套布袋除尘器中进行处理，处理后的颗粒物经</w:t>
            </w:r>
            <w:r>
              <w:rPr>
                <w:rFonts w:hint="default"/>
                <w:lang w:bidi="ar"/>
              </w:rPr>
              <w:t>1</w:t>
            </w:r>
            <w:r>
              <w:rPr>
                <w:rFonts w:hint="eastAsia" w:ascii="宋体" w:hAnsi="宋体" w:cs="宋体"/>
                <w:lang w:bidi="ar"/>
              </w:rPr>
              <w:t>根距地面</w:t>
            </w:r>
            <w:r>
              <w:rPr>
                <w:rFonts w:hint="default"/>
                <w:lang w:bidi="ar"/>
              </w:rPr>
              <w:t>15</w:t>
            </w:r>
            <w:r>
              <w:rPr>
                <w:rFonts w:hint="eastAsia" w:ascii="宋体" w:hAnsi="宋体" w:cs="宋体"/>
                <w:lang w:bidi="ar"/>
              </w:rPr>
              <w:t>米高的排气筒</w:t>
            </w:r>
            <w:r>
              <w:rPr>
                <w:rFonts w:hint="default"/>
                <w:lang w:bidi="ar"/>
              </w:rPr>
              <w:t>DA001</w:t>
            </w:r>
            <w:r>
              <w:rPr>
                <w:rFonts w:hint="eastAsia" w:ascii="宋体" w:hAnsi="宋体" w:cs="宋体"/>
                <w:lang w:bidi="ar"/>
              </w:rPr>
              <w:t>排放。系统风机风量为</w:t>
            </w:r>
            <w:r>
              <w:rPr>
                <w:rFonts w:hint="default"/>
                <w:lang w:bidi="ar"/>
              </w:rPr>
              <w:t>5000m</w:t>
            </w:r>
            <w:r>
              <w:rPr>
                <w:rFonts w:hint="default"/>
                <w:vertAlign w:val="superscript"/>
                <w:lang w:bidi="ar"/>
              </w:rPr>
              <w:t>3</w:t>
            </w:r>
            <w:r>
              <w:rPr>
                <w:rFonts w:hint="default"/>
                <w:lang w:bidi="ar"/>
              </w:rPr>
              <w:t>/h</w:t>
            </w:r>
            <w:r>
              <w:rPr>
                <w:rFonts w:hint="eastAsia" w:ascii="宋体" w:hAnsi="宋体" w:cs="宋体"/>
                <w:lang w:bidi="ar"/>
              </w:rPr>
              <w:t>，项目年生产时间</w:t>
            </w:r>
            <w:r>
              <w:rPr>
                <w:rFonts w:hint="default"/>
                <w:lang w:bidi="ar"/>
              </w:rPr>
              <w:t>240d，每天工作8h</w:t>
            </w:r>
            <w:r>
              <w:rPr>
                <w:rFonts w:hint="eastAsia" w:ascii="宋体" w:hAnsi="宋体" w:cs="宋体"/>
                <w:lang w:bidi="ar"/>
              </w:rPr>
              <w:t>，总工作时间</w:t>
            </w:r>
            <w:r>
              <w:rPr>
                <w:rFonts w:hint="eastAsia"/>
                <w:lang w:bidi="ar"/>
              </w:rPr>
              <w:t>1920</w:t>
            </w:r>
            <w:r>
              <w:rPr>
                <w:rFonts w:hint="default"/>
                <w:lang w:bidi="ar"/>
              </w:rPr>
              <w:t>h</w:t>
            </w:r>
            <w:r>
              <w:rPr>
                <w:rFonts w:hint="eastAsia" w:ascii="宋体" w:hAnsi="宋体" w:cs="宋体"/>
                <w:lang w:bidi="ar"/>
              </w:rPr>
              <w:t>。</w:t>
            </w:r>
          </w:p>
          <w:p w14:paraId="640CB8B9">
            <w:pPr>
              <w:keepNext w:val="0"/>
              <w:keepLines w:val="0"/>
              <w:suppressLineNumbers w:val="0"/>
              <w:spacing w:before="0" w:beforeAutospacing="0" w:after="0" w:afterAutospacing="0"/>
              <w:ind w:left="0" w:right="0" w:firstLine="480"/>
              <w:jc w:val="both"/>
              <w:rPr>
                <w:rFonts w:hint="default"/>
              </w:rPr>
            </w:pPr>
            <w:r>
              <w:rPr>
                <w:rFonts w:hint="eastAsia" w:ascii="宋体" w:hAnsi="宋体" w:cs="宋体"/>
                <w:lang w:bidi="ar"/>
              </w:rPr>
              <w:t>根据《排放源统计调查产排污核算方法和系数手册》（公告</w:t>
            </w:r>
            <w:r>
              <w:rPr>
                <w:rFonts w:hint="eastAsia"/>
                <w:lang w:bidi="ar"/>
              </w:rPr>
              <w:t xml:space="preserve"> </w:t>
            </w:r>
            <w:r>
              <w:rPr>
                <w:rFonts w:hint="default"/>
                <w:lang w:bidi="ar"/>
              </w:rPr>
              <w:t>2021</w:t>
            </w:r>
            <w:r>
              <w:rPr>
                <w:rFonts w:hint="eastAsia" w:ascii="宋体" w:hAnsi="宋体" w:cs="宋体"/>
                <w:lang w:bidi="ar"/>
              </w:rPr>
              <w:t>年</w:t>
            </w:r>
            <w:r>
              <w:rPr>
                <w:rFonts w:hint="eastAsia"/>
                <w:lang w:bidi="ar"/>
              </w:rPr>
              <w:t xml:space="preserve"> </w:t>
            </w:r>
            <w:r>
              <w:rPr>
                <w:rFonts w:hint="eastAsia" w:ascii="宋体" w:hAnsi="宋体" w:cs="宋体"/>
                <w:lang w:bidi="ar"/>
              </w:rPr>
              <w:t>第</w:t>
            </w:r>
            <w:r>
              <w:rPr>
                <w:rFonts w:hint="default"/>
                <w:lang w:bidi="ar"/>
              </w:rPr>
              <w:t>24</w:t>
            </w:r>
            <w:r>
              <w:rPr>
                <w:rFonts w:hint="eastAsia" w:ascii="宋体" w:hAnsi="宋体" w:cs="宋体"/>
                <w:lang w:bidi="ar"/>
              </w:rPr>
              <w:t>号），对于各种水泥制品，物料的混合搅拌环节，采用袋式除尘的末端治理技术，其污染物的治理效率按</w:t>
            </w:r>
            <w:r>
              <w:rPr>
                <w:rFonts w:hint="default"/>
                <w:lang w:bidi="ar"/>
              </w:rPr>
              <w:t>99.7%</w:t>
            </w:r>
            <w:r>
              <w:rPr>
                <w:rFonts w:hint="eastAsia" w:ascii="宋体" w:hAnsi="宋体" w:cs="宋体"/>
                <w:lang w:bidi="ar"/>
              </w:rPr>
              <w:t>计（</w:t>
            </w:r>
            <w:r>
              <w:rPr>
                <w:rFonts w:hint="default"/>
                <w:lang w:bidi="ar"/>
              </w:rPr>
              <w:t>k</w:t>
            </w:r>
            <w:r>
              <w:rPr>
                <w:rFonts w:hint="eastAsia" w:ascii="宋体" w:hAnsi="宋体" w:cs="宋体"/>
                <w:lang w:bidi="ar"/>
              </w:rPr>
              <w:t>值按</w:t>
            </w:r>
            <w:r>
              <w:rPr>
                <w:rFonts w:hint="default"/>
                <w:lang w:bidi="ar"/>
              </w:rPr>
              <w:t>1</w:t>
            </w:r>
            <w:r>
              <w:rPr>
                <w:rFonts w:hint="eastAsia" w:ascii="宋体" w:hAnsi="宋体" w:cs="宋体"/>
                <w:lang w:bidi="ar"/>
              </w:rPr>
              <w:t>计）。</w:t>
            </w:r>
          </w:p>
          <w:p w14:paraId="57176FC4">
            <w:pPr>
              <w:keepNext w:val="0"/>
              <w:keepLines w:val="0"/>
              <w:suppressLineNumbers w:val="0"/>
              <w:spacing w:before="0" w:beforeAutospacing="0" w:after="0" w:afterAutospacing="0"/>
              <w:ind w:left="0" w:right="0" w:firstLine="480"/>
              <w:jc w:val="both"/>
              <w:rPr>
                <w:rFonts w:hint="default"/>
              </w:rPr>
            </w:pPr>
            <w:r>
              <w:rPr>
                <w:rFonts w:hint="eastAsia" w:ascii="宋体" w:hAnsi="宋体" w:cs="宋体"/>
                <w:lang w:bidi="ar"/>
              </w:rPr>
              <w:t>经布袋除尘器处理后，石子、石粉上料过程有组织颗粒物排放量为</w:t>
            </w:r>
            <w:r>
              <w:rPr>
                <w:rFonts w:hint="default"/>
                <w:lang w:bidi="ar"/>
              </w:rPr>
              <w:t>0.00</w:t>
            </w:r>
            <w:r>
              <w:rPr>
                <w:rFonts w:hint="eastAsia"/>
                <w:lang w:bidi="ar"/>
              </w:rPr>
              <w:t>23</w:t>
            </w:r>
            <w:r>
              <w:rPr>
                <w:rFonts w:hint="default"/>
                <w:lang w:bidi="ar"/>
              </w:rPr>
              <w:t>t</w:t>
            </w:r>
            <w:r>
              <w:rPr>
                <w:rFonts w:hint="eastAsia" w:ascii="宋体" w:hAnsi="宋体" w:cs="宋体"/>
                <w:lang w:bidi="ar"/>
              </w:rPr>
              <w:t>。无组织颗粒物产生量为</w:t>
            </w:r>
            <w:r>
              <w:rPr>
                <w:rFonts w:hint="eastAsia"/>
                <w:lang w:bidi="ar"/>
              </w:rPr>
              <w:t>0.041</w:t>
            </w:r>
            <w:r>
              <w:rPr>
                <w:rFonts w:hint="default"/>
                <w:lang w:bidi="ar"/>
              </w:rPr>
              <w:t>t</w:t>
            </w:r>
            <w:r>
              <w:rPr>
                <w:rFonts w:hint="eastAsia" w:ascii="宋体" w:hAnsi="宋体" w:cs="宋体"/>
                <w:lang w:bidi="ar"/>
              </w:rPr>
              <w:t>，产生速率为</w:t>
            </w:r>
            <w:r>
              <w:rPr>
                <w:rFonts w:hint="default"/>
                <w:lang w:bidi="ar"/>
              </w:rPr>
              <w:t>0.0</w:t>
            </w:r>
            <w:r>
              <w:rPr>
                <w:rFonts w:hint="eastAsia"/>
                <w:lang w:bidi="ar"/>
              </w:rPr>
              <w:t>21</w:t>
            </w:r>
            <w:r>
              <w:rPr>
                <w:rFonts w:hint="default"/>
                <w:lang w:bidi="ar"/>
              </w:rPr>
              <w:t>kg/h</w:t>
            </w:r>
            <w:r>
              <w:rPr>
                <w:rFonts w:hint="eastAsia"/>
                <w:lang w:bidi="ar"/>
              </w:rPr>
              <w:t>。</w:t>
            </w:r>
          </w:p>
          <w:p w14:paraId="392794E2">
            <w:pPr>
              <w:keepNext w:val="0"/>
              <w:keepLines w:val="0"/>
              <w:numPr>
                <w:ilvl w:val="0"/>
                <w:numId w:val="16"/>
              </w:numPr>
              <w:suppressLineNumbers w:val="0"/>
              <w:spacing w:before="0" w:beforeAutospacing="0" w:after="0" w:afterAutospacing="0"/>
              <w:ind w:right="0" w:firstLine="480"/>
              <w:rPr>
                <w:rFonts w:hint="default"/>
              </w:rPr>
            </w:pPr>
            <w:r>
              <w:rPr>
                <w:rFonts w:hint="eastAsia" w:ascii="宋体" w:hAnsi="宋体" w:cs="宋体"/>
                <w:lang w:bidi="ar"/>
              </w:rPr>
              <w:t>拌和过程产生的粉尘</w:t>
            </w:r>
          </w:p>
          <w:p w14:paraId="3E878468">
            <w:pPr>
              <w:keepNext w:val="0"/>
              <w:keepLines w:val="0"/>
              <w:suppressLineNumbers w:val="0"/>
              <w:spacing w:before="0" w:beforeAutospacing="0" w:after="0" w:afterAutospacing="0"/>
              <w:ind w:left="0" w:right="0" w:firstLine="480"/>
              <w:rPr>
                <w:rFonts w:hint="default"/>
              </w:rPr>
            </w:pPr>
            <w:r>
              <w:rPr>
                <w:rFonts w:hint="eastAsia" w:ascii="宋体" w:hAnsi="宋体" w:cs="宋体"/>
                <w:lang w:bidi="ar"/>
              </w:rPr>
              <w:t>评价依据《排放源统计调查产排污核算方法和系数手册》（公告</w:t>
            </w:r>
            <w:r>
              <w:rPr>
                <w:rFonts w:hint="eastAsia"/>
                <w:lang w:bidi="ar"/>
              </w:rPr>
              <w:t xml:space="preserve"> </w:t>
            </w:r>
            <w:r>
              <w:rPr>
                <w:rFonts w:hint="default"/>
                <w:lang w:bidi="ar"/>
              </w:rPr>
              <w:t>2021</w:t>
            </w:r>
            <w:r>
              <w:rPr>
                <w:rFonts w:hint="eastAsia" w:ascii="宋体" w:hAnsi="宋体" w:cs="宋体"/>
                <w:lang w:bidi="ar"/>
              </w:rPr>
              <w:t>年 第</w:t>
            </w:r>
            <w:r>
              <w:rPr>
                <w:rFonts w:hint="default"/>
                <w:lang w:bidi="ar"/>
              </w:rPr>
              <w:t>24</w:t>
            </w:r>
            <w:r>
              <w:rPr>
                <w:rFonts w:hint="eastAsia" w:ascii="宋体" w:hAnsi="宋体" w:cs="宋体"/>
                <w:lang w:bidi="ar"/>
              </w:rPr>
              <w:t>号）中</w:t>
            </w:r>
            <w:r>
              <w:rPr>
                <w:rFonts w:hint="default"/>
                <w:lang w:bidi="ar"/>
              </w:rPr>
              <w:t>3021</w:t>
            </w:r>
            <w:r>
              <w:rPr>
                <w:rFonts w:hint="eastAsia" w:ascii="宋体" w:hAnsi="宋体" w:cs="宋体"/>
                <w:lang w:bidi="ar"/>
              </w:rPr>
              <w:t>水泥制品制造（含</w:t>
            </w:r>
            <w:r>
              <w:rPr>
                <w:rFonts w:hint="eastAsia"/>
                <w:lang w:bidi="ar"/>
              </w:rPr>
              <w:t xml:space="preserve"> </w:t>
            </w:r>
            <w:r>
              <w:rPr>
                <w:rFonts w:hint="default"/>
                <w:lang w:bidi="ar"/>
              </w:rPr>
              <w:t xml:space="preserve">3022 </w:t>
            </w:r>
            <w:r>
              <w:rPr>
                <w:rFonts w:hint="eastAsia" w:ascii="宋体" w:hAnsi="宋体" w:cs="宋体"/>
                <w:lang w:bidi="ar"/>
              </w:rPr>
              <w:t>砼结构构件、</w:t>
            </w:r>
            <w:r>
              <w:rPr>
                <w:rFonts w:hint="default"/>
                <w:lang w:bidi="ar"/>
              </w:rPr>
              <w:t xml:space="preserve">3029 </w:t>
            </w:r>
            <w:r>
              <w:rPr>
                <w:rFonts w:hint="eastAsia" w:ascii="宋体" w:hAnsi="宋体" w:cs="宋体"/>
                <w:lang w:bidi="ar"/>
              </w:rPr>
              <w:t>其他水泥类似制品制造）中，各种水泥制品中，物料混合搅拌工序工业颗粒物产污系数为</w:t>
            </w:r>
            <w:r>
              <w:rPr>
                <w:rFonts w:hint="default"/>
                <w:lang w:bidi="ar"/>
              </w:rPr>
              <w:t>0.13kg/t-</w:t>
            </w:r>
            <w:r>
              <w:rPr>
                <w:rFonts w:hint="eastAsia" w:ascii="宋体" w:hAnsi="宋体" w:cs="宋体"/>
                <w:lang w:bidi="ar"/>
              </w:rPr>
              <w:t>产品进行计算。项目总计生产混凝土</w:t>
            </w:r>
            <w:r>
              <w:rPr>
                <w:rFonts w:hint="eastAsia"/>
                <w:lang w:bidi="ar"/>
              </w:rPr>
              <w:t>76000</w:t>
            </w:r>
            <w:r>
              <w:rPr>
                <w:rFonts w:hint="default"/>
                <w:lang w:bidi="ar"/>
              </w:rPr>
              <w:t>t</w:t>
            </w:r>
            <w:r>
              <w:rPr>
                <w:rFonts w:hint="eastAsia" w:ascii="宋体" w:hAnsi="宋体" w:cs="宋体"/>
                <w:lang w:bidi="ar"/>
              </w:rPr>
              <w:t>，物料混合搅拌工序年运行时间</w:t>
            </w:r>
            <w:r>
              <w:rPr>
                <w:rFonts w:hint="eastAsia"/>
                <w:lang w:bidi="ar"/>
              </w:rPr>
              <w:t>240</w:t>
            </w:r>
            <w:r>
              <w:rPr>
                <w:rFonts w:hint="default"/>
                <w:lang w:bidi="ar"/>
              </w:rPr>
              <w:t>d</w:t>
            </w:r>
            <w:r>
              <w:rPr>
                <w:rFonts w:hint="eastAsia" w:ascii="宋体" w:hAnsi="宋体" w:cs="宋体"/>
                <w:lang w:bidi="ar"/>
              </w:rPr>
              <w:t>，</w:t>
            </w:r>
            <w:r>
              <w:rPr>
                <w:rFonts w:hint="eastAsia"/>
                <w:lang w:bidi="ar"/>
              </w:rPr>
              <w:t>1920</w:t>
            </w:r>
            <w:r>
              <w:rPr>
                <w:rFonts w:hint="default"/>
                <w:lang w:bidi="ar"/>
              </w:rPr>
              <w:t>h</w:t>
            </w:r>
            <w:r>
              <w:rPr>
                <w:rFonts w:hint="eastAsia" w:ascii="宋体" w:hAnsi="宋体" w:cs="宋体"/>
                <w:lang w:bidi="ar"/>
              </w:rPr>
              <w:t>。</w:t>
            </w:r>
          </w:p>
          <w:p w14:paraId="6FEF6F9B">
            <w:pPr>
              <w:keepNext w:val="0"/>
              <w:keepLines w:val="0"/>
              <w:suppressLineNumbers w:val="0"/>
              <w:spacing w:before="0" w:beforeAutospacing="0" w:after="0" w:afterAutospacing="0"/>
              <w:ind w:left="0" w:right="0" w:firstLine="480"/>
              <w:rPr>
                <w:rFonts w:hint="default"/>
              </w:rPr>
            </w:pPr>
            <w:r>
              <w:rPr>
                <w:rFonts w:hint="eastAsia" w:ascii="宋体" w:hAnsi="宋体" w:cs="宋体"/>
                <w:lang w:bidi="ar"/>
              </w:rPr>
              <w:t>则根据系数法核算，搅拌过程粉尘产生量为</w:t>
            </w:r>
            <w:r>
              <w:rPr>
                <w:rFonts w:hint="eastAsia"/>
                <w:lang w:bidi="ar"/>
              </w:rPr>
              <w:t>9.88</w:t>
            </w:r>
            <w:r>
              <w:rPr>
                <w:rFonts w:hint="default"/>
                <w:lang w:bidi="ar"/>
              </w:rPr>
              <w:t>t</w:t>
            </w:r>
            <w:r>
              <w:rPr>
                <w:rFonts w:hint="eastAsia" w:ascii="宋体" w:hAnsi="宋体" w:cs="宋体"/>
                <w:lang w:bidi="ar"/>
              </w:rPr>
              <w:t>。</w:t>
            </w:r>
          </w:p>
          <w:p w14:paraId="4F9987BE">
            <w:pPr>
              <w:keepNext w:val="0"/>
              <w:keepLines w:val="0"/>
              <w:suppressLineNumbers w:val="0"/>
              <w:spacing w:before="0" w:beforeAutospacing="0" w:after="0" w:afterAutospacing="0"/>
              <w:ind w:left="0" w:right="0" w:firstLine="480"/>
              <w:rPr>
                <w:rFonts w:hint="default"/>
              </w:rPr>
            </w:pPr>
            <w:r>
              <w:rPr>
                <w:rFonts w:hint="eastAsia" w:ascii="宋体" w:hAnsi="宋体" w:cs="宋体"/>
                <w:lang w:bidi="ar"/>
              </w:rPr>
              <w:t>项目针对搅拌系统采取的治理措施为：在搅拌机入料口设置集气罩，集气罩收集效率为</w:t>
            </w:r>
            <w:r>
              <w:rPr>
                <w:rFonts w:hint="default"/>
                <w:lang w:bidi="ar"/>
              </w:rPr>
              <w:t>95%</w:t>
            </w:r>
            <w:r>
              <w:rPr>
                <w:rFonts w:hint="eastAsia" w:ascii="宋体" w:hAnsi="宋体" w:cs="宋体"/>
                <w:lang w:bidi="ar"/>
              </w:rPr>
              <w:t>。由引风机将含尘气体引入</w:t>
            </w:r>
            <w:r>
              <w:rPr>
                <w:rFonts w:hint="default"/>
                <w:lang w:bidi="ar"/>
              </w:rPr>
              <w:t>1</w:t>
            </w:r>
            <w:r>
              <w:rPr>
                <w:rFonts w:hint="eastAsia" w:ascii="宋体" w:hAnsi="宋体" w:cs="宋体"/>
                <w:lang w:bidi="ar"/>
              </w:rPr>
              <w:t>套布袋除尘器中进行处理，处理后的颗粒物经</w:t>
            </w:r>
            <w:r>
              <w:rPr>
                <w:rFonts w:hint="default"/>
                <w:lang w:bidi="ar"/>
              </w:rPr>
              <w:t>1</w:t>
            </w:r>
            <w:r>
              <w:rPr>
                <w:rFonts w:hint="eastAsia" w:ascii="宋体" w:hAnsi="宋体" w:cs="宋体"/>
                <w:lang w:bidi="ar"/>
              </w:rPr>
              <w:t>根距地面</w:t>
            </w:r>
            <w:r>
              <w:rPr>
                <w:rFonts w:hint="default"/>
                <w:lang w:bidi="ar"/>
              </w:rPr>
              <w:t>15</w:t>
            </w:r>
            <w:r>
              <w:rPr>
                <w:rFonts w:hint="eastAsia" w:ascii="宋体" w:hAnsi="宋体" w:cs="宋体"/>
                <w:lang w:bidi="ar"/>
              </w:rPr>
              <w:t>米高的排气筒</w:t>
            </w:r>
            <w:r>
              <w:rPr>
                <w:rFonts w:hint="default"/>
                <w:lang w:bidi="ar"/>
              </w:rPr>
              <w:t>DA001</w:t>
            </w:r>
            <w:r>
              <w:rPr>
                <w:rFonts w:hint="eastAsia" w:ascii="宋体" w:hAnsi="宋体" w:cs="宋体"/>
                <w:lang w:bidi="ar"/>
              </w:rPr>
              <w:t>排放。系统风机风量为</w:t>
            </w:r>
            <w:r>
              <w:rPr>
                <w:rFonts w:hint="default"/>
                <w:lang w:bidi="ar"/>
              </w:rPr>
              <w:t>5000m</w:t>
            </w:r>
            <w:r>
              <w:rPr>
                <w:rFonts w:hint="default"/>
                <w:vertAlign w:val="superscript"/>
                <w:lang w:bidi="ar"/>
              </w:rPr>
              <w:t>3</w:t>
            </w:r>
            <w:r>
              <w:rPr>
                <w:rFonts w:hint="default"/>
                <w:lang w:bidi="ar"/>
              </w:rPr>
              <w:t>/h</w:t>
            </w:r>
            <w:r>
              <w:rPr>
                <w:rFonts w:hint="eastAsia" w:ascii="宋体" w:hAnsi="宋体" w:cs="宋体"/>
                <w:lang w:bidi="ar"/>
              </w:rPr>
              <w:t>。</w:t>
            </w:r>
          </w:p>
          <w:p w14:paraId="4FF9565E">
            <w:pPr>
              <w:keepNext w:val="0"/>
              <w:keepLines w:val="0"/>
              <w:suppressLineNumbers w:val="0"/>
              <w:spacing w:before="0" w:beforeAutospacing="0" w:after="0" w:afterAutospacing="0"/>
              <w:ind w:left="0" w:right="0" w:firstLine="480"/>
              <w:rPr>
                <w:rFonts w:hint="default"/>
              </w:rPr>
            </w:pPr>
            <w:r>
              <w:rPr>
                <w:rFonts w:hint="eastAsia" w:ascii="宋体" w:hAnsi="宋体" w:cs="宋体"/>
                <w:lang w:bidi="ar"/>
              </w:rPr>
              <w:t>根据《排放源统计调查产排污核算方法和系数手册》（公告</w:t>
            </w:r>
            <w:r>
              <w:rPr>
                <w:rFonts w:hint="eastAsia"/>
                <w:lang w:bidi="ar"/>
              </w:rPr>
              <w:t xml:space="preserve"> </w:t>
            </w:r>
            <w:r>
              <w:rPr>
                <w:rFonts w:hint="default"/>
                <w:lang w:bidi="ar"/>
              </w:rPr>
              <w:t>2021</w:t>
            </w:r>
            <w:r>
              <w:rPr>
                <w:rFonts w:hint="eastAsia" w:ascii="宋体" w:hAnsi="宋体" w:cs="宋体"/>
                <w:lang w:bidi="ar"/>
              </w:rPr>
              <w:t>年 第</w:t>
            </w:r>
            <w:r>
              <w:rPr>
                <w:rFonts w:hint="default"/>
                <w:lang w:bidi="ar"/>
              </w:rPr>
              <w:t>24</w:t>
            </w:r>
            <w:r>
              <w:rPr>
                <w:rFonts w:hint="eastAsia" w:ascii="宋体" w:hAnsi="宋体" w:cs="宋体"/>
                <w:lang w:bidi="ar"/>
              </w:rPr>
              <w:t>号），对于各种水泥制品，物料的混合搅拌环节，采用袋式除尘的末端治理技术，其污染物的治理效率按</w:t>
            </w:r>
            <w:r>
              <w:rPr>
                <w:rFonts w:hint="default"/>
                <w:lang w:bidi="ar"/>
              </w:rPr>
              <w:t>99.7%</w:t>
            </w:r>
            <w:r>
              <w:rPr>
                <w:rFonts w:hint="eastAsia" w:ascii="宋体" w:hAnsi="宋体" w:cs="宋体"/>
                <w:lang w:bidi="ar"/>
              </w:rPr>
              <w:t>计（</w:t>
            </w:r>
            <w:r>
              <w:rPr>
                <w:rFonts w:hint="default"/>
                <w:lang w:bidi="ar"/>
              </w:rPr>
              <w:t>k</w:t>
            </w:r>
            <w:r>
              <w:rPr>
                <w:rFonts w:hint="eastAsia" w:ascii="宋体" w:hAnsi="宋体" w:cs="宋体"/>
                <w:lang w:bidi="ar"/>
              </w:rPr>
              <w:t>值按</w:t>
            </w:r>
            <w:r>
              <w:rPr>
                <w:rFonts w:hint="default"/>
                <w:lang w:bidi="ar"/>
              </w:rPr>
              <w:t>1</w:t>
            </w:r>
            <w:r>
              <w:rPr>
                <w:rFonts w:hint="eastAsia" w:ascii="宋体" w:hAnsi="宋体" w:cs="宋体"/>
                <w:lang w:bidi="ar"/>
              </w:rPr>
              <w:t>计）。</w:t>
            </w:r>
          </w:p>
          <w:p w14:paraId="2B7345E4">
            <w:pPr>
              <w:keepNext w:val="0"/>
              <w:keepLines w:val="0"/>
              <w:suppressLineNumbers w:val="0"/>
              <w:spacing w:before="0" w:beforeAutospacing="0" w:after="0" w:afterAutospacing="0"/>
              <w:ind w:left="0" w:right="0" w:firstLine="480"/>
              <w:rPr>
                <w:rFonts w:hint="default"/>
              </w:rPr>
            </w:pPr>
            <w:r>
              <w:rPr>
                <w:rFonts w:hint="eastAsia" w:ascii="宋体" w:hAnsi="宋体" w:cs="宋体"/>
                <w:lang w:bidi="ar"/>
              </w:rPr>
              <w:t>根据上述参数计算，项目搅拌机产生的粉尘经布袋除尘器（效率</w:t>
            </w:r>
            <w:r>
              <w:rPr>
                <w:rFonts w:hint="default"/>
                <w:lang w:bidi="ar"/>
              </w:rPr>
              <w:t>99.7%</w:t>
            </w:r>
            <w:r>
              <w:rPr>
                <w:rFonts w:hint="eastAsia" w:ascii="宋体" w:hAnsi="宋体" w:cs="宋体"/>
                <w:lang w:bidi="ar"/>
              </w:rPr>
              <w:t>）治理后，有组织颗粒物排放量为</w:t>
            </w:r>
            <w:r>
              <w:rPr>
                <w:rFonts w:hint="default"/>
                <w:lang w:bidi="ar"/>
              </w:rPr>
              <w:t>0.0</w:t>
            </w:r>
            <w:r>
              <w:rPr>
                <w:rFonts w:hint="eastAsia"/>
                <w:lang w:bidi="ar"/>
              </w:rPr>
              <w:t>28</w:t>
            </w:r>
            <w:r>
              <w:rPr>
                <w:rFonts w:hint="default"/>
                <w:lang w:bidi="ar"/>
              </w:rPr>
              <w:t>t</w:t>
            </w:r>
            <w:r>
              <w:rPr>
                <w:rFonts w:hint="eastAsia"/>
                <w:lang w:bidi="ar"/>
              </w:rPr>
              <w:t>/a</w:t>
            </w:r>
            <w:r>
              <w:rPr>
                <w:rFonts w:hint="eastAsia" w:ascii="宋体" w:hAnsi="宋体" w:cs="宋体"/>
                <w:lang w:bidi="ar"/>
              </w:rPr>
              <w:t>。无组织颗粒物产生量为</w:t>
            </w:r>
            <w:r>
              <w:rPr>
                <w:rFonts w:hint="default"/>
                <w:lang w:bidi="ar"/>
              </w:rPr>
              <w:t>0.</w:t>
            </w:r>
            <w:r>
              <w:rPr>
                <w:rFonts w:hint="eastAsia"/>
                <w:lang w:bidi="ar"/>
              </w:rPr>
              <w:t>49</w:t>
            </w:r>
            <w:r>
              <w:rPr>
                <w:rFonts w:hint="default"/>
                <w:lang w:bidi="ar"/>
              </w:rPr>
              <w:t>t</w:t>
            </w:r>
            <w:r>
              <w:rPr>
                <w:rFonts w:hint="eastAsia"/>
                <w:lang w:bidi="ar"/>
              </w:rPr>
              <w:t>/a</w:t>
            </w:r>
            <w:r>
              <w:rPr>
                <w:rFonts w:hint="eastAsia" w:ascii="宋体" w:hAnsi="宋体" w:cs="宋体"/>
                <w:lang w:bidi="ar"/>
              </w:rPr>
              <w:t>，无组织颗粒物产生速率为</w:t>
            </w:r>
            <w:r>
              <w:rPr>
                <w:rFonts w:hint="default"/>
                <w:lang w:bidi="ar"/>
              </w:rPr>
              <w:t>0.</w:t>
            </w:r>
            <w:r>
              <w:rPr>
                <w:rFonts w:hint="eastAsia"/>
                <w:lang w:bidi="ar"/>
              </w:rPr>
              <w:t>26</w:t>
            </w:r>
            <w:r>
              <w:rPr>
                <w:rFonts w:hint="default"/>
                <w:lang w:bidi="ar"/>
              </w:rPr>
              <w:t>kg/h</w:t>
            </w:r>
            <w:r>
              <w:rPr>
                <w:rFonts w:hint="eastAsia"/>
                <w:lang w:bidi="ar"/>
              </w:rPr>
              <w:t>。</w:t>
            </w:r>
          </w:p>
          <w:p w14:paraId="004D0B55">
            <w:pPr>
              <w:keepNext w:val="0"/>
              <w:keepLines w:val="0"/>
              <w:numPr>
                <w:ilvl w:val="0"/>
                <w:numId w:val="16"/>
              </w:numPr>
              <w:suppressLineNumbers w:val="0"/>
              <w:spacing w:before="0" w:beforeAutospacing="0" w:after="0" w:afterAutospacing="0"/>
              <w:ind w:right="0" w:firstLine="480"/>
              <w:rPr>
                <w:rFonts w:hint="default"/>
              </w:rPr>
            </w:pPr>
            <w:r>
              <w:rPr>
                <w:rFonts w:hint="eastAsia" w:ascii="宋体" w:hAnsi="宋体" w:cs="宋体"/>
                <w:lang w:bidi="ar"/>
              </w:rPr>
              <w:t>颗粒物排放汇总</w:t>
            </w:r>
          </w:p>
          <w:p w14:paraId="26B864A4">
            <w:pPr>
              <w:keepNext w:val="0"/>
              <w:keepLines w:val="0"/>
              <w:numPr>
                <w:ilvl w:val="0"/>
                <w:numId w:val="17"/>
              </w:numPr>
              <w:suppressLineNumbers w:val="0"/>
              <w:spacing w:before="0" w:beforeAutospacing="0" w:after="0" w:afterAutospacing="0"/>
              <w:ind w:right="0" w:firstLine="55" w:firstLineChars="0"/>
              <w:rPr>
                <w:rFonts w:hint="default"/>
              </w:rPr>
            </w:pPr>
            <w:r>
              <w:rPr>
                <w:rFonts w:hint="eastAsia" w:ascii="宋体" w:hAnsi="宋体" w:cs="宋体"/>
                <w:lang w:bidi="ar"/>
              </w:rPr>
              <w:t>有组织颗粒物</w:t>
            </w:r>
          </w:p>
          <w:p w14:paraId="0AF9BA3B">
            <w:pPr>
              <w:keepNext w:val="0"/>
              <w:keepLines w:val="0"/>
              <w:suppressLineNumbers w:val="0"/>
              <w:spacing w:before="0" w:beforeAutospacing="0" w:after="0" w:afterAutospacing="0"/>
              <w:ind w:left="0" w:right="0" w:firstLine="480"/>
              <w:rPr>
                <w:rFonts w:hint="default"/>
              </w:rPr>
            </w:pPr>
            <w:r>
              <w:rPr>
                <w:rFonts w:hint="eastAsia" w:ascii="宋体" w:hAnsi="宋体" w:cs="宋体"/>
                <w:lang w:bidi="ar"/>
              </w:rPr>
              <w:t>项目搅拌机料仓上料、搅拌会产生颗粒物，通过设置集气罩和布袋除尘器进行处理，经处理后均通过</w:t>
            </w:r>
            <w:r>
              <w:rPr>
                <w:rFonts w:hint="default"/>
                <w:lang w:bidi="ar"/>
              </w:rPr>
              <w:t>15m</w:t>
            </w:r>
            <w:r>
              <w:rPr>
                <w:rFonts w:hint="eastAsia" w:ascii="宋体" w:hAnsi="宋体" w:cs="宋体"/>
                <w:lang w:bidi="ar"/>
              </w:rPr>
              <w:t>高排气筒（</w:t>
            </w:r>
            <w:r>
              <w:rPr>
                <w:rFonts w:hint="default"/>
                <w:lang w:bidi="ar"/>
              </w:rPr>
              <w:t>DA001</w:t>
            </w:r>
            <w:r>
              <w:rPr>
                <w:rFonts w:hint="eastAsia" w:ascii="宋体" w:hAnsi="宋体" w:cs="宋体"/>
                <w:lang w:bidi="ar"/>
              </w:rPr>
              <w:t>）排放，设置一个风机，风机风量为</w:t>
            </w:r>
            <w:r>
              <w:rPr>
                <w:rFonts w:hint="default"/>
                <w:lang w:bidi="ar"/>
              </w:rPr>
              <w:t>5000m</w:t>
            </w:r>
            <w:r>
              <w:rPr>
                <w:rFonts w:hint="default"/>
                <w:vertAlign w:val="superscript"/>
                <w:lang w:bidi="ar"/>
              </w:rPr>
              <w:t>3</w:t>
            </w:r>
            <w:r>
              <w:rPr>
                <w:rFonts w:hint="default"/>
                <w:lang w:bidi="ar"/>
              </w:rPr>
              <w:t>/h</w:t>
            </w:r>
            <w:r>
              <w:rPr>
                <w:rFonts w:hint="eastAsia" w:ascii="宋体" w:hAnsi="宋体" w:cs="宋体"/>
                <w:lang w:bidi="ar"/>
              </w:rPr>
              <w:t>。根据上述源强核算可知，项目石子、石粉料仓上料有组织颗粒物排放量为</w:t>
            </w:r>
            <w:r>
              <w:rPr>
                <w:rFonts w:hint="eastAsia"/>
                <w:lang w:bidi="ar"/>
              </w:rPr>
              <w:t>2.35</w:t>
            </w:r>
            <w:r>
              <w:rPr>
                <w:rFonts w:hint="default"/>
                <w:lang w:bidi="ar"/>
              </w:rPr>
              <w:t>kg</w:t>
            </w:r>
            <w:r>
              <w:rPr>
                <w:rFonts w:hint="eastAsia"/>
                <w:lang w:bidi="ar"/>
              </w:rPr>
              <w:t>/a</w:t>
            </w:r>
            <w:r>
              <w:rPr>
                <w:rFonts w:hint="eastAsia" w:ascii="宋体" w:hAnsi="宋体" w:cs="宋体"/>
                <w:lang w:bidi="ar"/>
              </w:rPr>
              <w:t>；搅拌工序有组织颗粒物排放量为</w:t>
            </w:r>
            <w:r>
              <w:rPr>
                <w:rFonts w:hint="eastAsia"/>
                <w:lang w:bidi="ar"/>
              </w:rPr>
              <w:t>28.16</w:t>
            </w:r>
            <w:r>
              <w:rPr>
                <w:rFonts w:hint="default"/>
                <w:lang w:bidi="ar"/>
              </w:rPr>
              <w:t>kg</w:t>
            </w:r>
            <w:r>
              <w:rPr>
                <w:rFonts w:hint="eastAsia"/>
                <w:lang w:bidi="ar"/>
              </w:rPr>
              <w:t>/a</w:t>
            </w:r>
            <w:r>
              <w:rPr>
                <w:rFonts w:hint="eastAsia" w:ascii="宋体" w:hAnsi="宋体" w:cs="宋体"/>
                <w:lang w:bidi="ar"/>
              </w:rPr>
              <w:t>。项目年生</w:t>
            </w:r>
            <w:r>
              <w:rPr>
                <w:rFonts w:hint="default"/>
                <w:lang w:bidi="ar"/>
              </w:rPr>
              <w:t>产240d</w:t>
            </w:r>
            <w:r>
              <w:rPr>
                <w:rFonts w:hint="eastAsia" w:ascii="宋体" w:hAnsi="宋体" w:cs="宋体"/>
                <w:lang w:bidi="ar"/>
              </w:rPr>
              <w:t>，每天生产</w:t>
            </w:r>
            <w:r>
              <w:rPr>
                <w:rFonts w:hint="eastAsia"/>
                <w:lang w:bidi="ar"/>
              </w:rPr>
              <w:t>8</w:t>
            </w:r>
            <w:r>
              <w:rPr>
                <w:rFonts w:hint="default"/>
                <w:lang w:bidi="ar"/>
              </w:rPr>
              <w:t>h</w:t>
            </w:r>
            <w:r>
              <w:rPr>
                <w:rFonts w:hint="eastAsia" w:ascii="宋体" w:hAnsi="宋体" w:cs="宋体"/>
                <w:lang w:bidi="ar"/>
              </w:rPr>
              <w:t>，则排气筒</w:t>
            </w:r>
            <w:r>
              <w:rPr>
                <w:rFonts w:hint="default"/>
                <w:lang w:bidi="ar"/>
              </w:rPr>
              <w:t>DA001</w:t>
            </w:r>
            <w:r>
              <w:rPr>
                <w:rFonts w:hint="eastAsia" w:ascii="宋体" w:hAnsi="宋体" w:cs="宋体"/>
                <w:lang w:bidi="ar"/>
              </w:rPr>
              <w:t>总计有组织颗粒物排放量</w:t>
            </w:r>
            <w:r>
              <w:rPr>
                <w:rFonts w:hint="eastAsia"/>
                <w:lang w:bidi="ar"/>
              </w:rPr>
              <w:t>30.51</w:t>
            </w:r>
            <w:r>
              <w:rPr>
                <w:rFonts w:hint="default"/>
                <w:lang w:bidi="ar"/>
              </w:rPr>
              <w:t>kg</w:t>
            </w:r>
            <w:r>
              <w:rPr>
                <w:rFonts w:hint="eastAsia"/>
                <w:lang w:bidi="ar"/>
              </w:rPr>
              <w:t>/a</w:t>
            </w:r>
            <w:r>
              <w:rPr>
                <w:rFonts w:hint="eastAsia" w:ascii="宋体" w:hAnsi="宋体" w:cs="宋体"/>
                <w:lang w:bidi="ar"/>
              </w:rPr>
              <w:t>，总计有组织颗粒物排放速率为</w:t>
            </w:r>
            <w:r>
              <w:rPr>
                <w:rFonts w:hint="default"/>
                <w:lang w:bidi="ar"/>
              </w:rPr>
              <w:t>0.0</w:t>
            </w:r>
            <w:r>
              <w:rPr>
                <w:rFonts w:hint="eastAsia"/>
                <w:lang w:bidi="ar"/>
              </w:rPr>
              <w:t>16</w:t>
            </w:r>
            <w:r>
              <w:rPr>
                <w:rFonts w:hint="default"/>
                <w:lang w:bidi="ar"/>
              </w:rPr>
              <w:t>kg/h</w:t>
            </w:r>
            <w:r>
              <w:rPr>
                <w:rFonts w:hint="eastAsia" w:ascii="宋体" w:hAnsi="宋体" w:cs="宋体"/>
                <w:lang w:bidi="ar"/>
              </w:rPr>
              <w:t>，有组织颗粒物排放浓度为</w:t>
            </w:r>
            <w:r>
              <w:rPr>
                <w:rFonts w:hint="eastAsia"/>
                <w:lang w:bidi="ar"/>
              </w:rPr>
              <w:t>3.18</w:t>
            </w:r>
            <w:r>
              <w:rPr>
                <w:rFonts w:hint="default"/>
                <w:lang w:bidi="ar"/>
              </w:rPr>
              <w:t>mg/m</w:t>
            </w:r>
            <w:r>
              <w:rPr>
                <w:rFonts w:hint="default"/>
                <w:vertAlign w:val="superscript"/>
                <w:lang w:bidi="ar"/>
              </w:rPr>
              <w:t>3</w:t>
            </w:r>
            <w:r>
              <w:rPr>
                <w:rFonts w:hint="eastAsia" w:ascii="宋体" w:hAnsi="宋体" w:cs="宋体"/>
                <w:lang w:bidi="ar"/>
              </w:rPr>
              <w:t>。</w:t>
            </w:r>
          </w:p>
          <w:p w14:paraId="296A1259">
            <w:pPr>
              <w:keepNext w:val="0"/>
              <w:keepLines w:val="0"/>
              <w:suppressLineNumbers w:val="0"/>
              <w:spacing w:before="0" w:beforeAutospacing="0" w:after="0" w:afterAutospacing="0"/>
              <w:ind w:left="0" w:right="0" w:firstLine="480"/>
              <w:rPr>
                <w:rFonts w:hint="default"/>
              </w:rPr>
            </w:pPr>
            <w:r>
              <w:rPr>
                <w:rFonts w:hint="eastAsia" w:ascii="宋体" w:hAnsi="宋体" w:cs="宋体"/>
                <w:lang w:bidi="ar"/>
              </w:rPr>
              <w:t>项目水泥筒仓排放的颗粒物视为有组织排放，产生的粉尘经筒仓顶部配带的仓顶泄压式布袋除尘器（效率</w:t>
            </w:r>
            <w:r>
              <w:rPr>
                <w:rFonts w:hint="default"/>
                <w:lang w:bidi="ar"/>
              </w:rPr>
              <w:t>99.7%</w:t>
            </w:r>
            <w:r>
              <w:rPr>
                <w:rFonts w:hint="eastAsia" w:ascii="宋体" w:hAnsi="宋体" w:cs="宋体"/>
                <w:lang w:bidi="ar"/>
              </w:rPr>
              <w:t>）处理后，净化的气体由除尘器顶口排放，由上述源强核算结果可知，粉尘颗粒物排放量为</w:t>
            </w:r>
            <w:r>
              <w:rPr>
                <w:rFonts w:hint="default"/>
                <w:lang w:bidi="ar"/>
              </w:rPr>
              <w:t>0.00</w:t>
            </w:r>
            <w:r>
              <w:rPr>
                <w:rFonts w:hint="eastAsia"/>
                <w:lang w:bidi="ar"/>
              </w:rPr>
              <w:t>32</w:t>
            </w:r>
            <w:r>
              <w:rPr>
                <w:rFonts w:hint="default"/>
                <w:lang w:bidi="ar"/>
              </w:rPr>
              <w:t>t</w:t>
            </w:r>
            <w:r>
              <w:rPr>
                <w:rFonts w:hint="eastAsia"/>
                <w:lang w:bidi="ar"/>
              </w:rPr>
              <w:t>/a</w:t>
            </w:r>
            <w:r>
              <w:rPr>
                <w:rFonts w:hint="eastAsia" w:ascii="宋体" w:hAnsi="宋体" w:cs="宋体"/>
                <w:lang w:bidi="ar"/>
              </w:rPr>
              <w:t>，排放速率为</w:t>
            </w:r>
            <w:r>
              <w:rPr>
                <w:rFonts w:hint="default"/>
                <w:lang w:bidi="ar"/>
              </w:rPr>
              <w:t>0.0</w:t>
            </w:r>
            <w:r>
              <w:rPr>
                <w:rFonts w:hint="eastAsia"/>
                <w:lang w:bidi="ar"/>
              </w:rPr>
              <w:t>22</w:t>
            </w:r>
            <w:r>
              <w:rPr>
                <w:rFonts w:hint="default"/>
                <w:lang w:bidi="ar"/>
              </w:rPr>
              <w:t>kg/h</w:t>
            </w:r>
            <w:r>
              <w:rPr>
                <w:rFonts w:hint="eastAsia" w:ascii="宋体" w:hAnsi="宋体" w:cs="宋体"/>
                <w:lang w:bidi="ar"/>
              </w:rPr>
              <w:t>，排放浓度为</w:t>
            </w:r>
            <w:r>
              <w:rPr>
                <w:rFonts w:hint="eastAsia"/>
                <w:lang w:bidi="ar"/>
              </w:rPr>
              <w:t>9</w:t>
            </w:r>
            <w:r>
              <w:rPr>
                <w:rFonts w:hint="default"/>
                <w:lang w:bidi="ar"/>
              </w:rPr>
              <w:t>mg/m</w:t>
            </w:r>
            <w:r>
              <w:rPr>
                <w:rFonts w:hint="default"/>
                <w:vertAlign w:val="superscript"/>
                <w:lang w:bidi="ar"/>
              </w:rPr>
              <w:t>3</w:t>
            </w:r>
            <w:r>
              <w:rPr>
                <w:rFonts w:hint="eastAsia" w:ascii="宋体" w:hAnsi="宋体" w:cs="宋体"/>
                <w:lang w:bidi="ar"/>
              </w:rPr>
              <w:t>。</w:t>
            </w:r>
          </w:p>
          <w:p w14:paraId="654E9A8D">
            <w:pPr>
              <w:keepNext w:val="0"/>
              <w:keepLines w:val="0"/>
              <w:numPr>
                <w:ilvl w:val="0"/>
                <w:numId w:val="17"/>
              </w:numPr>
              <w:suppressLineNumbers w:val="0"/>
              <w:spacing w:before="0" w:beforeAutospacing="0" w:after="0" w:afterAutospacing="0"/>
              <w:ind w:right="0" w:firstLine="55" w:firstLineChars="0"/>
              <w:rPr>
                <w:rFonts w:hint="default"/>
              </w:rPr>
            </w:pPr>
            <w:r>
              <w:rPr>
                <w:rFonts w:hint="eastAsia" w:ascii="宋体" w:hAnsi="宋体" w:cs="宋体"/>
                <w:lang w:bidi="ar"/>
              </w:rPr>
              <w:t>无组织颗粒物</w:t>
            </w:r>
          </w:p>
          <w:p w14:paraId="138BF23C">
            <w:pPr>
              <w:keepNext w:val="0"/>
              <w:keepLines w:val="0"/>
              <w:suppressLineNumbers w:val="0"/>
              <w:spacing w:before="0" w:beforeAutospacing="0" w:after="0" w:afterAutospacing="0"/>
              <w:ind w:left="0" w:right="0" w:firstLine="480"/>
              <w:rPr>
                <w:rFonts w:hint="default"/>
                <w:color w:val="FF0000"/>
              </w:rPr>
            </w:pPr>
            <w:r>
              <w:rPr>
                <w:rFonts w:hint="eastAsia" w:ascii="宋体" w:hAnsi="宋体" w:cs="宋体"/>
                <w:lang w:bidi="ar"/>
              </w:rPr>
              <w:t>项目无组织颗粒物主要是车辆运输道路扬尘，石子、石粉装卸，料仓上料、搅拌机搅拌时未被集气罩收集的颗粒物。由上述源强核算可知，车辆运输道路扬尘年排放量为</w:t>
            </w:r>
            <w:r>
              <w:rPr>
                <w:rFonts w:hint="default"/>
                <w:lang w:bidi="ar"/>
              </w:rPr>
              <w:t>0.0</w:t>
            </w:r>
            <w:r>
              <w:rPr>
                <w:rFonts w:hint="eastAsia"/>
                <w:lang w:bidi="ar"/>
              </w:rPr>
              <w:t>85</w:t>
            </w:r>
            <w:r>
              <w:rPr>
                <w:rFonts w:hint="default"/>
                <w:lang w:bidi="ar"/>
              </w:rPr>
              <w:t>t</w:t>
            </w:r>
            <w:r>
              <w:rPr>
                <w:rFonts w:hint="eastAsia"/>
                <w:lang w:bidi="ar"/>
              </w:rPr>
              <w:t>/a</w:t>
            </w:r>
            <w:r>
              <w:rPr>
                <w:rFonts w:hint="eastAsia" w:ascii="宋体" w:hAnsi="宋体" w:cs="宋体"/>
                <w:lang w:bidi="ar"/>
              </w:rPr>
              <w:t>，石子、石粉装卸扬尘排放量为</w:t>
            </w:r>
            <w:r>
              <w:rPr>
                <w:rFonts w:hint="default"/>
                <w:lang w:bidi="ar"/>
              </w:rPr>
              <w:t>0.</w:t>
            </w:r>
            <w:r>
              <w:rPr>
                <w:rFonts w:hint="eastAsia"/>
                <w:lang w:bidi="ar"/>
              </w:rPr>
              <w:t>10</w:t>
            </w:r>
            <w:r>
              <w:rPr>
                <w:rFonts w:hint="default"/>
                <w:lang w:bidi="ar"/>
              </w:rPr>
              <w:t>t/a</w:t>
            </w:r>
            <w:r>
              <w:rPr>
                <w:rFonts w:hint="eastAsia" w:ascii="宋体" w:hAnsi="宋体" w:cs="宋体"/>
                <w:lang w:bidi="ar"/>
              </w:rPr>
              <w:t>，料仓上料未被集气罩收集的颗粒物量为</w:t>
            </w:r>
            <w:r>
              <w:rPr>
                <w:rFonts w:hint="default"/>
                <w:lang w:bidi="ar"/>
              </w:rPr>
              <w:t>0.</w:t>
            </w:r>
            <w:r>
              <w:rPr>
                <w:rFonts w:hint="eastAsia"/>
                <w:lang w:bidi="ar"/>
              </w:rPr>
              <w:t>041</w:t>
            </w:r>
            <w:r>
              <w:rPr>
                <w:rFonts w:hint="default"/>
                <w:lang w:bidi="ar"/>
              </w:rPr>
              <w:t>t/a</w:t>
            </w:r>
            <w:r>
              <w:rPr>
                <w:rFonts w:hint="eastAsia" w:ascii="宋体" w:hAnsi="宋体" w:cs="宋体"/>
                <w:lang w:bidi="ar"/>
              </w:rPr>
              <w:t>，搅拌工序未被集气罩收集的颗粒物量为</w:t>
            </w:r>
            <w:r>
              <w:rPr>
                <w:rFonts w:hint="default"/>
                <w:lang w:bidi="ar"/>
              </w:rPr>
              <w:t>0.</w:t>
            </w:r>
            <w:r>
              <w:rPr>
                <w:rFonts w:hint="eastAsia"/>
                <w:lang w:bidi="ar"/>
              </w:rPr>
              <w:t>49</w:t>
            </w:r>
            <w:r>
              <w:rPr>
                <w:rFonts w:hint="default"/>
                <w:lang w:bidi="ar"/>
              </w:rPr>
              <w:t>t/a</w:t>
            </w:r>
            <w:r>
              <w:rPr>
                <w:rFonts w:hint="eastAsia" w:ascii="宋体" w:hAnsi="宋体" w:cs="宋体"/>
                <w:lang w:bidi="ar"/>
              </w:rPr>
              <w:t>。料仓上料、搅拌均在封闭车间内进行，封闭车间对颗粒物扩散有抑制作用，仅有</w:t>
            </w:r>
            <w:r>
              <w:rPr>
                <w:rFonts w:hint="default"/>
                <w:lang w:bidi="ar"/>
              </w:rPr>
              <w:t>10%</w:t>
            </w:r>
            <w:r>
              <w:rPr>
                <w:rFonts w:hint="eastAsia" w:ascii="宋体" w:hAnsi="宋体" w:cs="宋体"/>
                <w:lang w:bidi="ar"/>
              </w:rPr>
              <w:t>的颗粒物能够逸散至外界，故料仓上料工序无组织颗粒物排放量为</w:t>
            </w:r>
            <w:r>
              <w:rPr>
                <w:rFonts w:hint="default"/>
                <w:lang w:bidi="ar"/>
              </w:rPr>
              <w:t>0.0</w:t>
            </w:r>
            <w:r>
              <w:rPr>
                <w:rFonts w:hint="eastAsia"/>
                <w:lang w:bidi="ar"/>
              </w:rPr>
              <w:t>041</w:t>
            </w:r>
            <w:r>
              <w:rPr>
                <w:rFonts w:hint="default"/>
                <w:lang w:bidi="ar"/>
              </w:rPr>
              <w:t>t/a</w:t>
            </w:r>
            <w:r>
              <w:rPr>
                <w:rFonts w:hint="eastAsia" w:ascii="宋体" w:hAnsi="宋体" w:cs="宋体"/>
                <w:lang w:bidi="ar"/>
              </w:rPr>
              <w:t>，搅拌工序无组织颗粒物排放量为</w:t>
            </w:r>
            <w:r>
              <w:rPr>
                <w:rFonts w:hint="default"/>
                <w:lang w:bidi="ar"/>
              </w:rPr>
              <w:t>0.0</w:t>
            </w:r>
            <w:r>
              <w:rPr>
                <w:rFonts w:hint="eastAsia"/>
                <w:lang w:bidi="ar"/>
              </w:rPr>
              <w:t>49</w:t>
            </w:r>
            <w:r>
              <w:rPr>
                <w:rFonts w:hint="default"/>
                <w:lang w:bidi="ar"/>
              </w:rPr>
              <w:t>t/a</w:t>
            </w:r>
            <w:r>
              <w:rPr>
                <w:rFonts w:hint="eastAsia" w:ascii="宋体" w:hAnsi="宋体" w:cs="宋体"/>
                <w:lang w:bidi="ar"/>
              </w:rPr>
              <w:t>。</w:t>
            </w:r>
          </w:p>
          <w:p w14:paraId="7AD8A78F">
            <w:pPr>
              <w:keepNext w:val="0"/>
              <w:keepLines w:val="0"/>
              <w:suppressLineNumbers w:val="0"/>
              <w:spacing w:before="0" w:beforeAutospacing="0" w:after="0" w:afterAutospacing="0"/>
              <w:ind w:left="0" w:right="0" w:firstLine="480"/>
              <w:rPr>
                <w:rFonts w:hint="default"/>
              </w:rPr>
            </w:pPr>
            <w:r>
              <w:rPr>
                <w:rFonts w:hint="eastAsia" w:ascii="宋体" w:hAnsi="宋体" w:cs="宋体"/>
                <w:lang w:bidi="ar"/>
              </w:rPr>
              <w:t>项目总计工作</w:t>
            </w:r>
            <w:r>
              <w:rPr>
                <w:rFonts w:hint="eastAsia"/>
                <w:lang w:bidi="ar"/>
              </w:rPr>
              <w:t>240</w:t>
            </w:r>
            <w:r>
              <w:rPr>
                <w:rFonts w:hint="default"/>
                <w:lang w:bidi="ar"/>
              </w:rPr>
              <w:t>d</w:t>
            </w:r>
            <w:r>
              <w:rPr>
                <w:rFonts w:hint="eastAsia" w:ascii="宋体" w:hAnsi="宋体" w:cs="宋体"/>
                <w:lang w:bidi="ar"/>
              </w:rPr>
              <w:t>，每天工作</w:t>
            </w:r>
            <w:r>
              <w:rPr>
                <w:rFonts w:hint="eastAsia"/>
                <w:lang w:bidi="ar"/>
              </w:rPr>
              <w:t>8</w:t>
            </w:r>
            <w:r>
              <w:rPr>
                <w:rFonts w:hint="default"/>
                <w:lang w:bidi="ar"/>
              </w:rPr>
              <w:t>h</w:t>
            </w:r>
            <w:r>
              <w:rPr>
                <w:rFonts w:hint="eastAsia" w:ascii="宋体" w:hAnsi="宋体" w:cs="宋体"/>
                <w:lang w:bidi="ar"/>
              </w:rPr>
              <w:t>，总计工作</w:t>
            </w:r>
            <w:r>
              <w:rPr>
                <w:rFonts w:hint="eastAsia"/>
                <w:lang w:bidi="ar"/>
              </w:rPr>
              <w:t>1920h</w:t>
            </w:r>
            <w:r>
              <w:rPr>
                <w:rFonts w:hint="eastAsia" w:ascii="宋体" w:hAnsi="宋体" w:cs="宋体"/>
                <w:lang w:bidi="ar"/>
              </w:rPr>
              <w:t>。车辆运输无组织颗粒物排放速率为</w:t>
            </w:r>
            <w:r>
              <w:rPr>
                <w:rFonts w:hint="default"/>
                <w:lang w:bidi="ar"/>
              </w:rPr>
              <w:t>0.0</w:t>
            </w:r>
            <w:r>
              <w:rPr>
                <w:rFonts w:hint="eastAsia"/>
                <w:lang w:bidi="ar"/>
              </w:rPr>
              <w:t>44</w:t>
            </w:r>
            <w:r>
              <w:rPr>
                <w:rFonts w:hint="default"/>
                <w:lang w:bidi="ar"/>
              </w:rPr>
              <w:t>kg/h</w:t>
            </w:r>
            <w:r>
              <w:rPr>
                <w:rFonts w:hint="eastAsia" w:ascii="宋体" w:hAnsi="宋体" w:cs="宋体"/>
                <w:lang w:bidi="ar"/>
              </w:rPr>
              <w:t>，料仓上料工序无组织颗粒物排放速率为</w:t>
            </w:r>
            <w:r>
              <w:rPr>
                <w:rFonts w:hint="default"/>
                <w:lang w:bidi="ar"/>
              </w:rPr>
              <w:t>0.00</w:t>
            </w:r>
            <w:r>
              <w:rPr>
                <w:rFonts w:hint="eastAsia"/>
                <w:lang w:bidi="ar"/>
              </w:rPr>
              <w:t>21</w:t>
            </w:r>
            <w:r>
              <w:rPr>
                <w:rFonts w:hint="default"/>
                <w:lang w:bidi="ar"/>
              </w:rPr>
              <w:t>kg/h</w:t>
            </w:r>
            <w:r>
              <w:rPr>
                <w:rFonts w:hint="eastAsia" w:ascii="宋体" w:hAnsi="宋体" w:cs="宋体"/>
                <w:lang w:bidi="ar"/>
              </w:rPr>
              <w:t>，搅拌工序无组织颗粒物排放速率为</w:t>
            </w:r>
            <w:r>
              <w:rPr>
                <w:rFonts w:hint="default"/>
                <w:lang w:bidi="ar"/>
              </w:rPr>
              <w:t>0.0</w:t>
            </w:r>
            <w:r>
              <w:rPr>
                <w:rFonts w:hint="eastAsia"/>
                <w:lang w:bidi="ar"/>
              </w:rPr>
              <w:t>26</w:t>
            </w:r>
            <w:r>
              <w:rPr>
                <w:rFonts w:hint="default"/>
                <w:lang w:bidi="ar"/>
              </w:rPr>
              <w:t>kg/h</w:t>
            </w:r>
            <w:r>
              <w:rPr>
                <w:rFonts w:hint="eastAsia" w:ascii="宋体" w:hAnsi="宋体" w:cs="宋体"/>
                <w:lang w:bidi="ar"/>
              </w:rPr>
              <w:t>。石子、石粉堆放库扬尘源中颗粒物排放速率为</w:t>
            </w:r>
            <w:r>
              <w:rPr>
                <w:rFonts w:hint="default"/>
                <w:lang w:bidi="ar"/>
              </w:rPr>
              <w:t>0.0</w:t>
            </w:r>
            <w:r>
              <w:rPr>
                <w:rFonts w:hint="eastAsia"/>
                <w:lang w:bidi="ar"/>
              </w:rPr>
              <w:t>53</w:t>
            </w:r>
            <w:r>
              <w:rPr>
                <w:rFonts w:hint="default"/>
                <w:lang w:bidi="ar"/>
              </w:rPr>
              <w:t>kg/h</w:t>
            </w:r>
            <w:r>
              <w:rPr>
                <w:rFonts w:hint="eastAsia" w:ascii="宋体" w:hAnsi="宋体" w:cs="宋体"/>
                <w:lang w:bidi="ar"/>
              </w:rPr>
              <w:t>。</w:t>
            </w:r>
          </w:p>
          <w:p w14:paraId="64A108E4">
            <w:pPr>
              <w:keepNext w:val="0"/>
              <w:keepLines w:val="0"/>
              <w:suppressLineNumbers w:val="0"/>
              <w:spacing w:before="0" w:beforeAutospacing="0" w:after="0" w:afterAutospacing="0"/>
              <w:ind w:left="0" w:right="0" w:firstLine="482"/>
              <w:rPr>
                <w:rFonts w:hint="default"/>
                <w:b/>
                <w:color w:val="FF0000"/>
              </w:rPr>
            </w:pPr>
            <w:r>
              <w:rPr>
                <w:rFonts w:hint="eastAsia"/>
                <w:b/>
              </w:rPr>
              <w:t>（3）非正常工况污染源源强及防范措施</w:t>
            </w:r>
          </w:p>
          <w:p w14:paraId="10DEFB0E">
            <w:pPr>
              <w:keepNext w:val="0"/>
              <w:keepLines w:val="0"/>
              <w:suppressLineNumbers w:val="0"/>
              <w:spacing w:before="0" w:beforeAutospacing="0" w:after="0" w:afterAutospacing="0"/>
              <w:ind w:left="0" w:right="0" w:firstLine="480"/>
              <w:rPr>
                <w:rFonts w:hint="default"/>
              </w:rPr>
            </w:pPr>
            <w:r>
              <w:rPr>
                <w:rFonts w:hint="eastAsia"/>
              </w:rPr>
              <w:t>项目非正常排放情况主要体现在废气治理措施达不到设计要求的处理效率导致废气处理不完全而超标排放。引起非正常排放因素主要有设备因素和人为因素，根据项目生产工艺特征和污染物产生情况，确定项目非正常工况为废气治理失效导致有机废气未经处理直接排放。</w:t>
            </w:r>
          </w:p>
          <w:p w14:paraId="555214F6">
            <w:pPr>
              <w:keepNext w:val="0"/>
              <w:keepLines w:val="0"/>
              <w:suppressLineNumbers w:val="0"/>
              <w:spacing w:before="0" w:beforeAutospacing="0" w:after="0" w:afterAutospacing="0"/>
              <w:ind w:left="0" w:right="0" w:firstLine="480"/>
              <w:rPr>
                <w:rFonts w:hint="default"/>
              </w:rPr>
            </w:pPr>
            <w:r>
              <w:rPr>
                <w:rFonts w:hint="eastAsia"/>
              </w:rPr>
              <w:t>本项目采用成熟的工艺技术和生产设施，专人管理，过程控制，设备出现故障时，可以做到随时停机检修，对一线职工上岗前进行培训实行规范化管理，严格岗前岗中岗后维护检查和交接班制度，尽可能杜绝废气非正常排放的发生。</w:t>
            </w:r>
          </w:p>
          <w:p w14:paraId="48FB0925">
            <w:pPr>
              <w:keepNext w:val="0"/>
              <w:keepLines w:val="0"/>
              <w:suppressLineNumbers w:val="0"/>
              <w:spacing w:before="0" w:beforeAutospacing="0" w:after="0" w:afterAutospacing="0"/>
              <w:ind w:left="0" w:right="0" w:firstLine="480"/>
              <w:rPr>
                <w:rFonts w:hint="default"/>
              </w:rPr>
            </w:pPr>
            <w:r>
              <w:rPr>
                <w:rFonts w:hint="eastAsia"/>
              </w:rPr>
              <w:t>本项目的事故排放情况下，最不利情况体为料仓上料工序、搅拌工序所用布袋除尘器损坏，损坏时以净化效率为0计，则非正常排放的颗粒物排放速率为5.30kg/h、排放浓度为1059.24mg/m</w:t>
            </w:r>
            <w:r>
              <w:rPr>
                <w:rFonts w:hint="eastAsia"/>
                <w:vertAlign w:val="superscript"/>
              </w:rPr>
              <w:t>3</w:t>
            </w:r>
            <w:r>
              <w:rPr>
                <w:rFonts w:hint="eastAsia"/>
              </w:rPr>
              <w:t>、事故处理时间为30min，颗粒物非正常排放量为2.65kg/次。</w:t>
            </w:r>
          </w:p>
          <w:p w14:paraId="619A99DF">
            <w:pPr>
              <w:keepNext w:val="0"/>
              <w:keepLines w:val="0"/>
              <w:suppressLineNumbers w:val="0"/>
              <w:spacing w:before="0" w:beforeAutospacing="0" w:after="0" w:afterAutospacing="0"/>
              <w:ind w:left="0" w:right="0" w:firstLine="480"/>
              <w:rPr>
                <w:rFonts w:hint="default"/>
              </w:rPr>
            </w:pPr>
            <w:r>
              <w:rPr>
                <w:rFonts w:hint="eastAsia"/>
              </w:rPr>
              <w:t>非正常工况污染物排放情况见下表。</w:t>
            </w:r>
          </w:p>
          <w:p w14:paraId="030DDA28">
            <w:pPr>
              <w:keepNext w:val="0"/>
              <w:keepLines w:val="0"/>
              <w:suppressLineNumbers w:val="0"/>
              <w:spacing w:before="0" w:beforeAutospacing="0" w:after="0" w:afterAutospacing="0"/>
              <w:ind w:left="0" w:right="0" w:firstLine="480"/>
              <w:rPr>
                <w:rFonts w:hint="default"/>
              </w:rPr>
            </w:pPr>
          </w:p>
          <w:p w14:paraId="4576D15A">
            <w:pPr>
              <w:keepNext w:val="0"/>
              <w:keepLines w:val="0"/>
              <w:suppressLineNumbers w:val="0"/>
              <w:spacing w:before="0" w:beforeAutospacing="0" w:after="0" w:afterAutospacing="0"/>
              <w:ind w:left="0" w:right="0" w:firstLine="480"/>
              <w:rPr>
                <w:rFonts w:hint="default"/>
              </w:rPr>
            </w:pPr>
          </w:p>
          <w:p w14:paraId="7A4A329A">
            <w:pPr>
              <w:pStyle w:val="19"/>
              <w:keepNext w:val="0"/>
              <w:keepLines w:val="0"/>
              <w:widowControl w:val="0"/>
              <w:numPr>
                <w:ilvl w:val="0"/>
                <w:numId w:val="15"/>
              </w:numPr>
              <w:suppressLineNumbers w:val="0"/>
              <w:spacing w:before="0" w:beforeAutospacing="0" w:after="0" w:afterAutospacing="0"/>
              <w:ind w:left="0" w:right="0" w:firstLine="0" w:firstLineChars="0"/>
              <w:jc w:val="center"/>
              <w:rPr>
                <w:rFonts w:hint="default" w:ascii="Times New Roman" w:hAnsi="Times New Roman"/>
                <w:b/>
                <w:sz w:val="21"/>
              </w:rPr>
            </w:pPr>
            <w:r>
              <w:rPr>
                <w:rFonts w:hint="default" w:ascii="Times New Roman" w:hAnsi="Times New Roman"/>
                <w:b/>
                <w:sz w:val="21"/>
              </w:rPr>
              <w:t>项目</w:t>
            </w:r>
            <w:r>
              <w:rPr>
                <w:rFonts w:hint="eastAsia" w:ascii="Times New Roman" w:hAnsi="Times New Roman"/>
                <w:b/>
                <w:sz w:val="21"/>
              </w:rPr>
              <w:t>运营</w:t>
            </w:r>
            <w:r>
              <w:rPr>
                <w:rFonts w:hint="default" w:ascii="Times New Roman" w:hAnsi="Times New Roman"/>
                <w:b/>
                <w:sz w:val="21"/>
              </w:rPr>
              <w:t>期非正常工况废气</w:t>
            </w:r>
            <w:r>
              <w:rPr>
                <w:rFonts w:hint="default" w:cs="宋体"/>
                <w:b/>
                <w:sz w:val="21"/>
                <w:szCs w:val="21"/>
                <w:lang w:bidi="ar"/>
              </w:rPr>
              <w:t>排放</w:t>
            </w:r>
            <w:r>
              <w:rPr>
                <w:rFonts w:hint="default" w:ascii="Times New Roman" w:hAnsi="Times New Roman"/>
                <w:b/>
                <w:sz w:val="21"/>
              </w:rPr>
              <w:t>源强一览表</w:t>
            </w:r>
          </w:p>
          <w:tbl>
            <w:tblPr>
              <w:tblStyle w:val="41"/>
              <w:tblW w:w="499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6"/>
              <w:gridCol w:w="1010"/>
              <w:gridCol w:w="936"/>
              <w:gridCol w:w="1628"/>
              <w:gridCol w:w="1374"/>
              <w:gridCol w:w="1005"/>
              <w:gridCol w:w="1522"/>
            </w:tblGrid>
            <w:tr w14:paraId="658A6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jc w:val="center"/>
              </w:trPr>
              <w:tc>
                <w:tcPr>
                  <w:tcW w:w="545" w:type="pct"/>
                  <w:vAlign w:val="center"/>
                </w:tcPr>
                <w:p w14:paraId="0B8424AD">
                  <w:pPr>
                    <w:pStyle w:val="42"/>
                    <w:rPr>
                      <w:rFonts w:hint="default"/>
                      <w:b/>
                      <w:bCs/>
                    </w:rPr>
                  </w:pPr>
                  <w:r>
                    <w:rPr>
                      <w:b/>
                      <w:bCs/>
                    </w:rPr>
                    <w:t>污染源名称</w:t>
                  </w:r>
                </w:p>
              </w:tc>
              <w:tc>
                <w:tcPr>
                  <w:tcW w:w="601" w:type="pct"/>
                  <w:vAlign w:val="center"/>
                </w:tcPr>
                <w:p w14:paraId="677FB585">
                  <w:pPr>
                    <w:pStyle w:val="42"/>
                    <w:rPr>
                      <w:rFonts w:hint="default"/>
                      <w:b/>
                      <w:bCs/>
                    </w:rPr>
                  </w:pPr>
                  <w:r>
                    <w:rPr>
                      <w:b/>
                      <w:bCs/>
                    </w:rPr>
                    <w:t>非正常原因</w:t>
                  </w:r>
                </w:p>
              </w:tc>
              <w:tc>
                <w:tcPr>
                  <w:tcW w:w="558" w:type="pct"/>
                  <w:vAlign w:val="center"/>
                </w:tcPr>
                <w:p w14:paraId="2963A3C2">
                  <w:pPr>
                    <w:pStyle w:val="42"/>
                    <w:rPr>
                      <w:rFonts w:hint="default"/>
                      <w:b/>
                      <w:bCs/>
                    </w:rPr>
                  </w:pPr>
                  <w:r>
                    <w:rPr>
                      <w:b/>
                      <w:bCs/>
                    </w:rPr>
                    <w:t>评价因子</w:t>
                  </w:r>
                </w:p>
              </w:tc>
              <w:tc>
                <w:tcPr>
                  <w:tcW w:w="969" w:type="pct"/>
                  <w:vAlign w:val="center"/>
                </w:tcPr>
                <w:p w14:paraId="6E8E074A">
                  <w:pPr>
                    <w:pStyle w:val="42"/>
                    <w:rPr>
                      <w:rFonts w:hint="default"/>
                      <w:b/>
                      <w:bCs/>
                    </w:rPr>
                  </w:pPr>
                  <w:r>
                    <w:rPr>
                      <w:b/>
                      <w:bCs/>
                    </w:rPr>
                    <w:t>非正常排放浓度</w:t>
                  </w:r>
                </w:p>
                <w:p w14:paraId="59BA9C77">
                  <w:pPr>
                    <w:pStyle w:val="42"/>
                    <w:rPr>
                      <w:rFonts w:hint="default"/>
                      <w:b/>
                      <w:bCs/>
                    </w:rPr>
                  </w:pPr>
                  <w:r>
                    <w:rPr>
                      <w:b/>
                      <w:bCs/>
                    </w:rPr>
                    <w:t>（mg/m</w:t>
                  </w:r>
                  <w:r>
                    <w:rPr>
                      <w:b/>
                      <w:bCs/>
                      <w:vertAlign w:val="superscript"/>
                    </w:rPr>
                    <w:t>3</w:t>
                  </w:r>
                  <w:r>
                    <w:rPr>
                      <w:b/>
                      <w:bCs/>
                    </w:rPr>
                    <w:t>）</w:t>
                  </w:r>
                </w:p>
              </w:tc>
              <w:tc>
                <w:tcPr>
                  <w:tcW w:w="818" w:type="pct"/>
                  <w:vAlign w:val="center"/>
                </w:tcPr>
                <w:p w14:paraId="6711615D">
                  <w:pPr>
                    <w:pStyle w:val="42"/>
                    <w:rPr>
                      <w:rFonts w:hint="default"/>
                      <w:b/>
                      <w:bCs/>
                    </w:rPr>
                  </w:pPr>
                  <w:r>
                    <w:rPr>
                      <w:b/>
                      <w:bCs/>
                    </w:rPr>
                    <w:t>非正常排放速率（kg/h）</w:t>
                  </w:r>
                </w:p>
              </w:tc>
              <w:tc>
                <w:tcPr>
                  <w:tcW w:w="599" w:type="pct"/>
                  <w:vAlign w:val="center"/>
                </w:tcPr>
                <w:p w14:paraId="20D1085A">
                  <w:pPr>
                    <w:pStyle w:val="42"/>
                    <w:rPr>
                      <w:rFonts w:hint="default"/>
                      <w:b/>
                      <w:bCs/>
                    </w:rPr>
                  </w:pPr>
                  <w:r>
                    <w:rPr>
                      <w:b/>
                      <w:bCs/>
                    </w:rPr>
                    <w:t>单次持续时间h</w:t>
                  </w:r>
                </w:p>
              </w:tc>
              <w:tc>
                <w:tcPr>
                  <w:tcW w:w="906" w:type="pct"/>
                  <w:vAlign w:val="center"/>
                </w:tcPr>
                <w:p w14:paraId="0E3A16D3">
                  <w:pPr>
                    <w:pStyle w:val="42"/>
                    <w:rPr>
                      <w:rFonts w:hint="default"/>
                      <w:b/>
                      <w:bCs/>
                    </w:rPr>
                  </w:pPr>
                  <w:r>
                    <w:rPr>
                      <w:b/>
                      <w:bCs/>
                    </w:rPr>
                    <w:t>应对措施</w:t>
                  </w:r>
                </w:p>
              </w:tc>
            </w:tr>
            <w:tr w14:paraId="1045E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jc w:val="center"/>
              </w:trPr>
              <w:tc>
                <w:tcPr>
                  <w:tcW w:w="545" w:type="pct"/>
                  <w:vAlign w:val="center"/>
                </w:tcPr>
                <w:p w14:paraId="092A9164">
                  <w:pPr>
                    <w:pStyle w:val="42"/>
                    <w:rPr>
                      <w:rFonts w:hint="default"/>
                    </w:rPr>
                  </w:pPr>
                  <w:r>
                    <w:t>DA001</w:t>
                  </w:r>
                </w:p>
              </w:tc>
              <w:tc>
                <w:tcPr>
                  <w:tcW w:w="601" w:type="pct"/>
                  <w:vAlign w:val="center"/>
                </w:tcPr>
                <w:p w14:paraId="411870CF">
                  <w:pPr>
                    <w:pStyle w:val="42"/>
                    <w:rPr>
                      <w:rFonts w:hint="default"/>
                    </w:rPr>
                  </w:pPr>
                  <w:r>
                    <w:t>污染物治理设施异常</w:t>
                  </w:r>
                </w:p>
              </w:tc>
              <w:tc>
                <w:tcPr>
                  <w:tcW w:w="558" w:type="pct"/>
                  <w:vAlign w:val="center"/>
                </w:tcPr>
                <w:p w14:paraId="61AC99FA">
                  <w:pPr>
                    <w:pStyle w:val="42"/>
                    <w:rPr>
                      <w:rFonts w:hint="default"/>
                    </w:rPr>
                  </w:pPr>
                  <w:r>
                    <w:t>颗粒物</w:t>
                  </w:r>
                </w:p>
              </w:tc>
              <w:tc>
                <w:tcPr>
                  <w:tcW w:w="969" w:type="pct"/>
                  <w:vAlign w:val="center"/>
                </w:tcPr>
                <w:p w14:paraId="359BF16D">
                  <w:pPr>
                    <w:pStyle w:val="42"/>
                    <w:rPr>
                      <w:rFonts w:hint="default"/>
                    </w:rPr>
                  </w:pPr>
                  <w:r>
                    <w:t>1059.24</w:t>
                  </w:r>
                </w:p>
              </w:tc>
              <w:tc>
                <w:tcPr>
                  <w:tcW w:w="818" w:type="pct"/>
                  <w:vAlign w:val="center"/>
                </w:tcPr>
                <w:p w14:paraId="3A89A1C3">
                  <w:pPr>
                    <w:pStyle w:val="42"/>
                    <w:rPr>
                      <w:rFonts w:hint="default"/>
                    </w:rPr>
                  </w:pPr>
                  <w:r>
                    <w:t>5.30</w:t>
                  </w:r>
                </w:p>
              </w:tc>
              <w:tc>
                <w:tcPr>
                  <w:tcW w:w="599" w:type="pct"/>
                  <w:vAlign w:val="center"/>
                </w:tcPr>
                <w:p w14:paraId="4D0F9466">
                  <w:pPr>
                    <w:pStyle w:val="42"/>
                    <w:rPr>
                      <w:rFonts w:hint="default"/>
                    </w:rPr>
                  </w:pPr>
                  <w:r>
                    <w:t>0.5</w:t>
                  </w:r>
                </w:p>
              </w:tc>
              <w:tc>
                <w:tcPr>
                  <w:tcW w:w="906" w:type="pct"/>
                  <w:vAlign w:val="center"/>
                </w:tcPr>
                <w:p w14:paraId="69BCEFBC">
                  <w:pPr>
                    <w:pStyle w:val="42"/>
                    <w:rPr>
                      <w:rFonts w:hint="default"/>
                    </w:rPr>
                  </w:pPr>
                  <w:r>
                    <w:t>关闭生产设备，维修废气治理设施</w:t>
                  </w:r>
                </w:p>
              </w:tc>
            </w:tr>
          </w:tbl>
          <w:p w14:paraId="63ECB6C5">
            <w:pPr>
              <w:keepNext w:val="0"/>
              <w:keepLines w:val="0"/>
              <w:suppressLineNumbers w:val="0"/>
              <w:spacing w:before="120" w:beforeLines="50" w:beforeAutospacing="0" w:after="0" w:afterAutospacing="0"/>
              <w:ind w:left="0" w:right="0" w:firstLine="482"/>
              <w:rPr>
                <w:rFonts w:hint="default"/>
                <w:b/>
              </w:rPr>
            </w:pPr>
            <w:r>
              <w:rPr>
                <w:rFonts w:hint="eastAsia"/>
                <w:b/>
              </w:rPr>
              <w:t>（4）大气污染物治理措施</w:t>
            </w:r>
          </w:p>
          <w:p w14:paraId="0B2C9E01">
            <w:pPr>
              <w:keepNext w:val="0"/>
              <w:keepLines w:val="0"/>
              <w:numPr>
                <w:ilvl w:val="0"/>
                <w:numId w:val="18"/>
              </w:numPr>
              <w:suppressLineNumbers w:val="0"/>
              <w:spacing w:before="0" w:beforeAutospacing="0" w:after="0" w:afterAutospacing="0"/>
              <w:ind w:right="0" w:firstLine="480"/>
              <w:rPr>
                <w:rFonts w:hint="default"/>
              </w:rPr>
            </w:pPr>
            <w:r>
              <w:rPr>
                <w:rFonts w:hint="eastAsia"/>
              </w:rPr>
              <w:t>有组织大气污染物治理措施</w:t>
            </w:r>
          </w:p>
          <w:p w14:paraId="49B63832">
            <w:pPr>
              <w:keepNext w:val="0"/>
              <w:keepLines w:val="0"/>
              <w:suppressLineNumbers w:val="0"/>
              <w:spacing w:before="0" w:beforeAutospacing="0" w:after="0" w:afterAutospacing="0"/>
              <w:ind w:left="0" w:right="0" w:firstLine="480"/>
              <w:rPr>
                <w:rFonts w:hint="default"/>
                <w:bCs/>
              </w:rPr>
            </w:pPr>
            <w:r>
              <w:rPr>
                <w:rFonts w:hint="eastAsia"/>
                <w:bCs/>
              </w:rPr>
              <w:t>项目有组织大气污染物治理措施情况如下表所示。</w:t>
            </w:r>
          </w:p>
          <w:p w14:paraId="6E96B9F7">
            <w:pPr>
              <w:pStyle w:val="19"/>
              <w:keepNext w:val="0"/>
              <w:keepLines w:val="0"/>
              <w:widowControl w:val="0"/>
              <w:numPr>
                <w:ilvl w:val="0"/>
                <w:numId w:val="15"/>
              </w:numPr>
              <w:suppressLineNumbers w:val="0"/>
              <w:spacing w:before="0" w:beforeAutospacing="0" w:after="0" w:afterAutospacing="0"/>
              <w:ind w:left="0" w:right="0" w:firstLine="0" w:firstLineChars="0"/>
              <w:jc w:val="center"/>
              <w:rPr>
                <w:rFonts w:hint="default" w:ascii="Times New Roman" w:hAnsi="Times New Roman"/>
                <w:b/>
                <w:sz w:val="21"/>
              </w:rPr>
            </w:pPr>
            <w:r>
              <w:rPr>
                <w:rFonts w:hint="eastAsia" w:ascii="Times New Roman" w:hAnsi="Times New Roman"/>
                <w:b/>
                <w:sz w:val="21"/>
              </w:rPr>
              <w:t>项目有组织大气污染物治理措施情况一览表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2582"/>
              <w:gridCol w:w="1199"/>
              <w:gridCol w:w="791"/>
              <w:gridCol w:w="1265"/>
              <w:gridCol w:w="1179"/>
            </w:tblGrid>
            <w:tr w14:paraId="5DA8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22" w:type="pct"/>
                  <w:tcBorders>
                    <w:top w:val="single" w:color="auto" w:sz="4" w:space="0"/>
                    <w:left w:val="single" w:color="auto" w:sz="4" w:space="0"/>
                    <w:bottom w:val="single" w:color="auto" w:sz="4" w:space="0"/>
                    <w:right w:val="single" w:color="auto" w:sz="4" w:space="0"/>
                  </w:tcBorders>
                  <w:vAlign w:val="center"/>
                </w:tcPr>
                <w:p w14:paraId="276936D6">
                  <w:pPr>
                    <w:pStyle w:val="42"/>
                    <w:keepNext w:val="0"/>
                    <w:keepLines w:val="0"/>
                    <w:widowControl/>
                    <w:suppressLineNumbers w:val="0"/>
                    <w:spacing w:before="0" w:beforeAutospacing="0" w:after="0" w:afterAutospacing="0"/>
                    <w:ind w:left="0" w:right="0"/>
                    <w:rPr>
                      <w:rFonts w:hint="default"/>
                      <w:b/>
                      <w:bCs/>
                    </w:rPr>
                  </w:pPr>
                  <w:r>
                    <w:rPr>
                      <w:b/>
                      <w:bCs/>
                    </w:rPr>
                    <w:t>工序</w:t>
                  </w:r>
                </w:p>
              </w:tc>
              <w:tc>
                <w:tcPr>
                  <w:tcW w:w="1536" w:type="pct"/>
                  <w:tcBorders>
                    <w:top w:val="single" w:color="auto" w:sz="4" w:space="0"/>
                    <w:left w:val="nil"/>
                    <w:bottom w:val="single" w:color="auto" w:sz="4" w:space="0"/>
                    <w:right w:val="single" w:color="auto" w:sz="4" w:space="0"/>
                  </w:tcBorders>
                  <w:vAlign w:val="center"/>
                </w:tcPr>
                <w:p w14:paraId="0A697E32">
                  <w:pPr>
                    <w:pStyle w:val="42"/>
                    <w:keepNext w:val="0"/>
                    <w:keepLines w:val="0"/>
                    <w:widowControl/>
                    <w:suppressLineNumbers w:val="0"/>
                    <w:spacing w:before="0" w:beforeAutospacing="0" w:after="0" w:afterAutospacing="0"/>
                    <w:ind w:left="0" w:right="0"/>
                    <w:rPr>
                      <w:rFonts w:hint="default"/>
                      <w:b/>
                      <w:bCs/>
                    </w:rPr>
                  </w:pPr>
                  <w:r>
                    <w:rPr>
                      <w:b/>
                      <w:bCs/>
                    </w:rPr>
                    <w:t>污染治理设施</w:t>
                  </w:r>
                </w:p>
              </w:tc>
              <w:tc>
                <w:tcPr>
                  <w:tcW w:w="714" w:type="pct"/>
                  <w:tcBorders>
                    <w:top w:val="single" w:color="auto" w:sz="4" w:space="0"/>
                    <w:left w:val="nil"/>
                    <w:bottom w:val="single" w:color="auto" w:sz="4" w:space="0"/>
                    <w:right w:val="single" w:color="auto" w:sz="4" w:space="0"/>
                  </w:tcBorders>
                  <w:vAlign w:val="center"/>
                </w:tcPr>
                <w:p w14:paraId="0C1AFE76">
                  <w:pPr>
                    <w:pStyle w:val="42"/>
                    <w:keepNext w:val="0"/>
                    <w:keepLines w:val="0"/>
                    <w:widowControl/>
                    <w:suppressLineNumbers w:val="0"/>
                    <w:spacing w:before="0" w:beforeAutospacing="0" w:after="0" w:afterAutospacing="0"/>
                    <w:ind w:left="0" w:right="0"/>
                    <w:rPr>
                      <w:rFonts w:hint="default"/>
                      <w:b/>
                      <w:bCs/>
                    </w:rPr>
                  </w:pPr>
                  <w:r>
                    <w:rPr>
                      <w:b/>
                      <w:bCs/>
                    </w:rPr>
                    <w:t>处理能力</w:t>
                  </w:r>
                </w:p>
              </w:tc>
              <w:tc>
                <w:tcPr>
                  <w:tcW w:w="471" w:type="pct"/>
                  <w:tcBorders>
                    <w:top w:val="single" w:color="auto" w:sz="4" w:space="0"/>
                    <w:left w:val="nil"/>
                    <w:bottom w:val="single" w:color="auto" w:sz="4" w:space="0"/>
                    <w:right w:val="single" w:color="auto" w:sz="4" w:space="0"/>
                  </w:tcBorders>
                  <w:vAlign w:val="center"/>
                </w:tcPr>
                <w:p w14:paraId="02A0B47C">
                  <w:pPr>
                    <w:pStyle w:val="42"/>
                    <w:keepNext w:val="0"/>
                    <w:keepLines w:val="0"/>
                    <w:widowControl/>
                    <w:suppressLineNumbers w:val="0"/>
                    <w:spacing w:before="0" w:beforeAutospacing="0" w:after="0" w:afterAutospacing="0"/>
                    <w:ind w:left="0" w:right="0"/>
                    <w:rPr>
                      <w:rFonts w:hint="default"/>
                      <w:b/>
                      <w:bCs/>
                    </w:rPr>
                  </w:pPr>
                  <w:r>
                    <w:rPr>
                      <w:b/>
                      <w:bCs/>
                    </w:rPr>
                    <w:t>收集效率</w:t>
                  </w:r>
                </w:p>
              </w:tc>
              <w:tc>
                <w:tcPr>
                  <w:tcW w:w="753" w:type="pct"/>
                  <w:tcBorders>
                    <w:top w:val="single" w:color="auto" w:sz="4" w:space="0"/>
                    <w:left w:val="nil"/>
                    <w:bottom w:val="single" w:color="auto" w:sz="4" w:space="0"/>
                    <w:right w:val="single" w:color="auto" w:sz="4" w:space="0"/>
                  </w:tcBorders>
                  <w:vAlign w:val="center"/>
                </w:tcPr>
                <w:p w14:paraId="6A38B4B0">
                  <w:pPr>
                    <w:pStyle w:val="42"/>
                    <w:keepNext w:val="0"/>
                    <w:keepLines w:val="0"/>
                    <w:widowControl/>
                    <w:suppressLineNumbers w:val="0"/>
                    <w:spacing w:before="0" w:beforeAutospacing="0" w:after="0" w:afterAutospacing="0"/>
                    <w:ind w:left="0" w:right="0"/>
                    <w:rPr>
                      <w:rFonts w:hint="default"/>
                      <w:b/>
                      <w:bCs/>
                    </w:rPr>
                  </w:pPr>
                  <w:r>
                    <w:rPr>
                      <w:b/>
                      <w:bCs/>
                    </w:rPr>
                    <w:t>治理工艺去除率</w:t>
                  </w:r>
                </w:p>
              </w:tc>
              <w:tc>
                <w:tcPr>
                  <w:tcW w:w="702" w:type="pct"/>
                  <w:tcBorders>
                    <w:top w:val="single" w:color="auto" w:sz="4" w:space="0"/>
                    <w:left w:val="nil"/>
                    <w:bottom w:val="single" w:color="auto" w:sz="4" w:space="0"/>
                    <w:right w:val="single" w:color="auto" w:sz="4" w:space="0"/>
                  </w:tcBorders>
                  <w:vAlign w:val="center"/>
                </w:tcPr>
                <w:p w14:paraId="1C78B443">
                  <w:pPr>
                    <w:pStyle w:val="42"/>
                    <w:keepNext w:val="0"/>
                    <w:keepLines w:val="0"/>
                    <w:widowControl/>
                    <w:suppressLineNumbers w:val="0"/>
                    <w:spacing w:before="0" w:beforeAutospacing="0" w:after="0" w:afterAutospacing="0"/>
                    <w:ind w:left="0" w:right="0"/>
                    <w:rPr>
                      <w:rFonts w:hint="default"/>
                      <w:b/>
                      <w:bCs/>
                    </w:rPr>
                  </w:pPr>
                  <w:r>
                    <w:rPr>
                      <w:b/>
                      <w:bCs/>
                    </w:rPr>
                    <w:t>是否为可行技术</w:t>
                  </w:r>
                </w:p>
              </w:tc>
            </w:tr>
            <w:tr w14:paraId="1EDE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22" w:type="pct"/>
                  <w:tcBorders>
                    <w:top w:val="single" w:color="auto" w:sz="4" w:space="0"/>
                    <w:left w:val="single" w:color="auto" w:sz="4" w:space="0"/>
                    <w:bottom w:val="single" w:color="auto" w:sz="4" w:space="0"/>
                    <w:right w:val="single" w:color="auto" w:sz="4" w:space="0"/>
                  </w:tcBorders>
                  <w:vAlign w:val="center"/>
                </w:tcPr>
                <w:p w14:paraId="1573E89E">
                  <w:pPr>
                    <w:pStyle w:val="42"/>
                    <w:keepNext w:val="0"/>
                    <w:keepLines w:val="0"/>
                    <w:widowControl/>
                    <w:suppressLineNumbers w:val="0"/>
                    <w:spacing w:before="0" w:beforeAutospacing="0" w:after="0" w:afterAutospacing="0"/>
                    <w:ind w:left="0" w:right="0"/>
                    <w:rPr>
                      <w:rFonts w:hint="default"/>
                    </w:rPr>
                  </w:pPr>
                  <w:r>
                    <w:t>水泥装卸</w:t>
                  </w:r>
                </w:p>
              </w:tc>
              <w:tc>
                <w:tcPr>
                  <w:tcW w:w="1536" w:type="pct"/>
                  <w:tcBorders>
                    <w:left w:val="nil"/>
                    <w:right w:val="single" w:color="auto" w:sz="4" w:space="0"/>
                  </w:tcBorders>
                  <w:vAlign w:val="center"/>
                </w:tcPr>
                <w:p w14:paraId="1AAFC1C1">
                  <w:pPr>
                    <w:pStyle w:val="42"/>
                    <w:keepNext w:val="0"/>
                    <w:keepLines w:val="0"/>
                    <w:widowControl/>
                    <w:suppressLineNumbers w:val="0"/>
                    <w:spacing w:before="0" w:beforeAutospacing="0" w:after="0" w:afterAutospacing="0"/>
                    <w:ind w:left="0" w:right="0"/>
                    <w:rPr>
                      <w:rFonts w:hint="default"/>
                    </w:rPr>
                  </w:pPr>
                  <w:r>
                    <w:t>水泥筒仓顶部配带1套仓顶泄压式布袋除尘器，产生的粉尘经筒仓顶部配带的仓顶泄压式布袋除尘器处理后，净化的气体由除尘器顶口排放</w:t>
                  </w:r>
                </w:p>
              </w:tc>
              <w:tc>
                <w:tcPr>
                  <w:tcW w:w="714" w:type="pct"/>
                  <w:tcBorders>
                    <w:left w:val="nil"/>
                    <w:right w:val="single" w:color="auto" w:sz="4" w:space="0"/>
                  </w:tcBorders>
                  <w:vAlign w:val="center"/>
                </w:tcPr>
                <w:p w14:paraId="63A8C01C">
                  <w:pPr>
                    <w:pStyle w:val="42"/>
                    <w:keepNext w:val="0"/>
                    <w:keepLines w:val="0"/>
                    <w:widowControl/>
                    <w:suppressLineNumbers w:val="0"/>
                    <w:spacing w:before="0" w:beforeAutospacing="0" w:after="0" w:afterAutospacing="0"/>
                    <w:ind w:left="0" w:right="0"/>
                    <w:rPr>
                      <w:rFonts w:hint="default"/>
                    </w:rPr>
                  </w:pPr>
                  <w:r>
                    <w:t>2400m</w:t>
                  </w:r>
                  <w:r>
                    <w:rPr>
                      <w:vertAlign w:val="superscript"/>
                    </w:rPr>
                    <w:t>3</w:t>
                  </w:r>
                  <w:r>
                    <w:t>/h</w:t>
                  </w:r>
                </w:p>
              </w:tc>
              <w:tc>
                <w:tcPr>
                  <w:tcW w:w="471" w:type="pct"/>
                  <w:tcBorders>
                    <w:left w:val="nil"/>
                    <w:right w:val="single" w:color="auto" w:sz="4" w:space="0"/>
                  </w:tcBorders>
                  <w:vAlign w:val="center"/>
                </w:tcPr>
                <w:p w14:paraId="5BDED873">
                  <w:pPr>
                    <w:pStyle w:val="42"/>
                    <w:keepNext w:val="0"/>
                    <w:keepLines w:val="0"/>
                    <w:widowControl/>
                    <w:suppressLineNumbers w:val="0"/>
                    <w:spacing w:before="0" w:beforeAutospacing="0" w:after="0" w:afterAutospacing="0"/>
                    <w:ind w:left="0" w:right="0"/>
                    <w:rPr>
                      <w:rFonts w:hint="default"/>
                    </w:rPr>
                  </w:pPr>
                  <w:r>
                    <w:t>100%</w:t>
                  </w:r>
                </w:p>
              </w:tc>
              <w:tc>
                <w:tcPr>
                  <w:tcW w:w="753" w:type="pct"/>
                  <w:tcBorders>
                    <w:left w:val="nil"/>
                    <w:right w:val="single" w:color="auto" w:sz="4" w:space="0"/>
                  </w:tcBorders>
                  <w:vAlign w:val="center"/>
                </w:tcPr>
                <w:p w14:paraId="0F228B4C">
                  <w:pPr>
                    <w:pStyle w:val="42"/>
                    <w:keepNext w:val="0"/>
                    <w:keepLines w:val="0"/>
                    <w:widowControl/>
                    <w:suppressLineNumbers w:val="0"/>
                    <w:spacing w:before="0" w:beforeAutospacing="0" w:after="0" w:afterAutospacing="0"/>
                    <w:ind w:left="0" w:right="0"/>
                    <w:rPr>
                      <w:rFonts w:hint="default"/>
                    </w:rPr>
                  </w:pPr>
                  <w:r>
                    <w:t>仓顶泄压式布袋除尘器（99.7%）</w:t>
                  </w:r>
                </w:p>
              </w:tc>
              <w:tc>
                <w:tcPr>
                  <w:tcW w:w="702" w:type="pct"/>
                  <w:tcBorders>
                    <w:left w:val="nil"/>
                    <w:right w:val="single" w:color="auto" w:sz="4" w:space="0"/>
                  </w:tcBorders>
                  <w:vAlign w:val="center"/>
                </w:tcPr>
                <w:p w14:paraId="3B469C14">
                  <w:pPr>
                    <w:pStyle w:val="42"/>
                    <w:keepNext w:val="0"/>
                    <w:keepLines w:val="0"/>
                    <w:widowControl/>
                    <w:suppressLineNumbers w:val="0"/>
                    <w:spacing w:before="0" w:beforeAutospacing="0" w:after="0" w:afterAutospacing="0"/>
                    <w:ind w:left="0" w:right="0"/>
                    <w:rPr>
                      <w:rFonts w:hint="default"/>
                    </w:rPr>
                  </w:pPr>
                  <w:r>
                    <w:t>是</w:t>
                  </w:r>
                </w:p>
              </w:tc>
            </w:tr>
            <w:tr w14:paraId="38BF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22" w:type="pct"/>
                  <w:tcBorders>
                    <w:top w:val="single" w:color="auto" w:sz="4" w:space="0"/>
                    <w:left w:val="single" w:color="auto" w:sz="4" w:space="0"/>
                    <w:bottom w:val="single" w:color="auto" w:sz="4" w:space="0"/>
                    <w:right w:val="single" w:color="auto" w:sz="4" w:space="0"/>
                  </w:tcBorders>
                  <w:vAlign w:val="center"/>
                </w:tcPr>
                <w:p w14:paraId="5B79B966">
                  <w:pPr>
                    <w:pStyle w:val="42"/>
                    <w:keepNext w:val="0"/>
                    <w:keepLines w:val="0"/>
                    <w:widowControl/>
                    <w:suppressLineNumbers w:val="0"/>
                    <w:spacing w:before="0" w:beforeAutospacing="0" w:after="0" w:afterAutospacing="0"/>
                    <w:ind w:left="0" w:right="0"/>
                    <w:rPr>
                      <w:rFonts w:hint="default"/>
                    </w:rPr>
                  </w:pPr>
                  <w:r>
                    <w:t>料仓上料、混凝土搅拌</w:t>
                  </w:r>
                </w:p>
              </w:tc>
              <w:tc>
                <w:tcPr>
                  <w:tcW w:w="1536" w:type="pct"/>
                  <w:tcBorders>
                    <w:left w:val="nil"/>
                    <w:bottom w:val="single" w:color="auto" w:sz="4" w:space="0"/>
                    <w:right w:val="single" w:color="auto" w:sz="4" w:space="0"/>
                  </w:tcBorders>
                  <w:vAlign w:val="center"/>
                </w:tcPr>
                <w:p w14:paraId="67CA6A40">
                  <w:pPr>
                    <w:pStyle w:val="42"/>
                    <w:keepNext w:val="0"/>
                    <w:keepLines w:val="0"/>
                    <w:widowControl/>
                    <w:suppressLineNumbers w:val="0"/>
                    <w:spacing w:before="0" w:beforeAutospacing="0" w:after="0" w:afterAutospacing="0"/>
                    <w:ind w:left="0" w:right="0"/>
                    <w:rPr>
                      <w:rFonts w:hint="default"/>
                    </w:rPr>
                  </w:pPr>
                  <w:r>
                    <w:t>在料仓入料口和搅拌机入料口设置集气罩，由引风机将含尘气体引入1套布袋除尘器中进行处理，处理后的颗粒物经1根距地面15米高排气筒DA001排放</w:t>
                  </w:r>
                </w:p>
              </w:tc>
              <w:tc>
                <w:tcPr>
                  <w:tcW w:w="714" w:type="pct"/>
                  <w:tcBorders>
                    <w:left w:val="nil"/>
                    <w:bottom w:val="single" w:color="auto" w:sz="4" w:space="0"/>
                    <w:right w:val="single" w:color="auto" w:sz="4" w:space="0"/>
                  </w:tcBorders>
                  <w:vAlign w:val="center"/>
                </w:tcPr>
                <w:p w14:paraId="5B5AFE2D">
                  <w:pPr>
                    <w:pStyle w:val="42"/>
                    <w:keepNext w:val="0"/>
                    <w:keepLines w:val="0"/>
                    <w:widowControl/>
                    <w:suppressLineNumbers w:val="0"/>
                    <w:spacing w:before="0" w:beforeAutospacing="0" w:after="0" w:afterAutospacing="0"/>
                    <w:ind w:left="0" w:right="0"/>
                    <w:rPr>
                      <w:rFonts w:hint="default"/>
                    </w:rPr>
                  </w:pPr>
                  <w:r>
                    <w:t>5000m</w:t>
                  </w:r>
                  <w:r>
                    <w:rPr>
                      <w:vertAlign w:val="superscript"/>
                    </w:rPr>
                    <w:t>3</w:t>
                  </w:r>
                  <w:r>
                    <w:t>/h</w:t>
                  </w:r>
                </w:p>
              </w:tc>
              <w:tc>
                <w:tcPr>
                  <w:tcW w:w="471" w:type="pct"/>
                  <w:tcBorders>
                    <w:left w:val="nil"/>
                    <w:bottom w:val="single" w:color="auto" w:sz="4" w:space="0"/>
                    <w:right w:val="single" w:color="auto" w:sz="4" w:space="0"/>
                  </w:tcBorders>
                  <w:vAlign w:val="center"/>
                </w:tcPr>
                <w:p w14:paraId="4CD5F7E3">
                  <w:pPr>
                    <w:pStyle w:val="42"/>
                    <w:keepNext w:val="0"/>
                    <w:keepLines w:val="0"/>
                    <w:widowControl/>
                    <w:suppressLineNumbers w:val="0"/>
                    <w:spacing w:before="0" w:beforeAutospacing="0" w:after="0" w:afterAutospacing="0"/>
                    <w:ind w:left="0" w:right="0"/>
                    <w:rPr>
                      <w:rFonts w:hint="default"/>
                    </w:rPr>
                  </w:pPr>
                  <w:r>
                    <w:t>95%</w:t>
                  </w:r>
                </w:p>
              </w:tc>
              <w:tc>
                <w:tcPr>
                  <w:tcW w:w="753" w:type="pct"/>
                  <w:tcBorders>
                    <w:left w:val="nil"/>
                    <w:bottom w:val="single" w:color="auto" w:sz="4" w:space="0"/>
                    <w:right w:val="single" w:color="auto" w:sz="4" w:space="0"/>
                  </w:tcBorders>
                  <w:vAlign w:val="center"/>
                </w:tcPr>
                <w:p w14:paraId="47939CC0">
                  <w:pPr>
                    <w:pStyle w:val="42"/>
                    <w:keepNext w:val="0"/>
                    <w:keepLines w:val="0"/>
                    <w:widowControl/>
                    <w:suppressLineNumbers w:val="0"/>
                    <w:spacing w:before="0" w:beforeAutospacing="0" w:after="0" w:afterAutospacing="0"/>
                    <w:ind w:left="0" w:right="0"/>
                    <w:rPr>
                      <w:rFonts w:hint="default"/>
                    </w:rPr>
                  </w:pPr>
                  <w:r>
                    <w:t>布袋除尘器(99.7%)</w:t>
                  </w:r>
                </w:p>
              </w:tc>
              <w:tc>
                <w:tcPr>
                  <w:tcW w:w="702" w:type="pct"/>
                  <w:tcBorders>
                    <w:left w:val="nil"/>
                    <w:bottom w:val="single" w:color="auto" w:sz="4" w:space="0"/>
                    <w:right w:val="single" w:color="auto" w:sz="4" w:space="0"/>
                  </w:tcBorders>
                  <w:vAlign w:val="center"/>
                </w:tcPr>
                <w:p w14:paraId="04F15110">
                  <w:pPr>
                    <w:pStyle w:val="42"/>
                    <w:keepNext w:val="0"/>
                    <w:keepLines w:val="0"/>
                    <w:widowControl/>
                    <w:suppressLineNumbers w:val="0"/>
                    <w:spacing w:before="0" w:beforeAutospacing="0" w:after="0" w:afterAutospacing="0"/>
                    <w:ind w:left="0" w:right="0"/>
                    <w:rPr>
                      <w:rFonts w:hint="default"/>
                    </w:rPr>
                  </w:pPr>
                  <w:r>
                    <w:t>是</w:t>
                  </w:r>
                </w:p>
              </w:tc>
            </w:tr>
          </w:tbl>
          <w:p w14:paraId="26D49374">
            <w:pPr>
              <w:keepNext w:val="0"/>
              <w:keepLines w:val="0"/>
              <w:suppressLineNumbers w:val="0"/>
              <w:spacing w:before="120" w:beforeLines="50" w:beforeAutospacing="0" w:after="0" w:afterAutospacing="0"/>
              <w:ind w:left="0" w:right="0" w:firstLine="480"/>
              <w:rPr>
                <w:rFonts w:hint="default"/>
                <w:color w:val="FF0000"/>
              </w:rPr>
            </w:pPr>
            <w:r>
              <w:rPr>
                <w:rFonts w:hint="eastAsia"/>
              </w:rPr>
              <w:t>对上述污染治理设施简述其可行性：</w:t>
            </w:r>
          </w:p>
          <w:p w14:paraId="44298C5A">
            <w:pPr>
              <w:keepNext w:val="0"/>
              <w:keepLines w:val="0"/>
              <w:suppressLineNumbers w:val="0"/>
              <w:spacing w:before="0" w:beforeAutospacing="0" w:after="0" w:afterAutospacing="0"/>
              <w:ind w:left="0" w:right="0" w:firstLine="480"/>
              <w:rPr>
                <w:rFonts w:hint="default"/>
              </w:rPr>
            </w:pPr>
            <w:r>
              <w:rPr>
                <w:rFonts w:hint="eastAsia"/>
                <w:bCs/>
              </w:rPr>
              <w:t>1）集气罩：采用钢板材质，集气罩设计、建设难度较低。集气罩的形式一般有上吸罩、侧吸罩和下吸罩三种形式，以上吸罩居多，应用较为广泛。上吸式集气罩内部保持负压状态，罩外空气经缝隙进入集气罩内部，集气罩缝隙处的空气流速远大于粉尘的逃逸速率，粉尘收集率一般能达到</w:t>
            </w:r>
            <w:r>
              <w:rPr>
                <w:rFonts w:hint="default"/>
                <w:bCs/>
              </w:rPr>
              <w:t>95</w:t>
            </w:r>
            <w:r>
              <w:rPr>
                <w:rFonts w:hint="eastAsia"/>
                <w:bCs/>
              </w:rPr>
              <w:t>%。收尘系统及收尘系统风机的整体投资在建设单位可接受的范围内。</w:t>
            </w:r>
          </w:p>
          <w:p w14:paraId="08FA2FEA">
            <w:pPr>
              <w:keepNext w:val="0"/>
              <w:keepLines w:val="0"/>
              <w:suppressLineNumbers w:val="0"/>
              <w:spacing w:before="0" w:beforeAutospacing="0" w:after="0" w:afterAutospacing="0"/>
              <w:ind w:left="0" w:right="0" w:firstLine="480"/>
              <w:rPr>
                <w:rFonts w:hint="default"/>
              </w:rPr>
            </w:pPr>
            <w:r>
              <w:rPr>
                <w:rFonts w:hint="eastAsia"/>
              </w:rPr>
              <w:t>2）布袋除尘器：“袋式除尘器”</w:t>
            </w:r>
            <w:r>
              <w:rPr>
                <w:rFonts w:hint="default"/>
              </w:rPr>
              <w:t>的工作原理是通过过滤而阻挡粉尘</w:t>
            </w:r>
            <w:r>
              <w:rPr>
                <w:rFonts w:hint="eastAsia"/>
              </w:rPr>
              <w:t>，</w:t>
            </w:r>
            <w:r>
              <w:rPr>
                <w:rFonts w:hint="default"/>
              </w:rPr>
              <w:t>它适用于捕集细小、干燥、非纤维性</w:t>
            </w:r>
            <w:r>
              <w:rPr>
                <w:rFonts w:hint="default"/>
              </w:rPr>
              <w:fldChar w:fldCharType="begin"/>
            </w:r>
            <w:r>
              <w:rPr>
                <w:rFonts w:hint="default"/>
              </w:rPr>
              <w:instrText xml:space="preserve"> HYPERLINK "https://baike.so.com/doc/662388-701218.html" \t "_blank" </w:instrText>
            </w:r>
            <w:r>
              <w:rPr>
                <w:rFonts w:hint="default"/>
              </w:rPr>
              <w:fldChar w:fldCharType="separate"/>
            </w:r>
            <w:r>
              <w:rPr>
                <w:rFonts w:hint="default"/>
              </w:rPr>
              <w:t>粉尘</w:t>
            </w:r>
            <w:r>
              <w:rPr>
                <w:rFonts w:hint="default"/>
              </w:rPr>
              <w:fldChar w:fldCharType="end"/>
            </w:r>
            <w:r>
              <w:rPr>
                <w:rFonts w:hint="default"/>
              </w:rPr>
              <w:t>。滤袋采用纺织的滤布或非纺织的毡制成，利用纤维织物的过滤作用对含尘气体进行过滤</w:t>
            </w:r>
            <w:r>
              <w:rPr>
                <w:rFonts w:hint="eastAsia"/>
              </w:rPr>
              <w:t>，</w:t>
            </w:r>
            <w:r>
              <w:rPr>
                <w:rFonts w:hint="default"/>
              </w:rPr>
              <w:t>尘粒由惯性力作用以及受气体分子做布朗运动冲击不断改变运动方向，由于纤维间空隙小于尘粒运动的自由路径，尘粒与纤维碰撞接触而被分离出来。实际运行过程中，含尘气体由进风道进入灰斗，粗尘粒直接落入灰斗底部，细尘粒随气流转折积附在滤袋外表面，过滤后的气体进入上箱体至净气集合管-排风道，经排风机排至大气，除尘效率可达到99%以上</w:t>
            </w:r>
            <w:r>
              <w:rPr>
                <w:rFonts w:hint="eastAsia"/>
              </w:rPr>
              <w:t>，</w:t>
            </w:r>
            <w:r>
              <w:rPr>
                <w:rFonts w:hint="default"/>
              </w:rPr>
              <w:t>处理风量可由每小时数百立方米到每小时数十万立方米</w:t>
            </w:r>
            <w:r>
              <w:rPr>
                <w:rFonts w:hint="eastAsia"/>
              </w:rPr>
              <w:t>不等</w:t>
            </w:r>
            <w:r>
              <w:rPr>
                <w:rFonts w:hint="default"/>
              </w:rPr>
              <w:t>；</w:t>
            </w:r>
            <w:r>
              <w:rPr>
                <w:rFonts w:hint="eastAsia"/>
              </w:rPr>
              <w:t>布袋</w:t>
            </w:r>
            <w:r>
              <w:rPr>
                <w:rFonts w:hint="default"/>
              </w:rPr>
              <w:t>除尘器广泛应用于消除粉尘污染，改善环境，回收物料等</w:t>
            </w:r>
            <w:r>
              <w:rPr>
                <w:rFonts w:hint="eastAsia"/>
              </w:rPr>
              <w:t>方面，治理效果显著。技术可行。</w:t>
            </w:r>
          </w:p>
          <w:p w14:paraId="010CE7F9">
            <w:pPr>
              <w:keepNext w:val="0"/>
              <w:keepLines w:val="0"/>
              <w:numPr>
                <w:ilvl w:val="0"/>
                <w:numId w:val="18"/>
              </w:numPr>
              <w:suppressLineNumbers w:val="0"/>
              <w:spacing w:before="0" w:beforeAutospacing="0" w:after="0" w:afterAutospacing="0"/>
              <w:ind w:right="0" w:firstLine="480"/>
              <w:rPr>
                <w:rFonts w:hint="default"/>
              </w:rPr>
            </w:pPr>
            <w:r>
              <w:rPr>
                <w:rFonts w:hint="eastAsia"/>
              </w:rPr>
              <w:t>无组织大气污染物治理措施</w:t>
            </w:r>
          </w:p>
          <w:p w14:paraId="672BE544">
            <w:pPr>
              <w:keepNext w:val="0"/>
              <w:keepLines w:val="0"/>
              <w:suppressLineNumbers w:val="0"/>
              <w:spacing w:before="0" w:beforeAutospacing="0" w:after="0" w:afterAutospacing="0"/>
              <w:ind w:left="0" w:right="0" w:firstLine="480"/>
              <w:rPr>
                <w:rFonts w:hint="default"/>
                <w:bCs/>
              </w:rPr>
            </w:pPr>
            <w:r>
              <w:rPr>
                <w:rFonts w:hint="default"/>
                <w:bCs/>
              </w:rPr>
              <w:t>项目厂区石子、石粉堆放库建设为封闭的库房。对料堆定期洒水降尘，车间地面硬化，封闭车间阻隔。一般封闭车间阻隔效率能达到90%以上，连续水喷淋作业降尘效率74%，较好的控制无组织粉尘，技术可行。</w:t>
            </w:r>
          </w:p>
          <w:p w14:paraId="1A07492F">
            <w:pPr>
              <w:keepNext w:val="0"/>
              <w:keepLines w:val="0"/>
              <w:suppressLineNumbers w:val="0"/>
              <w:spacing w:before="0" w:beforeAutospacing="0" w:after="0" w:afterAutospacing="0"/>
              <w:ind w:left="0" w:right="0" w:firstLine="480"/>
              <w:rPr>
                <w:rFonts w:hint="default"/>
                <w:bCs/>
              </w:rPr>
            </w:pPr>
            <w:r>
              <w:rPr>
                <w:rFonts w:hint="default"/>
                <w:bCs/>
              </w:rPr>
              <w:t>项目物料装卸过程粉尘通过降低卸料高度，控制卸料速度、水喷淋抑尘、墙体阻隔的措施进行控制。技术可行。</w:t>
            </w:r>
          </w:p>
          <w:p w14:paraId="248F4919">
            <w:pPr>
              <w:keepNext w:val="0"/>
              <w:keepLines w:val="0"/>
              <w:suppressLineNumbers w:val="0"/>
              <w:spacing w:before="0" w:beforeAutospacing="0" w:after="0" w:afterAutospacing="0"/>
              <w:ind w:left="0" w:right="0" w:firstLine="480"/>
              <w:rPr>
                <w:rFonts w:hint="default"/>
              </w:rPr>
            </w:pPr>
            <w:r>
              <w:rPr>
                <w:rFonts w:hint="default"/>
                <w:bCs/>
              </w:rPr>
              <w:t>车辆运输道路扬尘通过采取厂区内道路地面硬化、及时清扫、定期洒水、车辆减速慢行、物料遮盖等措施。技术可行。</w:t>
            </w:r>
          </w:p>
          <w:p w14:paraId="27F40054">
            <w:pPr>
              <w:keepNext w:val="0"/>
              <w:keepLines w:val="0"/>
              <w:suppressLineNumbers w:val="0"/>
              <w:spacing w:before="0" w:beforeAutospacing="0" w:after="0" w:afterAutospacing="0"/>
              <w:ind w:left="0" w:right="0" w:firstLine="482"/>
              <w:rPr>
                <w:rFonts w:hint="default"/>
                <w:b/>
              </w:rPr>
            </w:pPr>
            <w:r>
              <w:rPr>
                <w:rFonts w:hint="eastAsia"/>
                <w:b/>
              </w:rPr>
              <w:t>（5）排放口基本情况</w:t>
            </w:r>
          </w:p>
          <w:p w14:paraId="56BD4B7D">
            <w:pPr>
              <w:keepNext w:val="0"/>
              <w:keepLines w:val="0"/>
              <w:suppressLineNumbers w:val="0"/>
              <w:spacing w:before="0" w:beforeAutospacing="0" w:after="0" w:afterAutospacing="0"/>
              <w:ind w:left="0" w:right="0" w:firstLine="480"/>
              <w:rPr>
                <w:rFonts w:hint="default"/>
              </w:rPr>
            </w:pPr>
            <w:r>
              <w:rPr>
                <w:rFonts w:hint="default"/>
              </w:rPr>
              <w:t>项目共设置大气污染物排放口2个，各排放口基本情况详见下表：</w:t>
            </w:r>
          </w:p>
          <w:p w14:paraId="3705E45C">
            <w:pPr>
              <w:pStyle w:val="19"/>
              <w:keepNext w:val="0"/>
              <w:keepLines w:val="0"/>
              <w:widowControl w:val="0"/>
              <w:numPr>
                <w:ilvl w:val="0"/>
                <w:numId w:val="15"/>
              </w:numPr>
              <w:suppressLineNumbers w:val="0"/>
              <w:spacing w:before="0" w:beforeAutospacing="0" w:after="0" w:afterAutospacing="0"/>
              <w:ind w:left="0" w:right="0" w:firstLine="0" w:firstLineChars="0"/>
              <w:jc w:val="center"/>
              <w:rPr>
                <w:rFonts w:hint="default" w:ascii="Times New Roman" w:hAnsi="Times New Roman"/>
                <w:b/>
                <w:sz w:val="21"/>
              </w:rPr>
            </w:pPr>
            <w:r>
              <w:rPr>
                <w:rFonts w:hint="eastAsia" w:ascii="Times New Roman" w:hAnsi="Times New Roman"/>
                <w:b/>
                <w:sz w:val="21"/>
              </w:rPr>
              <w:t>项目大气污染物排放口基本情况一览表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24"/>
              <w:gridCol w:w="1519"/>
              <w:gridCol w:w="1311"/>
              <w:gridCol w:w="890"/>
              <w:gridCol w:w="447"/>
              <w:gridCol w:w="476"/>
              <w:gridCol w:w="424"/>
              <w:gridCol w:w="631"/>
              <w:gridCol w:w="424"/>
              <w:gridCol w:w="1024"/>
            </w:tblGrid>
            <w:tr w14:paraId="1AB6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57" w:type="pct"/>
                  <w:vMerge w:val="restart"/>
                  <w:tcBorders>
                    <w:top w:val="single" w:color="auto" w:sz="4" w:space="0"/>
                    <w:left w:val="single" w:color="auto" w:sz="4" w:space="0"/>
                    <w:bottom w:val="single" w:color="auto" w:sz="4" w:space="0"/>
                    <w:right w:val="single" w:color="auto" w:sz="4" w:space="0"/>
                  </w:tcBorders>
                  <w:vAlign w:val="center"/>
                </w:tcPr>
                <w:p w14:paraId="7816711D">
                  <w:pPr>
                    <w:pStyle w:val="42"/>
                    <w:keepNext w:val="0"/>
                    <w:keepLines w:val="0"/>
                    <w:widowControl/>
                    <w:suppressLineNumbers w:val="0"/>
                    <w:spacing w:before="0" w:beforeAutospacing="0" w:after="0" w:afterAutospacing="0"/>
                    <w:ind w:left="0" w:right="0"/>
                    <w:rPr>
                      <w:rFonts w:hint="default"/>
                      <w:b/>
                      <w:bCs/>
                    </w:rPr>
                  </w:pPr>
                  <w:r>
                    <w:rPr>
                      <w:b/>
                      <w:bCs/>
                    </w:rPr>
                    <w:t>编号</w:t>
                  </w:r>
                </w:p>
              </w:tc>
              <w:tc>
                <w:tcPr>
                  <w:tcW w:w="562" w:type="pct"/>
                  <w:vMerge w:val="restart"/>
                  <w:tcBorders>
                    <w:top w:val="single" w:color="auto" w:sz="4" w:space="0"/>
                    <w:left w:val="nil"/>
                    <w:bottom w:val="single" w:color="auto" w:sz="4" w:space="0"/>
                    <w:right w:val="single" w:color="auto" w:sz="4" w:space="0"/>
                  </w:tcBorders>
                  <w:vAlign w:val="center"/>
                </w:tcPr>
                <w:p w14:paraId="0FFE619F">
                  <w:pPr>
                    <w:pStyle w:val="42"/>
                    <w:keepNext w:val="0"/>
                    <w:keepLines w:val="0"/>
                    <w:widowControl/>
                    <w:suppressLineNumbers w:val="0"/>
                    <w:spacing w:before="0" w:beforeAutospacing="0" w:after="0" w:afterAutospacing="0"/>
                    <w:ind w:left="0" w:right="0"/>
                    <w:rPr>
                      <w:rFonts w:hint="default"/>
                      <w:b/>
                      <w:bCs/>
                    </w:rPr>
                  </w:pPr>
                  <w:r>
                    <w:rPr>
                      <w:b/>
                      <w:bCs/>
                    </w:rPr>
                    <w:t>名称</w:t>
                  </w:r>
                </w:p>
              </w:tc>
              <w:tc>
                <w:tcPr>
                  <w:tcW w:w="1053" w:type="pct"/>
                  <w:gridSpan w:val="2"/>
                  <w:tcBorders>
                    <w:top w:val="single" w:color="auto" w:sz="4" w:space="0"/>
                    <w:left w:val="nil"/>
                    <w:bottom w:val="single" w:color="auto" w:sz="4" w:space="0"/>
                    <w:right w:val="single" w:color="auto" w:sz="4" w:space="0"/>
                  </w:tcBorders>
                  <w:vAlign w:val="center"/>
                </w:tcPr>
                <w:p w14:paraId="2CF3BC72">
                  <w:pPr>
                    <w:pStyle w:val="42"/>
                    <w:keepNext w:val="0"/>
                    <w:keepLines w:val="0"/>
                    <w:widowControl/>
                    <w:suppressLineNumbers w:val="0"/>
                    <w:spacing w:before="0" w:beforeAutospacing="0" w:after="0" w:afterAutospacing="0"/>
                    <w:ind w:left="0" w:right="0"/>
                    <w:rPr>
                      <w:rFonts w:hint="default"/>
                      <w:b/>
                      <w:bCs/>
                    </w:rPr>
                  </w:pPr>
                  <w:r>
                    <w:rPr>
                      <w:b/>
                      <w:bCs/>
                    </w:rPr>
                    <w:t>排气筒底部中心坐标</w:t>
                  </w:r>
                </w:p>
              </w:tc>
              <w:tc>
                <w:tcPr>
                  <w:tcW w:w="401" w:type="pct"/>
                  <w:vMerge w:val="restart"/>
                  <w:tcBorders>
                    <w:top w:val="single" w:color="auto" w:sz="4" w:space="0"/>
                    <w:left w:val="nil"/>
                    <w:bottom w:val="single" w:color="auto" w:sz="4" w:space="0"/>
                    <w:right w:val="single" w:color="auto" w:sz="4" w:space="0"/>
                  </w:tcBorders>
                  <w:vAlign w:val="center"/>
                </w:tcPr>
                <w:p w14:paraId="1D913749">
                  <w:pPr>
                    <w:pStyle w:val="42"/>
                    <w:keepNext w:val="0"/>
                    <w:keepLines w:val="0"/>
                    <w:widowControl/>
                    <w:suppressLineNumbers w:val="0"/>
                    <w:spacing w:before="0" w:beforeAutospacing="0" w:after="0" w:afterAutospacing="0"/>
                    <w:ind w:left="0" w:right="0"/>
                    <w:rPr>
                      <w:rFonts w:hint="default"/>
                      <w:b/>
                      <w:bCs/>
                    </w:rPr>
                  </w:pPr>
                  <w:r>
                    <w:rPr>
                      <w:b/>
                      <w:bCs/>
                    </w:rPr>
                    <w:t>排气筒底部海拔高度/m</w:t>
                  </w:r>
                </w:p>
              </w:tc>
              <w:tc>
                <w:tcPr>
                  <w:tcW w:w="358" w:type="pct"/>
                  <w:vMerge w:val="restart"/>
                  <w:tcBorders>
                    <w:top w:val="single" w:color="auto" w:sz="4" w:space="0"/>
                    <w:left w:val="nil"/>
                    <w:bottom w:val="single" w:color="auto" w:sz="4" w:space="0"/>
                    <w:right w:val="single" w:color="auto" w:sz="4" w:space="0"/>
                  </w:tcBorders>
                  <w:vAlign w:val="center"/>
                </w:tcPr>
                <w:p w14:paraId="6702A523">
                  <w:pPr>
                    <w:pStyle w:val="42"/>
                    <w:keepNext w:val="0"/>
                    <w:keepLines w:val="0"/>
                    <w:widowControl/>
                    <w:suppressLineNumbers w:val="0"/>
                    <w:spacing w:before="0" w:beforeAutospacing="0" w:after="0" w:afterAutospacing="0"/>
                    <w:ind w:left="0" w:right="0"/>
                    <w:rPr>
                      <w:rFonts w:hint="default"/>
                      <w:b/>
                      <w:bCs/>
                    </w:rPr>
                  </w:pPr>
                  <w:r>
                    <w:rPr>
                      <w:b/>
                      <w:bCs/>
                    </w:rPr>
                    <w:t>排气筒高度/m</w:t>
                  </w:r>
                </w:p>
              </w:tc>
              <w:tc>
                <w:tcPr>
                  <w:tcW w:w="452" w:type="pct"/>
                  <w:vMerge w:val="restart"/>
                  <w:tcBorders>
                    <w:top w:val="single" w:color="auto" w:sz="4" w:space="0"/>
                    <w:left w:val="nil"/>
                    <w:bottom w:val="single" w:color="auto" w:sz="4" w:space="0"/>
                    <w:right w:val="single" w:color="auto" w:sz="4" w:space="0"/>
                  </w:tcBorders>
                  <w:vAlign w:val="center"/>
                </w:tcPr>
                <w:p w14:paraId="6B8623B4">
                  <w:pPr>
                    <w:pStyle w:val="42"/>
                    <w:keepNext w:val="0"/>
                    <w:keepLines w:val="0"/>
                    <w:widowControl/>
                    <w:suppressLineNumbers w:val="0"/>
                    <w:spacing w:before="0" w:beforeAutospacing="0" w:after="0" w:afterAutospacing="0"/>
                    <w:ind w:left="0" w:right="0"/>
                    <w:rPr>
                      <w:rFonts w:hint="default"/>
                      <w:b/>
                      <w:bCs/>
                    </w:rPr>
                  </w:pPr>
                  <w:r>
                    <w:rPr>
                      <w:b/>
                      <w:bCs/>
                    </w:rPr>
                    <w:t>排气筒出口内径/m</w:t>
                  </w:r>
                </w:p>
              </w:tc>
              <w:tc>
                <w:tcPr>
                  <w:tcW w:w="270" w:type="pct"/>
                  <w:vMerge w:val="restart"/>
                  <w:tcBorders>
                    <w:top w:val="single" w:color="auto" w:sz="4" w:space="0"/>
                    <w:left w:val="nil"/>
                    <w:bottom w:val="single" w:color="auto" w:sz="4" w:space="0"/>
                    <w:right w:val="single" w:color="auto" w:sz="4" w:space="0"/>
                  </w:tcBorders>
                  <w:vAlign w:val="center"/>
                </w:tcPr>
                <w:p w14:paraId="14149120">
                  <w:pPr>
                    <w:pStyle w:val="42"/>
                    <w:keepNext w:val="0"/>
                    <w:keepLines w:val="0"/>
                    <w:widowControl/>
                    <w:suppressLineNumbers w:val="0"/>
                    <w:spacing w:before="0" w:beforeAutospacing="0" w:after="0" w:afterAutospacing="0"/>
                    <w:ind w:left="0" w:right="0"/>
                    <w:rPr>
                      <w:rFonts w:hint="default"/>
                      <w:b/>
                      <w:bCs/>
                    </w:rPr>
                  </w:pPr>
                  <w:r>
                    <w:rPr>
                      <w:b/>
                      <w:bCs/>
                    </w:rPr>
                    <w:t>烟气温度/℃</w:t>
                  </w:r>
                </w:p>
              </w:tc>
              <w:tc>
                <w:tcPr>
                  <w:tcW w:w="452" w:type="pct"/>
                  <w:vMerge w:val="restart"/>
                  <w:tcBorders>
                    <w:top w:val="single" w:color="auto" w:sz="4" w:space="0"/>
                    <w:left w:val="nil"/>
                    <w:bottom w:val="single" w:color="auto" w:sz="4" w:space="0"/>
                    <w:right w:val="single" w:color="auto" w:sz="4" w:space="0"/>
                  </w:tcBorders>
                  <w:vAlign w:val="center"/>
                </w:tcPr>
                <w:p w14:paraId="74103F48">
                  <w:pPr>
                    <w:pStyle w:val="42"/>
                    <w:keepNext w:val="0"/>
                    <w:keepLines w:val="0"/>
                    <w:widowControl/>
                    <w:suppressLineNumbers w:val="0"/>
                    <w:spacing w:before="0" w:beforeAutospacing="0" w:after="0" w:afterAutospacing="0"/>
                    <w:ind w:left="0" w:right="0"/>
                    <w:rPr>
                      <w:rFonts w:hint="default"/>
                      <w:b/>
                      <w:bCs/>
                    </w:rPr>
                  </w:pPr>
                  <w:r>
                    <w:rPr>
                      <w:b/>
                      <w:bCs/>
                    </w:rPr>
                    <w:t>年排放小时数/h</w:t>
                  </w:r>
                </w:p>
              </w:tc>
              <w:tc>
                <w:tcPr>
                  <w:tcW w:w="324" w:type="pct"/>
                  <w:vMerge w:val="restart"/>
                  <w:tcBorders>
                    <w:top w:val="single" w:color="auto" w:sz="4" w:space="0"/>
                    <w:left w:val="nil"/>
                    <w:bottom w:val="single" w:color="auto" w:sz="4" w:space="0"/>
                    <w:right w:val="single" w:color="auto" w:sz="4" w:space="0"/>
                  </w:tcBorders>
                  <w:vAlign w:val="center"/>
                </w:tcPr>
                <w:p w14:paraId="2E589203">
                  <w:pPr>
                    <w:pStyle w:val="42"/>
                    <w:keepNext w:val="0"/>
                    <w:keepLines w:val="0"/>
                    <w:widowControl/>
                    <w:suppressLineNumbers w:val="0"/>
                    <w:spacing w:before="0" w:beforeAutospacing="0" w:after="0" w:afterAutospacing="0"/>
                    <w:ind w:left="0" w:right="0"/>
                    <w:rPr>
                      <w:rFonts w:hint="default"/>
                      <w:b/>
                      <w:bCs/>
                    </w:rPr>
                  </w:pPr>
                  <w:r>
                    <w:rPr>
                      <w:b/>
                      <w:bCs/>
                    </w:rPr>
                    <w:t>排放工况</w:t>
                  </w:r>
                </w:p>
              </w:tc>
              <w:tc>
                <w:tcPr>
                  <w:tcW w:w="667" w:type="pct"/>
                  <w:tcBorders>
                    <w:top w:val="single" w:color="auto" w:sz="4" w:space="0"/>
                    <w:left w:val="nil"/>
                    <w:bottom w:val="nil"/>
                    <w:right w:val="single" w:color="auto" w:sz="4" w:space="0"/>
                  </w:tcBorders>
                  <w:vAlign w:val="center"/>
                </w:tcPr>
                <w:p w14:paraId="16E64373">
                  <w:pPr>
                    <w:pStyle w:val="42"/>
                    <w:keepNext w:val="0"/>
                    <w:keepLines w:val="0"/>
                    <w:widowControl/>
                    <w:suppressLineNumbers w:val="0"/>
                    <w:spacing w:before="0" w:beforeAutospacing="0" w:after="0" w:afterAutospacing="0"/>
                    <w:ind w:left="0" w:right="0"/>
                    <w:rPr>
                      <w:rFonts w:hint="default"/>
                      <w:b/>
                      <w:bCs/>
                    </w:rPr>
                  </w:pPr>
                  <w:r>
                    <w:rPr>
                      <w:b/>
                      <w:bCs/>
                    </w:rPr>
                    <w:t>污染物排放速率（kg/h）</w:t>
                  </w:r>
                </w:p>
              </w:tc>
            </w:tr>
            <w:tr w14:paraId="10F3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457" w:type="pct"/>
                  <w:vMerge w:val="continue"/>
                  <w:tcBorders>
                    <w:top w:val="single" w:color="auto" w:sz="4" w:space="0"/>
                    <w:left w:val="single" w:color="auto" w:sz="4" w:space="0"/>
                    <w:bottom w:val="single" w:color="auto" w:sz="4" w:space="0"/>
                    <w:right w:val="single" w:color="auto" w:sz="4" w:space="0"/>
                  </w:tcBorders>
                  <w:vAlign w:val="center"/>
                </w:tcPr>
                <w:p w14:paraId="60EAF82B">
                  <w:pPr>
                    <w:pStyle w:val="42"/>
                    <w:keepNext w:val="0"/>
                    <w:keepLines w:val="0"/>
                    <w:widowControl/>
                    <w:suppressLineNumbers w:val="0"/>
                    <w:spacing w:before="0" w:beforeAutospacing="0" w:after="0" w:afterAutospacing="0"/>
                    <w:ind w:left="0" w:right="0"/>
                    <w:rPr>
                      <w:rFonts w:hint="default"/>
                      <w:b/>
                      <w:bCs/>
                    </w:rPr>
                  </w:pPr>
                </w:p>
              </w:tc>
              <w:tc>
                <w:tcPr>
                  <w:tcW w:w="562" w:type="pct"/>
                  <w:vMerge w:val="continue"/>
                  <w:tcBorders>
                    <w:top w:val="single" w:color="auto" w:sz="4" w:space="0"/>
                    <w:left w:val="nil"/>
                    <w:bottom w:val="single" w:color="auto" w:sz="4" w:space="0"/>
                    <w:right w:val="single" w:color="auto" w:sz="4" w:space="0"/>
                  </w:tcBorders>
                  <w:vAlign w:val="center"/>
                </w:tcPr>
                <w:p w14:paraId="313F6988">
                  <w:pPr>
                    <w:pStyle w:val="42"/>
                    <w:keepNext w:val="0"/>
                    <w:keepLines w:val="0"/>
                    <w:widowControl/>
                    <w:suppressLineNumbers w:val="0"/>
                    <w:spacing w:before="0" w:beforeAutospacing="0" w:after="0" w:afterAutospacing="0"/>
                    <w:ind w:left="0" w:right="0"/>
                    <w:rPr>
                      <w:rFonts w:hint="default"/>
                      <w:b/>
                      <w:bCs/>
                    </w:rPr>
                  </w:pPr>
                </w:p>
              </w:tc>
              <w:tc>
                <w:tcPr>
                  <w:tcW w:w="526" w:type="pct"/>
                  <w:tcBorders>
                    <w:top w:val="single" w:color="auto" w:sz="4" w:space="0"/>
                    <w:left w:val="nil"/>
                    <w:bottom w:val="single" w:color="auto" w:sz="4" w:space="0"/>
                    <w:right w:val="single" w:color="auto" w:sz="4" w:space="0"/>
                  </w:tcBorders>
                  <w:vAlign w:val="center"/>
                </w:tcPr>
                <w:p w14:paraId="68C04D10">
                  <w:pPr>
                    <w:pStyle w:val="42"/>
                    <w:keepNext w:val="0"/>
                    <w:keepLines w:val="0"/>
                    <w:widowControl/>
                    <w:suppressLineNumbers w:val="0"/>
                    <w:spacing w:before="0" w:beforeAutospacing="0" w:after="0" w:afterAutospacing="0"/>
                    <w:ind w:left="0" w:right="0"/>
                    <w:rPr>
                      <w:rFonts w:hint="default"/>
                      <w:b/>
                      <w:bCs/>
                    </w:rPr>
                  </w:pPr>
                  <w:r>
                    <w:rPr>
                      <w:b/>
                      <w:bCs/>
                    </w:rPr>
                    <w:t>E</w:t>
                  </w:r>
                </w:p>
              </w:tc>
              <w:tc>
                <w:tcPr>
                  <w:tcW w:w="527" w:type="pct"/>
                  <w:tcBorders>
                    <w:top w:val="single" w:color="auto" w:sz="4" w:space="0"/>
                    <w:left w:val="nil"/>
                    <w:bottom w:val="single" w:color="auto" w:sz="4" w:space="0"/>
                    <w:right w:val="single" w:color="auto" w:sz="4" w:space="0"/>
                  </w:tcBorders>
                  <w:vAlign w:val="center"/>
                </w:tcPr>
                <w:p w14:paraId="345943AB">
                  <w:pPr>
                    <w:pStyle w:val="42"/>
                    <w:keepNext w:val="0"/>
                    <w:keepLines w:val="0"/>
                    <w:widowControl/>
                    <w:suppressLineNumbers w:val="0"/>
                    <w:spacing w:before="0" w:beforeAutospacing="0" w:after="0" w:afterAutospacing="0"/>
                    <w:ind w:left="0" w:right="0"/>
                    <w:rPr>
                      <w:rFonts w:hint="default"/>
                      <w:b/>
                      <w:bCs/>
                    </w:rPr>
                  </w:pPr>
                  <w:r>
                    <w:rPr>
                      <w:b/>
                      <w:bCs/>
                    </w:rPr>
                    <w:t>N</w:t>
                  </w:r>
                </w:p>
              </w:tc>
              <w:tc>
                <w:tcPr>
                  <w:tcW w:w="401" w:type="pct"/>
                  <w:vMerge w:val="continue"/>
                  <w:tcBorders>
                    <w:top w:val="single" w:color="auto" w:sz="4" w:space="0"/>
                    <w:left w:val="nil"/>
                    <w:bottom w:val="single" w:color="auto" w:sz="4" w:space="0"/>
                    <w:right w:val="single" w:color="auto" w:sz="4" w:space="0"/>
                  </w:tcBorders>
                  <w:vAlign w:val="center"/>
                </w:tcPr>
                <w:p w14:paraId="5F85BD54">
                  <w:pPr>
                    <w:pStyle w:val="42"/>
                    <w:keepNext w:val="0"/>
                    <w:keepLines w:val="0"/>
                    <w:widowControl/>
                    <w:suppressLineNumbers w:val="0"/>
                    <w:spacing w:before="0" w:beforeAutospacing="0" w:after="0" w:afterAutospacing="0"/>
                    <w:ind w:left="0" w:right="0"/>
                    <w:rPr>
                      <w:rFonts w:hint="default"/>
                      <w:b/>
                      <w:bCs/>
                    </w:rPr>
                  </w:pPr>
                </w:p>
              </w:tc>
              <w:tc>
                <w:tcPr>
                  <w:tcW w:w="358" w:type="pct"/>
                  <w:vMerge w:val="continue"/>
                  <w:tcBorders>
                    <w:top w:val="single" w:color="auto" w:sz="4" w:space="0"/>
                    <w:left w:val="nil"/>
                    <w:bottom w:val="single" w:color="auto" w:sz="4" w:space="0"/>
                    <w:right w:val="single" w:color="auto" w:sz="4" w:space="0"/>
                  </w:tcBorders>
                  <w:vAlign w:val="center"/>
                </w:tcPr>
                <w:p w14:paraId="28BD20ED">
                  <w:pPr>
                    <w:pStyle w:val="42"/>
                    <w:keepNext w:val="0"/>
                    <w:keepLines w:val="0"/>
                    <w:widowControl/>
                    <w:suppressLineNumbers w:val="0"/>
                    <w:spacing w:before="0" w:beforeAutospacing="0" w:after="0" w:afterAutospacing="0"/>
                    <w:ind w:left="0" w:right="0"/>
                    <w:rPr>
                      <w:rFonts w:hint="default"/>
                      <w:b/>
                      <w:bCs/>
                    </w:rPr>
                  </w:pPr>
                </w:p>
              </w:tc>
              <w:tc>
                <w:tcPr>
                  <w:tcW w:w="452" w:type="pct"/>
                  <w:vMerge w:val="continue"/>
                  <w:tcBorders>
                    <w:top w:val="single" w:color="auto" w:sz="4" w:space="0"/>
                    <w:left w:val="nil"/>
                    <w:bottom w:val="single" w:color="auto" w:sz="4" w:space="0"/>
                    <w:right w:val="single" w:color="auto" w:sz="4" w:space="0"/>
                  </w:tcBorders>
                  <w:vAlign w:val="center"/>
                </w:tcPr>
                <w:p w14:paraId="7AA4DCAA">
                  <w:pPr>
                    <w:pStyle w:val="42"/>
                    <w:keepNext w:val="0"/>
                    <w:keepLines w:val="0"/>
                    <w:widowControl/>
                    <w:suppressLineNumbers w:val="0"/>
                    <w:spacing w:before="0" w:beforeAutospacing="0" w:after="0" w:afterAutospacing="0"/>
                    <w:ind w:left="0" w:right="0"/>
                    <w:rPr>
                      <w:rFonts w:hint="default"/>
                      <w:b/>
                      <w:bCs/>
                    </w:rPr>
                  </w:pPr>
                </w:p>
              </w:tc>
              <w:tc>
                <w:tcPr>
                  <w:tcW w:w="270" w:type="pct"/>
                  <w:vMerge w:val="continue"/>
                  <w:tcBorders>
                    <w:top w:val="single" w:color="auto" w:sz="4" w:space="0"/>
                    <w:left w:val="nil"/>
                    <w:bottom w:val="single" w:color="auto" w:sz="4" w:space="0"/>
                    <w:right w:val="single" w:color="auto" w:sz="4" w:space="0"/>
                  </w:tcBorders>
                  <w:vAlign w:val="center"/>
                </w:tcPr>
                <w:p w14:paraId="21B26B48">
                  <w:pPr>
                    <w:pStyle w:val="42"/>
                    <w:keepNext w:val="0"/>
                    <w:keepLines w:val="0"/>
                    <w:widowControl/>
                    <w:suppressLineNumbers w:val="0"/>
                    <w:spacing w:before="0" w:beforeAutospacing="0" w:after="0" w:afterAutospacing="0"/>
                    <w:ind w:left="0" w:right="0"/>
                    <w:rPr>
                      <w:rFonts w:hint="default"/>
                      <w:b/>
                      <w:bCs/>
                    </w:rPr>
                  </w:pPr>
                </w:p>
              </w:tc>
              <w:tc>
                <w:tcPr>
                  <w:tcW w:w="452" w:type="pct"/>
                  <w:vMerge w:val="continue"/>
                  <w:tcBorders>
                    <w:top w:val="single" w:color="auto" w:sz="4" w:space="0"/>
                    <w:left w:val="nil"/>
                    <w:bottom w:val="single" w:color="auto" w:sz="4" w:space="0"/>
                    <w:right w:val="single" w:color="auto" w:sz="4" w:space="0"/>
                  </w:tcBorders>
                  <w:vAlign w:val="center"/>
                </w:tcPr>
                <w:p w14:paraId="54CA7701">
                  <w:pPr>
                    <w:pStyle w:val="42"/>
                    <w:keepNext w:val="0"/>
                    <w:keepLines w:val="0"/>
                    <w:widowControl/>
                    <w:suppressLineNumbers w:val="0"/>
                    <w:spacing w:before="0" w:beforeAutospacing="0" w:after="0" w:afterAutospacing="0"/>
                    <w:ind w:left="0" w:right="0"/>
                    <w:rPr>
                      <w:rFonts w:hint="default"/>
                      <w:b/>
                      <w:bCs/>
                    </w:rPr>
                  </w:pPr>
                </w:p>
              </w:tc>
              <w:tc>
                <w:tcPr>
                  <w:tcW w:w="324" w:type="pct"/>
                  <w:vMerge w:val="continue"/>
                  <w:tcBorders>
                    <w:top w:val="single" w:color="auto" w:sz="4" w:space="0"/>
                    <w:left w:val="nil"/>
                    <w:bottom w:val="single" w:color="auto" w:sz="4" w:space="0"/>
                    <w:right w:val="single" w:color="auto" w:sz="4" w:space="0"/>
                  </w:tcBorders>
                  <w:vAlign w:val="center"/>
                </w:tcPr>
                <w:p w14:paraId="764456FF">
                  <w:pPr>
                    <w:pStyle w:val="42"/>
                    <w:keepNext w:val="0"/>
                    <w:keepLines w:val="0"/>
                    <w:widowControl/>
                    <w:suppressLineNumbers w:val="0"/>
                    <w:spacing w:before="0" w:beforeAutospacing="0" w:after="0" w:afterAutospacing="0"/>
                    <w:ind w:left="0" w:right="0"/>
                    <w:rPr>
                      <w:rFonts w:hint="default"/>
                      <w:b/>
                      <w:bCs/>
                    </w:rPr>
                  </w:pPr>
                </w:p>
              </w:tc>
              <w:tc>
                <w:tcPr>
                  <w:tcW w:w="667" w:type="pct"/>
                  <w:tcBorders>
                    <w:top w:val="single" w:color="auto" w:sz="4" w:space="0"/>
                    <w:left w:val="nil"/>
                    <w:bottom w:val="single" w:color="auto" w:sz="4" w:space="0"/>
                    <w:right w:val="single" w:color="auto" w:sz="4" w:space="0"/>
                  </w:tcBorders>
                  <w:vAlign w:val="center"/>
                </w:tcPr>
                <w:p w14:paraId="36CA7B95">
                  <w:pPr>
                    <w:pStyle w:val="42"/>
                    <w:keepNext w:val="0"/>
                    <w:keepLines w:val="0"/>
                    <w:widowControl/>
                    <w:suppressLineNumbers w:val="0"/>
                    <w:spacing w:before="0" w:beforeAutospacing="0" w:after="0" w:afterAutospacing="0"/>
                    <w:ind w:left="0" w:right="0"/>
                    <w:rPr>
                      <w:rFonts w:hint="default"/>
                      <w:b/>
                      <w:bCs/>
                    </w:rPr>
                  </w:pPr>
                  <w:r>
                    <w:rPr>
                      <w:b/>
                      <w:bCs/>
                    </w:rPr>
                    <w:t>颗粒物</w:t>
                  </w:r>
                </w:p>
              </w:tc>
            </w:tr>
            <w:tr w14:paraId="5CA58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773A1EB6">
                  <w:pPr>
                    <w:pStyle w:val="42"/>
                    <w:keepNext w:val="0"/>
                    <w:keepLines w:val="0"/>
                    <w:widowControl/>
                    <w:suppressLineNumbers w:val="0"/>
                    <w:spacing w:before="0" w:beforeAutospacing="0" w:after="0" w:afterAutospacing="0"/>
                    <w:ind w:left="0" w:right="0"/>
                    <w:rPr>
                      <w:rFonts w:hint="default"/>
                    </w:rPr>
                  </w:pPr>
                  <w:r>
                    <w:t>DA001</w:t>
                  </w:r>
                </w:p>
              </w:tc>
              <w:tc>
                <w:tcPr>
                  <w:tcW w:w="562" w:type="pct"/>
                  <w:tcBorders>
                    <w:top w:val="single" w:color="auto" w:sz="4" w:space="0"/>
                    <w:left w:val="nil"/>
                    <w:bottom w:val="single" w:color="auto" w:sz="4" w:space="0"/>
                    <w:right w:val="single" w:color="auto" w:sz="4" w:space="0"/>
                  </w:tcBorders>
                  <w:vAlign w:val="center"/>
                </w:tcPr>
                <w:p w14:paraId="0BB917F1">
                  <w:pPr>
                    <w:pStyle w:val="42"/>
                    <w:keepNext w:val="0"/>
                    <w:keepLines w:val="0"/>
                    <w:widowControl/>
                    <w:suppressLineNumbers w:val="0"/>
                    <w:spacing w:before="0" w:beforeAutospacing="0" w:after="0" w:afterAutospacing="0"/>
                    <w:ind w:left="0" w:right="0"/>
                    <w:rPr>
                      <w:rFonts w:hint="default"/>
                    </w:rPr>
                  </w:pPr>
                  <w:r>
                    <w:t>布袋除尘器排气筒口</w:t>
                  </w:r>
                </w:p>
              </w:tc>
              <w:tc>
                <w:tcPr>
                  <w:tcW w:w="526" w:type="pct"/>
                  <w:tcBorders>
                    <w:top w:val="single" w:color="auto" w:sz="4" w:space="0"/>
                    <w:left w:val="nil"/>
                    <w:bottom w:val="single" w:color="auto" w:sz="4" w:space="0"/>
                    <w:right w:val="single" w:color="auto" w:sz="4" w:space="0"/>
                  </w:tcBorders>
                  <w:vAlign w:val="center"/>
                </w:tcPr>
                <w:p w14:paraId="56D83AB6">
                  <w:pPr>
                    <w:pStyle w:val="42"/>
                    <w:keepNext w:val="0"/>
                    <w:keepLines w:val="0"/>
                    <w:widowControl/>
                    <w:suppressLineNumbers w:val="0"/>
                    <w:spacing w:before="0" w:beforeAutospacing="0" w:after="0" w:afterAutospacing="0"/>
                    <w:ind w:left="0" w:right="0"/>
                    <w:rPr>
                      <w:rFonts w:hint="default" w:cs="Times New Roman"/>
                    </w:rPr>
                  </w:pPr>
                  <w:r>
                    <w:rPr>
                      <w:rFonts w:hint="default" w:cs="Times New Roman"/>
                    </w:rPr>
                    <w:t>118°33′35.397″</w:t>
                  </w:r>
                </w:p>
              </w:tc>
              <w:tc>
                <w:tcPr>
                  <w:tcW w:w="527" w:type="pct"/>
                  <w:tcBorders>
                    <w:top w:val="single" w:color="auto" w:sz="4" w:space="0"/>
                    <w:left w:val="nil"/>
                    <w:bottom w:val="single" w:color="auto" w:sz="4" w:space="0"/>
                    <w:right w:val="single" w:color="auto" w:sz="4" w:space="0"/>
                  </w:tcBorders>
                  <w:vAlign w:val="center"/>
                </w:tcPr>
                <w:p w14:paraId="405140DE">
                  <w:pPr>
                    <w:pStyle w:val="42"/>
                    <w:keepNext w:val="0"/>
                    <w:keepLines w:val="0"/>
                    <w:widowControl/>
                    <w:suppressLineNumbers w:val="0"/>
                    <w:spacing w:before="0" w:beforeAutospacing="0" w:after="0" w:afterAutospacing="0"/>
                    <w:ind w:left="0" w:right="0"/>
                    <w:rPr>
                      <w:rFonts w:hint="default" w:cs="Times New Roman"/>
                    </w:rPr>
                  </w:pPr>
                  <w:r>
                    <w:rPr>
                      <w:rFonts w:hint="default" w:cs="Times New Roman"/>
                    </w:rPr>
                    <w:t>40°39′6.264″</w:t>
                  </w:r>
                </w:p>
              </w:tc>
              <w:tc>
                <w:tcPr>
                  <w:tcW w:w="401" w:type="pct"/>
                  <w:tcBorders>
                    <w:top w:val="single" w:color="auto" w:sz="4" w:space="0"/>
                    <w:left w:val="nil"/>
                    <w:bottom w:val="single" w:color="auto" w:sz="4" w:space="0"/>
                    <w:right w:val="single" w:color="auto" w:sz="4" w:space="0"/>
                  </w:tcBorders>
                  <w:vAlign w:val="center"/>
                </w:tcPr>
                <w:p w14:paraId="08325BF2">
                  <w:pPr>
                    <w:pStyle w:val="42"/>
                    <w:keepNext w:val="0"/>
                    <w:keepLines w:val="0"/>
                    <w:widowControl/>
                    <w:suppressLineNumbers w:val="0"/>
                    <w:spacing w:before="0" w:beforeAutospacing="0" w:after="0" w:afterAutospacing="0"/>
                    <w:ind w:left="0" w:right="0"/>
                    <w:rPr>
                      <w:rFonts w:hint="default"/>
                    </w:rPr>
                  </w:pPr>
                  <w:r>
                    <w:rPr>
                      <w:rFonts w:hint="default"/>
                    </w:rPr>
                    <w:t>359.643</w:t>
                  </w:r>
                </w:p>
              </w:tc>
              <w:tc>
                <w:tcPr>
                  <w:tcW w:w="358" w:type="pct"/>
                  <w:tcBorders>
                    <w:top w:val="single" w:color="auto" w:sz="4" w:space="0"/>
                    <w:left w:val="nil"/>
                    <w:bottom w:val="single" w:color="auto" w:sz="4" w:space="0"/>
                    <w:right w:val="single" w:color="auto" w:sz="4" w:space="0"/>
                  </w:tcBorders>
                  <w:vAlign w:val="center"/>
                </w:tcPr>
                <w:p w14:paraId="0EFDF77B">
                  <w:pPr>
                    <w:pStyle w:val="42"/>
                    <w:keepNext w:val="0"/>
                    <w:keepLines w:val="0"/>
                    <w:widowControl/>
                    <w:suppressLineNumbers w:val="0"/>
                    <w:spacing w:before="0" w:beforeAutospacing="0" w:after="0" w:afterAutospacing="0"/>
                    <w:ind w:left="0" w:right="0"/>
                    <w:rPr>
                      <w:rFonts w:hint="default"/>
                    </w:rPr>
                  </w:pPr>
                  <w:r>
                    <w:t>15</w:t>
                  </w:r>
                </w:p>
              </w:tc>
              <w:tc>
                <w:tcPr>
                  <w:tcW w:w="452" w:type="pct"/>
                  <w:tcBorders>
                    <w:top w:val="single" w:color="auto" w:sz="4" w:space="0"/>
                    <w:left w:val="nil"/>
                    <w:bottom w:val="single" w:color="auto" w:sz="4" w:space="0"/>
                    <w:right w:val="single" w:color="auto" w:sz="4" w:space="0"/>
                  </w:tcBorders>
                  <w:vAlign w:val="center"/>
                </w:tcPr>
                <w:p w14:paraId="400BF5BC">
                  <w:pPr>
                    <w:pStyle w:val="42"/>
                    <w:keepNext w:val="0"/>
                    <w:keepLines w:val="0"/>
                    <w:widowControl/>
                    <w:suppressLineNumbers w:val="0"/>
                    <w:spacing w:before="0" w:beforeAutospacing="0" w:after="0" w:afterAutospacing="0"/>
                    <w:ind w:left="0" w:right="0"/>
                    <w:rPr>
                      <w:rFonts w:hint="default"/>
                    </w:rPr>
                  </w:pPr>
                  <w:r>
                    <w:t>0.3</w:t>
                  </w:r>
                </w:p>
              </w:tc>
              <w:tc>
                <w:tcPr>
                  <w:tcW w:w="270" w:type="pct"/>
                  <w:tcBorders>
                    <w:top w:val="single" w:color="auto" w:sz="4" w:space="0"/>
                    <w:left w:val="nil"/>
                    <w:bottom w:val="single" w:color="auto" w:sz="4" w:space="0"/>
                    <w:right w:val="single" w:color="auto" w:sz="4" w:space="0"/>
                  </w:tcBorders>
                  <w:vAlign w:val="center"/>
                </w:tcPr>
                <w:p w14:paraId="25DF1526">
                  <w:pPr>
                    <w:pStyle w:val="42"/>
                    <w:keepNext w:val="0"/>
                    <w:keepLines w:val="0"/>
                    <w:widowControl/>
                    <w:suppressLineNumbers w:val="0"/>
                    <w:spacing w:before="0" w:beforeAutospacing="0" w:after="0" w:afterAutospacing="0"/>
                    <w:ind w:left="0" w:right="0"/>
                    <w:rPr>
                      <w:rFonts w:hint="default"/>
                    </w:rPr>
                  </w:pPr>
                  <w:r>
                    <w:t>20</w:t>
                  </w:r>
                </w:p>
              </w:tc>
              <w:tc>
                <w:tcPr>
                  <w:tcW w:w="452" w:type="pct"/>
                  <w:tcBorders>
                    <w:top w:val="single" w:color="auto" w:sz="4" w:space="0"/>
                    <w:left w:val="nil"/>
                    <w:bottom w:val="single" w:color="auto" w:sz="4" w:space="0"/>
                    <w:right w:val="single" w:color="auto" w:sz="4" w:space="0"/>
                  </w:tcBorders>
                  <w:vAlign w:val="center"/>
                </w:tcPr>
                <w:p w14:paraId="7A3B2333">
                  <w:pPr>
                    <w:pStyle w:val="42"/>
                    <w:keepNext w:val="0"/>
                    <w:keepLines w:val="0"/>
                    <w:widowControl/>
                    <w:suppressLineNumbers w:val="0"/>
                    <w:spacing w:before="0" w:beforeAutospacing="0" w:after="0" w:afterAutospacing="0"/>
                    <w:ind w:left="0" w:right="0"/>
                    <w:rPr>
                      <w:rFonts w:hint="default"/>
                    </w:rPr>
                  </w:pPr>
                  <w:r>
                    <w:t>1920</w:t>
                  </w:r>
                </w:p>
              </w:tc>
              <w:tc>
                <w:tcPr>
                  <w:tcW w:w="324" w:type="pct"/>
                  <w:tcBorders>
                    <w:top w:val="single" w:color="auto" w:sz="4" w:space="0"/>
                    <w:left w:val="nil"/>
                    <w:bottom w:val="single" w:color="auto" w:sz="4" w:space="0"/>
                    <w:right w:val="single" w:color="auto" w:sz="4" w:space="0"/>
                  </w:tcBorders>
                  <w:vAlign w:val="center"/>
                </w:tcPr>
                <w:p w14:paraId="49C257E8">
                  <w:pPr>
                    <w:pStyle w:val="42"/>
                    <w:keepNext w:val="0"/>
                    <w:keepLines w:val="0"/>
                    <w:widowControl/>
                    <w:suppressLineNumbers w:val="0"/>
                    <w:spacing w:before="0" w:beforeAutospacing="0" w:after="0" w:afterAutospacing="0"/>
                    <w:ind w:left="0" w:right="0"/>
                    <w:rPr>
                      <w:rFonts w:hint="default"/>
                    </w:rPr>
                  </w:pPr>
                  <w:r>
                    <w:t>正常</w:t>
                  </w:r>
                </w:p>
              </w:tc>
              <w:tc>
                <w:tcPr>
                  <w:tcW w:w="667" w:type="pct"/>
                  <w:tcBorders>
                    <w:top w:val="single" w:color="auto" w:sz="4" w:space="0"/>
                    <w:left w:val="nil"/>
                    <w:bottom w:val="single" w:color="auto" w:sz="4" w:space="0"/>
                    <w:right w:val="single" w:color="auto" w:sz="4" w:space="0"/>
                  </w:tcBorders>
                  <w:vAlign w:val="center"/>
                </w:tcPr>
                <w:p w14:paraId="3FB34D34">
                  <w:pPr>
                    <w:pStyle w:val="42"/>
                    <w:keepNext w:val="0"/>
                    <w:keepLines w:val="0"/>
                    <w:widowControl/>
                    <w:suppressLineNumbers w:val="0"/>
                    <w:spacing w:before="0" w:beforeAutospacing="0" w:after="0" w:afterAutospacing="0"/>
                    <w:ind w:left="0" w:right="0"/>
                    <w:rPr>
                      <w:rFonts w:hint="default"/>
                    </w:rPr>
                  </w:pPr>
                  <w:r>
                    <w:t>0.016</w:t>
                  </w:r>
                </w:p>
              </w:tc>
            </w:tr>
            <w:tr w14:paraId="2EFA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559023E9">
                  <w:pPr>
                    <w:pStyle w:val="42"/>
                    <w:keepNext w:val="0"/>
                    <w:keepLines w:val="0"/>
                    <w:widowControl/>
                    <w:suppressLineNumbers w:val="0"/>
                    <w:spacing w:before="0" w:beforeAutospacing="0" w:after="0" w:afterAutospacing="0"/>
                    <w:ind w:left="0" w:right="0"/>
                    <w:rPr>
                      <w:rFonts w:hint="default"/>
                    </w:rPr>
                  </w:pPr>
                  <w:r>
                    <w:t>DA002</w:t>
                  </w:r>
                </w:p>
              </w:tc>
              <w:tc>
                <w:tcPr>
                  <w:tcW w:w="562" w:type="pct"/>
                  <w:tcBorders>
                    <w:top w:val="single" w:color="auto" w:sz="4" w:space="0"/>
                    <w:left w:val="nil"/>
                    <w:bottom w:val="single" w:color="auto" w:sz="4" w:space="0"/>
                    <w:right w:val="single" w:color="auto" w:sz="4" w:space="0"/>
                  </w:tcBorders>
                  <w:vAlign w:val="center"/>
                </w:tcPr>
                <w:p w14:paraId="15BE878D">
                  <w:pPr>
                    <w:pStyle w:val="42"/>
                    <w:keepNext w:val="0"/>
                    <w:keepLines w:val="0"/>
                    <w:widowControl/>
                    <w:suppressLineNumbers w:val="0"/>
                    <w:spacing w:before="0" w:beforeAutospacing="0" w:after="0" w:afterAutospacing="0"/>
                    <w:ind w:left="0" w:right="0"/>
                    <w:rPr>
                      <w:rFonts w:hint="default"/>
                    </w:rPr>
                  </w:pPr>
                  <w:r>
                    <w:t>水泥筒仓排放口</w:t>
                  </w:r>
                </w:p>
              </w:tc>
              <w:tc>
                <w:tcPr>
                  <w:tcW w:w="526" w:type="pct"/>
                  <w:tcBorders>
                    <w:top w:val="single" w:color="auto" w:sz="4" w:space="0"/>
                    <w:left w:val="nil"/>
                    <w:bottom w:val="single" w:color="auto" w:sz="4" w:space="0"/>
                    <w:right w:val="single" w:color="auto" w:sz="4" w:space="0"/>
                  </w:tcBorders>
                  <w:vAlign w:val="center"/>
                </w:tcPr>
                <w:p w14:paraId="4962E0E6">
                  <w:pPr>
                    <w:pStyle w:val="42"/>
                    <w:keepNext w:val="0"/>
                    <w:keepLines w:val="0"/>
                    <w:widowControl/>
                    <w:suppressLineNumbers w:val="0"/>
                    <w:spacing w:before="0" w:beforeAutospacing="0" w:after="0" w:afterAutospacing="0"/>
                    <w:ind w:left="0" w:right="0"/>
                    <w:rPr>
                      <w:rFonts w:hint="default" w:cs="Times New Roman"/>
                    </w:rPr>
                  </w:pPr>
                  <w:r>
                    <w:rPr>
                      <w:rFonts w:hint="default" w:cs="Times New Roman"/>
                    </w:rPr>
                    <w:t>118°33′34.451″</w:t>
                  </w:r>
                </w:p>
              </w:tc>
              <w:tc>
                <w:tcPr>
                  <w:tcW w:w="527" w:type="pct"/>
                  <w:tcBorders>
                    <w:top w:val="single" w:color="auto" w:sz="4" w:space="0"/>
                    <w:left w:val="nil"/>
                    <w:bottom w:val="single" w:color="auto" w:sz="4" w:space="0"/>
                    <w:right w:val="single" w:color="auto" w:sz="4" w:space="0"/>
                  </w:tcBorders>
                  <w:vAlign w:val="center"/>
                </w:tcPr>
                <w:p w14:paraId="715AA5A1">
                  <w:pPr>
                    <w:pStyle w:val="42"/>
                    <w:keepNext w:val="0"/>
                    <w:keepLines w:val="0"/>
                    <w:widowControl/>
                    <w:suppressLineNumbers w:val="0"/>
                    <w:spacing w:before="0" w:beforeAutospacing="0" w:after="0" w:afterAutospacing="0"/>
                    <w:ind w:left="0" w:right="0"/>
                    <w:rPr>
                      <w:rFonts w:hint="default" w:cs="Times New Roman"/>
                    </w:rPr>
                  </w:pPr>
                  <w:r>
                    <w:rPr>
                      <w:rFonts w:hint="default" w:cs="Times New Roman"/>
                    </w:rPr>
                    <w:t>40°39′6.090″</w:t>
                  </w:r>
                </w:p>
              </w:tc>
              <w:tc>
                <w:tcPr>
                  <w:tcW w:w="401" w:type="pct"/>
                  <w:tcBorders>
                    <w:top w:val="single" w:color="auto" w:sz="4" w:space="0"/>
                    <w:left w:val="nil"/>
                    <w:bottom w:val="single" w:color="auto" w:sz="4" w:space="0"/>
                    <w:right w:val="single" w:color="auto" w:sz="4" w:space="0"/>
                  </w:tcBorders>
                  <w:vAlign w:val="center"/>
                </w:tcPr>
                <w:p w14:paraId="3D90F5AB">
                  <w:pPr>
                    <w:pStyle w:val="42"/>
                    <w:keepNext w:val="0"/>
                    <w:keepLines w:val="0"/>
                    <w:widowControl/>
                    <w:suppressLineNumbers w:val="0"/>
                    <w:spacing w:before="0" w:beforeAutospacing="0" w:after="0" w:afterAutospacing="0"/>
                    <w:ind w:left="0" w:right="0"/>
                    <w:rPr>
                      <w:rFonts w:hint="default"/>
                    </w:rPr>
                  </w:pPr>
                  <w:r>
                    <w:rPr>
                      <w:rFonts w:hint="default"/>
                    </w:rPr>
                    <w:t>364.200</w:t>
                  </w:r>
                </w:p>
              </w:tc>
              <w:tc>
                <w:tcPr>
                  <w:tcW w:w="358" w:type="pct"/>
                  <w:tcBorders>
                    <w:top w:val="single" w:color="auto" w:sz="4" w:space="0"/>
                    <w:left w:val="nil"/>
                    <w:bottom w:val="single" w:color="auto" w:sz="4" w:space="0"/>
                    <w:right w:val="single" w:color="auto" w:sz="4" w:space="0"/>
                  </w:tcBorders>
                  <w:vAlign w:val="center"/>
                </w:tcPr>
                <w:p w14:paraId="7D2D7569">
                  <w:pPr>
                    <w:pStyle w:val="42"/>
                    <w:keepNext w:val="0"/>
                    <w:keepLines w:val="0"/>
                    <w:widowControl/>
                    <w:suppressLineNumbers w:val="0"/>
                    <w:spacing w:before="0" w:beforeAutospacing="0" w:after="0" w:afterAutospacing="0"/>
                    <w:ind w:left="0" w:right="0"/>
                    <w:rPr>
                      <w:rFonts w:hint="default"/>
                    </w:rPr>
                  </w:pPr>
                  <w:r>
                    <w:t>15</w:t>
                  </w:r>
                </w:p>
              </w:tc>
              <w:tc>
                <w:tcPr>
                  <w:tcW w:w="452" w:type="pct"/>
                  <w:tcBorders>
                    <w:top w:val="single" w:color="auto" w:sz="4" w:space="0"/>
                    <w:left w:val="nil"/>
                    <w:bottom w:val="single" w:color="auto" w:sz="4" w:space="0"/>
                    <w:right w:val="single" w:color="auto" w:sz="4" w:space="0"/>
                  </w:tcBorders>
                  <w:vAlign w:val="center"/>
                </w:tcPr>
                <w:p w14:paraId="53FE4A9C">
                  <w:pPr>
                    <w:pStyle w:val="42"/>
                    <w:keepNext w:val="0"/>
                    <w:keepLines w:val="0"/>
                    <w:widowControl/>
                    <w:suppressLineNumbers w:val="0"/>
                    <w:spacing w:before="0" w:beforeAutospacing="0" w:after="0" w:afterAutospacing="0"/>
                    <w:ind w:left="0" w:right="0"/>
                    <w:rPr>
                      <w:rFonts w:hint="default"/>
                    </w:rPr>
                  </w:pPr>
                  <w:r>
                    <w:t>0.3</w:t>
                  </w:r>
                </w:p>
              </w:tc>
              <w:tc>
                <w:tcPr>
                  <w:tcW w:w="270" w:type="pct"/>
                  <w:tcBorders>
                    <w:top w:val="single" w:color="auto" w:sz="4" w:space="0"/>
                    <w:left w:val="nil"/>
                    <w:bottom w:val="single" w:color="auto" w:sz="4" w:space="0"/>
                    <w:right w:val="single" w:color="auto" w:sz="4" w:space="0"/>
                  </w:tcBorders>
                  <w:vAlign w:val="center"/>
                </w:tcPr>
                <w:p w14:paraId="5D811A1D">
                  <w:pPr>
                    <w:pStyle w:val="42"/>
                    <w:keepNext w:val="0"/>
                    <w:keepLines w:val="0"/>
                    <w:widowControl/>
                    <w:suppressLineNumbers w:val="0"/>
                    <w:spacing w:before="0" w:beforeAutospacing="0" w:after="0" w:afterAutospacing="0"/>
                    <w:ind w:left="0" w:right="0"/>
                    <w:rPr>
                      <w:rFonts w:hint="default"/>
                    </w:rPr>
                  </w:pPr>
                  <w:r>
                    <w:t>20</w:t>
                  </w:r>
                </w:p>
              </w:tc>
              <w:tc>
                <w:tcPr>
                  <w:tcW w:w="452" w:type="pct"/>
                  <w:tcBorders>
                    <w:top w:val="single" w:color="auto" w:sz="4" w:space="0"/>
                    <w:left w:val="nil"/>
                    <w:bottom w:val="single" w:color="auto" w:sz="4" w:space="0"/>
                    <w:right w:val="single" w:color="auto" w:sz="4" w:space="0"/>
                  </w:tcBorders>
                  <w:vAlign w:val="center"/>
                </w:tcPr>
                <w:p w14:paraId="3CD3A367">
                  <w:pPr>
                    <w:pStyle w:val="42"/>
                    <w:keepNext w:val="0"/>
                    <w:keepLines w:val="0"/>
                    <w:widowControl/>
                    <w:suppressLineNumbers w:val="0"/>
                    <w:spacing w:before="0" w:beforeAutospacing="0" w:after="0" w:afterAutospacing="0"/>
                    <w:ind w:left="0" w:right="0"/>
                    <w:rPr>
                      <w:rFonts w:hint="default"/>
                    </w:rPr>
                  </w:pPr>
                  <w:r>
                    <w:t>150</w:t>
                  </w:r>
                </w:p>
              </w:tc>
              <w:tc>
                <w:tcPr>
                  <w:tcW w:w="324" w:type="pct"/>
                  <w:tcBorders>
                    <w:top w:val="single" w:color="auto" w:sz="4" w:space="0"/>
                    <w:left w:val="nil"/>
                    <w:bottom w:val="single" w:color="auto" w:sz="4" w:space="0"/>
                    <w:right w:val="single" w:color="auto" w:sz="4" w:space="0"/>
                  </w:tcBorders>
                  <w:vAlign w:val="center"/>
                </w:tcPr>
                <w:p w14:paraId="1E306A3B">
                  <w:pPr>
                    <w:pStyle w:val="42"/>
                    <w:keepNext w:val="0"/>
                    <w:keepLines w:val="0"/>
                    <w:widowControl/>
                    <w:suppressLineNumbers w:val="0"/>
                    <w:spacing w:before="0" w:beforeAutospacing="0" w:after="0" w:afterAutospacing="0"/>
                    <w:ind w:left="0" w:right="0"/>
                    <w:rPr>
                      <w:rFonts w:hint="default"/>
                    </w:rPr>
                  </w:pPr>
                  <w:r>
                    <w:t>正常</w:t>
                  </w:r>
                </w:p>
              </w:tc>
              <w:tc>
                <w:tcPr>
                  <w:tcW w:w="667" w:type="pct"/>
                  <w:tcBorders>
                    <w:top w:val="single" w:color="auto" w:sz="4" w:space="0"/>
                    <w:left w:val="nil"/>
                    <w:bottom w:val="single" w:color="auto" w:sz="4" w:space="0"/>
                    <w:right w:val="single" w:color="auto" w:sz="4" w:space="0"/>
                  </w:tcBorders>
                  <w:vAlign w:val="center"/>
                </w:tcPr>
                <w:p w14:paraId="42681BAC">
                  <w:pPr>
                    <w:pStyle w:val="42"/>
                    <w:keepNext w:val="0"/>
                    <w:keepLines w:val="0"/>
                    <w:widowControl/>
                    <w:suppressLineNumbers w:val="0"/>
                    <w:spacing w:before="0" w:beforeAutospacing="0" w:after="0" w:afterAutospacing="0"/>
                    <w:ind w:left="0" w:right="0"/>
                    <w:rPr>
                      <w:rFonts w:hint="default"/>
                    </w:rPr>
                  </w:pPr>
                  <w:r>
                    <w:t>0.022</w:t>
                  </w:r>
                </w:p>
              </w:tc>
            </w:tr>
          </w:tbl>
          <w:p w14:paraId="56153146">
            <w:pPr>
              <w:keepNext w:val="0"/>
              <w:keepLines w:val="0"/>
              <w:suppressLineNumbers w:val="0"/>
              <w:spacing w:before="120" w:beforeLines="50" w:beforeAutospacing="0" w:after="0" w:afterAutospacing="0"/>
              <w:ind w:left="0" w:right="0" w:firstLine="482"/>
              <w:rPr>
                <w:rFonts w:hint="default"/>
                <w:b/>
              </w:rPr>
            </w:pPr>
            <w:r>
              <w:rPr>
                <w:rFonts w:hint="eastAsia"/>
                <w:b/>
              </w:rPr>
              <w:t>（6）污染物达标排放情况</w:t>
            </w:r>
          </w:p>
          <w:p w14:paraId="06103C1A">
            <w:pPr>
              <w:keepNext w:val="0"/>
              <w:keepLines w:val="0"/>
              <w:numPr>
                <w:ilvl w:val="0"/>
                <w:numId w:val="19"/>
              </w:numPr>
              <w:suppressLineNumbers w:val="0"/>
              <w:spacing w:before="0" w:beforeAutospacing="0" w:after="0" w:afterAutospacing="0"/>
              <w:ind w:right="0" w:firstLine="480"/>
              <w:rPr>
                <w:rFonts w:hint="default"/>
              </w:rPr>
            </w:pPr>
            <w:r>
              <w:rPr>
                <w:rFonts w:hint="eastAsia"/>
              </w:rPr>
              <w:t>有组织达标排放分析</w:t>
            </w:r>
          </w:p>
          <w:p w14:paraId="37DE539D">
            <w:pPr>
              <w:pStyle w:val="7"/>
              <w:keepNext w:val="0"/>
              <w:keepLines w:val="0"/>
              <w:suppressLineNumbers w:val="0"/>
              <w:spacing w:before="0" w:beforeAutospacing="0" w:after="0" w:afterAutospacing="0"/>
              <w:ind w:left="0" w:right="0" w:firstLine="480"/>
              <w:rPr>
                <w:rFonts w:hint="default"/>
              </w:rPr>
            </w:pPr>
            <w:r>
              <w:rPr>
                <w:rFonts w:hint="eastAsia"/>
                <w:sz w:val="24"/>
              </w:rPr>
              <w:t>根据上述计算结果，本项目气体污染物有组织排放情况详见下表：</w:t>
            </w:r>
          </w:p>
          <w:p w14:paraId="673A8147">
            <w:pPr>
              <w:pStyle w:val="19"/>
              <w:keepNext w:val="0"/>
              <w:keepLines w:val="0"/>
              <w:widowControl w:val="0"/>
              <w:numPr>
                <w:ilvl w:val="0"/>
                <w:numId w:val="15"/>
              </w:numPr>
              <w:suppressLineNumbers w:val="0"/>
              <w:spacing w:before="0" w:beforeAutospacing="0" w:after="0" w:afterAutospacing="0"/>
              <w:ind w:left="0" w:right="0" w:firstLine="0" w:firstLineChars="0"/>
              <w:jc w:val="center"/>
              <w:rPr>
                <w:rFonts w:hint="default" w:ascii="Times New Roman" w:hAnsi="Times New Roman"/>
                <w:b/>
                <w:sz w:val="21"/>
              </w:rPr>
            </w:pPr>
            <w:r>
              <w:rPr>
                <w:rFonts w:hint="eastAsia" w:ascii="Times New Roman" w:hAnsi="Times New Roman"/>
                <w:b/>
                <w:sz w:val="21"/>
              </w:rPr>
              <w:t>气体污染物有组织排放情况</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38"/>
              <w:gridCol w:w="886"/>
              <w:gridCol w:w="765"/>
              <w:gridCol w:w="2117"/>
              <w:gridCol w:w="821"/>
              <w:gridCol w:w="825"/>
              <w:gridCol w:w="591"/>
            </w:tblGrid>
            <w:tr w14:paraId="3CBC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84" w:type="pct"/>
                  <w:vMerge w:val="restart"/>
                  <w:vAlign w:val="center"/>
                </w:tcPr>
                <w:p w14:paraId="4A7E796D">
                  <w:pPr>
                    <w:pStyle w:val="42"/>
                    <w:keepNext w:val="0"/>
                    <w:keepLines w:val="0"/>
                    <w:widowControl/>
                    <w:suppressLineNumbers w:val="0"/>
                    <w:spacing w:before="0" w:beforeAutospacing="0" w:after="0" w:afterAutospacing="0"/>
                    <w:ind w:left="0" w:right="0"/>
                    <w:rPr>
                      <w:rFonts w:hint="default"/>
                      <w:b/>
                      <w:bCs/>
                    </w:rPr>
                  </w:pPr>
                  <w:r>
                    <w:rPr>
                      <w:b/>
                      <w:bCs/>
                    </w:rPr>
                    <w:t>产生位置</w:t>
                  </w:r>
                </w:p>
              </w:tc>
              <w:tc>
                <w:tcPr>
                  <w:tcW w:w="439" w:type="pct"/>
                  <w:vMerge w:val="restart"/>
                  <w:vAlign w:val="center"/>
                </w:tcPr>
                <w:p w14:paraId="7105355E">
                  <w:pPr>
                    <w:pStyle w:val="42"/>
                    <w:keepNext w:val="0"/>
                    <w:keepLines w:val="0"/>
                    <w:widowControl/>
                    <w:suppressLineNumbers w:val="0"/>
                    <w:spacing w:before="0" w:beforeAutospacing="0" w:after="0" w:afterAutospacing="0"/>
                    <w:ind w:left="0" w:right="0"/>
                    <w:rPr>
                      <w:rFonts w:hint="default"/>
                      <w:b/>
                      <w:bCs/>
                    </w:rPr>
                  </w:pPr>
                  <w:r>
                    <w:rPr>
                      <w:b/>
                      <w:bCs/>
                    </w:rPr>
                    <w:t>污染物名称</w:t>
                  </w:r>
                </w:p>
              </w:tc>
              <w:tc>
                <w:tcPr>
                  <w:tcW w:w="982" w:type="pct"/>
                  <w:gridSpan w:val="2"/>
                  <w:vAlign w:val="center"/>
                </w:tcPr>
                <w:p w14:paraId="6FDD5121">
                  <w:pPr>
                    <w:pStyle w:val="42"/>
                    <w:keepNext w:val="0"/>
                    <w:keepLines w:val="0"/>
                    <w:widowControl/>
                    <w:suppressLineNumbers w:val="0"/>
                    <w:spacing w:before="0" w:beforeAutospacing="0" w:after="0" w:afterAutospacing="0"/>
                    <w:ind w:left="0" w:right="0"/>
                    <w:rPr>
                      <w:rFonts w:hint="default"/>
                      <w:b/>
                      <w:bCs/>
                    </w:rPr>
                  </w:pPr>
                  <w:r>
                    <w:rPr>
                      <w:b/>
                      <w:bCs/>
                    </w:rPr>
                    <w:t>有组织排放参数</w:t>
                  </w:r>
                </w:p>
              </w:tc>
              <w:tc>
                <w:tcPr>
                  <w:tcW w:w="1259" w:type="pct"/>
                  <w:vMerge w:val="restart"/>
                  <w:vAlign w:val="center"/>
                </w:tcPr>
                <w:p w14:paraId="187E541B">
                  <w:pPr>
                    <w:pStyle w:val="42"/>
                    <w:keepNext w:val="0"/>
                    <w:keepLines w:val="0"/>
                    <w:widowControl/>
                    <w:suppressLineNumbers w:val="0"/>
                    <w:spacing w:before="0" w:beforeAutospacing="0" w:after="0" w:afterAutospacing="0"/>
                    <w:ind w:left="0" w:right="0"/>
                    <w:rPr>
                      <w:rFonts w:hint="default"/>
                      <w:b/>
                      <w:bCs/>
                    </w:rPr>
                  </w:pPr>
                  <w:r>
                    <w:rPr>
                      <w:b/>
                      <w:bCs/>
                    </w:rPr>
                    <w:t>标准</w:t>
                  </w:r>
                </w:p>
              </w:tc>
              <w:tc>
                <w:tcPr>
                  <w:tcW w:w="980" w:type="pct"/>
                  <w:gridSpan w:val="2"/>
                  <w:vAlign w:val="center"/>
                </w:tcPr>
                <w:p w14:paraId="416D3FB0">
                  <w:pPr>
                    <w:pStyle w:val="42"/>
                    <w:keepNext w:val="0"/>
                    <w:keepLines w:val="0"/>
                    <w:widowControl/>
                    <w:suppressLineNumbers w:val="0"/>
                    <w:spacing w:before="0" w:beforeAutospacing="0" w:after="0" w:afterAutospacing="0"/>
                    <w:ind w:left="0" w:right="0"/>
                    <w:rPr>
                      <w:rFonts w:hint="default"/>
                      <w:b/>
                      <w:bCs/>
                    </w:rPr>
                  </w:pPr>
                  <w:r>
                    <w:rPr>
                      <w:b/>
                      <w:bCs/>
                    </w:rPr>
                    <w:t>标准排放参数</w:t>
                  </w:r>
                </w:p>
              </w:tc>
              <w:tc>
                <w:tcPr>
                  <w:tcW w:w="352" w:type="pct"/>
                  <w:vMerge w:val="restart"/>
                  <w:vAlign w:val="center"/>
                </w:tcPr>
                <w:p w14:paraId="17311F67">
                  <w:pPr>
                    <w:pStyle w:val="42"/>
                    <w:keepNext w:val="0"/>
                    <w:keepLines w:val="0"/>
                    <w:widowControl/>
                    <w:suppressLineNumbers w:val="0"/>
                    <w:spacing w:before="0" w:beforeAutospacing="0" w:after="0" w:afterAutospacing="0"/>
                    <w:ind w:left="0" w:right="0"/>
                    <w:rPr>
                      <w:rFonts w:hint="default"/>
                      <w:b/>
                      <w:bCs/>
                    </w:rPr>
                  </w:pPr>
                  <w:r>
                    <w:rPr>
                      <w:b/>
                      <w:bCs/>
                    </w:rPr>
                    <w:t>是否</w:t>
                  </w:r>
                </w:p>
                <w:p w14:paraId="528E6B70">
                  <w:pPr>
                    <w:pStyle w:val="42"/>
                    <w:keepNext w:val="0"/>
                    <w:keepLines w:val="0"/>
                    <w:widowControl/>
                    <w:suppressLineNumbers w:val="0"/>
                    <w:spacing w:before="0" w:beforeAutospacing="0" w:after="0" w:afterAutospacing="0"/>
                    <w:ind w:left="0" w:right="0"/>
                    <w:rPr>
                      <w:rFonts w:hint="default"/>
                      <w:b/>
                      <w:bCs/>
                    </w:rPr>
                  </w:pPr>
                  <w:r>
                    <w:rPr>
                      <w:b/>
                      <w:bCs/>
                    </w:rPr>
                    <w:t>达标</w:t>
                  </w:r>
                </w:p>
              </w:tc>
            </w:tr>
            <w:tr w14:paraId="4820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984" w:type="pct"/>
                  <w:vMerge w:val="continue"/>
                  <w:vAlign w:val="center"/>
                </w:tcPr>
                <w:p w14:paraId="28123A96">
                  <w:pPr>
                    <w:pStyle w:val="42"/>
                    <w:keepNext w:val="0"/>
                    <w:keepLines w:val="0"/>
                    <w:widowControl/>
                    <w:suppressLineNumbers w:val="0"/>
                    <w:spacing w:before="0" w:beforeAutospacing="0" w:after="0" w:afterAutospacing="0"/>
                    <w:ind w:left="0" w:right="0"/>
                    <w:rPr>
                      <w:rFonts w:hint="default"/>
                      <w:b/>
                      <w:bCs/>
                    </w:rPr>
                  </w:pPr>
                </w:p>
              </w:tc>
              <w:tc>
                <w:tcPr>
                  <w:tcW w:w="439" w:type="pct"/>
                  <w:vMerge w:val="continue"/>
                  <w:vAlign w:val="center"/>
                </w:tcPr>
                <w:p w14:paraId="5E5E5013">
                  <w:pPr>
                    <w:pStyle w:val="42"/>
                    <w:keepNext w:val="0"/>
                    <w:keepLines w:val="0"/>
                    <w:widowControl/>
                    <w:suppressLineNumbers w:val="0"/>
                    <w:spacing w:before="0" w:beforeAutospacing="0" w:after="0" w:afterAutospacing="0"/>
                    <w:ind w:left="0" w:right="0"/>
                    <w:rPr>
                      <w:rFonts w:hint="default"/>
                      <w:b/>
                      <w:bCs/>
                    </w:rPr>
                  </w:pPr>
                </w:p>
              </w:tc>
              <w:tc>
                <w:tcPr>
                  <w:tcW w:w="527" w:type="pct"/>
                  <w:vAlign w:val="center"/>
                </w:tcPr>
                <w:p w14:paraId="6332E2F5">
                  <w:pPr>
                    <w:pStyle w:val="42"/>
                    <w:keepNext w:val="0"/>
                    <w:keepLines w:val="0"/>
                    <w:widowControl/>
                    <w:suppressLineNumbers w:val="0"/>
                    <w:spacing w:before="0" w:beforeAutospacing="0" w:after="0" w:afterAutospacing="0"/>
                    <w:ind w:left="0" w:right="0"/>
                    <w:rPr>
                      <w:rFonts w:hint="default"/>
                      <w:b/>
                      <w:bCs/>
                    </w:rPr>
                  </w:pPr>
                  <w:r>
                    <w:rPr>
                      <w:b/>
                      <w:bCs/>
                    </w:rPr>
                    <w:t>排放浓度mg/m</w:t>
                  </w:r>
                  <w:r>
                    <w:rPr>
                      <w:b/>
                      <w:bCs/>
                      <w:vertAlign w:val="superscript"/>
                    </w:rPr>
                    <w:t>3</w:t>
                  </w:r>
                </w:p>
              </w:tc>
              <w:tc>
                <w:tcPr>
                  <w:tcW w:w="455" w:type="pct"/>
                  <w:vAlign w:val="center"/>
                </w:tcPr>
                <w:p w14:paraId="3239CD16">
                  <w:pPr>
                    <w:pStyle w:val="42"/>
                    <w:keepNext w:val="0"/>
                    <w:keepLines w:val="0"/>
                    <w:widowControl/>
                    <w:suppressLineNumbers w:val="0"/>
                    <w:spacing w:before="0" w:beforeAutospacing="0" w:after="0" w:afterAutospacing="0"/>
                    <w:ind w:left="0" w:right="0"/>
                    <w:rPr>
                      <w:rFonts w:hint="default"/>
                      <w:b/>
                      <w:bCs/>
                    </w:rPr>
                  </w:pPr>
                  <w:r>
                    <w:rPr>
                      <w:b/>
                      <w:bCs/>
                    </w:rPr>
                    <w:t>排放速率kg/h</w:t>
                  </w:r>
                </w:p>
              </w:tc>
              <w:tc>
                <w:tcPr>
                  <w:tcW w:w="1259" w:type="pct"/>
                  <w:vMerge w:val="continue"/>
                  <w:vAlign w:val="center"/>
                </w:tcPr>
                <w:p w14:paraId="6E7D9709">
                  <w:pPr>
                    <w:pStyle w:val="42"/>
                    <w:keepNext w:val="0"/>
                    <w:keepLines w:val="0"/>
                    <w:widowControl/>
                    <w:suppressLineNumbers w:val="0"/>
                    <w:spacing w:before="0" w:beforeAutospacing="0" w:after="0" w:afterAutospacing="0"/>
                    <w:ind w:left="0" w:right="0"/>
                    <w:rPr>
                      <w:rFonts w:hint="default"/>
                      <w:b/>
                      <w:bCs/>
                    </w:rPr>
                  </w:pPr>
                </w:p>
              </w:tc>
              <w:tc>
                <w:tcPr>
                  <w:tcW w:w="489" w:type="pct"/>
                  <w:vAlign w:val="center"/>
                </w:tcPr>
                <w:p w14:paraId="63183080">
                  <w:pPr>
                    <w:pStyle w:val="42"/>
                    <w:keepNext w:val="0"/>
                    <w:keepLines w:val="0"/>
                    <w:widowControl/>
                    <w:suppressLineNumbers w:val="0"/>
                    <w:spacing w:before="0" w:beforeAutospacing="0" w:after="0" w:afterAutospacing="0"/>
                    <w:ind w:left="0" w:right="0"/>
                    <w:rPr>
                      <w:rFonts w:hint="default"/>
                      <w:b/>
                      <w:bCs/>
                    </w:rPr>
                  </w:pPr>
                  <w:r>
                    <w:rPr>
                      <w:b/>
                      <w:bCs/>
                    </w:rPr>
                    <w:t>排放浓度mg/m</w:t>
                  </w:r>
                  <w:r>
                    <w:rPr>
                      <w:b/>
                      <w:bCs/>
                      <w:vertAlign w:val="superscript"/>
                    </w:rPr>
                    <w:t>3</w:t>
                  </w:r>
                </w:p>
              </w:tc>
              <w:tc>
                <w:tcPr>
                  <w:tcW w:w="491" w:type="pct"/>
                  <w:vAlign w:val="center"/>
                </w:tcPr>
                <w:p w14:paraId="32097EA2">
                  <w:pPr>
                    <w:pStyle w:val="42"/>
                    <w:keepNext w:val="0"/>
                    <w:keepLines w:val="0"/>
                    <w:widowControl/>
                    <w:suppressLineNumbers w:val="0"/>
                    <w:spacing w:before="0" w:beforeAutospacing="0" w:after="0" w:afterAutospacing="0"/>
                    <w:ind w:left="0" w:right="0"/>
                    <w:rPr>
                      <w:rFonts w:hint="default"/>
                      <w:b/>
                      <w:bCs/>
                    </w:rPr>
                  </w:pPr>
                  <w:r>
                    <w:rPr>
                      <w:b/>
                      <w:bCs/>
                    </w:rPr>
                    <w:t>排放速率kg/h</w:t>
                  </w:r>
                </w:p>
              </w:tc>
              <w:tc>
                <w:tcPr>
                  <w:tcW w:w="352" w:type="pct"/>
                  <w:vMerge w:val="continue"/>
                  <w:vAlign w:val="center"/>
                </w:tcPr>
                <w:p w14:paraId="314BE86A">
                  <w:pPr>
                    <w:pStyle w:val="42"/>
                    <w:keepNext w:val="0"/>
                    <w:keepLines w:val="0"/>
                    <w:widowControl/>
                    <w:suppressLineNumbers w:val="0"/>
                    <w:spacing w:before="0" w:beforeAutospacing="0" w:after="0" w:afterAutospacing="0"/>
                    <w:ind w:left="0" w:right="0"/>
                    <w:rPr>
                      <w:rFonts w:hint="default"/>
                      <w:b/>
                      <w:bCs/>
                    </w:rPr>
                  </w:pPr>
                </w:p>
              </w:tc>
            </w:tr>
            <w:tr w14:paraId="2673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984" w:type="pct"/>
                  <w:shd w:val="clear" w:color="auto" w:fill="auto"/>
                  <w:vAlign w:val="center"/>
                </w:tcPr>
                <w:p w14:paraId="0F1FDE56">
                  <w:pPr>
                    <w:pStyle w:val="42"/>
                    <w:keepNext w:val="0"/>
                    <w:keepLines w:val="0"/>
                    <w:widowControl/>
                    <w:suppressLineNumbers w:val="0"/>
                    <w:spacing w:before="0" w:beforeAutospacing="0" w:after="0" w:afterAutospacing="0"/>
                    <w:ind w:left="0" w:right="0"/>
                    <w:rPr>
                      <w:rFonts w:hint="default"/>
                    </w:rPr>
                  </w:pPr>
                  <w:r>
                    <w:t>料仓上料、混凝土搅拌工序排气筒口P1</w:t>
                  </w:r>
                </w:p>
              </w:tc>
              <w:tc>
                <w:tcPr>
                  <w:tcW w:w="439" w:type="pct"/>
                  <w:shd w:val="clear" w:color="auto" w:fill="auto"/>
                  <w:vAlign w:val="center"/>
                </w:tcPr>
                <w:p w14:paraId="54A139B8">
                  <w:pPr>
                    <w:pStyle w:val="42"/>
                    <w:keepNext w:val="0"/>
                    <w:keepLines w:val="0"/>
                    <w:widowControl/>
                    <w:suppressLineNumbers w:val="0"/>
                    <w:spacing w:before="0" w:beforeAutospacing="0" w:after="0" w:afterAutospacing="0"/>
                    <w:ind w:left="0" w:right="0"/>
                    <w:rPr>
                      <w:rFonts w:hint="default"/>
                    </w:rPr>
                  </w:pPr>
                  <w:r>
                    <w:t>颗粒物</w:t>
                  </w:r>
                </w:p>
              </w:tc>
              <w:tc>
                <w:tcPr>
                  <w:tcW w:w="527" w:type="pct"/>
                  <w:shd w:val="clear" w:color="auto" w:fill="auto"/>
                  <w:vAlign w:val="center"/>
                </w:tcPr>
                <w:p w14:paraId="483035B0">
                  <w:pPr>
                    <w:pStyle w:val="42"/>
                    <w:keepNext w:val="0"/>
                    <w:keepLines w:val="0"/>
                    <w:widowControl/>
                    <w:suppressLineNumbers w:val="0"/>
                    <w:spacing w:before="0" w:beforeAutospacing="0" w:after="0" w:afterAutospacing="0"/>
                    <w:ind w:left="0" w:right="0"/>
                    <w:rPr>
                      <w:rFonts w:hint="default"/>
                    </w:rPr>
                  </w:pPr>
                  <w:r>
                    <w:t>3.18</w:t>
                  </w:r>
                </w:p>
              </w:tc>
              <w:tc>
                <w:tcPr>
                  <w:tcW w:w="765" w:type="dxa"/>
                  <w:shd w:val="clear" w:color="auto" w:fill="auto"/>
                  <w:vAlign w:val="center"/>
                </w:tcPr>
                <w:p w14:paraId="7C8885B6">
                  <w:pPr>
                    <w:pStyle w:val="42"/>
                    <w:keepNext w:val="0"/>
                    <w:keepLines w:val="0"/>
                    <w:widowControl/>
                    <w:suppressLineNumbers w:val="0"/>
                    <w:spacing w:before="0" w:beforeAutospacing="0" w:after="0" w:afterAutospacing="0"/>
                    <w:ind w:left="0" w:right="0"/>
                    <w:rPr>
                      <w:rFonts w:hint="default"/>
                    </w:rPr>
                  </w:pPr>
                  <w:r>
                    <w:t>0.016</w:t>
                  </w:r>
                </w:p>
              </w:tc>
              <w:tc>
                <w:tcPr>
                  <w:tcW w:w="1259" w:type="pct"/>
                  <w:vMerge w:val="restart"/>
                  <w:shd w:val="clear" w:color="auto" w:fill="auto"/>
                  <w:vAlign w:val="center"/>
                </w:tcPr>
                <w:p w14:paraId="1C7EA316">
                  <w:pPr>
                    <w:pStyle w:val="42"/>
                    <w:keepNext w:val="0"/>
                    <w:keepLines w:val="0"/>
                    <w:widowControl/>
                    <w:suppressLineNumbers w:val="0"/>
                    <w:spacing w:before="0" w:beforeAutospacing="0" w:after="0" w:afterAutospacing="0"/>
                    <w:ind w:left="0" w:right="0"/>
                    <w:rPr>
                      <w:rFonts w:hint="default"/>
                    </w:rPr>
                  </w:pPr>
                  <w:r>
                    <w:t>《水泥工业大气污染物超低排放标准》（DB13/2167-2020）表1新建企业大气污染物最高允许排放浓度中水泥仓及其他通风生产设备颗粒物排放浓度限值</w:t>
                  </w:r>
                </w:p>
              </w:tc>
              <w:tc>
                <w:tcPr>
                  <w:tcW w:w="489" w:type="pct"/>
                  <w:shd w:val="clear" w:color="auto" w:fill="auto"/>
                  <w:vAlign w:val="center"/>
                </w:tcPr>
                <w:p w14:paraId="41434228">
                  <w:pPr>
                    <w:pStyle w:val="42"/>
                    <w:keepNext w:val="0"/>
                    <w:keepLines w:val="0"/>
                    <w:widowControl/>
                    <w:suppressLineNumbers w:val="0"/>
                    <w:spacing w:before="0" w:beforeAutospacing="0" w:after="0" w:afterAutospacing="0"/>
                    <w:ind w:left="0" w:right="0"/>
                    <w:rPr>
                      <w:rFonts w:hint="default"/>
                    </w:rPr>
                  </w:pPr>
                  <w:r>
                    <w:t>10</w:t>
                  </w:r>
                </w:p>
              </w:tc>
              <w:tc>
                <w:tcPr>
                  <w:tcW w:w="491" w:type="pct"/>
                  <w:shd w:val="clear" w:color="auto" w:fill="auto"/>
                  <w:vAlign w:val="center"/>
                </w:tcPr>
                <w:p w14:paraId="4C4DD717">
                  <w:pPr>
                    <w:pStyle w:val="42"/>
                    <w:keepNext w:val="0"/>
                    <w:keepLines w:val="0"/>
                    <w:widowControl/>
                    <w:suppressLineNumbers w:val="0"/>
                    <w:spacing w:before="0" w:beforeAutospacing="0" w:after="0" w:afterAutospacing="0"/>
                    <w:ind w:left="0" w:right="0"/>
                    <w:rPr>
                      <w:rFonts w:hint="default"/>
                    </w:rPr>
                  </w:pPr>
                  <w:r>
                    <w:t>/</w:t>
                  </w:r>
                </w:p>
              </w:tc>
              <w:tc>
                <w:tcPr>
                  <w:tcW w:w="352" w:type="pct"/>
                  <w:vMerge w:val="restart"/>
                  <w:vAlign w:val="center"/>
                </w:tcPr>
                <w:p w14:paraId="61417009">
                  <w:pPr>
                    <w:pStyle w:val="42"/>
                    <w:keepNext w:val="0"/>
                    <w:keepLines w:val="0"/>
                    <w:widowControl/>
                    <w:suppressLineNumbers w:val="0"/>
                    <w:spacing w:before="0" w:beforeAutospacing="0" w:after="0" w:afterAutospacing="0"/>
                    <w:ind w:left="0" w:right="0"/>
                    <w:rPr>
                      <w:rFonts w:hint="default"/>
                    </w:rPr>
                  </w:pPr>
                  <w:r>
                    <w:t>达标</w:t>
                  </w:r>
                </w:p>
              </w:tc>
            </w:tr>
            <w:tr w14:paraId="4752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984" w:type="pct"/>
                  <w:shd w:val="clear" w:color="auto" w:fill="auto"/>
                  <w:vAlign w:val="center"/>
                </w:tcPr>
                <w:p w14:paraId="48214C3B">
                  <w:pPr>
                    <w:pStyle w:val="42"/>
                    <w:keepNext w:val="0"/>
                    <w:keepLines w:val="0"/>
                    <w:widowControl/>
                    <w:suppressLineNumbers w:val="0"/>
                    <w:spacing w:before="0" w:beforeAutospacing="0" w:after="0" w:afterAutospacing="0"/>
                    <w:ind w:left="0" w:right="0"/>
                    <w:rPr>
                      <w:rFonts w:hint="default"/>
                    </w:rPr>
                  </w:pPr>
                  <w:r>
                    <w:t>水泥筒仓筒口P2</w:t>
                  </w:r>
                </w:p>
              </w:tc>
              <w:tc>
                <w:tcPr>
                  <w:tcW w:w="439" w:type="pct"/>
                  <w:shd w:val="clear" w:color="auto" w:fill="auto"/>
                  <w:vAlign w:val="center"/>
                </w:tcPr>
                <w:p w14:paraId="40764781">
                  <w:pPr>
                    <w:pStyle w:val="42"/>
                    <w:keepNext w:val="0"/>
                    <w:keepLines w:val="0"/>
                    <w:widowControl/>
                    <w:suppressLineNumbers w:val="0"/>
                    <w:spacing w:before="0" w:beforeAutospacing="0" w:after="0" w:afterAutospacing="0"/>
                    <w:ind w:left="0" w:right="0"/>
                    <w:rPr>
                      <w:rFonts w:hint="default"/>
                    </w:rPr>
                  </w:pPr>
                  <w:r>
                    <w:t>颗粒物</w:t>
                  </w:r>
                </w:p>
              </w:tc>
              <w:tc>
                <w:tcPr>
                  <w:tcW w:w="527" w:type="pct"/>
                  <w:shd w:val="clear" w:color="auto" w:fill="auto"/>
                  <w:vAlign w:val="center"/>
                </w:tcPr>
                <w:p w14:paraId="14A1F210">
                  <w:pPr>
                    <w:pStyle w:val="42"/>
                    <w:keepNext w:val="0"/>
                    <w:keepLines w:val="0"/>
                    <w:widowControl/>
                    <w:suppressLineNumbers w:val="0"/>
                    <w:spacing w:before="0" w:beforeAutospacing="0" w:after="0" w:afterAutospacing="0"/>
                    <w:ind w:left="0" w:right="0"/>
                    <w:rPr>
                      <w:rFonts w:hint="default"/>
                    </w:rPr>
                  </w:pPr>
                  <w:r>
                    <w:t>9.00</w:t>
                  </w:r>
                </w:p>
              </w:tc>
              <w:tc>
                <w:tcPr>
                  <w:tcW w:w="765" w:type="dxa"/>
                  <w:shd w:val="clear" w:color="auto" w:fill="auto"/>
                  <w:vAlign w:val="center"/>
                </w:tcPr>
                <w:p w14:paraId="23D00D41">
                  <w:pPr>
                    <w:pStyle w:val="42"/>
                    <w:keepNext w:val="0"/>
                    <w:keepLines w:val="0"/>
                    <w:widowControl/>
                    <w:suppressLineNumbers w:val="0"/>
                    <w:spacing w:before="0" w:beforeAutospacing="0" w:after="0" w:afterAutospacing="0"/>
                    <w:ind w:left="0" w:right="0"/>
                    <w:rPr>
                      <w:rFonts w:hint="default"/>
                    </w:rPr>
                  </w:pPr>
                  <w:r>
                    <w:t>0.022</w:t>
                  </w:r>
                </w:p>
              </w:tc>
              <w:tc>
                <w:tcPr>
                  <w:tcW w:w="1259" w:type="pct"/>
                  <w:vMerge w:val="continue"/>
                  <w:vAlign w:val="center"/>
                </w:tcPr>
                <w:p w14:paraId="7F994E5A">
                  <w:pPr>
                    <w:pStyle w:val="42"/>
                    <w:keepNext w:val="0"/>
                    <w:keepLines w:val="0"/>
                    <w:widowControl/>
                    <w:suppressLineNumbers w:val="0"/>
                    <w:spacing w:before="0" w:beforeAutospacing="0" w:after="0" w:afterAutospacing="0"/>
                    <w:ind w:left="0" w:right="0"/>
                    <w:rPr>
                      <w:rFonts w:hint="default"/>
                      <w:color w:val="FF0000"/>
                    </w:rPr>
                  </w:pPr>
                </w:p>
              </w:tc>
              <w:tc>
                <w:tcPr>
                  <w:tcW w:w="489" w:type="pct"/>
                  <w:shd w:val="clear" w:color="auto" w:fill="auto"/>
                  <w:vAlign w:val="center"/>
                </w:tcPr>
                <w:p w14:paraId="375FC76F">
                  <w:pPr>
                    <w:pStyle w:val="42"/>
                    <w:keepNext w:val="0"/>
                    <w:keepLines w:val="0"/>
                    <w:widowControl/>
                    <w:suppressLineNumbers w:val="0"/>
                    <w:spacing w:before="0" w:beforeAutospacing="0" w:after="0" w:afterAutospacing="0"/>
                    <w:ind w:left="0" w:right="0"/>
                    <w:rPr>
                      <w:rFonts w:hint="default"/>
                    </w:rPr>
                  </w:pPr>
                  <w:r>
                    <w:t>10</w:t>
                  </w:r>
                </w:p>
              </w:tc>
              <w:tc>
                <w:tcPr>
                  <w:tcW w:w="491" w:type="pct"/>
                  <w:shd w:val="clear" w:color="auto" w:fill="auto"/>
                  <w:vAlign w:val="center"/>
                </w:tcPr>
                <w:p w14:paraId="7072C729">
                  <w:pPr>
                    <w:pStyle w:val="42"/>
                    <w:keepNext w:val="0"/>
                    <w:keepLines w:val="0"/>
                    <w:widowControl/>
                    <w:suppressLineNumbers w:val="0"/>
                    <w:spacing w:before="0" w:beforeAutospacing="0" w:after="0" w:afterAutospacing="0"/>
                    <w:ind w:left="0" w:right="0"/>
                    <w:rPr>
                      <w:rFonts w:hint="default"/>
                    </w:rPr>
                  </w:pPr>
                  <w:r>
                    <w:t>/</w:t>
                  </w:r>
                </w:p>
              </w:tc>
              <w:tc>
                <w:tcPr>
                  <w:tcW w:w="352" w:type="pct"/>
                  <w:vMerge w:val="continue"/>
                  <w:vAlign w:val="center"/>
                </w:tcPr>
                <w:p w14:paraId="7E4F67ED">
                  <w:pPr>
                    <w:pStyle w:val="42"/>
                    <w:keepNext w:val="0"/>
                    <w:keepLines w:val="0"/>
                    <w:widowControl/>
                    <w:suppressLineNumbers w:val="0"/>
                    <w:spacing w:before="0" w:beforeAutospacing="0" w:after="0" w:afterAutospacing="0"/>
                    <w:ind w:left="0" w:right="0"/>
                    <w:rPr>
                      <w:rFonts w:hint="default"/>
                      <w:color w:val="FF0000"/>
                    </w:rPr>
                  </w:pPr>
                </w:p>
              </w:tc>
            </w:tr>
          </w:tbl>
          <w:p w14:paraId="53A7AF3C">
            <w:pPr>
              <w:keepNext w:val="0"/>
              <w:keepLines w:val="0"/>
              <w:suppressLineNumbers w:val="0"/>
              <w:spacing w:before="0" w:beforeAutospacing="0" w:after="0" w:afterAutospacing="0"/>
              <w:ind w:left="0" w:right="0" w:firstLine="480"/>
              <w:rPr>
                <w:rFonts w:hint="default"/>
              </w:rPr>
            </w:pPr>
            <w:r>
              <w:rPr>
                <w:rFonts w:hint="eastAsia"/>
              </w:rPr>
              <w:t>根据计算，项目水泥筒仓顶部颗粒物经仓顶泄压式布袋除尘器净化后，单筒颗粒物最终排放速率为0.022kg/h、排放浓度为9mg/m</w:t>
            </w:r>
            <w:r>
              <w:rPr>
                <w:rFonts w:hint="eastAsia"/>
                <w:vertAlign w:val="superscript"/>
              </w:rPr>
              <w:t>3</w:t>
            </w:r>
            <w:r>
              <w:rPr>
                <w:rFonts w:hint="eastAsia"/>
              </w:rPr>
              <w:t>。颗粒物的排放浓度符合《水泥工业大气污染物超低排放标准》（DB13/2167-2020）表1新建企业大气污染物最高允许排放浓度中水泥仓及其他通风生产设备颗粒物排放浓度限值（10mg/m</w:t>
            </w:r>
            <w:r>
              <w:rPr>
                <w:rFonts w:hint="eastAsia"/>
                <w:vertAlign w:val="superscript"/>
              </w:rPr>
              <w:t>3</w:t>
            </w:r>
            <w:r>
              <w:rPr>
                <w:rFonts w:hint="eastAsia"/>
              </w:rPr>
              <w:t>）要求。</w:t>
            </w:r>
          </w:p>
          <w:p w14:paraId="62FA81A3">
            <w:pPr>
              <w:keepNext w:val="0"/>
              <w:keepLines w:val="0"/>
              <w:suppressLineNumbers w:val="0"/>
              <w:spacing w:before="0" w:beforeAutospacing="0" w:after="0" w:afterAutospacing="0"/>
              <w:ind w:left="0" w:right="0" w:firstLine="480"/>
              <w:rPr>
                <w:rFonts w:hint="default"/>
              </w:rPr>
            </w:pPr>
            <w:r>
              <w:rPr>
                <w:rFonts w:hint="eastAsia"/>
              </w:rPr>
              <w:t>根据计算，项目料仓入料及混凝土搅拌工序颗粒物经布袋除尘器净化后，颗粒物最终排放速率为0.016kg/h、排放浓度为3.18mg/m</w:t>
            </w:r>
            <w:r>
              <w:rPr>
                <w:rFonts w:hint="eastAsia"/>
                <w:vertAlign w:val="superscript"/>
              </w:rPr>
              <w:t>3</w:t>
            </w:r>
            <w:r>
              <w:rPr>
                <w:rFonts w:hint="eastAsia"/>
              </w:rPr>
              <w:t>。颗粒物的排放浓度符合《水泥工业大气污染物超低排放标准》（DB13/2167-2020）表1新建企业大气污染物最高允许排放浓度中水泥仓及其他通风生产设备颗粒物排放浓度限值（10mg/m</w:t>
            </w:r>
            <w:r>
              <w:rPr>
                <w:rFonts w:hint="eastAsia"/>
                <w:vertAlign w:val="superscript"/>
              </w:rPr>
              <w:t>3</w:t>
            </w:r>
            <w:r>
              <w:rPr>
                <w:rFonts w:hint="eastAsia"/>
              </w:rPr>
              <w:t>）要求。</w:t>
            </w:r>
          </w:p>
          <w:p w14:paraId="3F4C392F">
            <w:pPr>
              <w:keepNext w:val="0"/>
              <w:keepLines w:val="0"/>
              <w:suppressLineNumbers w:val="0"/>
              <w:spacing w:before="0" w:beforeAutospacing="0" w:after="0" w:afterAutospacing="0"/>
              <w:ind w:left="0" w:right="0" w:firstLine="480"/>
              <w:rPr>
                <w:rFonts w:hint="default"/>
              </w:rPr>
            </w:pPr>
            <w:r>
              <w:rPr>
                <w:rFonts w:hint="eastAsia"/>
              </w:rPr>
              <w:t>综上，项目有组织排放的污染物，为达标排放。</w:t>
            </w:r>
          </w:p>
          <w:p w14:paraId="6A3A9A49">
            <w:pPr>
              <w:keepNext w:val="0"/>
              <w:keepLines w:val="0"/>
              <w:numPr>
                <w:ilvl w:val="0"/>
                <w:numId w:val="19"/>
              </w:numPr>
              <w:suppressLineNumbers w:val="0"/>
              <w:spacing w:before="0" w:beforeAutospacing="0" w:after="0" w:afterAutospacing="0"/>
              <w:ind w:right="0" w:firstLine="480"/>
              <w:rPr>
                <w:rFonts w:hint="default"/>
              </w:rPr>
            </w:pPr>
            <w:r>
              <w:rPr>
                <w:rFonts w:hint="eastAsia"/>
              </w:rPr>
              <w:t>无组织达标排放分析</w:t>
            </w:r>
          </w:p>
          <w:p w14:paraId="653DD708">
            <w:pPr>
              <w:keepNext w:val="0"/>
              <w:keepLines w:val="0"/>
              <w:suppressLineNumbers w:val="0"/>
              <w:spacing w:before="0" w:beforeAutospacing="0" w:after="0" w:afterAutospacing="0"/>
              <w:ind w:left="0" w:right="0" w:firstLine="480"/>
              <w:rPr>
                <w:rFonts w:hint="default"/>
              </w:rPr>
            </w:pPr>
            <w:r>
              <w:rPr>
                <w:rFonts w:hint="eastAsia"/>
              </w:rPr>
              <w:t>项目石子、石粉堆放库建设为封闭的库房储存物料，对料堆定期洒水降尘，车间地面硬化，封闭车间阻隔。项目物料装卸过程粉尘通过降低卸料高度，控制卸料速度、水喷淋抑尘、墙体阻隔的措施进行控制。车辆运输道路扬尘通过采取厂区内道路地面硬化、及时清扫、定期洒水、车辆减速慢行、物料遮盖等措施。</w:t>
            </w:r>
          </w:p>
          <w:p w14:paraId="317D5195">
            <w:pPr>
              <w:keepNext w:val="0"/>
              <w:keepLines w:val="0"/>
              <w:suppressLineNumbers w:val="0"/>
              <w:spacing w:before="0" w:beforeAutospacing="0" w:after="0" w:afterAutospacing="0"/>
              <w:ind w:left="0" w:right="0" w:firstLine="480"/>
              <w:rPr>
                <w:rFonts w:hint="eastAsia" w:ascii="宋体" w:hAnsi="宋体" w:cs="宋体"/>
                <w:lang w:bidi="ar"/>
              </w:rPr>
            </w:pPr>
            <w:r>
              <w:rPr>
                <w:rFonts w:hint="eastAsia" w:ascii="宋体" w:hAnsi="宋体" w:cs="宋体"/>
                <w:lang w:bidi="ar"/>
              </w:rPr>
              <w:t>项目无组织排放源数据及各源相对厂界的距离情况列表如下：</w:t>
            </w:r>
          </w:p>
          <w:p w14:paraId="2FAF992C">
            <w:pPr>
              <w:pStyle w:val="19"/>
              <w:keepNext w:val="0"/>
              <w:keepLines w:val="0"/>
              <w:widowControl w:val="0"/>
              <w:numPr>
                <w:ilvl w:val="0"/>
                <w:numId w:val="15"/>
              </w:numPr>
              <w:suppressLineNumbers w:val="0"/>
              <w:spacing w:before="0" w:beforeAutospacing="0" w:after="0" w:afterAutospacing="0"/>
              <w:ind w:left="0" w:right="0" w:firstLine="0" w:firstLineChars="0"/>
              <w:jc w:val="center"/>
              <w:rPr>
                <w:rFonts w:hint="default" w:ascii="Times New Roman" w:hAnsi="Times New Roman"/>
                <w:b/>
                <w:sz w:val="21"/>
              </w:rPr>
            </w:pPr>
            <w:r>
              <w:rPr>
                <w:rFonts w:hint="eastAsia" w:ascii="Times New Roman" w:hAnsi="Times New Roman"/>
                <w:b/>
                <w:sz w:val="21"/>
              </w:rPr>
              <w:t>项目各无组织源距厂界的最近</w:t>
            </w:r>
            <w:r>
              <w:rPr>
                <w:rFonts w:hint="eastAsia" w:cs="宋体"/>
                <w:b/>
                <w:sz w:val="21"/>
                <w:szCs w:val="21"/>
                <w:lang w:bidi="ar"/>
              </w:rPr>
              <w:t>距离</w:t>
            </w:r>
            <w:r>
              <w:rPr>
                <w:rFonts w:hint="eastAsia" w:ascii="Times New Roman" w:hAnsi="Times New Roman"/>
                <w:b/>
                <w:sz w:val="21"/>
              </w:rPr>
              <w:t>一览表</w:t>
            </w:r>
          </w:p>
          <w:tbl>
            <w:tblPr>
              <w:tblStyle w:val="22"/>
              <w:tblW w:w="48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019"/>
              <w:gridCol w:w="1020"/>
              <w:gridCol w:w="1020"/>
              <w:gridCol w:w="1020"/>
              <w:gridCol w:w="1020"/>
              <w:gridCol w:w="1020"/>
              <w:gridCol w:w="1020"/>
            </w:tblGrid>
            <w:tr w14:paraId="1E150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93F0DE">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污染源</w:t>
                  </w:r>
                </w:p>
              </w:tc>
              <w:tc>
                <w:tcPr>
                  <w:tcW w:w="1020" w:type="dxa"/>
                  <w:vMerge w:val="restart"/>
                  <w:tcBorders>
                    <w:top w:val="single" w:color="auto" w:sz="4" w:space="0"/>
                    <w:left w:val="nil"/>
                    <w:bottom w:val="single" w:color="auto" w:sz="4" w:space="0"/>
                    <w:right w:val="single" w:color="auto" w:sz="4" w:space="0"/>
                  </w:tcBorders>
                  <w:shd w:val="clear" w:color="auto" w:fill="auto"/>
                  <w:vAlign w:val="center"/>
                </w:tcPr>
                <w:p w14:paraId="0C8C6438">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长（</w:t>
                  </w:r>
                  <w:r>
                    <w:rPr>
                      <w:rFonts w:hint="default" w:ascii="Times New Roman" w:hAnsi="Times New Roman"/>
                      <w:b/>
                      <w:bCs/>
                      <w:sz w:val="21"/>
                      <w:szCs w:val="21"/>
                      <w:lang w:bidi="ar"/>
                    </w:rPr>
                    <w:t>m</w:t>
                  </w:r>
                  <w:r>
                    <w:rPr>
                      <w:rFonts w:hint="eastAsia" w:cs="宋体"/>
                      <w:b/>
                      <w:bCs/>
                      <w:sz w:val="21"/>
                      <w:szCs w:val="21"/>
                      <w:lang w:bidi="ar"/>
                    </w:rPr>
                    <w:t>）</w:t>
                  </w:r>
                </w:p>
              </w:tc>
              <w:tc>
                <w:tcPr>
                  <w:tcW w:w="1020" w:type="dxa"/>
                  <w:vMerge w:val="restart"/>
                  <w:tcBorders>
                    <w:top w:val="single" w:color="auto" w:sz="4" w:space="0"/>
                    <w:left w:val="nil"/>
                    <w:bottom w:val="single" w:color="auto" w:sz="4" w:space="0"/>
                    <w:right w:val="single" w:color="auto" w:sz="4" w:space="0"/>
                  </w:tcBorders>
                  <w:shd w:val="clear" w:color="auto" w:fill="auto"/>
                  <w:vAlign w:val="center"/>
                </w:tcPr>
                <w:p w14:paraId="00ED7DA8">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宽（</w:t>
                  </w:r>
                  <w:r>
                    <w:rPr>
                      <w:rFonts w:hint="default" w:ascii="Times New Roman" w:hAnsi="Times New Roman"/>
                      <w:b/>
                      <w:bCs/>
                      <w:sz w:val="21"/>
                      <w:szCs w:val="21"/>
                      <w:lang w:bidi="ar"/>
                    </w:rPr>
                    <w:t>m</w:t>
                  </w:r>
                  <w:r>
                    <w:rPr>
                      <w:rFonts w:hint="eastAsia" w:cs="宋体"/>
                      <w:b/>
                      <w:bCs/>
                      <w:sz w:val="21"/>
                      <w:szCs w:val="21"/>
                      <w:lang w:bidi="ar"/>
                    </w:rPr>
                    <w:t>）</w:t>
                  </w:r>
                </w:p>
              </w:tc>
              <w:tc>
                <w:tcPr>
                  <w:tcW w:w="1020" w:type="dxa"/>
                  <w:vMerge w:val="restart"/>
                  <w:tcBorders>
                    <w:top w:val="single" w:color="auto" w:sz="4" w:space="0"/>
                    <w:left w:val="nil"/>
                    <w:bottom w:val="single" w:color="auto" w:sz="4" w:space="0"/>
                    <w:right w:val="single" w:color="auto" w:sz="4" w:space="0"/>
                  </w:tcBorders>
                  <w:shd w:val="clear" w:color="auto" w:fill="auto"/>
                  <w:vAlign w:val="center"/>
                </w:tcPr>
                <w:p w14:paraId="31FA4A2F">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颗粒物排放速率</w:t>
                  </w:r>
                  <w:r>
                    <w:rPr>
                      <w:rFonts w:hint="default" w:ascii="Times New Roman" w:hAnsi="Times New Roman"/>
                      <w:b/>
                      <w:bCs/>
                      <w:sz w:val="21"/>
                      <w:szCs w:val="21"/>
                      <w:lang w:bidi="ar"/>
                    </w:rPr>
                    <w:t>kg/h</w:t>
                  </w:r>
                </w:p>
              </w:tc>
              <w:tc>
                <w:tcPr>
                  <w:tcW w:w="4080" w:type="dxa"/>
                  <w:gridSpan w:val="4"/>
                  <w:tcBorders>
                    <w:top w:val="single" w:color="auto" w:sz="4" w:space="0"/>
                    <w:left w:val="nil"/>
                    <w:bottom w:val="single" w:color="auto" w:sz="4" w:space="0"/>
                    <w:right w:val="single" w:color="auto" w:sz="4" w:space="0"/>
                  </w:tcBorders>
                  <w:shd w:val="clear" w:color="auto" w:fill="auto"/>
                  <w:vAlign w:val="center"/>
                </w:tcPr>
                <w:p w14:paraId="69FCB0BC">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距厂界最近距离（</w:t>
                  </w:r>
                  <w:r>
                    <w:rPr>
                      <w:rFonts w:hint="default" w:ascii="Times New Roman" w:hAnsi="Times New Roman"/>
                      <w:b/>
                      <w:bCs/>
                      <w:sz w:val="21"/>
                      <w:szCs w:val="21"/>
                      <w:lang w:bidi="ar"/>
                    </w:rPr>
                    <w:t>m</w:t>
                  </w:r>
                  <w:r>
                    <w:rPr>
                      <w:rFonts w:hint="eastAsia" w:cs="宋体"/>
                      <w:b/>
                      <w:bCs/>
                      <w:sz w:val="21"/>
                      <w:szCs w:val="21"/>
                      <w:lang w:bidi="ar"/>
                    </w:rPr>
                    <w:t>）</w:t>
                  </w:r>
                </w:p>
              </w:tc>
            </w:tr>
            <w:tr w14:paraId="0E6F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0C4914">
                  <w:pPr>
                    <w:keepNext w:val="0"/>
                    <w:keepLines w:val="0"/>
                    <w:suppressLineNumbers w:val="0"/>
                    <w:spacing w:before="0" w:beforeAutospacing="0" w:after="0" w:afterAutospacing="0"/>
                    <w:ind w:left="0" w:right="0" w:firstLine="400"/>
                    <w:rPr>
                      <w:rFonts w:hint="default"/>
                      <w:sz w:val="20"/>
                      <w:szCs w:val="20"/>
                    </w:rPr>
                  </w:pPr>
                </w:p>
              </w:tc>
              <w:tc>
                <w:tcPr>
                  <w:tcW w:w="1020" w:type="dxa"/>
                  <w:vMerge w:val="continue"/>
                  <w:tcBorders>
                    <w:top w:val="single" w:color="auto" w:sz="4" w:space="0"/>
                    <w:left w:val="nil"/>
                    <w:bottom w:val="single" w:color="auto" w:sz="4" w:space="0"/>
                    <w:right w:val="single" w:color="auto" w:sz="4" w:space="0"/>
                  </w:tcBorders>
                  <w:shd w:val="clear" w:color="auto" w:fill="auto"/>
                  <w:vAlign w:val="center"/>
                </w:tcPr>
                <w:p w14:paraId="1D5C406F">
                  <w:pPr>
                    <w:keepNext w:val="0"/>
                    <w:keepLines w:val="0"/>
                    <w:suppressLineNumbers w:val="0"/>
                    <w:spacing w:before="0" w:beforeAutospacing="0" w:after="0" w:afterAutospacing="0"/>
                    <w:ind w:left="0" w:right="0" w:firstLine="400"/>
                    <w:rPr>
                      <w:rFonts w:hint="default"/>
                      <w:sz w:val="20"/>
                      <w:szCs w:val="20"/>
                    </w:rPr>
                  </w:pPr>
                </w:p>
              </w:tc>
              <w:tc>
                <w:tcPr>
                  <w:tcW w:w="1020" w:type="dxa"/>
                  <w:vMerge w:val="continue"/>
                  <w:tcBorders>
                    <w:top w:val="single" w:color="auto" w:sz="4" w:space="0"/>
                    <w:left w:val="nil"/>
                    <w:bottom w:val="single" w:color="auto" w:sz="4" w:space="0"/>
                    <w:right w:val="single" w:color="auto" w:sz="4" w:space="0"/>
                  </w:tcBorders>
                  <w:shd w:val="clear" w:color="auto" w:fill="auto"/>
                  <w:vAlign w:val="center"/>
                </w:tcPr>
                <w:p w14:paraId="7720B6B1">
                  <w:pPr>
                    <w:keepNext w:val="0"/>
                    <w:keepLines w:val="0"/>
                    <w:suppressLineNumbers w:val="0"/>
                    <w:spacing w:before="0" w:beforeAutospacing="0" w:after="0" w:afterAutospacing="0"/>
                    <w:ind w:left="0" w:right="0" w:firstLine="400"/>
                    <w:rPr>
                      <w:rFonts w:hint="default"/>
                      <w:sz w:val="20"/>
                      <w:szCs w:val="20"/>
                    </w:rPr>
                  </w:pPr>
                </w:p>
              </w:tc>
              <w:tc>
                <w:tcPr>
                  <w:tcW w:w="1020" w:type="dxa"/>
                  <w:vMerge w:val="continue"/>
                  <w:tcBorders>
                    <w:top w:val="single" w:color="auto" w:sz="4" w:space="0"/>
                    <w:left w:val="nil"/>
                    <w:bottom w:val="single" w:color="auto" w:sz="4" w:space="0"/>
                    <w:right w:val="single" w:color="auto" w:sz="4" w:space="0"/>
                  </w:tcBorders>
                  <w:shd w:val="clear" w:color="auto" w:fill="auto"/>
                  <w:vAlign w:val="center"/>
                </w:tcPr>
                <w:p w14:paraId="3D0D925F">
                  <w:pPr>
                    <w:keepNext w:val="0"/>
                    <w:keepLines w:val="0"/>
                    <w:suppressLineNumbers w:val="0"/>
                    <w:spacing w:before="0" w:beforeAutospacing="0" w:after="0" w:afterAutospacing="0"/>
                    <w:ind w:left="0" w:right="0" w:firstLine="400"/>
                    <w:rPr>
                      <w:rFonts w:hint="default"/>
                      <w:sz w:val="20"/>
                      <w:szCs w:val="20"/>
                    </w:rPr>
                  </w:pPr>
                </w:p>
              </w:tc>
              <w:tc>
                <w:tcPr>
                  <w:tcW w:w="1020" w:type="dxa"/>
                  <w:tcBorders>
                    <w:top w:val="single" w:color="auto" w:sz="4" w:space="0"/>
                    <w:left w:val="nil"/>
                    <w:bottom w:val="single" w:color="auto" w:sz="4" w:space="0"/>
                    <w:right w:val="single" w:color="auto" w:sz="4" w:space="0"/>
                  </w:tcBorders>
                  <w:shd w:val="clear" w:color="auto" w:fill="auto"/>
                  <w:vAlign w:val="center"/>
                </w:tcPr>
                <w:p w14:paraId="4CB519E8">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东厂界</w:t>
                  </w:r>
                </w:p>
              </w:tc>
              <w:tc>
                <w:tcPr>
                  <w:tcW w:w="1020" w:type="dxa"/>
                  <w:tcBorders>
                    <w:top w:val="single" w:color="auto" w:sz="4" w:space="0"/>
                    <w:left w:val="nil"/>
                    <w:bottom w:val="single" w:color="auto" w:sz="4" w:space="0"/>
                    <w:right w:val="single" w:color="auto" w:sz="4" w:space="0"/>
                  </w:tcBorders>
                  <w:shd w:val="clear" w:color="auto" w:fill="auto"/>
                  <w:vAlign w:val="center"/>
                </w:tcPr>
                <w:p w14:paraId="5AAFB97D">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南厂界</w:t>
                  </w:r>
                </w:p>
              </w:tc>
              <w:tc>
                <w:tcPr>
                  <w:tcW w:w="1020" w:type="dxa"/>
                  <w:tcBorders>
                    <w:top w:val="single" w:color="auto" w:sz="4" w:space="0"/>
                    <w:left w:val="nil"/>
                    <w:bottom w:val="single" w:color="auto" w:sz="4" w:space="0"/>
                    <w:right w:val="single" w:color="auto" w:sz="4" w:space="0"/>
                  </w:tcBorders>
                  <w:shd w:val="clear" w:color="auto" w:fill="auto"/>
                  <w:vAlign w:val="center"/>
                </w:tcPr>
                <w:p w14:paraId="226BD2F1">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西厂界</w:t>
                  </w:r>
                </w:p>
              </w:tc>
              <w:tc>
                <w:tcPr>
                  <w:tcW w:w="1020" w:type="dxa"/>
                  <w:tcBorders>
                    <w:top w:val="single" w:color="auto" w:sz="4" w:space="0"/>
                    <w:left w:val="nil"/>
                    <w:bottom w:val="single" w:color="auto" w:sz="4" w:space="0"/>
                    <w:right w:val="single" w:color="auto" w:sz="4" w:space="0"/>
                  </w:tcBorders>
                  <w:shd w:val="clear" w:color="auto" w:fill="auto"/>
                  <w:vAlign w:val="center"/>
                </w:tcPr>
                <w:p w14:paraId="1D883BEC">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b/>
                      <w:bCs/>
                      <w:sz w:val="21"/>
                      <w:szCs w:val="21"/>
                    </w:rPr>
                  </w:pPr>
                  <w:r>
                    <w:rPr>
                      <w:rFonts w:hint="eastAsia" w:cs="宋体"/>
                      <w:b/>
                      <w:bCs/>
                      <w:sz w:val="21"/>
                      <w:szCs w:val="21"/>
                      <w:lang w:bidi="ar"/>
                    </w:rPr>
                    <w:t>北厂界</w:t>
                  </w:r>
                </w:p>
              </w:tc>
            </w:tr>
            <w:tr w14:paraId="6AC0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699E865E">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石子、石粉堆放库</w:t>
                  </w:r>
                </w:p>
              </w:tc>
              <w:tc>
                <w:tcPr>
                  <w:tcW w:w="1020" w:type="dxa"/>
                  <w:tcBorders>
                    <w:top w:val="single" w:color="auto" w:sz="4" w:space="0"/>
                    <w:left w:val="nil"/>
                    <w:bottom w:val="single" w:color="auto" w:sz="4" w:space="0"/>
                    <w:right w:val="single" w:color="auto" w:sz="4" w:space="0"/>
                  </w:tcBorders>
                  <w:shd w:val="clear" w:color="auto" w:fill="auto"/>
                  <w:vAlign w:val="center"/>
                </w:tcPr>
                <w:p w14:paraId="0195C3C1">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sz w:val="21"/>
                      <w:szCs w:val="21"/>
                      <w:lang w:bidi="ar"/>
                    </w:rPr>
                    <w:t>16</w:t>
                  </w:r>
                </w:p>
              </w:tc>
              <w:tc>
                <w:tcPr>
                  <w:tcW w:w="1020" w:type="dxa"/>
                  <w:tcBorders>
                    <w:top w:val="single" w:color="auto" w:sz="4" w:space="0"/>
                    <w:left w:val="nil"/>
                    <w:bottom w:val="single" w:color="auto" w:sz="4" w:space="0"/>
                    <w:right w:val="single" w:color="auto" w:sz="4" w:space="0"/>
                  </w:tcBorders>
                  <w:shd w:val="clear" w:color="auto" w:fill="auto"/>
                  <w:vAlign w:val="center"/>
                </w:tcPr>
                <w:p w14:paraId="69838366">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1</w:t>
                  </w:r>
                  <w:r>
                    <w:rPr>
                      <w:rFonts w:hint="eastAsia" w:ascii="Times New Roman" w:hAnsi="Times New Roman"/>
                      <w:sz w:val="21"/>
                      <w:szCs w:val="21"/>
                      <w:lang w:bidi="ar"/>
                    </w:rPr>
                    <w:t>5</w:t>
                  </w:r>
                </w:p>
              </w:tc>
              <w:tc>
                <w:tcPr>
                  <w:tcW w:w="1020" w:type="dxa"/>
                  <w:tcBorders>
                    <w:top w:val="single" w:color="auto" w:sz="4" w:space="0"/>
                    <w:left w:val="nil"/>
                    <w:bottom w:val="single" w:color="auto" w:sz="4" w:space="0"/>
                    <w:right w:val="single" w:color="auto" w:sz="4" w:space="0"/>
                  </w:tcBorders>
                  <w:shd w:val="clear" w:color="auto" w:fill="auto"/>
                  <w:vAlign w:val="center"/>
                </w:tcPr>
                <w:p w14:paraId="7554DA69">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0.0</w:t>
                  </w:r>
                  <w:r>
                    <w:rPr>
                      <w:rFonts w:hint="eastAsia" w:ascii="Times New Roman" w:hAnsi="Times New Roman"/>
                      <w:sz w:val="21"/>
                      <w:szCs w:val="21"/>
                      <w:lang w:bidi="ar"/>
                    </w:rPr>
                    <w:t>53</w:t>
                  </w:r>
                </w:p>
              </w:tc>
              <w:tc>
                <w:tcPr>
                  <w:tcW w:w="1020" w:type="dxa"/>
                  <w:tcBorders>
                    <w:top w:val="single" w:color="auto" w:sz="4" w:space="0"/>
                    <w:left w:val="nil"/>
                    <w:bottom w:val="single" w:color="auto" w:sz="4" w:space="0"/>
                    <w:right w:val="single" w:color="auto" w:sz="4" w:space="0"/>
                  </w:tcBorders>
                  <w:shd w:val="clear" w:color="auto" w:fill="auto"/>
                  <w:vAlign w:val="center"/>
                </w:tcPr>
                <w:p w14:paraId="534BEB33">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sz w:val="21"/>
                      <w:szCs w:val="21"/>
                      <w:lang w:bidi="ar"/>
                    </w:rPr>
                    <w:t>3</w:t>
                  </w:r>
                  <w:r>
                    <w:rPr>
                      <w:rFonts w:hint="default" w:ascii="Times New Roman" w:hAnsi="Times New Roman"/>
                      <w:sz w:val="21"/>
                      <w:szCs w:val="21"/>
                      <w:lang w:bidi="ar"/>
                    </w:rPr>
                    <w:t>5</w:t>
                  </w:r>
                </w:p>
              </w:tc>
              <w:tc>
                <w:tcPr>
                  <w:tcW w:w="1020" w:type="dxa"/>
                  <w:tcBorders>
                    <w:top w:val="single" w:color="auto" w:sz="4" w:space="0"/>
                    <w:left w:val="nil"/>
                    <w:bottom w:val="single" w:color="auto" w:sz="4" w:space="0"/>
                    <w:right w:val="single" w:color="auto" w:sz="4" w:space="0"/>
                  </w:tcBorders>
                  <w:shd w:val="clear" w:color="auto" w:fill="auto"/>
                  <w:vAlign w:val="center"/>
                </w:tcPr>
                <w:p w14:paraId="228AE383">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sz w:val="21"/>
                      <w:szCs w:val="21"/>
                      <w:lang w:bidi="ar"/>
                    </w:rPr>
                    <w:t>30</w:t>
                  </w:r>
                </w:p>
              </w:tc>
              <w:tc>
                <w:tcPr>
                  <w:tcW w:w="1020" w:type="dxa"/>
                  <w:tcBorders>
                    <w:top w:val="single" w:color="auto" w:sz="4" w:space="0"/>
                    <w:left w:val="nil"/>
                    <w:bottom w:val="single" w:color="auto" w:sz="4" w:space="0"/>
                    <w:right w:val="single" w:color="auto" w:sz="4" w:space="0"/>
                  </w:tcBorders>
                  <w:shd w:val="clear" w:color="auto" w:fill="auto"/>
                  <w:vAlign w:val="center"/>
                </w:tcPr>
                <w:p w14:paraId="4546E637">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sz w:val="21"/>
                      <w:szCs w:val="21"/>
                      <w:lang w:bidi="ar"/>
                    </w:rPr>
                    <w:t>275</w:t>
                  </w:r>
                </w:p>
              </w:tc>
              <w:tc>
                <w:tcPr>
                  <w:tcW w:w="1020" w:type="dxa"/>
                  <w:tcBorders>
                    <w:top w:val="single" w:color="auto" w:sz="4" w:space="0"/>
                    <w:left w:val="nil"/>
                    <w:bottom w:val="single" w:color="auto" w:sz="4" w:space="0"/>
                    <w:right w:val="single" w:color="auto" w:sz="4" w:space="0"/>
                  </w:tcBorders>
                  <w:shd w:val="clear" w:color="auto" w:fill="auto"/>
                  <w:vAlign w:val="center"/>
                </w:tcPr>
                <w:p w14:paraId="4BFAACB6">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10</w:t>
                  </w:r>
                </w:p>
              </w:tc>
            </w:tr>
            <w:tr w14:paraId="1AFE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7D08D6B2">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cs="宋体"/>
                      <w:sz w:val="21"/>
                      <w:szCs w:val="21"/>
                      <w:lang w:bidi="ar"/>
                    </w:rPr>
                    <w:t>搅拌车间</w:t>
                  </w:r>
                </w:p>
              </w:tc>
              <w:tc>
                <w:tcPr>
                  <w:tcW w:w="1020" w:type="dxa"/>
                  <w:tcBorders>
                    <w:top w:val="single" w:color="auto" w:sz="4" w:space="0"/>
                    <w:left w:val="nil"/>
                    <w:bottom w:val="single" w:color="auto" w:sz="4" w:space="0"/>
                    <w:right w:val="single" w:color="auto" w:sz="4" w:space="0"/>
                  </w:tcBorders>
                  <w:shd w:val="clear" w:color="auto" w:fill="auto"/>
                  <w:vAlign w:val="center"/>
                </w:tcPr>
                <w:p w14:paraId="57215B5B">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sz w:val="21"/>
                      <w:szCs w:val="21"/>
                      <w:lang w:bidi="ar"/>
                    </w:rPr>
                    <w:t>22</w:t>
                  </w:r>
                </w:p>
              </w:tc>
              <w:tc>
                <w:tcPr>
                  <w:tcW w:w="1020" w:type="dxa"/>
                  <w:tcBorders>
                    <w:top w:val="single" w:color="auto" w:sz="4" w:space="0"/>
                    <w:left w:val="nil"/>
                    <w:bottom w:val="single" w:color="auto" w:sz="4" w:space="0"/>
                    <w:right w:val="single" w:color="auto" w:sz="4" w:space="0"/>
                  </w:tcBorders>
                  <w:shd w:val="clear" w:color="auto" w:fill="auto"/>
                  <w:vAlign w:val="center"/>
                </w:tcPr>
                <w:p w14:paraId="35BA9317">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cs="宋体"/>
                      <w:sz w:val="21"/>
                      <w:szCs w:val="21"/>
                    </w:rPr>
                    <w:t>15</w:t>
                  </w:r>
                </w:p>
              </w:tc>
              <w:tc>
                <w:tcPr>
                  <w:tcW w:w="1020" w:type="dxa"/>
                  <w:tcBorders>
                    <w:top w:val="single" w:color="auto" w:sz="4" w:space="0"/>
                    <w:left w:val="nil"/>
                    <w:bottom w:val="single" w:color="auto" w:sz="4" w:space="0"/>
                    <w:right w:val="single" w:color="auto" w:sz="4" w:space="0"/>
                  </w:tcBorders>
                  <w:shd w:val="clear" w:color="auto" w:fill="auto"/>
                  <w:vAlign w:val="center"/>
                </w:tcPr>
                <w:p w14:paraId="51A9BBCF">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0.0</w:t>
                  </w:r>
                  <w:r>
                    <w:rPr>
                      <w:rFonts w:hint="eastAsia" w:ascii="Times New Roman" w:hAnsi="Times New Roman"/>
                      <w:sz w:val="21"/>
                      <w:szCs w:val="21"/>
                      <w:lang w:bidi="ar"/>
                    </w:rPr>
                    <w:t>281</w:t>
                  </w:r>
                </w:p>
              </w:tc>
              <w:tc>
                <w:tcPr>
                  <w:tcW w:w="1020" w:type="dxa"/>
                  <w:tcBorders>
                    <w:top w:val="single" w:color="auto" w:sz="4" w:space="0"/>
                    <w:left w:val="nil"/>
                    <w:bottom w:val="single" w:color="auto" w:sz="4" w:space="0"/>
                    <w:right w:val="single" w:color="auto" w:sz="4" w:space="0"/>
                  </w:tcBorders>
                  <w:shd w:val="clear" w:color="auto" w:fill="auto"/>
                  <w:vAlign w:val="center"/>
                </w:tcPr>
                <w:p w14:paraId="7796E7F6">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sz w:val="21"/>
                      <w:szCs w:val="21"/>
                      <w:lang w:bidi="ar"/>
                    </w:rPr>
                    <w:t>10</w:t>
                  </w:r>
                </w:p>
              </w:tc>
              <w:tc>
                <w:tcPr>
                  <w:tcW w:w="1020" w:type="dxa"/>
                  <w:tcBorders>
                    <w:top w:val="single" w:color="auto" w:sz="4" w:space="0"/>
                    <w:left w:val="nil"/>
                    <w:bottom w:val="single" w:color="auto" w:sz="4" w:space="0"/>
                    <w:right w:val="single" w:color="auto" w:sz="4" w:space="0"/>
                  </w:tcBorders>
                  <w:shd w:val="clear" w:color="auto" w:fill="auto"/>
                  <w:vAlign w:val="center"/>
                </w:tcPr>
                <w:p w14:paraId="734DBA8E">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default" w:ascii="Times New Roman" w:hAnsi="Times New Roman"/>
                      <w:sz w:val="21"/>
                      <w:szCs w:val="21"/>
                      <w:lang w:bidi="ar"/>
                    </w:rPr>
                    <w:t>5</w:t>
                  </w:r>
                  <w:r>
                    <w:rPr>
                      <w:rFonts w:hint="eastAsia" w:ascii="Times New Roman" w:hAnsi="Times New Roman"/>
                      <w:sz w:val="21"/>
                      <w:szCs w:val="21"/>
                      <w:lang w:bidi="ar"/>
                    </w:rPr>
                    <w:t>0</w:t>
                  </w:r>
                </w:p>
              </w:tc>
              <w:tc>
                <w:tcPr>
                  <w:tcW w:w="1020" w:type="dxa"/>
                  <w:tcBorders>
                    <w:top w:val="single" w:color="auto" w:sz="4" w:space="0"/>
                    <w:left w:val="nil"/>
                    <w:bottom w:val="single" w:color="auto" w:sz="4" w:space="0"/>
                    <w:right w:val="single" w:color="auto" w:sz="4" w:space="0"/>
                  </w:tcBorders>
                  <w:shd w:val="clear" w:color="auto" w:fill="auto"/>
                  <w:vAlign w:val="center"/>
                </w:tcPr>
                <w:p w14:paraId="07FAD2E6">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sz w:val="21"/>
                      <w:szCs w:val="21"/>
                      <w:lang w:bidi="ar"/>
                    </w:rPr>
                    <w:t>300</w:t>
                  </w:r>
                </w:p>
              </w:tc>
              <w:tc>
                <w:tcPr>
                  <w:tcW w:w="1020" w:type="dxa"/>
                  <w:tcBorders>
                    <w:top w:val="single" w:color="auto" w:sz="4" w:space="0"/>
                    <w:left w:val="nil"/>
                    <w:bottom w:val="single" w:color="auto" w:sz="4" w:space="0"/>
                    <w:right w:val="single" w:color="auto" w:sz="4" w:space="0"/>
                  </w:tcBorders>
                  <w:shd w:val="clear" w:color="auto" w:fill="auto"/>
                  <w:vAlign w:val="center"/>
                </w:tcPr>
                <w:p w14:paraId="3C797807">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sz w:val="21"/>
                      <w:szCs w:val="21"/>
                    </w:rPr>
                  </w:pPr>
                  <w:r>
                    <w:rPr>
                      <w:rFonts w:hint="eastAsia" w:ascii="Times New Roman" w:hAnsi="Times New Roman"/>
                      <w:sz w:val="21"/>
                      <w:szCs w:val="21"/>
                      <w:lang w:bidi="ar"/>
                    </w:rPr>
                    <w:t>10</w:t>
                  </w:r>
                </w:p>
              </w:tc>
            </w:tr>
          </w:tbl>
          <w:p w14:paraId="3090E3C8">
            <w:pPr>
              <w:keepNext w:val="0"/>
              <w:keepLines w:val="0"/>
              <w:suppressLineNumbers w:val="0"/>
              <w:spacing w:before="120" w:beforeLines="50" w:beforeAutospacing="0" w:after="0" w:afterAutospacing="0"/>
              <w:ind w:left="0" w:right="0" w:firstLine="480"/>
              <w:rPr>
                <w:rFonts w:hint="default"/>
              </w:rPr>
            </w:pPr>
            <w:r>
              <w:rPr>
                <w:rFonts w:hint="eastAsia" w:ascii="宋体" w:hAnsi="宋体" w:cs="宋体"/>
                <w:bCs/>
                <w:lang w:bidi="ar"/>
              </w:rPr>
              <w:t>根据大气环评专业辅助软件系统预测，预测项目无组织排放源各厂界污染物排放浓度值</w:t>
            </w:r>
            <w:r>
              <w:rPr>
                <w:rFonts w:hint="eastAsia" w:ascii="宋体" w:hAnsi="宋体" w:cs="宋体"/>
                <w:lang w:bidi="ar"/>
              </w:rPr>
              <w:t>见下表：</w:t>
            </w:r>
          </w:p>
          <w:p w14:paraId="417F4CDE">
            <w:pPr>
              <w:pStyle w:val="19"/>
              <w:keepNext w:val="0"/>
              <w:keepLines w:val="0"/>
              <w:widowControl w:val="0"/>
              <w:numPr>
                <w:ilvl w:val="0"/>
                <w:numId w:val="15"/>
              </w:numPr>
              <w:suppressLineNumbers w:val="0"/>
              <w:spacing w:before="0" w:beforeAutospacing="0" w:after="0" w:afterAutospacing="0"/>
              <w:ind w:left="0" w:right="0" w:firstLine="0" w:firstLineChars="0"/>
              <w:jc w:val="center"/>
              <w:rPr>
                <w:rFonts w:hint="default" w:ascii="Times New Roman" w:hAnsi="Times New Roman"/>
                <w:b/>
                <w:sz w:val="21"/>
              </w:rPr>
            </w:pPr>
            <w:r>
              <w:rPr>
                <w:rFonts w:hint="eastAsia" w:ascii="Times New Roman" w:hAnsi="Times New Roman"/>
                <w:b/>
                <w:sz w:val="21"/>
              </w:rPr>
              <w:t>项目厂界达标排放情况一览表</w:t>
            </w:r>
          </w:p>
          <w:tbl>
            <w:tblPr>
              <w:tblStyle w:val="22"/>
              <w:tblW w:w="497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49"/>
              <w:gridCol w:w="729"/>
              <w:gridCol w:w="1919"/>
              <w:gridCol w:w="1120"/>
              <w:gridCol w:w="1120"/>
              <w:gridCol w:w="1120"/>
              <w:gridCol w:w="1089"/>
            </w:tblGrid>
            <w:tr w14:paraId="677AE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250" w:type="dxa"/>
                  <w:vMerge w:val="restart"/>
                  <w:tcBorders>
                    <w:top w:val="single" w:color="auto" w:sz="6" w:space="0"/>
                    <w:left w:val="single" w:color="auto" w:sz="6" w:space="0"/>
                    <w:bottom w:val="single" w:color="auto" w:sz="6" w:space="0"/>
                    <w:right w:val="single" w:color="auto" w:sz="4" w:space="0"/>
                  </w:tcBorders>
                  <w:vAlign w:val="center"/>
                </w:tcPr>
                <w:p w14:paraId="4BB4B8FD">
                  <w:pPr>
                    <w:pStyle w:val="42"/>
                    <w:keepNext w:val="0"/>
                    <w:keepLines w:val="0"/>
                    <w:widowControl/>
                    <w:suppressLineNumbers w:val="0"/>
                    <w:spacing w:before="0" w:beforeAutospacing="0" w:after="0" w:afterAutospacing="0"/>
                    <w:ind w:left="0" w:right="0"/>
                    <w:rPr>
                      <w:rFonts w:hint="default"/>
                      <w:b/>
                      <w:bCs/>
                    </w:rPr>
                  </w:pPr>
                  <w:r>
                    <w:rPr>
                      <w:b/>
                      <w:bCs/>
                    </w:rPr>
                    <w:t>污染源</w:t>
                  </w:r>
                </w:p>
              </w:tc>
              <w:tc>
                <w:tcPr>
                  <w:tcW w:w="729" w:type="dxa"/>
                  <w:vMerge w:val="restart"/>
                  <w:tcBorders>
                    <w:top w:val="single" w:color="auto" w:sz="6" w:space="0"/>
                    <w:left w:val="nil"/>
                    <w:bottom w:val="single" w:color="auto" w:sz="6" w:space="0"/>
                    <w:right w:val="single" w:color="auto" w:sz="4" w:space="0"/>
                  </w:tcBorders>
                  <w:vAlign w:val="center"/>
                </w:tcPr>
                <w:p w14:paraId="6F29A1AA">
                  <w:pPr>
                    <w:pStyle w:val="42"/>
                    <w:keepNext w:val="0"/>
                    <w:keepLines w:val="0"/>
                    <w:widowControl/>
                    <w:suppressLineNumbers w:val="0"/>
                    <w:spacing w:before="0" w:beforeAutospacing="0" w:after="0" w:afterAutospacing="0"/>
                    <w:ind w:left="0" w:right="0"/>
                    <w:rPr>
                      <w:rFonts w:hint="default"/>
                      <w:b/>
                      <w:bCs/>
                    </w:rPr>
                  </w:pPr>
                  <w:r>
                    <w:rPr>
                      <w:b/>
                      <w:bCs/>
                    </w:rPr>
                    <w:t>污染因子</w:t>
                  </w:r>
                </w:p>
              </w:tc>
              <w:tc>
                <w:tcPr>
                  <w:tcW w:w="1920" w:type="dxa"/>
                  <w:vMerge w:val="restart"/>
                  <w:tcBorders>
                    <w:top w:val="single" w:color="auto" w:sz="6" w:space="0"/>
                    <w:left w:val="nil"/>
                    <w:bottom w:val="single" w:color="auto" w:sz="6" w:space="0"/>
                    <w:right w:val="single" w:color="auto" w:sz="6" w:space="0"/>
                  </w:tcBorders>
                  <w:vAlign w:val="center"/>
                </w:tcPr>
                <w:p w14:paraId="2B2BFC35">
                  <w:pPr>
                    <w:pStyle w:val="42"/>
                    <w:keepNext w:val="0"/>
                    <w:keepLines w:val="0"/>
                    <w:widowControl/>
                    <w:suppressLineNumbers w:val="0"/>
                    <w:spacing w:before="0" w:beforeAutospacing="0" w:after="0" w:afterAutospacing="0"/>
                    <w:ind w:left="0" w:right="0"/>
                    <w:rPr>
                      <w:rFonts w:hint="default"/>
                      <w:b/>
                      <w:bCs/>
                    </w:rPr>
                  </w:pPr>
                  <w:r>
                    <w:rPr>
                      <w:b/>
                      <w:bCs/>
                    </w:rPr>
                    <w:t>类型</w:t>
                  </w:r>
                </w:p>
              </w:tc>
              <w:tc>
                <w:tcPr>
                  <w:tcW w:w="4449" w:type="dxa"/>
                  <w:gridSpan w:val="4"/>
                  <w:tcBorders>
                    <w:top w:val="single" w:color="auto" w:sz="6" w:space="0"/>
                    <w:left w:val="nil"/>
                    <w:bottom w:val="single" w:color="auto" w:sz="6" w:space="0"/>
                    <w:right w:val="single" w:color="auto" w:sz="6" w:space="0"/>
                  </w:tcBorders>
                  <w:vAlign w:val="center"/>
                </w:tcPr>
                <w:p w14:paraId="5177440F">
                  <w:pPr>
                    <w:pStyle w:val="42"/>
                    <w:keepNext w:val="0"/>
                    <w:keepLines w:val="0"/>
                    <w:widowControl/>
                    <w:suppressLineNumbers w:val="0"/>
                    <w:spacing w:before="0" w:beforeAutospacing="0" w:after="0" w:afterAutospacing="0"/>
                    <w:ind w:left="0" w:right="0"/>
                    <w:rPr>
                      <w:rFonts w:hint="default"/>
                      <w:b/>
                      <w:bCs/>
                    </w:rPr>
                  </w:pPr>
                  <w:r>
                    <w:rPr>
                      <w:b/>
                      <w:bCs/>
                    </w:rPr>
                    <w:t>距厂界最近距离（m）</w:t>
                  </w:r>
                </w:p>
              </w:tc>
            </w:tr>
            <w:tr w14:paraId="35D9C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250" w:type="dxa"/>
                  <w:vMerge w:val="continue"/>
                  <w:tcBorders>
                    <w:top w:val="single" w:color="auto" w:sz="6" w:space="0"/>
                    <w:left w:val="single" w:color="auto" w:sz="6" w:space="0"/>
                    <w:bottom w:val="single" w:color="auto" w:sz="6" w:space="0"/>
                    <w:right w:val="single" w:color="auto" w:sz="4" w:space="0"/>
                  </w:tcBorders>
                  <w:vAlign w:val="center"/>
                </w:tcPr>
                <w:p w14:paraId="70DF967D">
                  <w:pPr>
                    <w:pStyle w:val="42"/>
                    <w:keepNext w:val="0"/>
                    <w:keepLines w:val="0"/>
                    <w:widowControl/>
                    <w:suppressLineNumbers w:val="0"/>
                    <w:spacing w:before="0" w:beforeAutospacing="0" w:after="0" w:afterAutospacing="0"/>
                    <w:ind w:left="0" w:right="0"/>
                    <w:rPr>
                      <w:rFonts w:hint="default"/>
                      <w:b/>
                      <w:bCs/>
                    </w:rPr>
                  </w:pPr>
                </w:p>
              </w:tc>
              <w:tc>
                <w:tcPr>
                  <w:tcW w:w="729" w:type="dxa"/>
                  <w:vMerge w:val="continue"/>
                  <w:tcBorders>
                    <w:top w:val="single" w:color="auto" w:sz="6" w:space="0"/>
                    <w:left w:val="nil"/>
                    <w:bottom w:val="single" w:color="auto" w:sz="6" w:space="0"/>
                    <w:right w:val="single" w:color="auto" w:sz="4" w:space="0"/>
                  </w:tcBorders>
                  <w:vAlign w:val="center"/>
                </w:tcPr>
                <w:p w14:paraId="4C9D1B91">
                  <w:pPr>
                    <w:pStyle w:val="42"/>
                    <w:keepNext w:val="0"/>
                    <w:keepLines w:val="0"/>
                    <w:widowControl/>
                    <w:suppressLineNumbers w:val="0"/>
                    <w:spacing w:before="0" w:beforeAutospacing="0" w:after="0" w:afterAutospacing="0"/>
                    <w:ind w:left="0" w:right="0"/>
                    <w:rPr>
                      <w:rFonts w:hint="default"/>
                      <w:b/>
                      <w:bCs/>
                    </w:rPr>
                  </w:pPr>
                </w:p>
              </w:tc>
              <w:tc>
                <w:tcPr>
                  <w:tcW w:w="1920" w:type="dxa"/>
                  <w:vMerge w:val="continue"/>
                  <w:tcBorders>
                    <w:top w:val="single" w:color="auto" w:sz="6" w:space="0"/>
                    <w:left w:val="nil"/>
                    <w:bottom w:val="single" w:color="auto" w:sz="6" w:space="0"/>
                    <w:right w:val="single" w:color="auto" w:sz="6" w:space="0"/>
                  </w:tcBorders>
                  <w:vAlign w:val="center"/>
                </w:tcPr>
                <w:p w14:paraId="423761B7">
                  <w:pPr>
                    <w:pStyle w:val="42"/>
                    <w:keepNext w:val="0"/>
                    <w:keepLines w:val="0"/>
                    <w:widowControl/>
                    <w:suppressLineNumbers w:val="0"/>
                    <w:spacing w:before="0" w:beforeAutospacing="0" w:after="0" w:afterAutospacing="0"/>
                    <w:ind w:left="0" w:right="0"/>
                    <w:rPr>
                      <w:rFonts w:hint="default"/>
                      <w:b/>
                      <w:bCs/>
                    </w:rPr>
                  </w:pPr>
                </w:p>
              </w:tc>
              <w:tc>
                <w:tcPr>
                  <w:tcW w:w="1120" w:type="dxa"/>
                  <w:tcBorders>
                    <w:top w:val="single" w:color="auto" w:sz="6" w:space="0"/>
                    <w:left w:val="nil"/>
                    <w:bottom w:val="single" w:color="auto" w:sz="6" w:space="0"/>
                    <w:right w:val="single" w:color="auto" w:sz="6" w:space="0"/>
                  </w:tcBorders>
                  <w:vAlign w:val="center"/>
                </w:tcPr>
                <w:p w14:paraId="61AC93BA">
                  <w:pPr>
                    <w:pStyle w:val="42"/>
                    <w:keepNext w:val="0"/>
                    <w:keepLines w:val="0"/>
                    <w:widowControl/>
                    <w:suppressLineNumbers w:val="0"/>
                    <w:spacing w:before="0" w:beforeAutospacing="0" w:after="0" w:afterAutospacing="0"/>
                    <w:ind w:left="0" w:right="0"/>
                    <w:rPr>
                      <w:rFonts w:hint="default"/>
                      <w:b/>
                      <w:bCs/>
                    </w:rPr>
                  </w:pPr>
                  <w:r>
                    <w:rPr>
                      <w:b/>
                      <w:bCs/>
                    </w:rPr>
                    <w:t>东厂界</w:t>
                  </w:r>
                </w:p>
              </w:tc>
              <w:tc>
                <w:tcPr>
                  <w:tcW w:w="1120" w:type="dxa"/>
                  <w:tcBorders>
                    <w:top w:val="single" w:color="auto" w:sz="6" w:space="0"/>
                    <w:left w:val="nil"/>
                    <w:bottom w:val="single" w:color="auto" w:sz="6" w:space="0"/>
                    <w:right w:val="single" w:color="auto" w:sz="6" w:space="0"/>
                  </w:tcBorders>
                  <w:vAlign w:val="center"/>
                </w:tcPr>
                <w:p w14:paraId="34AC3624">
                  <w:pPr>
                    <w:pStyle w:val="42"/>
                    <w:keepNext w:val="0"/>
                    <w:keepLines w:val="0"/>
                    <w:widowControl/>
                    <w:suppressLineNumbers w:val="0"/>
                    <w:spacing w:before="0" w:beforeAutospacing="0" w:after="0" w:afterAutospacing="0"/>
                    <w:ind w:left="0" w:right="0"/>
                    <w:rPr>
                      <w:rFonts w:hint="default"/>
                      <w:b/>
                      <w:bCs/>
                    </w:rPr>
                  </w:pPr>
                  <w:r>
                    <w:rPr>
                      <w:b/>
                      <w:bCs/>
                    </w:rPr>
                    <w:t>南厂界</w:t>
                  </w:r>
                </w:p>
              </w:tc>
              <w:tc>
                <w:tcPr>
                  <w:tcW w:w="1120" w:type="dxa"/>
                  <w:tcBorders>
                    <w:top w:val="single" w:color="auto" w:sz="6" w:space="0"/>
                    <w:left w:val="nil"/>
                    <w:bottom w:val="single" w:color="auto" w:sz="6" w:space="0"/>
                    <w:right w:val="single" w:color="auto" w:sz="6" w:space="0"/>
                  </w:tcBorders>
                  <w:vAlign w:val="center"/>
                </w:tcPr>
                <w:p w14:paraId="4DA5C850">
                  <w:pPr>
                    <w:pStyle w:val="42"/>
                    <w:keepNext w:val="0"/>
                    <w:keepLines w:val="0"/>
                    <w:widowControl/>
                    <w:suppressLineNumbers w:val="0"/>
                    <w:spacing w:before="0" w:beforeAutospacing="0" w:after="0" w:afterAutospacing="0"/>
                    <w:ind w:left="0" w:right="0"/>
                    <w:rPr>
                      <w:rFonts w:hint="default"/>
                      <w:b/>
                      <w:bCs/>
                    </w:rPr>
                  </w:pPr>
                  <w:r>
                    <w:rPr>
                      <w:b/>
                      <w:bCs/>
                    </w:rPr>
                    <w:t>西厂界</w:t>
                  </w:r>
                </w:p>
              </w:tc>
              <w:tc>
                <w:tcPr>
                  <w:tcW w:w="1089" w:type="dxa"/>
                  <w:tcBorders>
                    <w:top w:val="single" w:color="auto" w:sz="6" w:space="0"/>
                    <w:left w:val="nil"/>
                    <w:bottom w:val="single" w:color="auto" w:sz="6" w:space="0"/>
                  </w:tcBorders>
                  <w:vAlign w:val="center"/>
                </w:tcPr>
                <w:p w14:paraId="6C02789B">
                  <w:pPr>
                    <w:pStyle w:val="42"/>
                    <w:keepNext w:val="0"/>
                    <w:keepLines w:val="0"/>
                    <w:widowControl/>
                    <w:suppressLineNumbers w:val="0"/>
                    <w:spacing w:before="0" w:beforeAutospacing="0" w:after="0" w:afterAutospacing="0"/>
                    <w:ind w:left="0" w:right="0"/>
                    <w:rPr>
                      <w:rFonts w:hint="default"/>
                      <w:b/>
                      <w:bCs/>
                    </w:rPr>
                  </w:pPr>
                  <w:r>
                    <w:rPr>
                      <w:b/>
                      <w:bCs/>
                    </w:rPr>
                    <w:t>北厂界</w:t>
                  </w:r>
                </w:p>
              </w:tc>
            </w:tr>
            <w:tr w14:paraId="6041DB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250" w:type="dxa"/>
                  <w:tcBorders>
                    <w:top w:val="nil"/>
                    <w:left w:val="single" w:color="auto" w:sz="6" w:space="0"/>
                    <w:bottom w:val="single" w:color="auto" w:sz="6" w:space="0"/>
                    <w:right w:val="single" w:color="auto" w:sz="4" w:space="0"/>
                  </w:tcBorders>
                  <w:vAlign w:val="center"/>
                </w:tcPr>
                <w:p w14:paraId="7DB8FC93">
                  <w:pPr>
                    <w:pStyle w:val="42"/>
                    <w:keepNext w:val="0"/>
                    <w:keepLines w:val="0"/>
                    <w:widowControl/>
                    <w:suppressLineNumbers w:val="0"/>
                    <w:spacing w:before="0" w:beforeAutospacing="0" w:after="0" w:afterAutospacing="0"/>
                    <w:ind w:left="0" w:right="0"/>
                    <w:rPr>
                      <w:rFonts w:hint="default"/>
                    </w:rPr>
                  </w:pPr>
                  <w:r>
                    <w:t>石子、石粉堆放库</w:t>
                  </w:r>
                </w:p>
              </w:tc>
              <w:tc>
                <w:tcPr>
                  <w:tcW w:w="729" w:type="dxa"/>
                  <w:vMerge w:val="restart"/>
                  <w:tcBorders>
                    <w:top w:val="nil"/>
                    <w:left w:val="nil"/>
                    <w:right w:val="single" w:color="auto" w:sz="4" w:space="0"/>
                  </w:tcBorders>
                  <w:vAlign w:val="center"/>
                </w:tcPr>
                <w:p w14:paraId="3CBE9CD2">
                  <w:pPr>
                    <w:pStyle w:val="42"/>
                    <w:keepNext w:val="0"/>
                    <w:keepLines w:val="0"/>
                    <w:widowControl/>
                    <w:suppressLineNumbers w:val="0"/>
                    <w:spacing w:before="0" w:beforeAutospacing="0" w:after="0" w:afterAutospacing="0"/>
                    <w:ind w:left="0" w:right="0"/>
                    <w:rPr>
                      <w:rFonts w:hint="default"/>
                    </w:rPr>
                  </w:pPr>
                  <w:r>
                    <w:t>颗粒物</w:t>
                  </w:r>
                </w:p>
              </w:tc>
              <w:tc>
                <w:tcPr>
                  <w:tcW w:w="1920" w:type="dxa"/>
                  <w:tcBorders>
                    <w:top w:val="single" w:color="auto" w:sz="6" w:space="0"/>
                    <w:left w:val="nil"/>
                    <w:bottom w:val="single" w:color="auto" w:sz="6" w:space="0"/>
                    <w:right w:val="single" w:color="auto" w:sz="6" w:space="0"/>
                  </w:tcBorders>
                  <w:vAlign w:val="center"/>
                </w:tcPr>
                <w:p w14:paraId="77930338">
                  <w:pPr>
                    <w:pStyle w:val="42"/>
                    <w:keepNext w:val="0"/>
                    <w:keepLines w:val="0"/>
                    <w:widowControl/>
                    <w:suppressLineNumbers w:val="0"/>
                    <w:spacing w:before="0" w:beforeAutospacing="0" w:after="0" w:afterAutospacing="0"/>
                    <w:ind w:left="0" w:right="0"/>
                    <w:rPr>
                      <w:rFonts w:hint="default"/>
                    </w:rPr>
                  </w:pPr>
                  <w:r>
                    <w:t>厂界落地浓度（mg/m</w:t>
                  </w:r>
                  <w:r>
                    <w:rPr>
                      <w:vertAlign w:val="superscript"/>
                    </w:rPr>
                    <w:t>3</w:t>
                  </w:r>
                  <w:r>
                    <w:t>）</w:t>
                  </w:r>
                </w:p>
              </w:tc>
              <w:tc>
                <w:tcPr>
                  <w:tcW w:w="1120" w:type="dxa"/>
                  <w:tcBorders>
                    <w:top w:val="single" w:color="auto" w:sz="6" w:space="0"/>
                    <w:left w:val="nil"/>
                    <w:bottom w:val="single" w:color="auto" w:sz="6" w:space="0"/>
                    <w:right w:val="single" w:color="auto" w:sz="6" w:space="0"/>
                  </w:tcBorders>
                  <w:vAlign w:val="center"/>
                </w:tcPr>
                <w:p w14:paraId="5DEF80DD">
                  <w:pPr>
                    <w:pStyle w:val="42"/>
                    <w:keepNext w:val="0"/>
                    <w:keepLines w:val="0"/>
                    <w:widowControl/>
                    <w:suppressLineNumbers w:val="0"/>
                    <w:spacing w:before="0" w:beforeAutospacing="0" w:after="0" w:afterAutospacing="0"/>
                    <w:ind w:left="0" w:right="0"/>
                    <w:rPr>
                      <w:rFonts w:hint="default"/>
                    </w:rPr>
                  </w:pPr>
                  <w:r>
                    <w:t>0.01701</w:t>
                  </w:r>
                </w:p>
              </w:tc>
              <w:tc>
                <w:tcPr>
                  <w:tcW w:w="1120" w:type="dxa"/>
                  <w:tcBorders>
                    <w:top w:val="single" w:color="auto" w:sz="6" w:space="0"/>
                    <w:left w:val="nil"/>
                    <w:bottom w:val="single" w:color="auto" w:sz="6" w:space="0"/>
                    <w:right w:val="single" w:color="auto" w:sz="6" w:space="0"/>
                  </w:tcBorders>
                  <w:vAlign w:val="center"/>
                </w:tcPr>
                <w:p w14:paraId="482F9280">
                  <w:pPr>
                    <w:pStyle w:val="42"/>
                    <w:keepNext w:val="0"/>
                    <w:keepLines w:val="0"/>
                    <w:widowControl/>
                    <w:suppressLineNumbers w:val="0"/>
                    <w:spacing w:before="0" w:beforeAutospacing="0" w:after="0" w:afterAutospacing="0"/>
                    <w:ind w:left="0" w:right="0"/>
                    <w:rPr>
                      <w:rFonts w:hint="default"/>
                    </w:rPr>
                  </w:pPr>
                  <w:r>
                    <w:t>0.019177</w:t>
                  </w:r>
                </w:p>
              </w:tc>
              <w:tc>
                <w:tcPr>
                  <w:tcW w:w="1120" w:type="dxa"/>
                  <w:tcBorders>
                    <w:top w:val="single" w:color="auto" w:sz="6" w:space="0"/>
                    <w:left w:val="nil"/>
                    <w:bottom w:val="single" w:color="auto" w:sz="6" w:space="0"/>
                    <w:right w:val="single" w:color="auto" w:sz="6" w:space="0"/>
                  </w:tcBorders>
                  <w:vAlign w:val="center"/>
                </w:tcPr>
                <w:p w14:paraId="641407C6">
                  <w:pPr>
                    <w:pStyle w:val="42"/>
                    <w:keepNext w:val="0"/>
                    <w:keepLines w:val="0"/>
                    <w:widowControl/>
                    <w:suppressLineNumbers w:val="0"/>
                    <w:spacing w:before="0" w:beforeAutospacing="0" w:after="0" w:afterAutospacing="0"/>
                    <w:ind w:left="0" w:right="0"/>
                    <w:rPr>
                      <w:rFonts w:hint="default"/>
                    </w:rPr>
                  </w:pPr>
                  <w:r>
                    <w:t>0.0051</w:t>
                  </w:r>
                </w:p>
              </w:tc>
              <w:tc>
                <w:tcPr>
                  <w:tcW w:w="1089" w:type="dxa"/>
                  <w:tcBorders>
                    <w:top w:val="single" w:color="auto" w:sz="6" w:space="0"/>
                    <w:left w:val="nil"/>
                    <w:bottom w:val="single" w:color="auto" w:sz="6" w:space="0"/>
                  </w:tcBorders>
                  <w:vAlign w:val="center"/>
                </w:tcPr>
                <w:p w14:paraId="6F7B1782">
                  <w:pPr>
                    <w:pStyle w:val="42"/>
                    <w:keepNext w:val="0"/>
                    <w:keepLines w:val="0"/>
                    <w:widowControl/>
                    <w:suppressLineNumbers w:val="0"/>
                    <w:spacing w:before="0" w:beforeAutospacing="0" w:after="0" w:afterAutospacing="0"/>
                    <w:ind w:left="0" w:right="0"/>
                    <w:rPr>
                      <w:rFonts w:hint="default"/>
                    </w:rPr>
                  </w:pPr>
                  <w:r>
                    <w:t>0.017281</w:t>
                  </w:r>
                </w:p>
              </w:tc>
            </w:tr>
            <w:tr w14:paraId="73A75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250" w:type="dxa"/>
                  <w:tcBorders>
                    <w:top w:val="nil"/>
                    <w:left w:val="single" w:color="auto" w:sz="6" w:space="0"/>
                    <w:bottom w:val="single" w:color="auto" w:sz="6" w:space="0"/>
                    <w:right w:val="single" w:color="auto" w:sz="4" w:space="0"/>
                  </w:tcBorders>
                  <w:vAlign w:val="center"/>
                </w:tcPr>
                <w:p w14:paraId="599262B5">
                  <w:pPr>
                    <w:pStyle w:val="42"/>
                    <w:keepNext w:val="0"/>
                    <w:keepLines w:val="0"/>
                    <w:widowControl/>
                    <w:suppressLineNumbers w:val="0"/>
                    <w:spacing w:before="0" w:beforeAutospacing="0" w:after="0" w:afterAutospacing="0"/>
                    <w:ind w:left="0" w:right="0"/>
                    <w:rPr>
                      <w:rFonts w:hint="default"/>
                    </w:rPr>
                  </w:pPr>
                  <w:r>
                    <w:t>搅拌车间</w:t>
                  </w:r>
                </w:p>
              </w:tc>
              <w:tc>
                <w:tcPr>
                  <w:tcW w:w="729" w:type="dxa"/>
                  <w:vMerge w:val="continue"/>
                  <w:tcBorders>
                    <w:left w:val="nil"/>
                    <w:right w:val="single" w:color="auto" w:sz="4" w:space="0"/>
                  </w:tcBorders>
                  <w:vAlign w:val="center"/>
                </w:tcPr>
                <w:p w14:paraId="5FE1A9B2">
                  <w:pPr>
                    <w:pStyle w:val="42"/>
                    <w:keepNext w:val="0"/>
                    <w:keepLines w:val="0"/>
                    <w:widowControl/>
                    <w:suppressLineNumbers w:val="0"/>
                    <w:spacing w:before="0" w:beforeAutospacing="0" w:after="0" w:afterAutospacing="0"/>
                    <w:ind w:left="0" w:right="0"/>
                    <w:rPr>
                      <w:rFonts w:hint="default"/>
                    </w:rPr>
                  </w:pPr>
                </w:p>
              </w:tc>
              <w:tc>
                <w:tcPr>
                  <w:tcW w:w="1920" w:type="dxa"/>
                  <w:tcBorders>
                    <w:top w:val="single" w:color="auto" w:sz="6" w:space="0"/>
                    <w:left w:val="nil"/>
                    <w:bottom w:val="single" w:color="auto" w:sz="6" w:space="0"/>
                    <w:right w:val="single" w:color="auto" w:sz="6" w:space="0"/>
                  </w:tcBorders>
                  <w:vAlign w:val="center"/>
                </w:tcPr>
                <w:p w14:paraId="6F37F9BD">
                  <w:pPr>
                    <w:pStyle w:val="42"/>
                    <w:keepNext w:val="0"/>
                    <w:keepLines w:val="0"/>
                    <w:widowControl/>
                    <w:suppressLineNumbers w:val="0"/>
                    <w:spacing w:before="0" w:beforeAutospacing="0" w:after="0" w:afterAutospacing="0"/>
                    <w:ind w:left="0" w:right="0"/>
                    <w:rPr>
                      <w:rFonts w:hint="default"/>
                    </w:rPr>
                  </w:pPr>
                  <w:r>
                    <w:t>厂界落地浓度（mg/m</w:t>
                  </w:r>
                  <w:r>
                    <w:rPr>
                      <w:vertAlign w:val="superscript"/>
                    </w:rPr>
                    <w:t>3</w:t>
                  </w:r>
                  <w:r>
                    <w:t>）</w:t>
                  </w:r>
                </w:p>
              </w:tc>
              <w:tc>
                <w:tcPr>
                  <w:tcW w:w="1120" w:type="dxa"/>
                  <w:tcBorders>
                    <w:top w:val="single" w:color="auto" w:sz="6" w:space="0"/>
                    <w:left w:val="nil"/>
                    <w:bottom w:val="single" w:color="auto" w:sz="6" w:space="0"/>
                    <w:right w:val="single" w:color="auto" w:sz="6" w:space="0"/>
                  </w:tcBorders>
                  <w:vAlign w:val="center"/>
                </w:tcPr>
                <w:p w14:paraId="5174ACF6">
                  <w:pPr>
                    <w:pStyle w:val="42"/>
                    <w:keepNext w:val="0"/>
                    <w:keepLines w:val="0"/>
                    <w:widowControl/>
                    <w:suppressLineNumbers w:val="0"/>
                    <w:spacing w:before="0" w:beforeAutospacing="0" w:after="0" w:afterAutospacing="0"/>
                    <w:ind w:left="0" w:right="0"/>
                    <w:rPr>
                      <w:rFonts w:hint="default"/>
                    </w:rPr>
                  </w:pPr>
                  <w:r>
                    <w:t>0.028976</w:t>
                  </w:r>
                </w:p>
              </w:tc>
              <w:tc>
                <w:tcPr>
                  <w:tcW w:w="1120" w:type="dxa"/>
                  <w:tcBorders>
                    <w:top w:val="single" w:color="auto" w:sz="6" w:space="0"/>
                    <w:left w:val="nil"/>
                    <w:bottom w:val="single" w:color="auto" w:sz="6" w:space="0"/>
                    <w:right w:val="single" w:color="auto" w:sz="6" w:space="0"/>
                  </w:tcBorders>
                  <w:vAlign w:val="center"/>
                </w:tcPr>
                <w:p w14:paraId="041C4964">
                  <w:pPr>
                    <w:pStyle w:val="42"/>
                    <w:keepNext w:val="0"/>
                    <w:keepLines w:val="0"/>
                    <w:widowControl/>
                    <w:suppressLineNumbers w:val="0"/>
                    <w:spacing w:before="0" w:beforeAutospacing="0" w:after="0" w:afterAutospacing="0"/>
                    <w:ind w:left="0" w:right="0"/>
                    <w:rPr>
                      <w:rFonts w:hint="default"/>
                    </w:rPr>
                  </w:pPr>
                  <w:r>
                    <w:t>0.024151</w:t>
                  </w:r>
                </w:p>
              </w:tc>
              <w:tc>
                <w:tcPr>
                  <w:tcW w:w="1120" w:type="dxa"/>
                  <w:tcBorders>
                    <w:top w:val="single" w:color="auto" w:sz="6" w:space="0"/>
                    <w:left w:val="nil"/>
                    <w:bottom w:val="single" w:color="auto" w:sz="6" w:space="0"/>
                    <w:right w:val="single" w:color="auto" w:sz="6" w:space="0"/>
                  </w:tcBorders>
                  <w:vAlign w:val="center"/>
                </w:tcPr>
                <w:p w14:paraId="4C3823A5">
                  <w:pPr>
                    <w:pStyle w:val="42"/>
                    <w:keepNext w:val="0"/>
                    <w:keepLines w:val="0"/>
                    <w:widowControl/>
                    <w:suppressLineNumbers w:val="0"/>
                    <w:spacing w:before="0" w:beforeAutospacing="0" w:after="0" w:afterAutospacing="0"/>
                    <w:ind w:left="0" w:right="0"/>
                    <w:rPr>
                      <w:rFonts w:hint="default"/>
                    </w:rPr>
                  </w:pPr>
                  <w:r>
                    <w:t>0.009033</w:t>
                  </w:r>
                </w:p>
              </w:tc>
              <w:tc>
                <w:tcPr>
                  <w:tcW w:w="1089" w:type="dxa"/>
                  <w:tcBorders>
                    <w:top w:val="single" w:color="auto" w:sz="6" w:space="0"/>
                    <w:left w:val="nil"/>
                    <w:bottom w:val="single" w:color="auto" w:sz="6" w:space="0"/>
                  </w:tcBorders>
                  <w:vAlign w:val="center"/>
                </w:tcPr>
                <w:p w14:paraId="20BC5220">
                  <w:pPr>
                    <w:pStyle w:val="42"/>
                    <w:keepNext w:val="0"/>
                    <w:keepLines w:val="0"/>
                    <w:widowControl/>
                    <w:suppressLineNumbers w:val="0"/>
                    <w:spacing w:before="0" w:beforeAutospacing="0" w:after="0" w:afterAutospacing="0"/>
                    <w:ind w:left="0" w:right="0"/>
                    <w:rPr>
                      <w:rFonts w:hint="default"/>
                    </w:rPr>
                  </w:pPr>
                  <w:r>
                    <w:t>0.028976</w:t>
                  </w:r>
                </w:p>
              </w:tc>
            </w:tr>
            <w:tr w14:paraId="56636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899" w:type="dxa"/>
                  <w:gridSpan w:val="3"/>
                  <w:tcBorders>
                    <w:top w:val="nil"/>
                    <w:left w:val="single" w:color="auto" w:sz="6" w:space="0"/>
                    <w:bottom w:val="single" w:color="auto" w:sz="6" w:space="0"/>
                    <w:right w:val="single" w:color="auto" w:sz="6" w:space="0"/>
                  </w:tcBorders>
                  <w:vAlign w:val="center"/>
                </w:tcPr>
                <w:p w14:paraId="770D7530">
                  <w:pPr>
                    <w:pStyle w:val="42"/>
                    <w:keepNext w:val="0"/>
                    <w:keepLines w:val="0"/>
                    <w:widowControl/>
                    <w:suppressLineNumbers w:val="0"/>
                    <w:spacing w:before="0" w:beforeAutospacing="0" w:after="0" w:afterAutospacing="0"/>
                    <w:ind w:left="0" w:right="0"/>
                    <w:rPr>
                      <w:rFonts w:hint="default"/>
                    </w:rPr>
                  </w:pPr>
                  <w:r>
                    <w:t>颗粒物各厂界叠加值（mg/m</w:t>
                  </w:r>
                  <w:r>
                    <w:rPr>
                      <w:vertAlign w:val="superscript"/>
                    </w:rPr>
                    <w:t>3</w:t>
                  </w:r>
                  <w:r>
                    <w:t>）</w:t>
                  </w:r>
                </w:p>
              </w:tc>
              <w:tc>
                <w:tcPr>
                  <w:tcW w:w="1120" w:type="dxa"/>
                  <w:tcBorders>
                    <w:top w:val="single" w:color="auto" w:sz="6" w:space="0"/>
                    <w:left w:val="nil"/>
                    <w:bottom w:val="single" w:color="auto" w:sz="6" w:space="0"/>
                    <w:right w:val="single" w:color="auto" w:sz="6" w:space="0"/>
                  </w:tcBorders>
                  <w:shd w:val="clear" w:color="auto" w:fill="auto"/>
                  <w:vAlign w:val="center"/>
                </w:tcPr>
                <w:p w14:paraId="5A55A573">
                  <w:pPr>
                    <w:pStyle w:val="42"/>
                    <w:keepNext w:val="0"/>
                    <w:keepLines w:val="0"/>
                    <w:widowControl/>
                    <w:suppressLineNumbers w:val="0"/>
                    <w:spacing w:before="0" w:beforeAutospacing="0" w:after="0" w:afterAutospacing="0"/>
                    <w:ind w:left="0" w:right="0"/>
                    <w:rPr>
                      <w:rFonts w:hint="default"/>
                    </w:rPr>
                  </w:pPr>
                  <w:r>
                    <w:t>0.045986</w:t>
                  </w:r>
                </w:p>
              </w:tc>
              <w:tc>
                <w:tcPr>
                  <w:tcW w:w="1120" w:type="dxa"/>
                  <w:tcBorders>
                    <w:top w:val="single" w:color="auto" w:sz="6" w:space="0"/>
                    <w:left w:val="nil"/>
                    <w:bottom w:val="single" w:color="auto" w:sz="6" w:space="0"/>
                    <w:right w:val="single" w:color="auto" w:sz="6" w:space="0"/>
                  </w:tcBorders>
                  <w:shd w:val="clear" w:color="auto" w:fill="auto"/>
                  <w:vAlign w:val="center"/>
                </w:tcPr>
                <w:p w14:paraId="22B92617">
                  <w:pPr>
                    <w:pStyle w:val="42"/>
                    <w:keepNext w:val="0"/>
                    <w:keepLines w:val="0"/>
                    <w:widowControl/>
                    <w:suppressLineNumbers w:val="0"/>
                    <w:spacing w:before="0" w:beforeAutospacing="0" w:after="0" w:afterAutospacing="0"/>
                    <w:ind w:left="0" w:right="0"/>
                    <w:rPr>
                      <w:rFonts w:hint="default"/>
                    </w:rPr>
                  </w:pPr>
                  <w:r>
                    <w:t>0.043328</w:t>
                  </w:r>
                </w:p>
              </w:tc>
              <w:tc>
                <w:tcPr>
                  <w:tcW w:w="1120" w:type="dxa"/>
                  <w:tcBorders>
                    <w:top w:val="single" w:color="auto" w:sz="6" w:space="0"/>
                    <w:left w:val="nil"/>
                    <w:bottom w:val="single" w:color="auto" w:sz="6" w:space="0"/>
                    <w:right w:val="single" w:color="auto" w:sz="6" w:space="0"/>
                  </w:tcBorders>
                  <w:shd w:val="clear" w:color="auto" w:fill="auto"/>
                  <w:vAlign w:val="center"/>
                </w:tcPr>
                <w:p w14:paraId="33F6F6C1">
                  <w:pPr>
                    <w:pStyle w:val="42"/>
                    <w:keepNext w:val="0"/>
                    <w:keepLines w:val="0"/>
                    <w:widowControl/>
                    <w:suppressLineNumbers w:val="0"/>
                    <w:spacing w:before="0" w:beforeAutospacing="0" w:after="0" w:afterAutospacing="0"/>
                    <w:ind w:left="0" w:right="0"/>
                    <w:rPr>
                      <w:rFonts w:hint="default"/>
                    </w:rPr>
                  </w:pPr>
                  <w:r>
                    <w:t>0.014133</w:t>
                  </w:r>
                </w:p>
              </w:tc>
              <w:tc>
                <w:tcPr>
                  <w:tcW w:w="1089" w:type="dxa"/>
                  <w:tcBorders>
                    <w:top w:val="single" w:color="auto" w:sz="6" w:space="0"/>
                    <w:left w:val="nil"/>
                    <w:bottom w:val="single" w:color="auto" w:sz="6" w:space="0"/>
                  </w:tcBorders>
                  <w:shd w:val="clear" w:color="auto" w:fill="auto"/>
                  <w:vAlign w:val="center"/>
                </w:tcPr>
                <w:p w14:paraId="24651F02">
                  <w:pPr>
                    <w:pStyle w:val="42"/>
                    <w:keepNext w:val="0"/>
                    <w:keepLines w:val="0"/>
                    <w:widowControl/>
                    <w:suppressLineNumbers w:val="0"/>
                    <w:spacing w:before="0" w:beforeAutospacing="0" w:after="0" w:afterAutospacing="0"/>
                    <w:ind w:left="0" w:right="0"/>
                    <w:rPr>
                      <w:rFonts w:hint="default"/>
                    </w:rPr>
                  </w:pPr>
                  <w:r>
                    <w:t>0.046257</w:t>
                  </w:r>
                </w:p>
              </w:tc>
            </w:tr>
            <w:tr w14:paraId="4049D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899" w:type="dxa"/>
                  <w:gridSpan w:val="3"/>
                  <w:tcBorders>
                    <w:top w:val="nil"/>
                    <w:left w:val="single" w:color="auto" w:sz="6" w:space="0"/>
                    <w:bottom w:val="single" w:color="auto" w:sz="6" w:space="0"/>
                    <w:right w:val="single" w:color="auto" w:sz="6" w:space="0"/>
                  </w:tcBorders>
                  <w:vAlign w:val="center"/>
                </w:tcPr>
                <w:p w14:paraId="3DAD9EAB">
                  <w:pPr>
                    <w:pStyle w:val="42"/>
                    <w:keepNext w:val="0"/>
                    <w:keepLines w:val="0"/>
                    <w:widowControl/>
                    <w:suppressLineNumbers w:val="0"/>
                    <w:spacing w:before="0" w:beforeAutospacing="0" w:after="0" w:afterAutospacing="0"/>
                    <w:ind w:left="0" w:right="0"/>
                    <w:rPr>
                      <w:rFonts w:hint="default"/>
                    </w:rPr>
                  </w:pPr>
                  <w:r>
                    <w:t>颗粒物排放标准（mg/m</w:t>
                  </w:r>
                  <w:r>
                    <w:rPr>
                      <w:vertAlign w:val="superscript"/>
                    </w:rPr>
                    <w:t>3</w:t>
                  </w:r>
                  <w:r>
                    <w:t>）</w:t>
                  </w:r>
                </w:p>
              </w:tc>
              <w:tc>
                <w:tcPr>
                  <w:tcW w:w="1120" w:type="dxa"/>
                  <w:tcBorders>
                    <w:top w:val="single" w:color="auto" w:sz="6" w:space="0"/>
                    <w:left w:val="nil"/>
                    <w:bottom w:val="single" w:color="auto" w:sz="6" w:space="0"/>
                    <w:right w:val="single" w:color="auto" w:sz="6" w:space="0"/>
                  </w:tcBorders>
                  <w:vAlign w:val="center"/>
                </w:tcPr>
                <w:p w14:paraId="48ACE1FC">
                  <w:pPr>
                    <w:pStyle w:val="42"/>
                    <w:keepNext w:val="0"/>
                    <w:keepLines w:val="0"/>
                    <w:widowControl/>
                    <w:suppressLineNumbers w:val="0"/>
                    <w:spacing w:before="0" w:beforeAutospacing="0" w:after="0" w:afterAutospacing="0"/>
                    <w:ind w:left="0" w:right="0"/>
                    <w:rPr>
                      <w:rFonts w:hint="default"/>
                    </w:rPr>
                  </w:pPr>
                  <w:r>
                    <w:t>0.5</w:t>
                  </w:r>
                </w:p>
              </w:tc>
              <w:tc>
                <w:tcPr>
                  <w:tcW w:w="1120" w:type="dxa"/>
                  <w:tcBorders>
                    <w:top w:val="single" w:color="auto" w:sz="6" w:space="0"/>
                    <w:left w:val="nil"/>
                    <w:bottom w:val="single" w:color="auto" w:sz="6" w:space="0"/>
                    <w:right w:val="single" w:color="auto" w:sz="6" w:space="0"/>
                  </w:tcBorders>
                  <w:vAlign w:val="center"/>
                </w:tcPr>
                <w:p w14:paraId="2B664E8C">
                  <w:pPr>
                    <w:pStyle w:val="42"/>
                    <w:keepNext w:val="0"/>
                    <w:keepLines w:val="0"/>
                    <w:widowControl/>
                    <w:suppressLineNumbers w:val="0"/>
                    <w:spacing w:before="0" w:beforeAutospacing="0" w:after="0" w:afterAutospacing="0"/>
                    <w:ind w:left="0" w:right="0"/>
                    <w:rPr>
                      <w:rFonts w:hint="default"/>
                    </w:rPr>
                  </w:pPr>
                  <w:r>
                    <w:t>0.5</w:t>
                  </w:r>
                </w:p>
              </w:tc>
              <w:tc>
                <w:tcPr>
                  <w:tcW w:w="1120" w:type="dxa"/>
                  <w:tcBorders>
                    <w:top w:val="single" w:color="auto" w:sz="6" w:space="0"/>
                    <w:left w:val="nil"/>
                    <w:bottom w:val="single" w:color="auto" w:sz="6" w:space="0"/>
                    <w:right w:val="single" w:color="auto" w:sz="6" w:space="0"/>
                  </w:tcBorders>
                  <w:vAlign w:val="center"/>
                </w:tcPr>
                <w:p w14:paraId="0EE02E13">
                  <w:pPr>
                    <w:pStyle w:val="42"/>
                    <w:keepNext w:val="0"/>
                    <w:keepLines w:val="0"/>
                    <w:widowControl/>
                    <w:suppressLineNumbers w:val="0"/>
                    <w:spacing w:before="0" w:beforeAutospacing="0" w:after="0" w:afterAutospacing="0"/>
                    <w:ind w:left="0" w:right="0"/>
                    <w:rPr>
                      <w:rFonts w:hint="default"/>
                    </w:rPr>
                  </w:pPr>
                  <w:r>
                    <w:t>0.5</w:t>
                  </w:r>
                </w:p>
              </w:tc>
              <w:tc>
                <w:tcPr>
                  <w:tcW w:w="1089" w:type="dxa"/>
                  <w:tcBorders>
                    <w:top w:val="single" w:color="auto" w:sz="6" w:space="0"/>
                    <w:left w:val="nil"/>
                    <w:bottom w:val="single" w:color="auto" w:sz="6" w:space="0"/>
                  </w:tcBorders>
                  <w:vAlign w:val="center"/>
                </w:tcPr>
                <w:p w14:paraId="495440E1">
                  <w:pPr>
                    <w:pStyle w:val="42"/>
                    <w:keepNext w:val="0"/>
                    <w:keepLines w:val="0"/>
                    <w:widowControl/>
                    <w:suppressLineNumbers w:val="0"/>
                    <w:spacing w:before="0" w:beforeAutospacing="0" w:after="0" w:afterAutospacing="0"/>
                    <w:ind w:left="0" w:right="0"/>
                    <w:rPr>
                      <w:rFonts w:hint="default"/>
                    </w:rPr>
                  </w:pPr>
                  <w:r>
                    <w:t>0.5</w:t>
                  </w:r>
                </w:p>
              </w:tc>
            </w:tr>
            <w:tr w14:paraId="3AA1CB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899" w:type="dxa"/>
                  <w:gridSpan w:val="3"/>
                  <w:tcBorders>
                    <w:top w:val="nil"/>
                    <w:left w:val="single" w:color="auto" w:sz="6" w:space="0"/>
                    <w:bottom w:val="single" w:color="auto" w:sz="4" w:space="0"/>
                    <w:right w:val="single" w:color="auto" w:sz="6" w:space="0"/>
                  </w:tcBorders>
                  <w:vAlign w:val="center"/>
                </w:tcPr>
                <w:p w14:paraId="6BDD0238">
                  <w:pPr>
                    <w:pStyle w:val="42"/>
                    <w:keepNext w:val="0"/>
                    <w:keepLines w:val="0"/>
                    <w:widowControl/>
                    <w:suppressLineNumbers w:val="0"/>
                    <w:spacing w:before="0" w:beforeAutospacing="0" w:after="0" w:afterAutospacing="0"/>
                    <w:ind w:left="0" w:right="0"/>
                    <w:rPr>
                      <w:rFonts w:hint="default"/>
                    </w:rPr>
                  </w:pPr>
                  <w:r>
                    <w:t>颗粒物达标情况</w:t>
                  </w:r>
                </w:p>
              </w:tc>
              <w:tc>
                <w:tcPr>
                  <w:tcW w:w="1120" w:type="dxa"/>
                  <w:tcBorders>
                    <w:top w:val="single" w:color="auto" w:sz="6" w:space="0"/>
                    <w:left w:val="nil"/>
                    <w:bottom w:val="single" w:color="auto" w:sz="4" w:space="0"/>
                    <w:right w:val="single" w:color="auto" w:sz="6" w:space="0"/>
                  </w:tcBorders>
                  <w:vAlign w:val="center"/>
                </w:tcPr>
                <w:p w14:paraId="18AB0B71">
                  <w:pPr>
                    <w:pStyle w:val="42"/>
                    <w:keepNext w:val="0"/>
                    <w:keepLines w:val="0"/>
                    <w:widowControl/>
                    <w:suppressLineNumbers w:val="0"/>
                    <w:spacing w:before="0" w:beforeAutospacing="0" w:after="0" w:afterAutospacing="0"/>
                    <w:ind w:left="0" w:right="0"/>
                    <w:rPr>
                      <w:rFonts w:hint="default"/>
                    </w:rPr>
                  </w:pPr>
                  <w:r>
                    <w:t>达标</w:t>
                  </w:r>
                </w:p>
              </w:tc>
              <w:tc>
                <w:tcPr>
                  <w:tcW w:w="1120" w:type="dxa"/>
                  <w:tcBorders>
                    <w:top w:val="single" w:color="auto" w:sz="6" w:space="0"/>
                    <w:left w:val="nil"/>
                    <w:bottom w:val="single" w:color="auto" w:sz="6" w:space="0"/>
                    <w:right w:val="single" w:color="auto" w:sz="6" w:space="0"/>
                  </w:tcBorders>
                  <w:vAlign w:val="center"/>
                </w:tcPr>
                <w:p w14:paraId="74E2B382">
                  <w:pPr>
                    <w:pStyle w:val="42"/>
                    <w:keepNext w:val="0"/>
                    <w:keepLines w:val="0"/>
                    <w:widowControl/>
                    <w:suppressLineNumbers w:val="0"/>
                    <w:spacing w:before="0" w:beforeAutospacing="0" w:after="0" w:afterAutospacing="0"/>
                    <w:ind w:left="0" w:right="0"/>
                    <w:rPr>
                      <w:rFonts w:hint="default"/>
                    </w:rPr>
                  </w:pPr>
                  <w:r>
                    <w:t>达标</w:t>
                  </w:r>
                </w:p>
              </w:tc>
              <w:tc>
                <w:tcPr>
                  <w:tcW w:w="1120" w:type="dxa"/>
                  <w:tcBorders>
                    <w:top w:val="single" w:color="auto" w:sz="6" w:space="0"/>
                    <w:left w:val="nil"/>
                    <w:bottom w:val="single" w:color="auto" w:sz="6" w:space="0"/>
                    <w:right w:val="single" w:color="auto" w:sz="6" w:space="0"/>
                  </w:tcBorders>
                  <w:vAlign w:val="center"/>
                </w:tcPr>
                <w:p w14:paraId="380D6AAD">
                  <w:pPr>
                    <w:pStyle w:val="42"/>
                    <w:keepNext w:val="0"/>
                    <w:keepLines w:val="0"/>
                    <w:widowControl/>
                    <w:suppressLineNumbers w:val="0"/>
                    <w:spacing w:before="0" w:beforeAutospacing="0" w:after="0" w:afterAutospacing="0"/>
                    <w:ind w:left="0" w:right="0"/>
                    <w:rPr>
                      <w:rFonts w:hint="default"/>
                    </w:rPr>
                  </w:pPr>
                  <w:r>
                    <w:t>达标</w:t>
                  </w:r>
                </w:p>
              </w:tc>
              <w:tc>
                <w:tcPr>
                  <w:tcW w:w="1089" w:type="dxa"/>
                  <w:tcBorders>
                    <w:top w:val="single" w:color="auto" w:sz="6" w:space="0"/>
                    <w:left w:val="nil"/>
                    <w:bottom w:val="single" w:color="auto" w:sz="6" w:space="0"/>
                  </w:tcBorders>
                  <w:vAlign w:val="center"/>
                </w:tcPr>
                <w:p w14:paraId="75C250C7">
                  <w:pPr>
                    <w:pStyle w:val="42"/>
                    <w:keepNext w:val="0"/>
                    <w:keepLines w:val="0"/>
                    <w:widowControl/>
                    <w:suppressLineNumbers w:val="0"/>
                    <w:spacing w:before="0" w:beforeAutospacing="0" w:after="0" w:afterAutospacing="0"/>
                    <w:ind w:left="0" w:right="0"/>
                    <w:rPr>
                      <w:rFonts w:hint="default"/>
                    </w:rPr>
                  </w:pPr>
                  <w:r>
                    <w:t>达标</w:t>
                  </w:r>
                </w:p>
              </w:tc>
            </w:tr>
          </w:tbl>
          <w:p w14:paraId="6C0E3B67">
            <w:pPr>
              <w:keepNext w:val="0"/>
              <w:keepLines w:val="0"/>
              <w:suppressLineNumbers w:val="0"/>
              <w:spacing w:before="120" w:beforeLines="50" w:beforeAutospacing="0" w:after="0" w:afterAutospacing="0"/>
              <w:ind w:left="0" w:right="0" w:firstLine="480"/>
              <w:rPr>
                <w:rFonts w:hint="default"/>
              </w:rPr>
            </w:pPr>
            <w:r>
              <w:rPr>
                <w:rFonts w:hint="default"/>
              </w:rPr>
              <w:t>由上表预测结果分析可知</w:t>
            </w:r>
            <w:r>
              <w:rPr>
                <w:rFonts w:hint="eastAsia"/>
              </w:rPr>
              <w:t>：</w:t>
            </w:r>
          </w:p>
          <w:p w14:paraId="7909BCAD">
            <w:pPr>
              <w:keepNext w:val="0"/>
              <w:keepLines w:val="0"/>
              <w:suppressLineNumbers w:val="0"/>
              <w:spacing w:before="0" w:beforeAutospacing="0" w:after="0" w:afterAutospacing="0"/>
              <w:ind w:left="0" w:right="0" w:firstLine="480"/>
              <w:rPr>
                <w:rFonts w:hint="default"/>
              </w:rPr>
            </w:pPr>
            <w:r>
              <w:rPr>
                <w:rFonts w:hint="default"/>
              </w:rPr>
              <w:t>项目生产厂区，各厂房车间无组织排放的颗粒物的厂界落地浓度叠加后的最大值为0.046257mg/m</w:t>
            </w:r>
            <w:r>
              <w:rPr>
                <w:rFonts w:hint="default"/>
                <w:vertAlign w:val="superscript"/>
              </w:rPr>
              <w:t>3</w:t>
            </w:r>
            <w:r>
              <w:rPr>
                <w:rFonts w:hint="default"/>
              </w:rPr>
              <w:t>，满足《水泥工业大气污染物超低排放标准》（DB13/2167-2020）表2颗粒物无组织排放浓度限值要求（监控点与参照点总悬浮颗粒物1h浓度值的差值＜0.5mg/m</w:t>
            </w:r>
            <w:r>
              <w:rPr>
                <w:rFonts w:hint="default"/>
                <w:vertAlign w:val="superscript"/>
              </w:rPr>
              <w:t>3</w:t>
            </w:r>
            <w:r>
              <w:rPr>
                <w:rFonts w:hint="default"/>
              </w:rPr>
              <w:t>）的要求。</w:t>
            </w:r>
          </w:p>
          <w:p w14:paraId="0598262C">
            <w:pPr>
              <w:keepNext w:val="0"/>
              <w:keepLines w:val="0"/>
              <w:suppressLineNumbers w:val="0"/>
              <w:spacing w:before="0" w:beforeAutospacing="0" w:after="0" w:afterAutospacing="0"/>
              <w:ind w:left="0" w:right="0" w:firstLine="480"/>
              <w:rPr>
                <w:rFonts w:hint="default"/>
              </w:rPr>
            </w:pPr>
            <w:r>
              <w:rPr>
                <w:rFonts w:hint="eastAsia"/>
              </w:rPr>
              <w:t>项目无组织排放的污染物，为达标排放。</w:t>
            </w:r>
          </w:p>
          <w:p w14:paraId="38FD1A0F">
            <w:pPr>
              <w:keepNext w:val="0"/>
              <w:keepLines w:val="0"/>
              <w:suppressLineNumbers w:val="0"/>
              <w:spacing w:before="0" w:beforeAutospacing="0" w:after="0" w:afterAutospacing="0"/>
              <w:ind w:left="0" w:right="0" w:firstLine="482"/>
              <w:rPr>
                <w:rFonts w:hint="default"/>
                <w:b/>
              </w:rPr>
            </w:pPr>
            <w:r>
              <w:rPr>
                <w:rFonts w:hint="eastAsia"/>
                <w:b/>
              </w:rPr>
              <w:t>（7）监测要求</w:t>
            </w:r>
          </w:p>
          <w:p w14:paraId="2F96F7A6">
            <w:pPr>
              <w:keepNext w:val="0"/>
              <w:keepLines w:val="0"/>
              <w:suppressLineNumbers w:val="0"/>
              <w:spacing w:before="0" w:beforeAutospacing="0" w:after="0" w:afterAutospacing="0"/>
              <w:ind w:left="0" w:right="0" w:firstLine="480"/>
              <w:rPr>
                <w:rFonts w:hint="default"/>
              </w:rPr>
            </w:pPr>
            <w:r>
              <w:rPr>
                <w:rFonts w:hint="default"/>
              </w:rPr>
              <w:t>项目大气污染源监测要求详见下表：</w:t>
            </w:r>
          </w:p>
          <w:p w14:paraId="4DA76C87">
            <w:pPr>
              <w:pStyle w:val="19"/>
              <w:keepNext w:val="0"/>
              <w:keepLines w:val="0"/>
              <w:widowControl w:val="0"/>
              <w:numPr>
                <w:ilvl w:val="0"/>
                <w:numId w:val="15"/>
              </w:numPr>
              <w:suppressLineNumbers w:val="0"/>
              <w:spacing w:before="0" w:beforeAutospacing="0" w:after="0" w:afterAutospacing="0"/>
              <w:ind w:left="0" w:right="0" w:firstLine="0" w:firstLineChars="0"/>
              <w:jc w:val="center"/>
              <w:rPr>
                <w:rFonts w:hint="default" w:ascii="Times New Roman" w:hAnsi="Times New Roman"/>
                <w:b/>
                <w:sz w:val="21"/>
              </w:rPr>
            </w:pPr>
            <w:r>
              <w:rPr>
                <w:rFonts w:hint="eastAsia" w:ascii="Times New Roman" w:hAnsi="Times New Roman"/>
                <w:b/>
                <w:sz w:val="21"/>
              </w:rPr>
              <w:t>项目大气污染源监测计划一览表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351"/>
              <w:gridCol w:w="1351"/>
              <w:gridCol w:w="1350"/>
              <w:gridCol w:w="3314"/>
            </w:tblGrid>
            <w:tr w14:paraId="5E42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14:paraId="2AFB4CFD">
                  <w:pPr>
                    <w:pStyle w:val="42"/>
                    <w:keepNext w:val="0"/>
                    <w:keepLines w:val="0"/>
                    <w:widowControl/>
                    <w:suppressLineNumbers w:val="0"/>
                    <w:spacing w:before="0" w:beforeAutospacing="0" w:after="0" w:afterAutospacing="0"/>
                    <w:ind w:left="0" w:right="0"/>
                    <w:rPr>
                      <w:rFonts w:hint="default"/>
                      <w:b/>
                      <w:bCs/>
                    </w:rPr>
                  </w:pPr>
                  <w:r>
                    <w:rPr>
                      <w:b/>
                      <w:bCs/>
                    </w:rPr>
                    <w:t>项目</w:t>
                  </w:r>
                </w:p>
              </w:tc>
              <w:tc>
                <w:tcPr>
                  <w:tcW w:w="1351" w:type="dxa"/>
                  <w:tcBorders>
                    <w:top w:val="single" w:color="auto" w:sz="4" w:space="0"/>
                    <w:left w:val="nil"/>
                    <w:bottom w:val="single" w:color="auto" w:sz="4" w:space="0"/>
                    <w:right w:val="single" w:color="auto" w:sz="4" w:space="0"/>
                  </w:tcBorders>
                  <w:vAlign w:val="center"/>
                </w:tcPr>
                <w:p w14:paraId="05C54681">
                  <w:pPr>
                    <w:pStyle w:val="42"/>
                    <w:keepNext w:val="0"/>
                    <w:keepLines w:val="0"/>
                    <w:widowControl/>
                    <w:suppressLineNumbers w:val="0"/>
                    <w:spacing w:before="0" w:beforeAutospacing="0" w:after="0" w:afterAutospacing="0"/>
                    <w:ind w:left="0" w:right="0"/>
                    <w:rPr>
                      <w:rFonts w:hint="default"/>
                      <w:b/>
                      <w:bCs/>
                    </w:rPr>
                  </w:pPr>
                  <w:r>
                    <w:rPr>
                      <w:b/>
                      <w:bCs/>
                    </w:rPr>
                    <w:t>监测位置</w:t>
                  </w:r>
                </w:p>
              </w:tc>
              <w:tc>
                <w:tcPr>
                  <w:tcW w:w="1351" w:type="dxa"/>
                  <w:tcBorders>
                    <w:top w:val="single" w:color="auto" w:sz="4" w:space="0"/>
                    <w:left w:val="nil"/>
                    <w:bottom w:val="single" w:color="auto" w:sz="4" w:space="0"/>
                    <w:right w:val="single" w:color="auto" w:sz="4" w:space="0"/>
                  </w:tcBorders>
                  <w:vAlign w:val="center"/>
                </w:tcPr>
                <w:p w14:paraId="7C2E6600">
                  <w:pPr>
                    <w:pStyle w:val="42"/>
                    <w:keepNext w:val="0"/>
                    <w:keepLines w:val="0"/>
                    <w:widowControl/>
                    <w:suppressLineNumbers w:val="0"/>
                    <w:spacing w:before="0" w:beforeAutospacing="0" w:after="0" w:afterAutospacing="0"/>
                    <w:ind w:left="0" w:right="0"/>
                    <w:rPr>
                      <w:rFonts w:hint="default"/>
                      <w:b/>
                      <w:bCs/>
                    </w:rPr>
                  </w:pPr>
                  <w:r>
                    <w:rPr>
                      <w:b/>
                      <w:bCs/>
                    </w:rPr>
                    <w:t>监测项目</w:t>
                  </w:r>
                </w:p>
              </w:tc>
              <w:tc>
                <w:tcPr>
                  <w:tcW w:w="1350" w:type="dxa"/>
                  <w:tcBorders>
                    <w:top w:val="single" w:color="auto" w:sz="4" w:space="0"/>
                    <w:left w:val="nil"/>
                    <w:bottom w:val="single" w:color="auto" w:sz="4" w:space="0"/>
                    <w:right w:val="single" w:color="auto" w:sz="4" w:space="0"/>
                  </w:tcBorders>
                  <w:vAlign w:val="center"/>
                </w:tcPr>
                <w:p w14:paraId="1B0C1579">
                  <w:pPr>
                    <w:pStyle w:val="42"/>
                    <w:keepNext w:val="0"/>
                    <w:keepLines w:val="0"/>
                    <w:widowControl/>
                    <w:suppressLineNumbers w:val="0"/>
                    <w:spacing w:before="0" w:beforeAutospacing="0" w:after="0" w:afterAutospacing="0"/>
                    <w:ind w:left="0" w:right="0"/>
                    <w:rPr>
                      <w:rFonts w:hint="default"/>
                      <w:b/>
                      <w:bCs/>
                    </w:rPr>
                  </w:pPr>
                  <w:r>
                    <w:rPr>
                      <w:b/>
                      <w:bCs/>
                    </w:rPr>
                    <w:t>频次</w:t>
                  </w:r>
                </w:p>
              </w:tc>
              <w:tc>
                <w:tcPr>
                  <w:tcW w:w="3314" w:type="dxa"/>
                  <w:tcBorders>
                    <w:top w:val="single" w:color="auto" w:sz="4" w:space="0"/>
                    <w:left w:val="nil"/>
                    <w:bottom w:val="single" w:color="auto" w:sz="4" w:space="0"/>
                    <w:right w:val="single" w:color="auto" w:sz="4" w:space="0"/>
                  </w:tcBorders>
                  <w:vAlign w:val="center"/>
                </w:tcPr>
                <w:p w14:paraId="39A08605">
                  <w:pPr>
                    <w:pStyle w:val="42"/>
                    <w:keepNext w:val="0"/>
                    <w:keepLines w:val="0"/>
                    <w:widowControl/>
                    <w:suppressLineNumbers w:val="0"/>
                    <w:spacing w:before="0" w:beforeAutospacing="0" w:after="0" w:afterAutospacing="0"/>
                    <w:ind w:left="0" w:right="0"/>
                    <w:rPr>
                      <w:rFonts w:hint="default"/>
                      <w:b/>
                      <w:bCs/>
                    </w:rPr>
                  </w:pPr>
                  <w:r>
                    <w:rPr>
                      <w:b/>
                      <w:bCs/>
                    </w:rPr>
                    <w:t>执行标准</w:t>
                  </w:r>
                </w:p>
              </w:tc>
            </w:tr>
            <w:tr w14:paraId="13E2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4" w:type="dxa"/>
                  <w:vMerge w:val="restart"/>
                  <w:tcBorders>
                    <w:top w:val="nil"/>
                    <w:left w:val="single" w:color="auto" w:sz="4" w:space="0"/>
                    <w:right w:val="single" w:color="auto" w:sz="4" w:space="0"/>
                  </w:tcBorders>
                  <w:vAlign w:val="center"/>
                </w:tcPr>
                <w:p w14:paraId="2D488649">
                  <w:pPr>
                    <w:pStyle w:val="42"/>
                    <w:keepNext w:val="0"/>
                    <w:keepLines w:val="0"/>
                    <w:widowControl/>
                    <w:suppressLineNumbers w:val="0"/>
                    <w:spacing w:before="0" w:beforeAutospacing="0" w:after="0" w:afterAutospacing="0"/>
                    <w:ind w:left="0" w:right="0"/>
                    <w:rPr>
                      <w:rFonts w:hint="default"/>
                      <w:color w:val="FF0000"/>
                    </w:rPr>
                  </w:pPr>
                  <w:r>
                    <w:t>废气</w:t>
                  </w:r>
                </w:p>
              </w:tc>
              <w:tc>
                <w:tcPr>
                  <w:tcW w:w="1351" w:type="dxa"/>
                  <w:tcBorders>
                    <w:top w:val="single" w:color="auto" w:sz="4" w:space="0"/>
                    <w:left w:val="nil"/>
                    <w:right w:val="single" w:color="auto" w:sz="4" w:space="0"/>
                  </w:tcBorders>
                  <w:vAlign w:val="center"/>
                </w:tcPr>
                <w:p w14:paraId="52546DF1">
                  <w:pPr>
                    <w:pStyle w:val="42"/>
                    <w:keepNext w:val="0"/>
                    <w:keepLines w:val="0"/>
                    <w:widowControl/>
                    <w:suppressLineNumbers w:val="0"/>
                    <w:spacing w:before="0" w:beforeAutospacing="0" w:after="0" w:afterAutospacing="0"/>
                    <w:ind w:left="0" w:right="0"/>
                    <w:rPr>
                      <w:rFonts w:hint="default"/>
                      <w:color w:val="FF0000"/>
                    </w:rPr>
                  </w:pPr>
                  <w:r>
                    <w:t>生产厂区搅拌车间布袋除尘器排气筒口</w:t>
                  </w:r>
                </w:p>
              </w:tc>
              <w:tc>
                <w:tcPr>
                  <w:tcW w:w="1351" w:type="dxa"/>
                  <w:tcBorders>
                    <w:top w:val="single" w:color="auto" w:sz="4" w:space="0"/>
                    <w:left w:val="nil"/>
                    <w:bottom w:val="single" w:color="auto" w:sz="4" w:space="0"/>
                    <w:right w:val="single" w:color="auto" w:sz="4" w:space="0"/>
                  </w:tcBorders>
                  <w:vAlign w:val="center"/>
                </w:tcPr>
                <w:p w14:paraId="0C0AA513">
                  <w:pPr>
                    <w:pStyle w:val="42"/>
                    <w:keepNext w:val="0"/>
                    <w:keepLines w:val="0"/>
                    <w:widowControl/>
                    <w:suppressLineNumbers w:val="0"/>
                    <w:spacing w:before="0" w:beforeAutospacing="0" w:after="0" w:afterAutospacing="0"/>
                    <w:ind w:left="0" w:right="0"/>
                    <w:rPr>
                      <w:rFonts w:hint="default"/>
                      <w:color w:val="FF0000"/>
                    </w:rPr>
                  </w:pPr>
                  <w:r>
                    <w:t>颗粒物</w:t>
                  </w:r>
                </w:p>
              </w:tc>
              <w:tc>
                <w:tcPr>
                  <w:tcW w:w="1350" w:type="dxa"/>
                  <w:tcBorders>
                    <w:top w:val="single" w:color="auto" w:sz="4" w:space="0"/>
                    <w:left w:val="nil"/>
                    <w:bottom w:val="single" w:color="auto" w:sz="4" w:space="0"/>
                    <w:right w:val="single" w:color="auto" w:sz="4" w:space="0"/>
                  </w:tcBorders>
                  <w:vAlign w:val="center"/>
                </w:tcPr>
                <w:p w14:paraId="0F6B7A4F">
                  <w:pPr>
                    <w:pStyle w:val="42"/>
                    <w:keepNext w:val="0"/>
                    <w:keepLines w:val="0"/>
                    <w:widowControl/>
                    <w:suppressLineNumbers w:val="0"/>
                    <w:spacing w:before="0" w:beforeAutospacing="0" w:after="0" w:afterAutospacing="0"/>
                    <w:ind w:left="0" w:right="0"/>
                    <w:rPr>
                      <w:rFonts w:hint="default"/>
                      <w:color w:val="FF0000"/>
                    </w:rPr>
                  </w:pPr>
                  <w:r>
                    <w:t>每年一次</w:t>
                  </w:r>
                </w:p>
              </w:tc>
              <w:tc>
                <w:tcPr>
                  <w:tcW w:w="3314" w:type="dxa"/>
                  <w:tcBorders>
                    <w:top w:val="single" w:color="auto" w:sz="4" w:space="0"/>
                    <w:left w:val="nil"/>
                    <w:bottom w:val="single" w:color="auto" w:sz="4" w:space="0"/>
                    <w:right w:val="single" w:color="auto" w:sz="4" w:space="0"/>
                  </w:tcBorders>
                  <w:vAlign w:val="center"/>
                </w:tcPr>
                <w:p w14:paraId="293FE937">
                  <w:pPr>
                    <w:pStyle w:val="42"/>
                    <w:keepNext w:val="0"/>
                    <w:keepLines w:val="0"/>
                    <w:widowControl/>
                    <w:suppressLineNumbers w:val="0"/>
                    <w:spacing w:before="0" w:beforeAutospacing="0" w:after="0" w:afterAutospacing="0"/>
                    <w:ind w:left="0" w:right="0"/>
                    <w:rPr>
                      <w:rFonts w:hint="default"/>
                      <w:color w:val="FF0000"/>
                    </w:rPr>
                  </w:pPr>
                  <w:r>
                    <w:t>《水泥工业大气污染物超低排放标准》（DB13/2167-2020）表1新建企业大气污染物最高允许排放浓度中水泥仓及其他通风生产设备颗粒物排放浓度限值要求</w:t>
                  </w:r>
                </w:p>
              </w:tc>
            </w:tr>
            <w:tr w14:paraId="47DF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4" w:type="dxa"/>
                  <w:vMerge w:val="continue"/>
                  <w:tcBorders>
                    <w:left w:val="single" w:color="auto" w:sz="4" w:space="0"/>
                    <w:right w:val="single" w:color="auto" w:sz="4" w:space="0"/>
                  </w:tcBorders>
                  <w:vAlign w:val="center"/>
                </w:tcPr>
                <w:p w14:paraId="78F49E2E">
                  <w:pPr>
                    <w:pStyle w:val="42"/>
                    <w:keepNext w:val="0"/>
                    <w:keepLines w:val="0"/>
                    <w:widowControl/>
                    <w:suppressLineNumbers w:val="0"/>
                    <w:spacing w:before="0" w:beforeAutospacing="0" w:after="0" w:afterAutospacing="0"/>
                    <w:ind w:left="0" w:right="0"/>
                    <w:rPr>
                      <w:rFonts w:hint="default"/>
                      <w:color w:val="FF0000"/>
                    </w:rPr>
                  </w:pPr>
                </w:p>
              </w:tc>
              <w:tc>
                <w:tcPr>
                  <w:tcW w:w="1351" w:type="dxa"/>
                  <w:tcBorders>
                    <w:left w:val="nil"/>
                    <w:bottom w:val="single" w:color="auto" w:sz="4" w:space="0"/>
                    <w:right w:val="single" w:color="auto" w:sz="4" w:space="0"/>
                  </w:tcBorders>
                  <w:vAlign w:val="center"/>
                </w:tcPr>
                <w:p w14:paraId="5B6533C2">
                  <w:pPr>
                    <w:pStyle w:val="42"/>
                    <w:keepNext w:val="0"/>
                    <w:keepLines w:val="0"/>
                    <w:widowControl/>
                    <w:suppressLineNumbers w:val="0"/>
                    <w:spacing w:before="0" w:beforeAutospacing="0" w:after="0" w:afterAutospacing="0"/>
                    <w:ind w:left="0" w:right="0"/>
                    <w:rPr>
                      <w:rFonts w:hint="default"/>
                      <w:color w:val="FF0000"/>
                    </w:rPr>
                  </w:pPr>
                  <w:r>
                    <w:t>生产厂区水泥筒仓顶部除尘器排放口</w:t>
                  </w:r>
                </w:p>
              </w:tc>
              <w:tc>
                <w:tcPr>
                  <w:tcW w:w="1351" w:type="dxa"/>
                  <w:tcBorders>
                    <w:top w:val="single" w:color="auto" w:sz="4" w:space="0"/>
                    <w:left w:val="nil"/>
                    <w:bottom w:val="single" w:color="auto" w:sz="4" w:space="0"/>
                    <w:right w:val="single" w:color="auto" w:sz="4" w:space="0"/>
                  </w:tcBorders>
                  <w:vAlign w:val="center"/>
                </w:tcPr>
                <w:p w14:paraId="547F8CCA">
                  <w:pPr>
                    <w:pStyle w:val="42"/>
                    <w:keepNext w:val="0"/>
                    <w:keepLines w:val="0"/>
                    <w:widowControl/>
                    <w:suppressLineNumbers w:val="0"/>
                    <w:spacing w:before="0" w:beforeAutospacing="0" w:after="0" w:afterAutospacing="0"/>
                    <w:ind w:left="0" w:right="0"/>
                    <w:rPr>
                      <w:rFonts w:hint="default"/>
                      <w:color w:val="FF0000"/>
                    </w:rPr>
                  </w:pPr>
                  <w:r>
                    <w:t>颗粒物</w:t>
                  </w:r>
                </w:p>
              </w:tc>
              <w:tc>
                <w:tcPr>
                  <w:tcW w:w="1350" w:type="dxa"/>
                  <w:tcBorders>
                    <w:top w:val="single" w:color="auto" w:sz="4" w:space="0"/>
                    <w:left w:val="nil"/>
                    <w:bottom w:val="single" w:color="auto" w:sz="4" w:space="0"/>
                    <w:right w:val="single" w:color="auto" w:sz="4" w:space="0"/>
                  </w:tcBorders>
                  <w:vAlign w:val="center"/>
                </w:tcPr>
                <w:p w14:paraId="3C491021">
                  <w:pPr>
                    <w:pStyle w:val="42"/>
                    <w:keepNext w:val="0"/>
                    <w:keepLines w:val="0"/>
                    <w:widowControl/>
                    <w:suppressLineNumbers w:val="0"/>
                    <w:spacing w:before="0" w:beforeAutospacing="0" w:after="0" w:afterAutospacing="0"/>
                    <w:ind w:left="0" w:right="0"/>
                    <w:rPr>
                      <w:rFonts w:hint="default"/>
                      <w:color w:val="FF0000"/>
                    </w:rPr>
                  </w:pPr>
                  <w:r>
                    <w:t>每年一次</w:t>
                  </w:r>
                </w:p>
              </w:tc>
              <w:tc>
                <w:tcPr>
                  <w:tcW w:w="3314" w:type="dxa"/>
                  <w:tcBorders>
                    <w:top w:val="single" w:color="auto" w:sz="4" w:space="0"/>
                    <w:left w:val="nil"/>
                    <w:bottom w:val="single" w:color="auto" w:sz="4" w:space="0"/>
                    <w:right w:val="single" w:color="auto" w:sz="4" w:space="0"/>
                  </w:tcBorders>
                  <w:vAlign w:val="center"/>
                </w:tcPr>
                <w:p w14:paraId="59FC874C">
                  <w:pPr>
                    <w:pStyle w:val="42"/>
                    <w:keepNext w:val="0"/>
                    <w:keepLines w:val="0"/>
                    <w:widowControl/>
                    <w:suppressLineNumbers w:val="0"/>
                    <w:spacing w:before="0" w:beforeAutospacing="0" w:after="0" w:afterAutospacing="0"/>
                    <w:ind w:left="0" w:right="0"/>
                    <w:rPr>
                      <w:rFonts w:hint="default"/>
                      <w:color w:val="FF0000"/>
                    </w:rPr>
                  </w:pPr>
                  <w:r>
                    <w:t>《水泥工业大气污染物超低排放标准》（DB13/2167-2020）表1新建企业大气污染物最高允许排放浓度中水泥仓及其他通风生产设备颗粒物排放浓度限值要求</w:t>
                  </w:r>
                </w:p>
              </w:tc>
            </w:tr>
            <w:tr w14:paraId="36F8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4" w:type="dxa"/>
                  <w:vMerge w:val="continue"/>
                  <w:tcBorders>
                    <w:left w:val="single" w:color="auto" w:sz="4" w:space="0"/>
                    <w:right w:val="single" w:color="auto" w:sz="4" w:space="0"/>
                  </w:tcBorders>
                  <w:vAlign w:val="center"/>
                </w:tcPr>
                <w:p w14:paraId="5C051449">
                  <w:pPr>
                    <w:pStyle w:val="42"/>
                    <w:keepNext w:val="0"/>
                    <w:keepLines w:val="0"/>
                    <w:widowControl/>
                    <w:suppressLineNumbers w:val="0"/>
                    <w:spacing w:before="0" w:beforeAutospacing="0" w:after="0" w:afterAutospacing="0"/>
                    <w:ind w:left="0" w:right="0"/>
                    <w:rPr>
                      <w:rFonts w:hint="default"/>
                      <w:color w:val="FF0000"/>
                    </w:rPr>
                  </w:pPr>
                </w:p>
              </w:tc>
              <w:tc>
                <w:tcPr>
                  <w:tcW w:w="1351" w:type="dxa"/>
                  <w:tcBorders>
                    <w:left w:val="nil"/>
                    <w:bottom w:val="single" w:color="auto" w:sz="4" w:space="0"/>
                    <w:right w:val="single" w:color="auto" w:sz="4" w:space="0"/>
                  </w:tcBorders>
                  <w:vAlign w:val="center"/>
                </w:tcPr>
                <w:p w14:paraId="49E80F2F">
                  <w:pPr>
                    <w:pStyle w:val="42"/>
                    <w:keepNext w:val="0"/>
                    <w:keepLines w:val="0"/>
                    <w:widowControl/>
                    <w:suppressLineNumbers w:val="0"/>
                    <w:spacing w:before="0" w:beforeAutospacing="0" w:after="0" w:afterAutospacing="0"/>
                    <w:ind w:left="0" w:right="0"/>
                    <w:rPr>
                      <w:rFonts w:hint="default"/>
                      <w:color w:val="FF0000"/>
                    </w:rPr>
                  </w:pPr>
                  <w:r>
                    <w:t>生产厂区厂界</w:t>
                  </w:r>
                </w:p>
              </w:tc>
              <w:tc>
                <w:tcPr>
                  <w:tcW w:w="1351" w:type="dxa"/>
                  <w:tcBorders>
                    <w:top w:val="single" w:color="auto" w:sz="4" w:space="0"/>
                    <w:left w:val="nil"/>
                    <w:bottom w:val="single" w:color="auto" w:sz="4" w:space="0"/>
                    <w:right w:val="single" w:color="auto" w:sz="4" w:space="0"/>
                  </w:tcBorders>
                  <w:vAlign w:val="center"/>
                </w:tcPr>
                <w:p w14:paraId="669B4FAB">
                  <w:pPr>
                    <w:pStyle w:val="42"/>
                    <w:keepNext w:val="0"/>
                    <w:keepLines w:val="0"/>
                    <w:widowControl/>
                    <w:suppressLineNumbers w:val="0"/>
                    <w:spacing w:before="0" w:beforeAutospacing="0" w:after="0" w:afterAutospacing="0"/>
                    <w:ind w:left="0" w:right="0"/>
                    <w:rPr>
                      <w:rFonts w:hint="default"/>
                      <w:color w:val="FF0000"/>
                    </w:rPr>
                  </w:pPr>
                  <w:r>
                    <w:t>无组织排放颗粒物</w:t>
                  </w:r>
                </w:p>
              </w:tc>
              <w:tc>
                <w:tcPr>
                  <w:tcW w:w="1350" w:type="dxa"/>
                  <w:tcBorders>
                    <w:top w:val="single" w:color="auto" w:sz="4" w:space="0"/>
                    <w:left w:val="nil"/>
                    <w:bottom w:val="single" w:color="auto" w:sz="4" w:space="0"/>
                    <w:right w:val="single" w:color="auto" w:sz="4" w:space="0"/>
                  </w:tcBorders>
                  <w:vAlign w:val="center"/>
                </w:tcPr>
                <w:p w14:paraId="6F4C4BE7">
                  <w:pPr>
                    <w:pStyle w:val="42"/>
                    <w:keepNext w:val="0"/>
                    <w:keepLines w:val="0"/>
                    <w:widowControl/>
                    <w:suppressLineNumbers w:val="0"/>
                    <w:spacing w:before="0" w:beforeAutospacing="0" w:after="0" w:afterAutospacing="0"/>
                    <w:ind w:left="0" w:right="0"/>
                    <w:rPr>
                      <w:rFonts w:hint="default"/>
                      <w:color w:val="FF0000"/>
                    </w:rPr>
                  </w:pPr>
                  <w:r>
                    <w:t>每年一次</w:t>
                  </w:r>
                </w:p>
              </w:tc>
              <w:tc>
                <w:tcPr>
                  <w:tcW w:w="3314" w:type="dxa"/>
                  <w:tcBorders>
                    <w:top w:val="single" w:color="auto" w:sz="4" w:space="0"/>
                    <w:left w:val="nil"/>
                    <w:bottom w:val="single" w:color="auto" w:sz="4" w:space="0"/>
                    <w:right w:val="single" w:color="auto" w:sz="4" w:space="0"/>
                  </w:tcBorders>
                  <w:vAlign w:val="center"/>
                </w:tcPr>
                <w:p w14:paraId="5D08D5A0">
                  <w:pPr>
                    <w:pStyle w:val="42"/>
                    <w:keepNext w:val="0"/>
                    <w:keepLines w:val="0"/>
                    <w:widowControl/>
                    <w:suppressLineNumbers w:val="0"/>
                    <w:spacing w:before="0" w:beforeAutospacing="0" w:after="0" w:afterAutospacing="0"/>
                    <w:ind w:left="0" w:right="0"/>
                    <w:rPr>
                      <w:rFonts w:hint="default"/>
                      <w:color w:val="FF0000"/>
                    </w:rPr>
                  </w:pPr>
                  <w:r>
                    <w:t>《水泥工业大气污染物超低排放标准》（DB13/2167-2020）表2无组织颗粒物排放浓度限值要求</w:t>
                  </w:r>
                </w:p>
              </w:tc>
            </w:tr>
          </w:tbl>
          <w:p w14:paraId="6EAC9004">
            <w:pPr>
              <w:keepNext w:val="0"/>
              <w:keepLines w:val="0"/>
              <w:suppressLineNumbers w:val="0"/>
              <w:spacing w:before="120" w:beforeLines="50" w:beforeAutospacing="0" w:after="0" w:afterAutospacing="0"/>
              <w:ind w:left="0" w:right="0" w:firstLine="482"/>
              <w:rPr>
                <w:rFonts w:hint="default"/>
                <w:b/>
              </w:rPr>
            </w:pPr>
            <w:r>
              <w:rPr>
                <w:rFonts w:hint="eastAsia"/>
                <w:b/>
              </w:rPr>
              <w:t>（8）大气环境影响分析结论</w:t>
            </w:r>
          </w:p>
          <w:p w14:paraId="6D1DDAD1">
            <w:pPr>
              <w:keepNext w:val="0"/>
              <w:keepLines w:val="0"/>
              <w:suppressLineNumbers w:val="0"/>
              <w:spacing w:before="0" w:beforeAutospacing="0" w:after="0" w:afterAutospacing="0"/>
              <w:ind w:left="0" w:right="0" w:firstLine="480"/>
              <w:rPr>
                <w:rFonts w:hint="default"/>
              </w:rPr>
            </w:pPr>
            <w:r>
              <w:rPr>
                <w:rFonts w:hint="eastAsia"/>
              </w:rPr>
              <w:t>经上述分析、计算，通过采用各项大气污染防范措施，项目有组织、无组织颗粒物的排放均符合达标排放要求，对周边环境影响程度较轻，项目大气评价范围内存在保护目标，分别为项目南侧的粱前院村和项目东南侧的黄土梁子村，项目颗粒物可达标排放，对环境空气保护目标的影响较小，项目产生的大气环境影响可接受。</w:t>
            </w:r>
          </w:p>
          <w:p w14:paraId="2D607D63">
            <w:pPr>
              <w:keepNext w:val="0"/>
              <w:keepLines w:val="0"/>
              <w:suppressLineNumbers w:val="0"/>
              <w:spacing w:before="0" w:beforeAutospacing="0" w:after="0" w:afterAutospacing="0"/>
              <w:ind w:left="0" w:right="0" w:firstLine="482"/>
              <w:rPr>
                <w:rFonts w:hint="default"/>
                <w:b/>
              </w:rPr>
            </w:pPr>
            <w:r>
              <w:rPr>
                <w:rFonts w:hint="default"/>
                <w:b/>
              </w:rPr>
              <w:t>2．</w:t>
            </w:r>
            <w:r>
              <w:rPr>
                <w:rFonts w:hint="eastAsia"/>
                <w:b/>
              </w:rPr>
              <w:t>地表水环境影响和保护措施</w:t>
            </w:r>
          </w:p>
          <w:p w14:paraId="69B7035F">
            <w:pPr>
              <w:keepNext w:val="0"/>
              <w:keepLines w:val="0"/>
              <w:suppressLineNumbers w:val="0"/>
              <w:spacing w:before="0" w:beforeAutospacing="0" w:after="0" w:afterAutospacing="0"/>
              <w:ind w:left="0" w:right="0" w:firstLine="480"/>
              <w:rPr>
                <w:rFonts w:hint="default"/>
              </w:rPr>
            </w:pPr>
            <w:r>
              <w:rPr>
                <w:rFonts w:hint="eastAsia"/>
              </w:rPr>
              <w:t>项目运行阶段水污染物为生活污水。</w:t>
            </w:r>
          </w:p>
          <w:p w14:paraId="2D094D7F">
            <w:pPr>
              <w:keepNext w:val="0"/>
              <w:keepLines w:val="0"/>
              <w:suppressLineNumbers w:val="0"/>
              <w:spacing w:before="0" w:beforeAutospacing="0" w:after="0" w:afterAutospacing="0"/>
              <w:ind w:left="0" w:right="0" w:firstLine="482"/>
              <w:rPr>
                <w:rFonts w:hint="default"/>
                <w:b/>
              </w:rPr>
            </w:pPr>
            <w:r>
              <w:rPr>
                <w:rFonts w:hint="eastAsia"/>
                <w:b/>
              </w:rPr>
              <w:t>（</w:t>
            </w:r>
            <w:r>
              <w:rPr>
                <w:rFonts w:hint="default"/>
                <w:b/>
              </w:rPr>
              <w:t>1</w:t>
            </w:r>
            <w:r>
              <w:rPr>
                <w:rFonts w:hint="eastAsia"/>
                <w:b/>
              </w:rPr>
              <w:t>）水污染物产生和排放情况</w:t>
            </w:r>
          </w:p>
          <w:p w14:paraId="58EECFE3">
            <w:pPr>
              <w:keepNext w:val="0"/>
              <w:keepLines w:val="0"/>
              <w:suppressLineNumbers w:val="0"/>
              <w:spacing w:before="0" w:beforeAutospacing="0" w:after="0" w:afterAutospacing="0"/>
              <w:ind w:left="0" w:right="0" w:firstLine="480"/>
              <w:rPr>
                <w:rFonts w:hint="default"/>
              </w:rPr>
            </w:pPr>
            <w:r>
              <w:rPr>
                <w:rFonts w:hint="eastAsia"/>
              </w:rPr>
              <w:t>本项目废水为生活污水，生活污水主要为员工盥洗污水，定期泼洒至厂区地面，用于洒水降尘，不外排。</w:t>
            </w:r>
          </w:p>
          <w:p w14:paraId="5CAA0DA2">
            <w:pPr>
              <w:keepNext w:val="0"/>
              <w:keepLines w:val="0"/>
              <w:suppressLineNumbers w:val="0"/>
              <w:spacing w:before="0" w:beforeAutospacing="0" w:after="0" w:afterAutospacing="0"/>
              <w:ind w:left="0" w:right="0" w:firstLine="480"/>
              <w:rPr>
                <w:rFonts w:hint="default"/>
              </w:rPr>
            </w:pPr>
            <w:r>
              <w:rPr>
                <w:rFonts w:hint="eastAsia"/>
              </w:rPr>
              <w:t>项目污水产生和排放情况见下表。</w:t>
            </w:r>
          </w:p>
          <w:p w14:paraId="02D9D559">
            <w:pPr>
              <w:pStyle w:val="19"/>
              <w:keepNext w:val="0"/>
              <w:keepLines w:val="0"/>
              <w:widowControl w:val="0"/>
              <w:numPr>
                <w:ilvl w:val="0"/>
                <w:numId w:val="15"/>
              </w:numPr>
              <w:suppressLineNumbers w:val="0"/>
              <w:spacing w:before="0" w:beforeAutospacing="0" w:after="0" w:afterAutospacing="0"/>
              <w:ind w:left="0" w:right="0" w:firstLine="0" w:firstLineChars="0"/>
              <w:jc w:val="center"/>
              <w:rPr>
                <w:rFonts w:hint="default" w:ascii="Times New Roman" w:hAnsi="Times New Roman"/>
                <w:b/>
                <w:sz w:val="21"/>
              </w:rPr>
            </w:pPr>
            <w:r>
              <w:rPr>
                <w:rFonts w:hint="eastAsia" w:ascii="Times New Roman" w:hAnsi="Times New Roman"/>
                <w:b/>
                <w:sz w:val="21"/>
              </w:rPr>
              <w:t>项目水污染产生和排放</w:t>
            </w:r>
            <w:r>
              <w:rPr>
                <w:rFonts w:hint="eastAsia" w:cs="宋体"/>
                <w:b/>
                <w:sz w:val="21"/>
                <w:szCs w:val="21"/>
                <w:lang w:bidi="ar"/>
              </w:rPr>
              <w:t>情况</w:t>
            </w:r>
            <w:r>
              <w:rPr>
                <w:rFonts w:hint="eastAsia" w:ascii="Times New Roman" w:hAnsi="Times New Roman"/>
                <w:b/>
                <w:sz w:val="21"/>
              </w:rPr>
              <w:t>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671"/>
              <w:gridCol w:w="1836"/>
              <w:gridCol w:w="1151"/>
              <w:gridCol w:w="1525"/>
              <w:gridCol w:w="1384"/>
            </w:tblGrid>
            <w:tr w14:paraId="72D1C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5" w:type="pct"/>
                  <w:tcBorders>
                    <w:top w:val="single" w:color="auto" w:sz="4" w:space="0"/>
                    <w:left w:val="single" w:color="auto" w:sz="4" w:space="0"/>
                    <w:bottom w:val="single" w:color="auto" w:sz="4" w:space="0"/>
                    <w:right w:val="single" w:color="auto" w:sz="4" w:space="0"/>
                  </w:tcBorders>
                  <w:vAlign w:val="center"/>
                </w:tcPr>
                <w:p w14:paraId="79DA7478">
                  <w:pPr>
                    <w:pStyle w:val="42"/>
                    <w:keepNext w:val="0"/>
                    <w:keepLines w:val="0"/>
                    <w:widowControl/>
                    <w:suppressLineNumbers w:val="0"/>
                    <w:spacing w:before="0" w:beforeAutospacing="0" w:after="0" w:afterAutospacing="0"/>
                    <w:ind w:left="0" w:right="0"/>
                    <w:rPr>
                      <w:rFonts w:hint="default"/>
                      <w:b/>
                      <w:bCs/>
                    </w:rPr>
                  </w:pPr>
                  <w:r>
                    <w:rPr>
                      <w:b/>
                      <w:bCs/>
                    </w:rPr>
                    <w:t>产生工序</w:t>
                  </w:r>
                </w:p>
              </w:tc>
              <w:tc>
                <w:tcPr>
                  <w:tcW w:w="994" w:type="pct"/>
                  <w:tcBorders>
                    <w:top w:val="single" w:color="auto" w:sz="4" w:space="0"/>
                    <w:left w:val="nil"/>
                    <w:bottom w:val="single" w:color="auto" w:sz="4" w:space="0"/>
                    <w:right w:val="single" w:color="auto" w:sz="4" w:space="0"/>
                  </w:tcBorders>
                  <w:vAlign w:val="center"/>
                </w:tcPr>
                <w:p w14:paraId="4CB32831">
                  <w:pPr>
                    <w:pStyle w:val="42"/>
                    <w:keepNext w:val="0"/>
                    <w:keepLines w:val="0"/>
                    <w:widowControl/>
                    <w:suppressLineNumbers w:val="0"/>
                    <w:spacing w:before="0" w:beforeAutospacing="0" w:after="0" w:afterAutospacing="0"/>
                    <w:ind w:left="0" w:right="0"/>
                    <w:rPr>
                      <w:rFonts w:hint="default"/>
                      <w:b/>
                      <w:bCs/>
                    </w:rPr>
                  </w:pPr>
                  <w:r>
                    <w:rPr>
                      <w:b/>
                      <w:bCs/>
                    </w:rPr>
                    <w:t>污染物类别</w:t>
                  </w:r>
                </w:p>
              </w:tc>
              <w:tc>
                <w:tcPr>
                  <w:tcW w:w="1092" w:type="pct"/>
                  <w:tcBorders>
                    <w:top w:val="single" w:color="auto" w:sz="4" w:space="0"/>
                    <w:left w:val="nil"/>
                    <w:bottom w:val="single" w:color="auto" w:sz="4" w:space="0"/>
                    <w:right w:val="single" w:color="auto" w:sz="4" w:space="0"/>
                  </w:tcBorders>
                  <w:vAlign w:val="center"/>
                </w:tcPr>
                <w:p w14:paraId="1019AF4E">
                  <w:pPr>
                    <w:pStyle w:val="42"/>
                    <w:keepNext w:val="0"/>
                    <w:keepLines w:val="0"/>
                    <w:widowControl/>
                    <w:suppressLineNumbers w:val="0"/>
                    <w:spacing w:before="0" w:beforeAutospacing="0" w:after="0" w:afterAutospacing="0"/>
                    <w:ind w:left="0" w:right="0"/>
                    <w:rPr>
                      <w:rFonts w:hint="default"/>
                      <w:b/>
                      <w:bCs/>
                    </w:rPr>
                  </w:pPr>
                  <w:r>
                    <w:rPr>
                      <w:b/>
                      <w:bCs/>
                    </w:rPr>
                    <w:t>污染物种类</w:t>
                  </w:r>
                </w:p>
              </w:tc>
              <w:tc>
                <w:tcPr>
                  <w:tcW w:w="685" w:type="pct"/>
                  <w:tcBorders>
                    <w:top w:val="single" w:color="auto" w:sz="4" w:space="0"/>
                    <w:left w:val="nil"/>
                    <w:bottom w:val="single" w:color="auto" w:sz="4" w:space="0"/>
                    <w:right w:val="single" w:color="auto" w:sz="4" w:space="0"/>
                  </w:tcBorders>
                  <w:vAlign w:val="center"/>
                </w:tcPr>
                <w:p w14:paraId="4466EC19">
                  <w:pPr>
                    <w:pStyle w:val="42"/>
                    <w:keepNext w:val="0"/>
                    <w:keepLines w:val="0"/>
                    <w:widowControl/>
                    <w:suppressLineNumbers w:val="0"/>
                    <w:spacing w:before="0" w:beforeAutospacing="0" w:after="0" w:afterAutospacing="0"/>
                    <w:ind w:left="0" w:right="0"/>
                    <w:rPr>
                      <w:rFonts w:hint="default"/>
                      <w:b/>
                      <w:bCs/>
                    </w:rPr>
                  </w:pPr>
                  <w:r>
                    <w:rPr>
                      <w:b/>
                      <w:bCs/>
                    </w:rPr>
                    <w:t>废水产生量</w:t>
                  </w:r>
                </w:p>
              </w:tc>
              <w:tc>
                <w:tcPr>
                  <w:tcW w:w="907" w:type="pct"/>
                  <w:tcBorders>
                    <w:top w:val="single" w:color="auto" w:sz="4" w:space="0"/>
                    <w:left w:val="nil"/>
                    <w:bottom w:val="single" w:color="auto" w:sz="4" w:space="0"/>
                    <w:right w:val="single" w:color="auto" w:sz="4" w:space="0"/>
                  </w:tcBorders>
                  <w:vAlign w:val="center"/>
                </w:tcPr>
                <w:p w14:paraId="3B7C4DBB">
                  <w:pPr>
                    <w:pStyle w:val="42"/>
                    <w:keepNext w:val="0"/>
                    <w:keepLines w:val="0"/>
                    <w:widowControl/>
                    <w:suppressLineNumbers w:val="0"/>
                    <w:spacing w:before="0" w:beforeAutospacing="0" w:after="0" w:afterAutospacing="0"/>
                    <w:ind w:left="0" w:right="0"/>
                    <w:rPr>
                      <w:rFonts w:hint="default"/>
                      <w:b/>
                      <w:bCs/>
                    </w:rPr>
                  </w:pPr>
                  <w:r>
                    <w:rPr>
                      <w:b/>
                      <w:bCs/>
                    </w:rPr>
                    <w:t>废水去向</w:t>
                  </w:r>
                </w:p>
              </w:tc>
              <w:tc>
                <w:tcPr>
                  <w:tcW w:w="824" w:type="pct"/>
                  <w:tcBorders>
                    <w:top w:val="single" w:color="auto" w:sz="4" w:space="0"/>
                    <w:left w:val="nil"/>
                    <w:bottom w:val="single" w:color="auto" w:sz="4" w:space="0"/>
                    <w:right w:val="single" w:color="auto" w:sz="4" w:space="0"/>
                  </w:tcBorders>
                  <w:vAlign w:val="center"/>
                </w:tcPr>
                <w:p w14:paraId="2ABEBFD3">
                  <w:pPr>
                    <w:pStyle w:val="42"/>
                    <w:keepNext w:val="0"/>
                    <w:keepLines w:val="0"/>
                    <w:widowControl/>
                    <w:suppressLineNumbers w:val="0"/>
                    <w:spacing w:before="0" w:beforeAutospacing="0" w:after="0" w:afterAutospacing="0"/>
                    <w:ind w:left="0" w:right="0"/>
                    <w:rPr>
                      <w:rFonts w:hint="default"/>
                      <w:b/>
                      <w:bCs/>
                    </w:rPr>
                  </w:pPr>
                  <w:r>
                    <w:rPr>
                      <w:b/>
                      <w:bCs/>
                    </w:rPr>
                    <w:t>排放方式</w:t>
                  </w:r>
                </w:p>
              </w:tc>
            </w:tr>
            <w:tr w14:paraId="06E4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5" w:type="pct"/>
                  <w:tcBorders>
                    <w:top w:val="single" w:color="auto" w:sz="4" w:space="0"/>
                    <w:left w:val="single" w:color="auto" w:sz="4" w:space="0"/>
                    <w:bottom w:val="single" w:color="auto" w:sz="4" w:space="0"/>
                    <w:right w:val="single" w:color="auto" w:sz="4" w:space="0"/>
                  </w:tcBorders>
                  <w:vAlign w:val="center"/>
                </w:tcPr>
                <w:p w14:paraId="73D930BE">
                  <w:pPr>
                    <w:pStyle w:val="42"/>
                    <w:keepNext w:val="0"/>
                    <w:keepLines w:val="0"/>
                    <w:widowControl/>
                    <w:suppressLineNumbers w:val="0"/>
                    <w:spacing w:before="0" w:beforeAutospacing="0" w:after="0" w:afterAutospacing="0"/>
                    <w:ind w:left="0" w:right="0"/>
                    <w:rPr>
                      <w:rFonts w:hint="default"/>
                    </w:rPr>
                  </w:pPr>
                  <w:r>
                    <w:t>办公</w:t>
                  </w:r>
                </w:p>
              </w:tc>
              <w:tc>
                <w:tcPr>
                  <w:tcW w:w="994" w:type="pct"/>
                  <w:tcBorders>
                    <w:top w:val="single" w:color="auto" w:sz="4" w:space="0"/>
                    <w:left w:val="nil"/>
                    <w:bottom w:val="single" w:color="auto" w:sz="4" w:space="0"/>
                    <w:right w:val="single" w:color="auto" w:sz="4" w:space="0"/>
                  </w:tcBorders>
                  <w:vAlign w:val="center"/>
                </w:tcPr>
                <w:p w14:paraId="6E2FD3F2">
                  <w:pPr>
                    <w:pStyle w:val="42"/>
                    <w:keepNext w:val="0"/>
                    <w:keepLines w:val="0"/>
                    <w:widowControl/>
                    <w:suppressLineNumbers w:val="0"/>
                    <w:spacing w:before="0" w:beforeAutospacing="0" w:after="0" w:afterAutospacing="0"/>
                    <w:ind w:left="0" w:right="0"/>
                    <w:rPr>
                      <w:rFonts w:hint="default"/>
                    </w:rPr>
                  </w:pPr>
                  <w:r>
                    <w:t>盥洗污水</w:t>
                  </w:r>
                </w:p>
              </w:tc>
              <w:tc>
                <w:tcPr>
                  <w:tcW w:w="1092" w:type="pct"/>
                  <w:tcBorders>
                    <w:top w:val="single" w:color="auto" w:sz="4" w:space="0"/>
                    <w:left w:val="nil"/>
                    <w:bottom w:val="single" w:color="auto" w:sz="4" w:space="0"/>
                    <w:right w:val="single" w:color="auto" w:sz="4" w:space="0"/>
                  </w:tcBorders>
                  <w:vAlign w:val="center"/>
                </w:tcPr>
                <w:p w14:paraId="3BE2CC8C">
                  <w:pPr>
                    <w:pStyle w:val="42"/>
                    <w:keepNext w:val="0"/>
                    <w:keepLines w:val="0"/>
                    <w:widowControl/>
                    <w:suppressLineNumbers w:val="0"/>
                    <w:spacing w:before="0" w:beforeAutospacing="0" w:after="0" w:afterAutospacing="0"/>
                    <w:ind w:left="0" w:right="0"/>
                    <w:rPr>
                      <w:rFonts w:hint="default"/>
                    </w:rPr>
                  </w:pPr>
                  <w:r>
                    <w:t>pH、COD、BOD</w:t>
                  </w:r>
                  <w:r>
                    <w:rPr>
                      <w:vertAlign w:val="subscript"/>
                    </w:rPr>
                    <w:t>5</w:t>
                  </w:r>
                  <w:r>
                    <w:t>、SS、氨氮等</w:t>
                  </w:r>
                </w:p>
              </w:tc>
              <w:tc>
                <w:tcPr>
                  <w:tcW w:w="685" w:type="pct"/>
                  <w:tcBorders>
                    <w:top w:val="single" w:color="auto" w:sz="4" w:space="0"/>
                    <w:left w:val="nil"/>
                    <w:bottom w:val="single" w:color="auto" w:sz="4" w:space="0"/>
                    <w:right w:val="single" w:color="auto" w:sz="4" w:space="0"/>
                  </w:tcBorders>
                  <w:vAlign w:val="center"/>
                </w:tcPr>
                <w:p w14:paraId="06CDE46A">
                  <w:pPr>
                    <w:pStyle w:val="42"/>
                    <w:keepNext w:val="0"/>
                    <w:keepLines w:val="0"/>
                    <w:widowControl/>
                    <w:suppressLineNumbers w:val="0"/>
                    <w:spacing w:before="0" w:beforeAutospacing="0" w:after="0" w:afterAutospacing="0"/>
                    <w:ind w:left="0" w:right="0"/>
                    <w:rPr>
                      <w:rFonts w:hint="default"/>
                      <w:color w:val="FF0000"/>
                    </w:rPr>
                  </w:pPr>
                  <w:r>
                    <w:t>1.23m</w:t>
                  </w:r>
                  <w:r>
                    <w:rPr>
                      <w:vertAlign w:val="superscript"/>
                    </w:rPr>
                    <w:t>3</w:t>
                  </w:r>
                  <w:r>
                    <w:t>/d</w:t>
                  </w:r>
                </w:p>
              </w:tc>
              <w:tc>
                <w:tcPr>
                  <w:tcW w:w="907" w:type="pct"/>
                  <w:tcBorders>
                    <w:top w:val="single" w:color="auto" w:sz="4" w:space="0"/>
                    <w:left w:val="nil"/>
                    <w:bottom w:val="single" w:color="auto" w:sz="4" w:space="0"/>
                    <w:right w:val="single" w:color="auto" w:sz="4" w:space="0"/>
                  </w:tcBorders>
                  <w:vAlign w:val="center"/>
                </w:tcPr>
                <w:p w14:paraId="23C069E9">
                  <w:pPr>
                    <w:pStyle w:val="42"/>
                    <w:keepNext w:val="0"/>
                    <w:keepLines w:val="0"/>
                    <w:widowControl/>
                    <w:suppressLineNumbers w:val="0"/>
                    <w:spacing w:before="0" w:beforeAutospacing="0" w:after="0" w:afterAutospacing="0"/>
                    <w:ind w:left="0" w:right="0"/>
                    <w:rPr>
                      <w:rFonts w:hint="default"/>
                    </w:rPr>
                  </w:pPr>
                  <w:r>
                    <w:t>定期泼洒至厂区地面洒水降尘</w:t>
                  </w:r>
                </w:p>
              </w:tc>
              <w:tc>
                <w:tcPr>
                  <w:tcW w:w="824" w:type="pct"/>
                  <w:tcBorders>
                    <w:top w:val="single" w:color="auto" w:sz="4" w:space="0"/>
                    <w:left w:val="nil"/>
                    <w:bottom w:val="single" w:color="auto" w:sz="4" w:space="0"/>
                    <w:right w:val="single" w:color="auto" w:sz="4" w:space="0"/>
                  </w:tcBorders>
                  <w:vAlign w:val="center"/>
                </w:tcPr>
                <w:p w14:paraId="27ABDA5A">
                  <w:pPr>
                    <w:pStyle w:val="42"/>
                    <w:keepNext w:val="0"/>
                    <w:keepLines w:val="0"/>
                    <w:widowControl/>
                    <w:suppressLineNumbers w:val="0"/>
                    <w:spacing w:before="0" w:beforeAutospacing="0" w:after="0" w:afterAutospacing="0"/>
                    <w:ind w:left="0" w:right="0"/>
                    <w:rPr>
                      <w:rFonts w:hint="default"/>
                    </w:rPr>
                  </w:pPr>
                  <w:r>
                    <w:t>综合利用不排放</w:t>
                  </w:r>
                </w:p>
              </w:tc>
            </w:tr>
          </w:tbl>
          <w:p w14:paraId="0323DD53">
            <w:pPr>
              <w:keepNext w:val="0"/>
              <w:keepLines w:val="0"/>
              <w:suppressLineNumbers w:val="0"/>
              <w:spacing w:before="120" w:beforeLines="50" w:beforeAutospacing="0" w:after="0" w:afterAutospacing="0"/>
              <w:ind w:left="0" w:right="0" w:firstLine="482"/>
              <w:rPr>
                <w:rFonts w:hint="default"/>
                <w:b/>
              </w:rPr>
            </w:pPr>
            <w:r>
              <w:rPr>
                <w:rFonts w:hint="eastAsia"/>
                <w:b/>
              </w:rPr>
              <w:t>（2）废水污染治理设施的可行性</w:t>
            </w:r>
          </w:p>
          <w:p w14:paraId="11EE6211">
            <w:pPr>
              <w:keepNext w:val="0"/>
              <w:keepLines w:val="0"/>
              <w:suppressLineNumbers w:val="0"/>
              <w:spacing w:before="0" w:beforeAutospacing="0" w:after="0" w:afterAutospacing="0"/>
              <w:ind w:left="0" w:right="0" w:firstLine="480"/>
              <w:rPr>
                <w:rFonts w:hint="default"/>
              </w:rPr>
            </w:pPr>
            <w:r>
              <w:rPr>
                <w:rFonts w:hint="eastAsia"/>
              </w:rPr>
              <w:t>生活盥洗污水洒水降尘：项目进行混凝土搅拌，厂区内每天易积存一定量的尘，大风天在风力作用下，地面的尘容易飞散至空中，产生一定的影响。项目职工盥洗水洒水降尘，经地面的蒸发作用，损耗，用于降尘的水蒸发至空气中，既可降低厂区的扬尘排放，又可实现水资源的综合利用，废水全部实现综合利用，不外排至地表水环境中。该污水处理技术具有可行性。</w:t>
            </w:r>
          </w:p>
          <w:p w14:paraId="0134E067">
            <w:pPr>
              <w:keepNext w:val="0"/>
              <w:keepLines w:val="0"/>
              <w:suppressLineNumbers w:val="0"/>
              <w:spacing w:before="0" w:beforeAutospacing="0" w:after="0" w:afterAutospacing="0"/>
              <w:ind w:left="0" w:right="0" w:firstLine="482"/>
              <w:rPr>
                <w:rFonts w:hint="default"/>
                <w:b/>
              </w:rPr>
            </w:pPr>
            <w:r>
              <w:rPr>
                <w:rFonts w:hint="eastAsia"/>
                <w:b/>
              </w:rPr>
              <w:t>（</w:t>
            </w:r>
            <w:r>
              <w:rPr>
                <w:rFonts w:hint="default"/>
                <w:b/>
              </w:rPr>
              <w:t>3</w:t>
            </w:r>
            <w:r>
              <w:rPr>
                <w:rFonts w:hint="eastAsia"/>
                <w:b/>
              </w:rPr>
              <w:t>）地表水环境影响分析结论</w:t>
            </w:r>
          </w:p>
          <w:p w14:paraId="649178B4">
            <w:pPr>
              <w:keepNext w:val="0"/>
              <w:keepLines w:val="0"/>
              <w:suppressLineNumbers w:val="0"/>
              <w:spacing w:before="0" w:beforeAutospacing="0" w:after="0" w:afterAutospacing="0"/>
              <w:ind w:left="0" w:right="0" w:firstLine="480"/>
              <w:rPr>
                <w:rFonts w:hint="default"/>
              </w:rPr>
            </w:pPr>
            <w:r>
              <w:rPr>
                <w:rFonts w:hint="eastAsia"/>
              </w:rPr>
              <w:t>综上，项</w:t>
            </w:r>
            <w:r>
              <w:rPr>
                <w:rFonts w:hint="default"/>
              </w:rPr>
              <w:t>目产生的废水综合利用</w:t>
            </w:r>
            <w:r>
              <w:rPr>
                <w:rFonts w:hint="eastAsia"/>
              </w:rPr>
              <w:t>、</w:t>
            </w:r>
            <w:r>
              <w:rPr>
                <w:rFonts w:hint="default"/>
              </w:rPr>
              <w:t>消纳</w:t>
            </w:r>
            <w:r>
              <w:rPr>
                <w:rFonts w:hint="eastAsia"/>
              </w:rPr>
              <w:t>，或者循环利用</w:t>
            </w:r>
            <w:r>
              <w:rPr>
                <w:rFonts w:hint="default"/>
              </w:rPr>
              <w:t>，不外排，项目拟采取的水污染控制措施</w:t>
            </w:r>
            <w:r>
              <w:rPr>
                <w:rFonts w:hint="eastAsia"/>
              </w:rPr>
              <w:t>具有可行性，</w:t>
            </w:r>
            <w:r>
              <w:rPr>
                <w:rFonts w:hint="default"/>
              </w:rPr>
              <w:t>项目产生的地表水环境影响可接受。</w:t>
            </w:r>
          </w:p>
          <w:p w14:paraId="3BD06E74">
            <w:pPr>
              <w:keepNext w:val="0"/>
              <w:keepLines w:val="0"/>
              <w:suppressLineNumbers w:val="0"/>
              <w:spacing w:before="0" w:beforeAutospacing="0" w:after="0" w:afterAutospacing="0"/>
              <w:ind w:left="0" w:right="0" w:firstLine="482"/>
              <w:rPr>
                <w:rFonts w:hint="default"/>
                <w:b/>
              </w:rPr>
            </w:pPr>
            <w:r>
              <w:rPr>
                <w:rFonts w:hint="default"/>
                <w:b/>
              </w:rPr>
              <w:t>3．</w:t>
            </w:r>
            <w:r>
              <w:rPr>
                <w:rFonts w:hint="eastAsia"/>
                <w:b/>
              </w:rPr>
              <w:t>声环境影响和保护措施</w:t>
            </w:r>
          </w:p>
          <w:p w14:paraId="462A2E02">
            <w:pPr>
              <w:keepNext w:val="0"/>
              <w:keepLines w:val="0"/>
              <w:suppressLineNumbers w:val="0"/>
              <w:spacing w:before="0" w:beforeAutospacing="0" w:after="0" w:afterAutospacing="0"/>
              <w:ind w:left="0" w:right="0" w:firstLine="480"/>
              <w:rPr>
                <w:rFonts w:hint="default"/>
              </w:rPr>
            </w:pPr>
            <w:r>
              <w:rPr>
                <w:rFonts w:hint="eastAsia"/>
              </w:rPr>
              <w:t>项目主要噪声源为搅拌机、风机、水泵，</w:t>
            </w:r>
            <w:r>
              <w:rPr>
                <w:rFonts w:hint="default"/>
              </w:rPr>
              <w:t>通过采取</w:t>
            </w:r>
            <w:r>
              <w:rPr>
                <w:rFonts w:hint="eastAsia"/>
              </w:rPr>
              <w:t>选用低噪声设备、合理布局、基础减振、建筑隔声、加强维护和保养</w:t>
            </w:r>
            <w:r>
              <w:rPr>
                <w:rFonts w:hint="default"/>
              </w:rPr>
              <w:t>等措施，降低项目设备运行产生的噪声。</w:t>
            </w:r>
          </w:p>
          <w:p w14:paraId="5B33E2B5">
            <w:pPr>
              <w:keepNext w:val="0"/>
              <w:keepLines w:val="0"/>
              <w:suppressLineNumbers w:val="0"/>
              <w:spacing w:before="0" w:beforeAutospacing="0" w:after="0" w:afterAutospacing="0"/>
              <w:ind w:left="0" w:right="0" w:firstLine="482"/>
              <w:rPr>
                <w:rFonts w:hint="default"/>
                <w:b/>
              </w:rPr>
            </w:pPr>
            <w:r>
              <w:rPr>
                <w:rFonts w:hint="eastAsia"/>
                <w:b/>
              </w:rPr>
              <w:t>（</w:t>
            </w:r>
            <w:r>
              <w:rPr>
                <w:rFonts w:hint="default"/>
                <w:b/>
              </w:rPr>
              <w:t>1</w:t>
            </w:r>
            <w:r>
              <w:rPr>
                <w:rFonts w:hint="eastAsia"/>
                <w:b/>
              </w:rPr>
              <w:t>）噪声源强分析</w:t>
            </w:r>
          </w:p>
          <w:p w14:paraId="708D2DBE">
            <w:pPr>
              <w:keepNext w:val="0"/>
              <w:keepLines w:val="0"/>
              <w:suppressLineNumbers w:val="0"/>
              <w:spacing w:before="0" w:beforeAutospacing="0" w:after="0" w:afterAutospacing="0"/>
              <w:ind w:left="0" w:right="0" w:firstLine="480"/>
              <w:rPr>
                <w:rFonts w:hint="default"/>
              </w:rPr>
            </w:pPr>
            <w:r>
              <w:rPr>
                <w:rFonts w:hint="eastAsia"/>
              </w:rPr>
              <w:t>上述噪声的源强、降噪措施及噪声排放情况列表如下：</w:t>
            </w:r>
          </w:p>
          <w:p w14:paraId="7320B2C1">
            <w:pPr>
              <w:pStyle w:val="19"/>
              <w:keepNext w:val="0"/>
              <w:keepLines w:val="0"/>
              <w:widowControl w:val="0"/>
              <w:numPr>
                <w:ilvl w:val="0"/>
                <w:numId w:val="15"/>
              </w:numPr>
              <w:suppressLineNumbers w:val="0"/>
              <w:spacing w:before="0" w:beforeAutospacing="0" w:after="0" w:afterAutospacing="0"/>
              <w:ind w:left="0" w:right="0" w:firstLine="0" w:firstLineChars="0"/>
              <w:jc w:val="center"/>
              <w:rPr>
                <w:rFonts w:hint="default" w:ascii="Times New Roman" w:hAnsi="Times New Roman"/>
                <w:b/>
                <w:sz w:val="21"/>
              </w:rPr>
            </w:pPr>
            <w:r>
              <w:rPr>
                <w:rFonts w:hint="eastAsia" w:ascii="Times New Roman" w:hAnsi="Times New Roman"/>
                <w:b/>
                <w:sz w:val="21"/>
              </w:rPr>
              <w:t>主要</w:t>
            </w:r>
            <w:r>
              <w:rPr>
                <w:rFonts w:hint="eastAsia" w:cs="宋体"/>
                <w:b/>
                <w:sz w:val="21"/>
                <w:szCs w:val="21"/>
                <w:lang w:bidi="ar"/>
              </w:rPr>
              <w:t>噪声源</w:t>
            </w:r>
            <w:r>
              <w:rPr>
                <w:rFonts w:hint="eastAsia" w:ascii="Times New Roman" w:hAnsi="Times New Roman"/>
                <w:b/>
                <w:sz w:val="21"/>
              </w:rPr>
              <w:t>一览表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912"/>
              <w:gridCol w:w="1313"/>
              <w:gridCol w:w="818"/>
              <w:gridCol w:w="1281"/>
              <w:gridCol w:w="1342"/>
              <w:gridCol w:w="1024"/>
              <w:gridCol w:w="1063"/>
            </w:tblGrid>
            <w:tr w14:paraId="7D0C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 w:type="pct"/>
                  <w:vAlign w:val="center"/>
                </w:tcPr>
                <w:p w14:paraId="48768322">
                  <w:pPr>
                    <w:pStyle w:val="42"/>
                    <w:keepNext w:val="0"/>
                    <w:keepLines w:val="0"/>
                    <w:widowControl/>
                    <w:suppressLineNumbers w:val="0"/>
                    <w:spacing w:before="0" w:beforeAutospacing="0" w:after="0" w:afterAutospacing="0"/>
                    <w:ind w:left="0" w:right="0"/>
                    <w:rPr>
                      <w:rFonts w:hint="default"/>
                      <w:b/>
                      <w:bCs/>
                    </w:rPr>
                  </w:pPr>
                  <w:r>
                    <w:rPr>
                      <w:b/>
                      <w:bCs/>
                    </w:rPr>
                    <w:t>序号</w:t>
                  </w:r>
                </w:p>
              </w:tc>
              <w:tc>
                <w:tcPr>
                  <w:tcW w:w="542" w:type="pct"/>
                  <w:vAlign w:val="center"/>
                </w:tcPr>
                <w:p w14:paraId="05919449">
                  <w:pPr>
                    <w:pStyle w:val="42"/>
                    <w:keepNext w:val="0"/>
                    <w:keepLines w:val="0"/>
                    <w:widowControl/>
                    <w:suppressLineNumbers w:val="0"/>
                    <w:spacing w:before="0" w:beforeAutospacing="0" w:after="0" w:afterAutospacing="0"/>
                    <w:ind w:left="0" w:right="0"/>
                    <w:rPr>
                      <w:rFonts w:hint="default"/>
                      <w:b/>
                      <w:bCs/>
                    </w:rPr>
                  </w:pPr>
                  <w:r>
                    <w:rPr>
                      <w:b/>
                      <w:bCs/>
                    </w:rPr>
                    <w:t>位置</w:t>
                  </w:r>
                </w:p>
              </w:tc>
              <w:tc>
                <w:tcPr>
                  <w:tcW w:w="781" w:type="pct"/>
                  <w:vAlign w:val="center"/>
                </w:tcPr>
                <w:p w14:paraId="3CF25B55">
                  <w:pPr>
                    <w:pStyle w:val="42"/>
                    <w:keepNext w:val="0"/>
                    <w:keepLines w:val="0"/>
                    <w:widowControl/>
                    <w:suppressLineNumbers w:val="0"/>
                    <w:spacing w:before="0" w:beforeAutospacing="0" w:after="0" w:afterAutospacing="0"/>
                    <w:ind w:left="0" w:right="0"/>
                    <w:rPr>
                      <w:rFonts w:hint="default"/>
                      <w:b/>
                      <w:bCs/>
                    </w:rPr>
                  </w:pPr>
                  <w:r>
                    <w:rPr>
                      <w:b/>
                      <w:bCs/>
                    </w:rPr>
                    <w:t>污染源</w:t>
                  </w:r>
                </w:p>
              </w:tc>
              <w:tc>
                <w:tcPr>
                  <w:tcW w:w="487" w:type="pct"/>
                  <w:vAlign w:val="center"/>
                </w:tcPr>
                <w:p w14:paraId="38A6A92A">
                  <w:pPr>
                    <w:pStyle w:val="42"/>
                    <w:keepNext w:val="0"/>
                    <w:keepLines w:val="0"/>
                    <w:widowControl/>
                    <w:suppressLineNumbers w:val="0"/>
                    <w:spacing w:before="0" w:beforeAutospacing="0" w:after="0" w:afterAutospacing="0"/>
                    <w:ind w:left="0" w:right="0"/>
                    <w:rPr>
                      <w:rFonts w:hint="default"/>
                      <w:b/>
                      <w:bCs/>
                    </w:rPr>
                  </w:pPr>
                  <w:r>
                    <w:rPr>
                      <w:b/>
                      <w:bCs/>
                    </w:rPr>
                    <w:t>数量</w:t>
                  </w:r>
                </w:p>
              </w:tc>
              <w:tc>
                <w:tcPr>
                  <w:tcW w:w="762" w:type="pct"/>
                  <w:vAlign w:val="center"/>
                </w:tcPr>
                <w:p w14:paraId="6CB48F90">
                  <w:pPr>
                    <w:pStyle w:val="42"/>
                    <w:keepNext w:val="0"/>
                    <w:keepLines w:val="0"/>
                    <w:widowControl/>
                    <w:suppressLineNumbers w:val="0"/>
                    <w:spacing w:before="0" w:beforeAutospacing="0" w:after="0" w:afterAutospacing="0"/>
                    <w:ind w:left="0" w:right="0"/>
                    <w:rPr>
                      <w:rFonts w:hint="default"/>
                      <w:b/>
                      <w:bCs/>
                    </w:rPr>
                  </w:pPr>
                  <w:r>
                    <w:rPr>
                      <w:b/>
                      <w:bCs/>
                    </w:rPr>
                    <w:t>源强（dB（A））</w:t>
                  </w:r>
                </w:p>
              </w:tc>
              <w:tc>
                <w:tcPr>
                  <w:tcW w:w="798" w:type="pct"/>
                  <w:vAlign w:val="center"/>
                </w:tcPr>
                <w:p w14:paraId="65F48950">
                  <w:pPr>
                    <w:pStyle w:val="42"/>
                    <w:keepNext w:val="0"/>
                    <w:keepLines w:val="0"/>
                    <w:widowControl/>
                    <w:suppressLineNumbers w:val="0"/>
                    <w:spacing w:before="0" w:beforeAutospacing="0" w:after="0" w:afterAutospacing="0"/>
                    <w:ind w:left="0" w:right="0"/>
                    <w:rPr>
                      <w:rFonts w:hint="default"/>
                      <w:b/>
                      <w:bCs/>
                    </w:rPr>
                  </w:pPr>
                  <w:r>
                    <w:rPr>
                      <w:b/>
                      <w:bCs/>
                    </w:rPr>
                    <w:t>降噪措施</w:t>
                  </w:r>
                </w:p>
              </w:tc>
              <w:tc>
                <w:tcPr>
                  <w:tcW w:w="609" w:type="pct"/>
                  <w:vAlign w:val="center"/>
                </w:tcPr>
                <w:p w14:paraId="7144A198">
                  <w:pPr>
                    <w:pStyle w:val="42"/>
                    <w:keepNext w:val="0"/>
                    <w:keepLines w:val="0"/>
                    <w:widowControl/>
                    <w:suppressLineNumbers w:val="0"/>
                    <w:spacing w:before="0" w:beforeAutospacing="0" w:after="0" w:afterAutospacing="0"/>
                    <w:ind w:left="0" w:right="0"/>
                    <w:rPr>
                      <w:rFonts w:hint="default"/>
                      <w:b/>
                      <w:bCs/>
                    </w:rPr>
                  </w:pPr>
                  <w:r>
                    <w:rPr>
                      <w:b/>
                      <w:bCs/>
                    </w:rPr>
                    <w:t>排放强度（dB（A））</w:t>
                  </w:r>
                </w:p>
              </w:tc>
              <w:tc>
                <w:tcPr>
                  <w:tcW w:w="632" w:type="pct"/>
                  <w:vAlign w:val="center"/>
                </w:tcPr>
                <w:p w14:paraId="70F834C2">
                  <w:pPr>
                    <w:pStyle w:val="42"/>
                    <w:keepNext w:val="0"/>
                    <w:keepLines w:val="0"/>
                    <w:widowControl/>
                    <w:suppressLineNumbers w:val="0"/>
                    <w:spacing w:before="0" w:beforeAutospacing="0" w:after="0" w:afterAutospacing="0"/>
                    <w:ind w:left="0" w:right="0"/>
                    <w:rPr>
                      <w:rFonts w:hint="default"/>
                      <w:b/>
                      <w:bCs/>
                    </w:rPr>
                  </w:pPr>
                  <w:r>
                    <w:rPr>
                      <w:b/>
                      <w:bCs/>
                    </w:rPr>
                    <w:t>持续时间</w:t>
                  </w:r>
                </w:p>
              </w:tc>
            </w:tr>
            <w:tr w14:paraId="54D7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 w:type="pct"/>
                  <w:vAlign w:val="center"/>
                </w:tcPr>
                <w:p w14:paraId="74634E56">
                  <w:pPr>
                    <w:pStyle w:val="42"/>
                    <w:keepNext w:val="0"/>
                    <w:keepLines w:val="0"/>
                    <w:widowControl/>
                    <w:suppressLineNumbers w:val="0"/>
                    <w:spacing w:before="0" w:beforeAutospacing="0" w:after="0" w:afterAutospacing="0"/>
                    <w:ind w:left="0" w:right="0"/>
                    <w:rPr>
                      <w:rFonts w:hint="default"/>
                    </w:rPr>
                  </w:pPr>
                  <w:r>
                    <w:t>1</w:t>
                  </w:r>
                </w:p>
              </w:tc>
              <w:tc>
                <w:tcPr>
                  <w:tcW w:w="542" w:type="pct"/>
                  <w:vAlign w:val="center"/>
                </w:tcPr>
                <w:p w14:paraId="20C12B0F">
                  <w:pPr>
                    <w:pStyle w:val="42"/>
                    <w:keepNext w:val="0"/>
                    <w:keepLines w:val="0"/>
                    <w:widowControl/>
                    <w:suppressLineNumbers w:val="0"/>
                    <w:spacing w:before="0" w:beforeAutospacing="0" w:after="0" w:afterAutospacing="0"/>
                    <w:ind w:left="0" w:right="0"/>
                    <w:rPr>
                      <w:rFonts w:hint="default"/>
                    </w:rPr>
                  </w:pPr>
                  <w:r>
                    <w:t>生产车间</w:t>
                  </w:r>
                </w:p>
              </w:tc>
              <w:tc>
                <w:tcPr>
                  <w:tcW w:w="781" w:type="pct"/>
                  <w:vAlign w:val="center"/>
                </w:tcPr>
                <w:p w14:paraId="2D9DB4FE">
                  <w:pPr>
                    <w:pStyle w:val="42"/>
                    <w:keepNext w:val="0"/>
                    <w:keepLines w:val="0"/>
                    <w:widowControl/>
                    <w:suppressLineNumbers w:val="0"/>
                    <w:spacing w:before="0" w:beforeAutospacing="0" w:after="0" w:afterAutospacing="0"/>
                    <w:ind w:left="0" w:right="0"/>
                    <w:rPr>
                      <w:rFonts w:hint="default"/>
                    </w:rPr>
                  </w:pPr>
                  <w:r>
                    <w:t>混凝土搅拌机</w:t>
                  </w:r>
                </w:p>
              </w:tc>
              <w:tc>
                <w:tcPr>
                  <w:tcW w:w="487" w:type="pct"/>
                  <w:vAlign w:val="center"/>
                </w:tcPr>
                <w:p w14:paraId="1635463F">
                  <w:pPr>
                    <w:pStyle w:val="42"/>
                    <w:keepNext w:val="0"/>
                    <w:keepLines w:val="0"/>
                    <w:widowControl/>
                    <w:suppressLineNumbers w:val="0"/>
                    <w:spacing w:before="0" w:beforeAutospacing="0" w:after="0" w:afterAutospacing="0"/>
                    <w:ind w:left="0" w:right="0"/>
                    <w:rPr>
                      <w:rFonts w:hint="default"/>
                    </w:rPr>
                  </w:pPr>
                  <w:r>
                    <w:t>1台</w:t>
                  </w:r>
                </w:p>
              </w:tc>
              <w:tc>
                <w:tcPr>
                  <w:tcW w:w="762" w:type="pct"/>
                  <w:vAlign w:val="center"/>
                </w:tcPr>
                <w:p w14:paraId="14D4ADCA">
                  <w:pPr>
                    <w:pStyle w:val="42"/>
                    <w:keepNext w:val="0"/>
                    <w:keepLines w:val="0"/>
                    <w:widowControl/>
                    <w:suppressLineNumbers w:val="0"/>
                    <w:spacing w:before="0" w:beforeAutospacing="0" w:after="0" w:afterAutospacing="0"/>
                    <w:ind w:left="0" w:right="0"/>
                    <w:rPr>
                      <w:rFonts w:hint="default"/>
                    </w:rPr>
                  </w:pPr>
                  <w:r>
                    <w:t>90</w:t>
                  </w:r>
                </w:p>
              </w:tc>
              <w:tc>
                <w:tcPr>
                  <w:tcW w:w="798" w:type="pct"/>
                  <w:vMerge w:val="restart"/>
                  <w:vAlign w:val="center"/>
                </w:tcPr>
                <w:p w14:paraId="3E1BDC20">
                  <w:pPr>
                    <w:pStyle w:val="42"/>
                    <w:keepNext w:val="0"/>
                    <w:keepLines w:val="0"/>
                    <w:widowControl/>
                    <w:suppressLineNumbers w:val="0"/>
                    <w:spacing w:before="0" w:beforeAutospacing="0" w:after="0" w:afterAutospacing="0"/>
                    <w:ind w:left="0" w:right="0"/>
                    <w:rPr>
                      <w:rFonts w:hint="default"/>
                    </w:rPr>
                  </w:pPr>
                  <w:r>
                    <w:t>生产车间封闭、采用低噪声设备、设备基础减振，预计噪声可降低20dB（A）</w:t>
                  </w:r>
                </w:p>
              </w:tc>
              <w:tc>
                <w:tcPr>
                  <w:tcW w:w="609" w:type="pct"/>
                  <w:vAlign w:val="center"/>
                </w:tcPr>
                <w:p w14:paraId="4DD884E0">
                  <w:pPr>
                    <w:pStyle w:val="42"/>
                    <w:keepNext w:val="0"/>
                    <w:keepLines w:val="0"/>
                    <w:widowControl/>
                    <w:suppressLineNumbers w:val="0"/>
                    <w:spacing w:before="0" w:beforeAutospacing="0" w:after="0" w:afterAutospacing="0"/>
                    <w:ind w:left="0" w:right="0"/>
                    <w:rPr>
                      <w:rFonts w:hint="default"/>
                    </w:rPr>
                  </w:pPr>
                  <w:r>
                    <w:t>70</w:t>
                  </w:r>
                </w:p>
              </w:tc>
              <w:tc>
                <w:tcPr>
                  <w:tcW w:w="632" w:type="pct"/>
                  <w:vMerge w:val="restart"/>
                  <w:vAlign w:val="center"/>
                </w:tcPr>
                <w:p w14:paraId="066E69A2">
                  <w:pPr>
                    <w:pStyle w:val="42"/>
                    <w:keepNext w:val="0"/>
                    <w:keepLines w:val="0"/>
                    <w:widowControl/>
                    <w:suppressLineNumbers w:val="0"/>
                    <w:spacing w:before="0" w:beforeAutospacing="0" w:after="0" w:afterAutospacing="0"/>
                    <w:ind w:left="0" w:right="0"/>
                    <w:rPr>
                      <w:rFonts w:hint="default"/>
                    </w:rPr>
                  </w:pPr>
                  <w:r>
                    <w:t>项目仅昼间生产，运营期内，8h/d，1920h/a</w:t>
                  </w:r>
                </w:p>
              </w:tc>
            </w:tr>
            <w:tr w14:paraId="66D2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 w:type="pct"/>
                  <w:vAlign w:val="center"/>
                </w:tcPr>
                <w:p w14:paraId="5C0D68DC">
                  <w:pPr>
                    <w:pStyle w:val="42"/>
                    <w:keepNext w:val="0"/>
                    <w:keepLines w:val="0"/>
                    <w:widowControl/>
                    <w:suppressLineNumbers w:val="0"/>
                    <w:spacing w:before="0" w:beforeAutospacing="0" w:after="0" w:afterAutospacing="0"/>
                    <w:ind w:left="0" w:right="0"/>
                    <w:rPr>
                      <w:rFonts w:hint="default"/>
                    </w:rPr>
                  </w:pPr>
                  <w:r>
                    <w:t>2</w:t>
                  </w:r>
                </w:p>
              </w:tc>
              <w:tc>
                <w:tcPr>
                  <w:tcW w:w="542" w:type="pct"/>
                  <w:vAlign w:val="center"/>
                </w:tcPr>
                <w:p w14:paraId="097C9BDD">
                  <w:pPr>
                    <w:pStyle w:val="42"/>
                    <w:keepNext w:val="0"/>
                    <w:keepLines w:val="0"/>
                    <w:widowControl/>
                    <w:suppressLineNumbers w:val="0"/>
                    <w:spacing w:before="0" w:beforeAutospacing="0" w:after="0" w:afterAutospacing="0"/>
                    <w:ind w:left="0" w:right="0"/>
                    <w:rPr>
                      <w:rFonts w:hint="default"/>
                    </w:rPr>
                  </w:pPr>
                  <w:r>
                    <w:t>生产车间</w:t>
                  </w:r>
                </w:p>
              </w:tc>
              <w:tc>
                <w:tcPr>
                  <w:tcW w:w="781" w:type="pct"/>
                  <w:vAlign w:val="center"/>
                </w:tcPr>
                <w:p w14:paraId="0C741BE5">
                  <w:pPr>
                    <w:pStyle w:val="42"/>
                    <w:keepNext w:val="0"/>
                    <w:keepLines w:val="0"/>
                    <w:widowControl/>
                    <w:suppressLineNumbers w:val="0"/>
                    <w:spacing w:before="0" w:beforeAutospacing="0" w:after="0" w:afterAutospacing="0"/>
                    <w:ind w:left="0" w:right="0"/>
                    <w:rPr>
                      <w:rFonts w:hint="default"/>
                    </w:rPr>
                  </w:pPr>
                  <w:r>
                    <w:t>水泵</w:t>
                  </w:r>
                </w:p>
              </w:tc>
              <w:tc>
                <w:tcPr>
                  <w:tcW w:w="487" w:type="pct"/>
                  <w:vAlign w:val="center"/>
                </w:tcPr>
                <w:p w14:paraId="5D5ED2EB">
                  <w:pPr>
                    <w:pStyle w:val="42"/>
                    <w:keepNext w:val="0"/>
                    <w:keepLines w:val="0"/>
                    <w:widowControl/>
                    <w:suppressLineNumbers w:val="0"/>
                    <w:spacing w:before="0" w:beforeAutospacing="0" w:after="0" w:afterAutospacing="0"/>
                    <w:ind w:left="0" w:right="0"/>
                    <w:rPr>
                      <w:rFonts w:hint="default"/>
                    </w:rPr>
                  </w:pPr>
                  <w:r>
                    <w:t>1台</w:t>
                  </w:r>
                </w:p>
              </w:tc>
              <w:tc>
                <w:tcPr>
                  <w:tcW w:w="762" w:type="pct"/>
                  <w:vAlign w:val="center"/>
                </w:tcPr>
                <w:p w14:paraId="19CE5A17">
                  <w:pPr>
                    <w:pStyle w:val="42"/>
                    <w:keepNext w:val="0"/>
                    <w:keepLines w:val="0"/>
                    <w:widowControl/>
                    <w:suppressLineNumbers w:val="0"/>
                    <w:spacing w:before="0" w:beforeAutospacing="0" w:after="0" w:afterAutospacing="0"/>
                    <w:ind w:left="0" w:right="0"/>
                    <w:rPr>
                      <w:rFonts w:hint="default"/>
                    </w:rPr>
                  </w:pPr>
                  <w:r>
                    <w:t>85</w:t>
                  </w:r>
                </w:p>
              </w:tc>
              <w:tc>
                <w:tcPr>
                  <w:tcW w:w="798" w:type="pct"/>
                  <w:vMerge w:val="continue"/>
                  <w:vAlign w:val="center"/>
                </w:tcPr>
                <w:p w14:paraId="1C62DA3B">
                  <w:pPr>
                    <w:pStyle w:val="42"/>
                    <w:keepNext w:val="0"/>
                    <w:keepLines w:val="0"/>
                    <w:widowControl/>
                    <w:suppressLineNumbers w:val="0"/>
                    <w:spacing w:before="0" w:beforeAutospacing="0" w:after="0" w:afterAutospacing="0"/>
                    <w:ind w:left="0" w:right="0"/>
                    <w:rPr>
                      <w:rFonts w:hint="default"/>
                    </w:rPr>
                  </w:pPr>
                </w:p>
              </w:tc>
              <w:tc>
                <w:tcPr>
                  <w:tcW w:w="609" w:type="pct"/>
                  <w:vAlign w:val="center"/>
                </w:tcPr>
                <w:p w14:paraId="175AD3EA">
                  <w:pPr>
                    <w:pStyle w:val="42"/>
                    <w:keepNext w:val="0"/>
                    <w:keepLines w:val="0"/>
                    <w:widowControl/>
                    <w:suppressLineNumbers w:val="0"/>
                    <w:spacing w:before="0" w:beforeAutospacing="0" w:after="0" w:afterAutospacing="0"/>
                    <w:ind w:left="0" w:right="0"/>
                    <w:rPr>
                      <w:rFonts w:hint="default"/>
                    </w:rPr>
                  </w:pPr>
                  <w:r>
                    <w:t>65</w:t>
                  </w:r>
                </w:p>
              </w:tc>
              <w:tc>
                <w:tcPr>
                  <w:tcW w:w="632" w:type="pct"/>
                  <w:vMerge w:val="continue"/>
                  <w:vAlign w:val="center"/>
                </w:tcPr>
                <w:p w14:paraId="1280809E">
                  <w:pPr>
                    <w:pStyle w:val="42"/>
                    <w:keepNext w:val="0"/>
                    <w:keepLines w:val="0"/>
                    <w:widowControl/>
                    <w:suppressLineNumbers w:val="0"/>
                    <w:spacing w:before="0" w:beforeAutospacing="0" w:after="0" w:afterAutospacing="0"/>
                    <w:ind w:left="0" w:right="0"/>
                    <w:rPr>
                      <w:rFonts w:hint="default"/>
                    </w:rPr>
                  </w:pPr>
                </w:p>
              </w:tc>
            </w:tr>
            <w:tr w14:paraId="37C9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 w:type="pct"/>
                  <w:vAlign w:val="center"/>
                </w:tcPr>
                <w:p w14:paraId="43182266">
                  <w:pPr>
                    <w:pStyle w:val="42"/>
                    <w:keepNext w:val="0"/>
                    <w:keepLines w:val="0"/>
                    <w:widowControl/>
                    <w:suppressLineNumbers w:val="0"/>
                    <w:spacing w:before="0" w:beforeAutospacing="0" w:after="0" w:afterAutospacing="0"/>
                    <w:ind w:left="0" w:right="0"/>
                    <w:rPr>
                      <w:rFonts w:hint="default"/>
                    </w:rPr>
                  </w:pPr>
                  <w:r>
                    <w:t>3</w:t>
                  </w:r>
                </w:p>
              </w:tc>
              <w:tc>
                <w:tcPr>
                  <w:tcW w:w="542" w:type="pct"/>
                  <w:vAlign w:val="center"/>
                </w:tcPr>
                <w:p w14:paraId="0FEC8E35">
                  <w:pPr>
                    <w:pStyle w:val="42"/>
                    <w:keepNext w:val="0"/>
                    <w:keepLines w:val="0"/>
                    <w:widowControl/>
                    <w:suppressLineNumbers w:val="0"/>
                    <w:spacing w:before="0" w:beforeAutospacing="0" w:after="0" w:afterAutospacing="0"/>
                    <w:ind w:left="0" w:right="0"/>
                    <w:rPr>
                      <w:rFonts w:hint="default"/>
                    </w:rPr>
                  </w:pPr>
                  <w:r>
                    <w:t>生产车间</w:t>
                  </w:r>
                </w:p>
              </w:tc>
              <w:tc>
                <w:tcPr>
                  <w:tcW w:w="781" w:type="pct"/>
                  <w:vAlign w:val="center"/>
                </w:tcPr>
                <w:p w14:paraId="011830FE">
                  <w:pPr>
                    <w:pStyle w:val="42"/>
                    <w:keepNext w:val="0"/>
                    <w:keepLines w:val="0"/>
                    <w:widowControl/>
                    <w:suppressLineNumbers w:val="0"/>
                    <w:spacing w:before="0" w:beforeAutospacing="0" w:after="0" w:afterAutospacing="0"/>
                    <w:ind w:left="0" w:right="0"/>
                    <w:rPr>
                      <w:rFonts w:hint="default"/>
                    </w:rPr>
                  </w:pPr>
                  <w:r>
                    <w:t>风机</w:t>
                  </w:r>
                </w:p>
              </w:tc>
              <w:tc>
                <w:tcPr>
                  <w:tcW w:w="487" w:type="pct"/>
                  <w:vAlign w:val="center"/>
                </w:tcPr>
                <w:p w14:paraId="181C3A6C">
                  <w:pPr>
                    <w:pStyle w:val="42"/>
                    <w:keepNext w:val="0"/>
                    <w:keepLines w:val="0"/>
                    <w:widowControl/>
                    <w:suppressLineNumbers w:val="0"/>
                    <w:spacing w:before="0" w:beforeAutospacing="0" w:after="0" w:afterAutospacing="0"/>
                    <w:ind w:left="0" w:right="0"/>
                    <w:rPr>
                      <w:rFonts w:hint="default"/>
                    </w:rPr>
                  </w:pPr>
                  <w:r>
                    <w:t>1台</w:t>
                  </w:r>
                </w:p>
              </w:tc>
              <w:tc>
                <w:tcPr>
                  <w:tcW w:w="762" w:type="pct"/>
                  <w:vAlign w:val="center"/>
                </w:tcPr>
                <w:p w14:paraId="0DF9F2EB">
                  <w:pPr>
                    <w:pStyle w:val="42"/>
                    <w:keepNext w:val="0"/>
                    <w:keepLines w:val="0"/>
                    <w:widowControl/>
                    <w:suppressLineNumbers w:val="0"/>
                    <w:spacing w:before="0" w:beforeAutospacing="0" w:after="0" w:afterAutospacing="0"/>
                    <w:ind w:left="0" w:right="0"/>
                    <w:rPr>
                      <w:rFonts w:hint="default"/>
                    </w:rPr>
                  </w:pPr>
                  <w:r>
                    <w:t>85</w:t>
                  </w:r>
                </w:p>
              </w:tc>
              <w:tc>
                <w:tcPr>
                  <w:tcW w:w="798" w:type="pct"/>
                  <w:vMerge w:val="continue"/>
                  <w:vAlign w:val="center"/>
                </w:tcPr>
                <w:p w14:paraId="48E8CA65">
                  <w:pPr>
                    <w:pStyle w:val="42"/>
                    <w:keepNext w:val="0"/>
                    <w:keepLines w:val="0"/>
                    <w:widowControl/>
                    <w:suppressLineNumbers w:val="0"/>
                    <w:spacing w:before="0" w:beforeAutospacing="0" w:after="0" w:afterAutospacing="0"/>
                    <w:ind w:left="0" w:right="0"/>
                    <w:rPr>
                      <w:rFonts w:hint="default"/>
                    </w:rPr>
                  </w:pPr>
                </w:p>
              </w:tc>
              <w:tc>
                <w:tcPr>
                  <w:tcW w:w="609" w:type="pct"/>
                  <w:vAlign w:val="center"/>
                </w:tcPr>
                <w:p w14:paraId="25A95C8C">
                  <w:pPr>
                    <w:pStyle w:val="42"/>
                    <w:keepNext w:val="0"/>
                    <w:keepLines w:val="0"/>
                    <w:widowControl/>
                    <w:suppressLineNumbers w:val="0"/>
                    <w:spacing w:before="0" w:beforeAutospacing="0" w:after="0" w:afterAutospacing="0"/>
                    <w:ind w:left="0" w:right="0"/>
                    <w:rPr>
                      <w:rFonts w:hint="default"/>
                    </w:rPr>
                  </w:pPr>
                  <w:r>
                    <w:t>65</w:t>
                  </w:r>
                </w:p>
              </w:tc>
              <w:tc>
                <w:tcPr>
                  <w:tcW w:w="632" w:type="pct"/>
                  <w:vMerge w:val="continue"/>
                  <w:vAlign w:val="center"/>
                </w:tcPr>
                <w:p w14:paraId="6D502C8A">
                  <w:pPr>
                    <w:pStyle w:val="42"/>
                    <w:keepNext w:val="0"/>
                    <w:keepLines w:val="0"/>
                    <w:widowControl/>
                    <w:suppressLineNumbers w:val="0"/>
                    <w:spacing w:before="0" w:beforeAutospacing="0" w:after="0" w:afterAutospacing="0"/>
                    <w:ind w:left="0" w:right="0"/>
                    <w:rPr>
                      <w:rFonts w:hint="default"/>
                    </w:rPr>
                  </w:pPr>
                </w:p>
              </w:tc>
            </w:tr>
          </w:tbl>
          <w:p w14:paraId="4E2B3BE7">
            <w:pPr>
              <w:keepNext w:val="0"/>
              <w:keepLines w:val="0"/>
              <w:suppressLineNumbers w:val="0"/>
              <w:spacing w:before="120" w:beforeLines="50" w:beforeAutospacing="0" w:after="0" w:afterAutospacing="0"/>
              <w:ind w:left="0" w:right="0" w:firstLine="482"/>
              <w:rPr>
                <w:rFonts w:hint="default"/>
                <w:b/>
              </w:rPr>
            </w:pPr>
            <w:r>
              <w:rPr>
                <w:rFonts w:hint="eastAsia"/>
                <w:b/>
              </w:rPr>
              <w:t>（</w:t>
            </w:r>
            <w:r>
              <w:rPr>
                <w:rFonts w:hint="default"/>
                <w:b/>
              </w:rPr>
              <w:t>2</w:t>
            </w:r>
            <w:r>
              <w:rPr>
                <w:rFonts w:hint="eastAsia"/>
                <w:b/>
              </w:rPr>
              <w:t>）达标情况分析</w:t>
            </w:r>
          </w:p>
          <w:p w14:paraId="6BA5F06C">
            <w:pPr>
              <w:keepNext w:val="0"/>
              <w:keepLines w:val="0"/>
              <w:suppressLineNumbers w:val="0"/>
              <w:spacing w:before="0" w:beforeAutospacing="0" w:after="0" w:afterAutospacing="0"/>
              <w:ind w:left="0" w:right="0" w:firstLine="480"/>
              <w:rPr>
                <w:rFonts w:hint="default"/>
              </w:rPr>
            </w:pPr>
            <w:r>
              <w:rPr>
                <w:rFonts w:hint="default"/>
              </w:rPr>
              <w:t>项目声环境影响预测使用石家庄环安科技有限公司的噪声环境影响评价系统进行噪声预测，预测过程中，各噪声设备在一定的距离处可以被视作点源，设备所处位置、与墙壁的距离、房间常数、与预测点的距离、隔墙厚度等均按实际布设确定，同时考虑了地形因素的影响。四厂界噪声监测点位为根据线接收点预测结果确定的四厂界受本项目设备噪声影响最大的位置。</w:t>
            </w:r>
          </w:p>
          <w:p w14:paraId="58054177">
            <w:pPr>
              <w:keepNext w:val="0"/>
              <w:keepLines w:val="0"/>
              <w:suppressLineNumbers w:val="0"/>
              <w:spacing w:before="0" w:beforeAutospacing="0" w:after="0" w:afterAutospacing="0"/>
              <w:ind w:left="0" w:right="0" w:firstLine="480"/>
              <w:rPr>
                <w:rFonts w:hint="default"/>
                <w:color w:val="FF0000"/>
              </w:rPr>
            </w:pPr>
            <w:r>
              <w:rPr>
                <w:rFonts w:hint="default"/>
              </w:rPr>
              <w:t>项目厂界</w:t>
            </w:r>
            <w:r>
              <w:rPr>
                <w:rFonts w:hint="eastAsia"/>
              </w:rPr>
              <w:t>的</w:t>
            </w:r>
            <w:r>
              <w:rPr>
                <w:rFonts w:hint="default"/>
              </w:rPr>
              <w:t>噪声预测结果如下表所示：</w:t>
            </w:r>
          </w:p>
          <w:p w14:paraId="5CAD512A">
            <w:pPr>
              <w:pStyle w:val="19"/>
              <w:keepNext w:val="0"/>
              <w:keepLines w:val="0"/>
              <w:widowControl w:val="0"/>
              <w:numPr>
                <w:ilvl w:val="0"/>
                <w:numId w:val="15"/>
              </w:numPr>
              <w:suppressLineNumbers w:val="0"/>
              <w:spacing w:before="0" w:beforeAutospacing="0" w:after="0" w:afterAutospacing="0"/>
              <w:ind w:left="0" w:right="0" w:firstLine="0" w:firstLineChars="0"/>
              <w:jc w:val="center"/>
              <w:rPr>
                <w:rFonts w:hint="default" w:ascii="Times New Roman" w:hAnsi="Times New Roman"/>
                <w:b/>
                <w:sz w:val="21"/>
              </w:rPr>
            </w:pPr>
            <w:r>
              <w:rPr>
                <w:rFonts w:hint="eastAsia" w:ascii="Times New Roman" w:hAnsi="Times New Roman"/>
                <w:b/>
                <w:sz w:val="21"/>
              </w:rPr>
              <w:t>厂界噪声预测结果一览表（单位：dB（A））</w:t>
            </w:r>
          </w:p>
          <w:tbl>
            <w:tblPr>
              <w:tblStyle w:val="22"/>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1929"/>
              <w:gridCol w:w="1319"/>
              <w:gridCol w:w="1409"/>
              <w:gridCol w:w="1365"/>
              <w:gridCol w:w="2209"/>
            </w:tblGrid>
            <w:tr w14:paraId="580A1C42">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67" w:hRule="atLeast"/>
                <w:jc w:val="center"/>
              </w:trPr>
              <w:tc>
                <w:tcPr>
                  <w:tcW w:w="1171" w:type="pct"/>
                  <w:vAlign w:val="center"/>
                </w:tcPr>
                <w:p w14:paraId="000F976C">
                  <w:pPr>
                    <w:pStyle w:val="42"/>
                    <w:keepNext w:val="0"/>
                    <w:keepLines w:val="0"/>
                    <w:widowControl/>
                    <w:suppressLineNumbers w:val="0"/>
                    <w:spacing w:before="0" w:beforeAutospacing="0" w:after="0" w:afterAutospacing="0"/>
                    <w:ind w:left="0" w:right="0"/>
                    <w:rPr>
                      <w:rFonts w:hint="default"/>
                      <w:b/>
                      <w:bCs/>
                    </w:rPr>
                  </w:pPr>
                  <w:r>
                    <w:rPr>
                      <w:b/>
                      <w:bCs/>
                    </w:rPr>
                    <w:t>厂区</w:t>
                  </w:r>
                </w:p>
              </w:tc>
              <w:tc>
                <w:tcPr>
                  <w:tcW w:w="801" w:type="pct"/>
                  <w:vAlign w:val="center"/>
                </w:tcPr>
                <w:p w14:paraId="7130B192">
                  <w:pPr>
                    <w:pStyle w:val="42"/>
                    <w:keepNext w:val="0"/>
                    <w:keepLines w:val="0"/>
                    <w:widowControl/>
                    <w:suppressLineNumbers w:val="0"/>
                    <w:spacing w:before="0" w:beforeAutospacing="0" w:after="0" w:afterAutospacing="0"/>
                    <w:ind w:left="0" w:right="0"/>
                    <w:rPr>
                      <w:rFonts w:hint="default"/>
                      <w:b/>
                      <w:bCs/>
                    </w:rPr>
                  </w:pPr>
                  <w:r>
                    <w:rPr>
                      <w:b/>
                      <w:bCs/>
                    </w:rPr>
                    <w:t>点位</w:t>
                  </w:r>
                </w:p>
              </w:tc>
              <w:tc>
                <w:tcPr>
                  <w:tcW w:w="856" w:type="pct"/>
                  <w:vAlign w:val="center"/>
                </w:tcPr>
                <w:p w14:paraId="741915BD">
                  <w:pPr>
                    <w:pStyle w:val="42"/>
                    <w:keepNext w:val="0"/>
                    <w:keepLines w:val="0"/>
                    <w:widowControl/>
                    <w:suppressLineNumbers w:val="0"/>
                    <w:spacing w:before="0" w:beforeAutospacing="0" w:after="0" w:afterAutospacing="0"/>
                    <w:ind w:left="0" w:right="0"/>
                    <w:rPr>
                      <w:rFonts w:hint="default"/>
                      <w:b/>
                      <w:bCs/>
                    </w:rPr>
                  </w:pPr>
                  <w:r>
                    <w:rPr>
                      <w:b/>
                      <w:bCs/>
                    </w:rPr>
                    <w:t>昼间贡献值</w:t>
                  </w:r>
                </w:p>
              </w:tc>
              <w:tc>
                <w:tcPr>
                  <w:tcW w:w="829" w:type="pct"/>
                  <w:vAlign w:val="center"/>
                </w:tcPr>
                <w:p w14:paraId="0163EA47">
                  <w:pPr>
                    <w:pStyle w:val="42"/>
                    <w:keepNext w:val="0"/>
                    <w:keepLines w:val="0"/>
                    <w:widowControl/>
                    <w:suppressLineNumbers w:val="0"/>
                    <w:spacing w:before="0" w:beforeAutospacing="0" w:after="0" w:afterAutospacing="0"/>
                    <w:ind w:left="0" w:right="0"/>
                    <w:rPr>
                      <w:rFonts w:hint="default"/>
                      <w:b/>
                      <w:bCs/>
                    </w:rPr>
                  </w:pPr>
                  <w:r>
                    <w:rPr>
                      <w:b/>
                      <w:bCs/>
                    </w:rPr>
                    <w:t>标准值</w:t>
                  </w:r>
                </w:p>
              </w:tc>
              <w:tc>
                <w:tcPr>
                  <w:tcW w:w="1341" w:type="pct"/>
                  <w:vAlign w:val="center"/>
                </w:tcPr>
                <w:p w14:paraId="711F4795">
                  <w:pPr>
                    <w:pStyle w:val="42"/>
                    <w:keepNext w:val="0"/>
                    <w:keepLines w:val="0"/>
                    <w:widowControl/>
                    <w:suppressLineNumbers w:val="0"/>
                    <w:spacing w:before="0" w:beforeAutospacing="0" w:after="0" w:afterAutospacing="0"/>
                    <w:ind w:left="0" w:right="0"/>
                    <w:rPr>
                      <w:rFonts w:hint="default"/>
                      <w:b/>
                      <w:bCs/>
                    </w:rPr>
                  </w:pPr>
                  <w:r>
                    <w:rPr>
                      <w:b/>
                      <w:bCs/>
                    </w:rPr>
                    <w:t>达标情况</w:t>
                  </w:r>
                </w:p>
              </w:tc>
            </w:tr>
            <w:tr w14:paraId="589FA0CE">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67" w:hRule="atLeast"/>
                <w:jc w:val="center"/>
              </w:trPr>
              <w:tc>
                <w:tcPr>
                  <w:tcW w:w="1171" w:type="pct"/>
                  <w:vMerge w:val="restart"/>
                  <w:vAlign w:val="center"/>
                </w:tcPr>
                <w:p w14:paraId="16EB0265">
                  <w:pPr>
                    <w:pStyle w:val="42"/>
                    <w:keepNext w:val="0"/>
                    <w:keepLines w:val="0"/>
                    <w:widowControl/>
                    <w:suppressLineNumbers w:val="0"/>
                    <w:spacing w:before="0" w:beforeAutospacing="0" w:after="0" w:afterAutospacing="0"/>
                    <w:ind w:left="0" w:right="0"/>
                    <w:rPr>
                      <w:rFonts w:hint="default"/>
                      <w:color w:val="FF0000"/>
                    </w:rPr>
                  </w:pPr>
                  <w:r>
                    <w:t>项目厂区</w:t>
                  </w:r>
                </w:p>
              </w:tc>
              <w:tc>
                <w:tcPr>
                  <w:tcW w:w="801" w:type="pct"/>
                  <w:vAlign w:val="center"/>
                </w:tcPr>
                <w:p w14:paraId="50C79E2E">
                  <w:pPr>
                    <w:pStyle w:val="42"/>
                    <w:keepNext w:val="0"/>
                    <w:keepLines w:val="0"/>
                    <w:widowControl/>
                    <w:suppressLineNumbers w:val="0"/>
                    <w:spacing w:before="0" w:beforeAutospacing="0" w:after="0" w:afterAutospacing="0"/>
                    <w:ind w:left="0" w:right="0"/>
                    <w:rPr>
                      <w:rFonts w:hint="default"/>
                    </w:rPr>
                  </w:pPr>
                  <w:r>
                    <w:t>东厂界</w:t>
                  </w:r>
                </w:p>
              </w:tc>
              <w:tc>
                <w:tcPr>
                  <w:tcW w:w="856" w:type="pct"/>
                  <w:vAlign w:val="center"/>
                </w:tcPr>
                <w:p w14:paraId="150C1B1D">
                  <w:pPr>
                    <w:pStyle w:val="42"/>
                    <w:keepNext w:val="0"/>
                    <w:keepLines w:val="0"/>
                    <w:widowControl/>
                    <w:suppressLineNumbers w:val="0"/>
                    <w:spacing w:before="0" w:beforeAutospacing="0" w:after="0" w:afterAutospacing="0"/>
                    <w:ind w:left="0" w:right="0"/>
                    <w:rPr>
                      <w:rFonts w:hint="default"/>
                    </w:rPr>
                  </w:pPr>
                  <w:r>
                    <w:t>52.44</w:t>
                  </w:r>
                </w:p>
              </w:tc>
              <w:tc>
                <w:tcPr>
                  <w:tcW w:w="829" w:type="pct"/>
                  <w:vAlign w:val="center"/>
                </w:tcPr>
                <w:p w14:paraId="0C78D731">
                  <w:pPr>
                    <w:pStyle w:val="42"/>
                    <w:keepNext w:val="0"/>
                    <w:keepLines w:val="0"/>
                    <w:widowControl/>
                    <w:suppressLineNumbers w:val="0"/>
                    <w:spacing w:before="0" w:beforeAutospacing="0" w:after="0" w:afterAutospacing="0"/>
                    <w:ind w:left="0" w:right="0"/>
                    <w:rPr>
                      <w:rFonts w:hint="default"/>
                      <w:color w:val="FF0000"/>
                    </w:rPr>
                  </w:pPr>
                  <w:r>
                    <w:t>65</w:t>
                  </w:r>
                </w:p>
              </w:tc>
              <w:tc>
                <w:tcPr>
                  <w:tcW w:w="1341" w:type="pct"/>
                  <w:vAlign w:val="center"/>
                </w:tcPr>
                <w:p w14:paraId="12E43A5C">
                  <w:pPr>
                    <w:pStyle w:val="42"/>
                    <w:keepNext w:val="0"/>
                    <w:keepLines w:val="0"/>
                    <w:widowControl/>
                    <w:suppressLineNumbers w:val="0"/>
                    <w:spacing w:before="0" w:beforeAutospacing="0" w:after="0" w:afterAutospacing="0"/>
                    <w:ind w:left="0" w:right="0"/>
                    <w:rPr>
                      <w:rFonts w:hint="default"/>
                    </w:rPr>
                  </w:pPr>
                  <w:r>
                    <w:t>达标</w:t>
                  </w:r>
                </w:p>
              </w:tc>
            </w:tr>
            <w:tr w14:paraId="6560419F">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67" w:hRule="atLeast"/>
                <w:jc w:val="center"/>
              </w:trPr>
              <w:tc>
                <w:tcPr>
                  <w:tcW w:w="1171" w:type="pct"/>
                  <w:vMerge w:val="continue"/>
                  <w:vAlign w:val="center"/>
                </w:tcPr>
                <w:p w14:paraId="7EE8E050">
                  <w:pPr>
                    <w:pStyle w:val="42"/>
                    <w:keepNext w:val="0"/>
                    <w:keepLines w:val="0"/>
                    <w:widowControl/>
                    <w:suppressLineNumbers w:val="0"/>
                    <w:spacing w:before="0" w:beforeAutospacing="0" w:after="0" w:afterAutospacing="0"/>
                    <w:ind w:left="0" w:right="0"/>
                    <w:rPr>
                      <w:rFonts w:hint="default"/>
                      <w:color w:val="FF0000"/>
                    </w:rPr>
                  </w:pPr>
                </w:p>
              </w:tc>
              <w:tc>
                <w:tcPr>
                  <w:tcW w:w="801" w:type="pct"/>
                  <w:vAlign w:val="center"/>
                </w:tcPr>
                <w:p w14:paraId="46F26954">
                  <w:pPr>
                    <w:pStyle w:val="42"/>
                    <w:keepNext w:val="0"/>
                    <w:keepLines w:val="0"/>
                    <w:widowControl/>
                    <w:suppressLineNumbers w:val="0"/>
                    <w:spacing w:before="0" w:beforeAutospacing="0" w:after="0" w:afterAutospacing="0"/>
                    <w:ind w:left="0" w:right="0"/>
                    <w:rPr>
                      <w:rFonts w:hint="default"/>
                    </w:rPr>
                  </w:pPr>
                  <w:r>
                    <w:t>南厂界</w:t>
                  </w:r>
                </w:p>
              </w:tc>
              <w:tc>
                <w:tcPr>
                  <w:tcW w:w="856" w:type="pct"/>
                  <w:vAlign w:val="center"/>
                </w:tcPr>
                <w:p w14:paraId="5CBF968D">
                  <w:pPr>
                    <w:pStyle w:val="42"/>
                    <w:keepNext w:val="0"/>
                    <w:keepLines w:val="0"/>
                    <w:widowControl/>
                    <w:suppressLineNumbers w:val="0"/>
                    <w:spacing w:before="0" w:beforeAutospacing="0" w:after="0" w:afterAutospacing="0"/>
                    <w:ind w:left="0" w:right="0"/>
                    <w:rPr>
                      <w:rFonts w:hint="default"/>
                    </w:rPr>
                  </w:pPr>
                  <w:r>
                    <w:t>44.37</w:t>
                  </w:r>
                </w:p>
              </w:tc>
              <w:tc>
                <w:tcPr>
                  <w:tcW w:w="829" w:type="pct"/>
                  <w:vAlign w:val="center"/>
                </w:tcPr>
                <w:p w14:paraId="3CFF93A9">
                  <w:pPr>
                    <w:pStyle w:val="42"/>
                    <w:keepNext w:val="0"/>
                    <w:keepLines w:val="0"/>
                    <w:widowControl/>
                    <w:suppressLineNumbers w:val="0"/>
                    <w:spacing w:before="0" w:beforeAutospacing="0" w:after="0" w:afterAutospacing="0"/>
                    <w:ind w:left="0" w:right="0"/>
                    <w:rPr>
                      <w:rFonts w:hint="default"/>
                    </w:rPr>
                  </w:pPr>
                  <w:r>
                    <w:t>65</w:t>
                  </w:r>
                </w:p>
              </w:tc>
              <w:tc>
                <w:tcPr>
                  <w:tcW w:w="1341" w:type="pct"/>
                  <w:vAlign w:val="center"/>
                </w:tcPr>
                <w:p w14:paraId="33D09E93">
                  <w:pPr>
                    <w:pStyle w:val="42"/>
                    <w:keepNext w:val="0"/>
                    <w:keepLines w:val="0"/>
                    <w:widowControl/>
                    <w:suppressLineNumbers w:val="0"/>
                    <w:spacing w:before="0" w:beforeAutospacing="0" w:after="0" w:afterAutospacing="0"/>
                    <w:ind w:left="0" w:right="0"/>
                    <w:rPr>
                      <w:rFonts w:hint="default"/>
                    </w:rPr>
                  </w:pPr>
                  <w:r>
                    <w:t>达标</w:t>
                  </w:r>
                </w:p>
              </w:tc>
            </w:tr>
            <w:tr w14:paraId="283E11B8">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67" w:hRule="atLeast"/>
                <w:jc w:val="center"/>
              </w:trPr>
              <w:tc>
                <w:tcPr>
                  <w:tcW w:w="1171" w:type="pct"/>
                  <w:vMerge w:val="continue"/>
                  <w:vAlign w:val="center"/>
                </w:tcPr>
                <w:p w14:paraId="38C250E5">
                  <w:pPr>
                    <w:pStyle w:val="42"/>
                    <w:keepNext w:val="0"/>
                    <w:keepLines w:val="0"/>
                    <w:widowControl/>
                    <w:suppressLineNumbers w:val="0"/>
                    <w:spacing w:before="0" w:beforeAutospacing="0" w:after="0" w:afterAutospacing="0"/>
                    <w:ind w:left="0" w:right="0"/>
                    <w:rPr>
                      <w:rFonts w:hint="default"/>
                      <w:color w:val="FF0000"/>
                    </w:rPr>
                  </w:pPr>
                </w:p>
              </w:tc>
              <w:tc>
                <w:tcPr>
                  <w:tcW w:w="801" w:type="pct"/>
                  <w:vAlign w:val="center"/>
                </w:tcPr>
                <w:p w14:paraId="11A63CC2">
                  <w:pPr>
                    <w:pStyle w:val="42"/>
                    <w:keepNext w:val="0"/>
                    <w:keepLines w:val="0"/>
                    <w:widowControl/>
                    <w:suppressLineNumbers w:val="0"/>
                    <w:spacing w:before="0" w:beforeAutospacing="0" w:after="0" w:afterAutospacing="0"/>
                    <w:ind w:left="0" w:right="0"/>
                    <w:rPr>
                      <w:rFonts w:hint="default"/>
                    </w:rPr>
                  </w:pPr>
                  <w:r>
                    <w:t>西厂界</w:t>
                  </w:r>
                </w:p>
              </w:tc>
              <w:tc>
                <w:tcPr>
                  <w:tcW w:w="856" w:type="pct"/>
                  <w:vAlign w:val="center"/>
                </w:tcPr>
                <w:p w14:paraId="3175909B">
                  <w:pPr>
                    <w:pStyle w:val="42"/>
                    <w:keepNext w:val="0"/>
                    <w:keepLines w:val="0"/>
                    <w:widowControl/>
                    <w:suppressLineNumbers w:val="0"/>
                    <w:spacing w:before="0" w:beforeAutospacing="0" w:after="0" w:afterAutospacing="0"/>
                    <w:ind w:left="0" w:right="0"/>
                    <w:rPr>
                      <w:rFonts w:hint="default"/>
                    </w:rPr>
                  </w:pPr>
                  <w:r>
                    <w:t>23.76</w:t>
                  </w:r>
                </w:p>
              </w:tc>
              <w:tc>
                <w:tcPr>
                  <w:tcW w:w="829" w:type="pct"/>
                  <w:vAlign w:val="center"/>
                </w:tcPr>
                <w:p w14:paraId="063951A5">
                  <w:pPr>
                    <w:pStyle w:val="42"/>
                    <w:keepNext w:val="0"/>
                    <w:keepLines w:val="0"/>
                    <w:widowControl/>
                    <w:suppressLineNumbers w:val="0"/>
                    <w:spacing w:before="0" w:beforeAutospacing="0" w:after="0" w:afterAutospacing="0"/>
                    <w:ind w:left="0" w:right="0"/>
                    <w:rPr>
                      <w:rFonts w:hint="default"/>
                    </w:rPr>
                  </w:pPr>
                  <w:r>
                    <w:t>65</w:t>
                  </w:r>
                </w:p>
              </w:tc>
              <w:tc>
                <w:tcPr>
                  <w:tcW w:w="1341" w:type="pct"/>
                  <w:vAlign w:val="center"/>
                </w:tcPr>
                <w:p w14:paraId="5FFDD76B">
                  <w:pPr>
                    <w:pStyle w:val="42"/>
                    <w:keepNext w:val="0"/>
                    <w:keepLines w:val="0"/>
                    <w:widowControl/>
                    <w:suppressLineNumbers w:val="0"/>
                    <w:spacing w:before="0" w:beforeAutospacing="0" w:after="0" w:afterAutospacing="0"/>
                    <w:ind w:left="0" w:right="0"/>
                    <w:rPr>
                      <w:rFonts w:hint="default"/>
                    </w:rPr>
                  </w:pPr>
                  <w:r>
                    <w:t>达标</w:t>
                  </w:r>
                </w:p>
              </w:tc>
            </w:tr>
            <w:tr w14:paraId="2E371856">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67" w:hRule="atLeast"/>
                <w:jc w:val="center"/>
              </w:trPr>
              <w:tc>
                <w:tcPr>
                  <w:tcW w:w="1171" w:type="pct"/>
                  <w:vMerge w:val="continue"/>
                  <w:vAlign w:val="center"/>
                </w:tcPr>
                <w:p w14:paraId="703A7E42">
                  <w:pPr>
                    <w:pStyle w:val="42"/>
                    <w:keepNext w:val="0"/>
                    <w:keepLines w:val="0"/>
                    <w:widowControl/>
                    <w:suppressLineNumbers w:val="0"/>
                    <w:spacing w:before="0" w:beforeAutospacing="0" w:after="0" w:afterAutospacing="0"/>
                    <w:ind w:left="0" w:right="0"/>
                    <w:rPr>
                      <w:rFonts w:hint="default"/>
                      <w:color w:val="FF0000"/>
                    </w:rPr>
                  </w:pPr>
                </w:p>
              </w:tc>
              <w:tc>
                <w:tcPr>
                  <w:tcW w:w="801" w:type="pct"/>
                  <w:vAlign w:val="center"/>
                </w:tcPr>
                <w:p w14:paraId="0F0A8F95">
                  <w:pPr>
                    <w:pStyle w:val="42"/>
                    <w:keepNext w:val="0"/>
                    <w:keepLines w:val="0"/>
                    <w:widowControl/>
                    <w:suppressLineNumbers w:val="0"/>
                    <w:spacing w:before="0" w:beforeAutospacing="0" w:after="0" w:afterAutospacing="0"/>
                    <w:ind w:left="0" w:right="0"/>
                    <w:rPr>
                      <w:rFonts w:hint="default"/>
                    </w:rPr>
                  </w:pPr>
                  <w:r>
                    <w:t>北厂界</w:t>
                  </w:r>
                </w:p>
              </w:tc>
              <w:tc>
                <w:tcPr>
                  <w:tcW w:w="856" w:type="pct"/>
                  <w:vAlign w:val="center"/>
                </w:tcPr>
                <w:p w14:paraId="2333064C">
                  <w:pPr>
                    <w:pStyle w:val="42"/>
                    <w:keepNext w:val="0"/>
                    <w:keepLines w:val="0"/>
                    <w:widowControl/>
                    <w:suppressLineNumbers w:val="0"/>
                    <w:spacing w:before="0" w:beforeAutospacing="0" w:after="0" w:afterAutospacing="0"/>
                    <w:ind w:left="0" w:right="0"/>
                    <w:rPr>
                      <w:rFonts w:hint="default"/>
                    </w:rPr>
                  </w:pPr>
                  <w:r>
                    <w:t>55.26</w:t>
                  </w:r>
                </w:p>
              </w:tc>
              <w:tc>
                <w:tcPr>
                  <w:tcW w:w="829" w:type="pct"/>
                  <w:vAlign w:val="center"/>
                </w:tcPr>
                <w:p w14:paraId="778549CD">
                  <w:pPr>
                    <w:pStyle w:val="42"/>
                    <w:keepNext w:val="0"/>
                    <w:keepLines w:val="0"/>
                    <w:widowControl/>
                    <w:suppressLineNumbers w:val="0"/>
                    <w:spacing w:before="0" w:beforeAutospacing="0" w:after="0" w:afterAutospacing="0"/>
                    <w:ind w:left="0" w:right="0"/>
                    <w:rPr>
                      <w:rFonts w:hint="default"/>
                    </w:rPr>
                  </w:pPr>
                  <w:r>
                    <w:t>65</w:t>
                  </w:r>
                </w:p>
              </w:tc>
              <w:tc>
                <w:tcPr>
                  <w:tcW w:w="1341" w:type="pct"/>
                  <w:vAlign w:val="center"/>
                </w:tcPr>
                <w:p w14:paraId="4F6D4684">
                  <w:pPr>
                    <w:pStyle w:val="42"/>
                    <w:keepNext w:val="0"/>
                    <w:keepLines w:val="0"/>
                    <w:widowControl/>
                    <w:suppressLineNumbers w:val="0"/>
                    <w:spacing w:before="0" w:beforeAutospacing="0" w:after="0" w:afterAutospacing="0"/>
                    <w:ind w:left="0" w:right="0"/>
                    <w:rPr>
                      <w:rFonts w:hint="default"/>
                    </w:rPr>
                  </w:pPr>
                  <w:r>
                    <w:t>达标</w:t>
                  </w:r>
                </w:p>
              </w:tc>
            </w:tr>
          </w:tbl>
          <w:p w14:paraId="12AD61AE">
            <w:pPr>
              <w:keepNext w:val="0"/>
              <w:keepLines w:val="0"/>
              <w:suppressLineNumbers w:val="0"/>
              <w:spacing w:before="120" w:beforeLines="50" w:beforeAutospacing="0" w:after="0" w:afterAutospacing="0"/>
              <w:ind w:left="0" w:right="0" w:firstLine="480"/>
              <w:rPr>
                <w:rFonts w:hint="default"/>
              </w:rPr>
            </w:pPr>
            <w:r>
              <w:rPr>
                <w:rFonts w:hint="eastAsia"/>
              </w:rPr>
              <w:t>绘制噪声预测等声级线图如下图所示。</w:t>
            </w:r>
          </w:p>
          <w:p w14:paraId="2088F9CC">
            <w:pPr>
              <w:keepNext w:val="0"/>
              <w:keepLines w:val="0"/>
              <w:suppressLineNumbers w:val="0"/>
              <w:spacing w:before="0" w:beforeAutospacing="0" w:after="0" w:afterAutospacing="0"/>
              <w:ind w:left="0" w:right="0" w:firstLine="0" w:firstLineChars="0"/>
              <w:jc w:val="center"/>
              <w:rPr>
                <w:rFonts w:hint="default"/>
                <w:color w:val="FF0000"/>
              </w:rPr>
            </w:pPr>
            <w:r>
              <w:rPr>
                <w:rFonts w:hint="eastAsia"/>
                <w:color w:val="FF0000"/>
              </w:rPr>
              <w:drawing>
                <wp:inline distT="0" distB="0" distL="114300" distR="114300">
                  <wp:extent cx="4929505" cy="3571240"/>
                  <wp:effectExtent l="0" t="0" r="4445" b="10160"/>
                  <wp:docPr id="3" name="图片 3" descr="4e7917ea4331a85136b0760fd7607d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e7917ea4331a85136b0760fd7607da6"/>
                          <pic:cNvPicPr>
                            <a:picLocks noChangeAspect="1"/>
                          </pic:cNvPicPr>
                        </pic:nvPicPr>
                        <pic:blipFill>
                          <a:blip r:embed="rId22"/>
                          <a:stretch>
                            <a:fillRect/>
                          </a:stretch>
                        </pic:blipFill>
                        <pic:spPr>
                          <a:xfrm>
                            <a:off x="0" y="0"/>
                            <a:ext cx="4929505" cy="3571240"/>
                          </a:xfrm>
                          <a:prstGeom prst="rect">
                            <a:avLst/>
                          </a:prstGeom>
                        </pic:spPr>
                      </pic:pic>
                    </a:graphicData>
                  </a:graphic>
                </wp:inline>
              </w:drawing>
            </w:r>
          </w:p>
          <w:p w14:paraId="41E3D9AE">
            <w:pPr>
              <w:pStyle w:val="40"/>
              <w:keepNext w:val="0"/>
              <w:keepLines w:val="0"/>
              <w:numPr>
                <w:ilvl w:val="0"/>
                <w:numId w:val="20"/>
              </w:numPr>
              <w:suppressLineNumbers w:val="0"/>
              <w:spacing w:before="0" w:beforeAutospacing="0" w:after="0" w:afterAutospacing="0"/>
              <w:ind w:right="0" w:firstLineChars="0"/>
              <w:jc w:val="center"/>
              <w:rPr>
                <w:rFonts w:hint="default"/>
              </w:rPr>
            </w:pPr>
            <w:r>
              <w:rPr>
                <w:rFonts w:hint="default" w:eastAsia="宋体"/>
                <w:b/>
                <w:bCs/>
                <w:sz w:val="21"/>
              </w:rPr>
              <w:t>项目</w:t>
            </w:r>
            <w:r>
              <w:rPr>
                <w:rFonts w:hint="eastAsia" w:eastAsia="宋体"/>
                <w:b/>
                <w:bCs/>
                <w:sz w:val="21"/>
              </w:rPr>
              <w:t>运行阶段昼间</w:t>
            </w:r>
            <w:r>
              <w:rPr>
                <w:rFonts w:hint="default" w:eastAsia="宋体"/>
                <w:b/>
                <w:bCs/>
                <w:sz w:val="21"/>
              </w:rPr>
              <w:t>噪声贡献值等值线图</w:t>
            </w:r>
          </w:p>
          <w:p w14:paraId="5D22C87E">
            <w:pPr>
              <w:keepNext w:val="0"/>
              <w:keepLines w:val="0"/>
              <w:suppressLineNumbers w:val="0"/>
              <w:spacing w:before="0" w:beforeAutospacing="0" w:after="0" w:afterAutospacing="0"/>
              <w:ind w:left="0" w:right="0" w:firstLine="480"/>
              <w:rPr>
                <w:rFonts w:hint="default"/>
              </w:rPr>
            </w:pPr>
            <w:r>
              <w:rPr>
                <w:rFonts w:hint="default"/>
              </w:rPr>
              <w:t>根据</w:t>
            </w:r>
            <w:r>
              <w:rPr>
                <w:rFonts w:hint="eastAsia"/>
              </w:rPr>
              <w:t>上述预测</w:t>
            </w:r>
            <w:r>
              <w:rPr>
                <w:rFonts w:hint="default"/>
              </w:rPr>
              <w:t>结果知，项目四</w:t>
            </w:r>
            <w:r>
              <w:rPr>
                <w:rFonts w:hint="eastAsia"/>
              </w:rPr>
              <w:t>侧</w:t>
            </w:r>
            <w:r>
              <w:rPr>
                <w:rFonts w:hint="default"/>
              </w:rPr>
              <w:t>厂界贡献值</w:t>
            </w:r>
            <w:r>
              <w:rPr>
                <w:rFonts w:hint="eastAsia"/>
              </w:rPr>
              <w:t>均</w:t>
            </w:r>
            <w:r>
              <w:rPr>
                <w:rFonts w:hint="default"/>
              </w:rPr>
              <w:t>符合《工业企业厂界环境噪声排放标准》（GB12348-2008）中</w:t>
            </w:r>
            <w:r>
              <w:rPr>
                <w:rFonts w:hint="eastAsia"/>
              </w:rPr>
              <w:t>3</w:t>
            </w:r>
            <w:r>
              <w:rPr>
                <w:rFonts w:hint="default"/>
              </w:rPr>
              <w:t>类区标准要求</w:t>
            </w:r>
            <w:r>
              <w:rPr>
                <w:rFonts w:hint="eastAsia"/>
              </w:rPr>
              <w:t>，项目的厂界噪声为达标排放。</w:t>
            </w:r>
          </w:p>
          <w:p w14:paraId="1A727346">
            <w:pPr>
              <w:keepNext w:val="0"/>
              <w:keepLines w:val="0"/>
              <w:suppressLineNumbers w:val="0"/>
              <w:spacing w:before="0" w:beforeAutospacing="0" w:after="0" w:afterAutospacing="0"/>
              <w:ind w:left="0" w:right="0" w:firstLine="482"/>
              <w:rPr>
                <w:rFonts w:hint="default"/>
                <w:b/>
              </w:rPr>
            </w:pPr>
            <w:r>
              <w:rPr>
                <w:rFonts w:hint="eastAsia"/>
                <w:b/>
              </w:rPr>
              <w:t>（</w:t>
            </w:r>
            <w:r>
              <w:rPr>
                <w:rFonts w:hint="default"/>
                <w:b/>
              </w:rPr>
              <w:t>3</w:t>
            </w:r>
            <w:r>
              <w:rPr>
                <w:rFonts w:hint="eastAsia"/>
                <w:b/>
              </w:rPr>
              <w:t>）监测要求</w:t>
            </w:r>
          </w:p>
          <w:p w14:paraId="33BD14AE">
            <w:pPr>
              <w:keepNext w:val="0"/>
              <w:keepLines w:val="0"/>
              <w:suppressLineNumbers w:val="0"/>
              <w:autoSpaceDE w:val="0"/>
              <w:spacing w:before="0" w:beforeAutospacing="0" w:after="0" w:afterAutospacing="0"/>
              <w:ind w:left="0" w:right="0" w:firstLine="480"/>
              <w:rPr>
                <w:rFonts w:hint="default"/>
                <w:color w:val="000000"/>
                <w:szCs w:val="21"/>
              </w:rPr>
            </w:pPr>
            <w:r>
              <w:rPr>
                <w:rFonts w:hint="default" w:ascii="宋体" w:hAnsi="宋体"/>
                <w:color w:val="000000"/>
                <w:szCs w:val="21"/>
              </w:rPr>
              <w:t>项目</w:t>
            </w:r>
            <w:r>
              <w:rPr>
                <w:rFonts w:hint="eastAsia" w:ascii="宋体" w:hAnsi="宋体"/>
                <w:color w:val="000000"/>
                <w:szCs w:val="21"/>
              </w:rPr>
              <w:t>噪声源</w:t>
            </w:r>
            <w:r>
              <w:rPr>
                <w:rFonts w:hint="default" w:ascii="宋体" w:hAnsi="宋体"/>
                <w:color w:val="000000"/>
                <w:szCs w:val="21"/>
              </w:rPr>
              <w:t>监测要求详见下表：</w:t>
            </w:r>
          </w:p>
          <w:p w14:paraId="77CF1F4A">
            <w:pPr>
              <w:pStyle w:val="19"/>
              <w:keepNext w:val="0"/>
              <w:keepLines w:val="0"/>
              <w:widowControl w:val="0"/>
              <w:numPr>
                <w:ilvl w:val="0"/>
                <w:numId w:val="15"/>
              </w:numPr>
              <w:suppressLineNumbers w:val="0"/>
              <w:spacing w:before="0" w:beforeAutospacing="0" w:after="0" w:afterAutospacing="0"/>
              <w:ind w:left="0" w:right="0" w:firstLine="0" w:firstLineChars="0"/>
              <w:jc w:val="center"/>
              <w:rPr>
                <w:rFonts w:hint="default" w:ascii="Times New Roman" w:hAnsi="Times New Roman"/>
                <w:b/>
                <w:sz w:val="21"/>
              </w:rPr>
            </w:pPr>
            <w:r>
              <w:rPr>
                <w:rFonts w:hint="eastAsia" w:ascii="Times New Roman" w:hAnsi="Times New Roman"/>
                <w:b/>
                <w:sz w:val="21"/>
              </w:rPr>
              <w:t>项目噪声监测要求一览表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361"/>
              <w:gridCol w:w="1141"/>
              <w:gridCol w:w="1154"/>
              <w:gridCol w:w="3631"/>
            </w:tblGrid>
            <w:tr w14:paraId="2315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vAlign w:val="center"/>
                </w:tcPr>
                <w:p w14:paraId="5FF0500B">
                  <w:pPr>
                    <w:pStyle w:val="42"/>
                    <w:keepNext w:val="0"/>
                    <w:keepLines w:val="0"/>
                    <w:widowControl/>
                    <w:suppressLineNumbers w:val="0"/>
                    <w:spacing w:before="0" w:beforeAutospacing="0" w:after="0" w:afterAutospacing="0"/>
                    <w:ind w:left="0" w:right="0"/>
                    <w:rPr>
                      <w:rFonts w:hint="default"/>
                      <w:b/>
                      <w:bCs/>
                    </w:rPr>
                  </w:pPr>
                  <w:r>
                    <w:rPr>
                      <w:b/>
                      <w:bCs/>
                    </w:rPr>
                    <w:t>环境要素</w:t>
                  </w:r>
                </w:p>
              </w:tc>
              <w:tc>
                <w:tcPr>
                  <w:tcW w:w="1350" w:type="dxa"/>
                  <w:tcBorders>
                    <w:top w:val="single" w:color="auto" w:sz="4" w:space="0"/>
                    <w:left w:val="nil"/>
                    <w:bottom w:val="single" w:color="auto" w:sz="4" w:space="0"/>
                    <w:right w:val="single" w:color="auto" w:sz="4" w:space="0"/>
                  </w:tcBorders>
                  <w:vAlign w:val="center"/>
                </w:tcPr>
                <w:p w14:paraId="213BA112">
                  <w:pPr>
                    <w:pStyle w:val="42"/>
                    <w:keepNext w:val="0"/>
                    <w:keepLines w:val="0"/>
                    <w:widowControl/>
                    <w:suppressLineNumbers w:val="0"/>
                    <w:spacing w:before="0" w:beforeAutospacing="0" w:after="0" w:afterAutospacing="0"/>
                    <w:ind w:left="0" w:right="0"/>
                    <w:rPr>
                      <w:rFonts w:hint="default"/>
                      <w:b/>
                      <w:bCs/>
                    </w:rPr>
                  </w:pPr>
                  <w:r>
                    <w:rPr>
                      <w:b/>
                      <w:bCs/>
                    </w:rPr>
                    <w:t>监测位置</w:t>
                  </w:r>
                </w:p>
              </w:tc>
              <w:tc>
                <w:tcPr>
                  <w:tcW w:w="1132" w:type="dxa"/>
                  <w:tcBorders>
                    <w:top w:val="single" w:color="auto" w:sz="4" w:space="0"/>
                    <w:left w:val="nil"/>
                    <w:bottom w:val="single" w:color="auto" w:sz="4" w:space="0"/>
                    <w:right w:val="single" w:color="auto" w:sz="4" w:space="0"/>
                  </w:tcBorders>
                  <w:vAlign w:val="center"/>
                </w:tcPr>
                <w:p w14:paraId="079EF8AC">
                  <w:pPr>
                    <w:pStyle w:val="42"/>
                    <w:keepNext w:val="0"/>
                    <w:keepLines w:val="0"/>
                    <w:widowControl/>
                    <w:suppressLineNumbers w:val="0"/>
                    <w:spacing w:before="0" w:beforeAutospacing="0" w:after="0" w:afterAutospacing="0"/>
                    <w:ind w:left="0" w:right="0"/>
                    <w:rPr>
                      <w:rFonts w:hint="default"/>
                      <w:b/>
                      <w:bCs/>
                    </w:rPr>
                  </w:pPr>
                  <w:r>
                    <w:rPr>
                      <w:b/>
                      <w:bCs/>
                    </w:rPr>
                    <w:t>监测项目</w:t>
                  </w:r>
                </w:p>
              </w:tc>
              <w:tc>
                <w:tcPr>
                  <w:tcW w:w="1145" w:type="dxa"/>
                  <w:tcBorders>
                    <w:top w:val="single" w:color="auto" w:sz="4" w:space="0"/>
                    <w:left w:val="nil"/>
                    <w:bottom w:val="single" w:color="auto" w:sz="4" w:space="0"/>
                    <w:right w:val="single" w:color="auto" w:sz="4" w:space="0"/>
                  </w:tcBorders>
                  <w:vAlign w:val="center"/>
                </w:tcPr>
                <w:p w14:paraId="78B69CBF">
                  <w:pPr>
                    <w:pStyle w:val="42"/>
                    <w:keepNext w:val="0"/>
                    <w:keepLines w:val="0"/>
                    <w:widowControl/>
                    <w:suppressLineNumbers w:val="0"/>
                    <w:spacing w:before="0" w:beforeAutospacing="0" w:after="0" w:afterAutospacing="0"/>
                    <w:ind w:left="0" w:right="0"/>
                    <w:rPr>
                      <w:rFonts w:hint="default"/>
                      <w:b/>
                      <w:bCs/>
                    </w:rPr>
                  </w:pPr>
                  <w:r>
                    <w:rPr>
                      <w:b/>
                      <w:bCs/>
                    </w:rPr>
                    <w:t>频次</w:t>
                  </w:r>
                </w:p>
              </w:tc>
              <w:tc>
                <w:tcPr>
                  <w:tcW w:w="3602" w:type="dxa"/>
                  <w:tcBorders>
                    <w:top w:val="single" w:color="auto" w:sz="4" w:space="0"/>
                    <w:left w:val="nil"/>
                    <w:bottom w:val="single" w:color="auto" w:sz="4" w:space="0"/>
                    <w:right w:val="single" w:color="auto" w:sz="4" w:space="0"/>
                  </w:tcBorders>
                  <w:vAlign w:val="center"/>
                </w:tcPr>
                <w:p w14:paraId="10A8496B">
                  <w:pPr>
                    <w:pStyle w:val="42"/>
                    <w:keepNext w:val="0"/>
                    <w:keepLines w:val="0"/>
                    <w:widowControl/>
                    <w:suppressLineNumbers w:val="0"/>
                    <w:spacing w:before="0" w:beforeAutospacing="0" w:after="0" w:afterAutospacing="0"/>
                    <w:ind w:left="0" w:right="0"/>
                    <w:rPr>
                      <w:rFonts w:hint="default"/>
                      <w:b/>
                      <w:bCs/>
                    </w:rPr>
                  </w:pPr>
                  <w:r>
                    <w:rPr>
                      <w:b/>
                      <w:bCs/>
                    </w:rPr>
                    <w:t>执行标准</w:t>
                  </w:r>
                </w:p>
              </w:tc>
            </w:tr>
            <w:tr w14:paraId="0A35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vAlign w:val="center"/>
                </w:tcPr>
                <w:p w14:paraId="047B2259">
                  <w:pPr>
                    <w:pStyle w:val="42"/>
                    <w:keepNext w:val="0"/>
                    <w:keepLines w:val="0"/>
                    <w:widowControl/>
                    <w:suppressLineNumbers w:val="0"/>
                    <w:spacing w:before="0" w:beforeAutospacing="0" w:after="0" w:afterAutospacing="0"/>
                    <w:ind w:left="0" w:right="0"/>
                    <w:rPr>
                      <w:rFonts w:hint="default"/>
                    </w:rPr>
                  </w:pPr>
                  <w:r>
                    <w:t>噪声</w:t>
                  </w:r>
                </w:p>
              </w:tc>
              <w:tc>
                <w:tcPr>
                  <w:tcW w:w="1350" w:type="dxa"/>
                  <w:tcBorders>
                    <w:top w:val="single" w:color="auto" w:sz="4" w:space="0"/>
                    <w:left w:val="nil"/>
                    <w:bottom w:val="single" w:color="auto" w:sz="4" w:space="0"/>
                    <w:right w:val="single" w:color="auto" w:sz="4" w:space="0"/>
                  </w:tcBorders>
                  <w:vAlign w:val="center"/>
                </w:tcPr>
                <w:p w14:paraId="02E16B74">
                  <w:pPr>
                    <w:pStyle w:val="42"/>
                    <w:keepNext w:val="0"/>
                    <w:keepLines w:val="0"/>
                    <w:widowControl/>
                    <w:suppressLineNumbers w:val="0"/>
                    <w:spacing w:before="0" w:beforeAutospacing="0" w:after="0" w:afterAutospacing="0"/>
                    <w:ind w:left="0" w:right="0"/>
                    <w:jc w:val="both"/>
                    <w:rPr>
                      <w:rFonts w:hint="default"/>
                    </w:rPr>
                  </w:pPr>
                  <w:r>
                    <w:t>项目的四厂界外1m处</w:t>
                  </w:r>
                </w:p>
              </w:tc>
              <w:tc>
                <w:tcPr>
                  <w:tcW w:w="1132" w:type="dxa"/>
                  <w:tcBorders>
                    <w:top w:val="single" w:color="auto" w:sz="4" w:space="0"/>
                    <w:left w:val="nil"/>
                    <w:bottom w:val="single" w:color="auto" w:sz="4" w:space="0"/>
                    <w:right w:val="single" w:color="auto" w:sz="4" w:space="0"/>
                  </w:tcBorders>
                  <w:vAlign w:val="center"/>
                </w:tcPr>
                <w:p w14:paraId="1CE400AF">
                  <w:pPr>
                    <w:pStyle w:val="42"/>
                    <w:keepNext w:val="0"/>
                    <w:keepLines w:val="0"/>
                    <w:widowControl/>
                    <w:suppressLineNumbers w:val="0"/>
                    <w:spacing w:before="0" w:beforeAutospacing="0" w:after="0" w:afterAutospacing="0"/>
                    <w:ind w:left="0" w:right="0"/>
                    <w:rPr>
                      <w:rFonts w:hint="default"/>
                    </w:rPr>
                  </w:pPr>
                  <w:r>
                    <w:rPr>
                      <w:rFonts w:hint="default"/>
                    </w:rPr>
                    <w:t>L</w:t>
                  </w:r>
                  <w:r>
                    <w:rPr>
                      <w:rFonts w:hint="default"/>
                      <w:vertAlign w:val="subscript"/>
                    </w:rPr>
                    <w:t>Aeq,T</w:t>
                  </w:r>
                </w:p>
              </w:tc>
              <w:tc>
                <w:tcPr>
                  <w:tcW w:w="1145" w:type="dxa"/>
                  <w:tcBorders>
                    <w:top w:val="single" w:color="auto" w:sz="4" w:space="0"/>
                    <w:left w:val="nil"/>
                    <w:bottom w:val="single" w:color="auto" w:sz="4" w:space="0"/>
                    <w:right w:val="single" w:color="auto" w:sz="4" w:space="0"/>
                  </w:tcBorders>
                  <w:vAlign w:val="center"/>
                </w:tcPr>
                <w:p w14:paraId="71FAEE40">
                  <w:pPr>
                    <w:pStyle w:val="42"/>
                    <w:keepNext w:val="0"/>
                    <w:keepLines w:val="0"/>
                    <w:widowControl/>
                    <w:suppressLineNumbers w:val="0"/>
                    <w:spacing w:before="0" w:beforeAutospacing="0" w:after="0" w:afterAutospacing="0"/>
                    <w:ind w:left="0" w:right="0"/>
                    <w:rPr>
                      <w:rFonts w:hint="default"/>
                    </w:rPr>
                  </w:pPr>
                  <w:r>
                    <w:t>每季度</w:t>
                  </w:r>
                </w:p>
                <w:p w14:paraId="4292F254">
                  <w:pPr>
                    <w:pStyle w:val="42"/>
                    <w:keepNext w:val="0"/>
                    <w:keepLines w:val="0"/>
                    <w:widowControl/>
                    <w:suppressLineNumbers w:val="0"/>
                    <w:spacing w:before="0" w:beforeAutospacing="0" w:after="0" w:afterAutospacing="0"/>
                    <w:ind w:left="0" w:right="0"/>
                    <w:rPr>
                      <w:rFonts w:hint="default"/>
                    </w:rPr>
                  </w:pPr>
                  <w:r>
                    <w:t>一次</w:t>
                  </w:r>
                </w:p>
              </w:tc>
              <w:tc>
                <w:tcPr>
                  <w:tcW w:w="3602" w:type="dxa"/>
                  <w:tcBorders>
                    <w:top w:val="single" w:color="auto" w:sz="4" w:space="0"/>
                    <w:left w:val="nil"/>
                    <w:bottom w:val="single" w:color="auto" w:sz="4" w:space="0"/>
                    <w:right w:val="single" w:color="auto" w:sz="4" w:space="0"/>
                  </w:tcBorders>
                  <w:vAlign w:val="center"/>
                </w:tcPr>
                <w:p w14:paraId="1A675BB5">
                  <w:pPr>
                    <w:pStyle w:val="42"/>
                    <w:keepNext w:val="0"/>
                    <w:keepLines w:val="0"/>
                    <w:widowControl/>
                    <w:suppressLineNumbers w:val="0"/>
                    <w:spacing w:before="0" w:beforeAutospacing="0" w:after="0" w:afterAutospacing="0"/>
                    <w:ind w:left="0" w:right="0"/>
                    <w:rPr>
                      <w:rFonts w:hint="default"/>
                    </w:rPr>
                  </w:pPr>
                  <w:r>
                    <w:t>《工业企业厂界环境噪声排放标准》（GB12348-2008）中3类区标准要求</w:t>
                  </w:r>
                </w:p>
              </w:tc>
            </w:tr>
          </w:tbl>
          <w:p w14:paraId="50881F5B">
            <w:pPr>
              <w:keepNext w:val="0"/>
              <w:keepLines w:val="0"/>
              <w:suppressLineNumbers w:val="0"/>
              <w:spacing w:before="0" w:beforeAutospacing="0" w:after="0" w:afterAutospacing="0"/>
              <w:ind w:left="0" w:right="0" w:firstLine="482"/>
              <w:rPr>
                <w:rFonts w:hint="default"/>
                <w:b/>
              </w:rPr>
            </w:pPr>
            <w:r>
              <w:rPr>
                <w:rFonts w:hint="default"/>
                <w:b/>
              </w:rPr>
              <w:t>4．</w:t>
            </w:r>
            <w:r>
              <w:rPr>
                <w:rFonts w:hint="eastAsia"/>
                <w:b/>
              </w:rPr>
              <w:t>固体废物环境影响和处置措施</w:t>
            </w:r>
          </w:p>
          <w:p w14:paraId="1127BB08">
            <w:pPr>
              <w:keepNext w:val="0"/>
              <w:keepLines w:val="0"/>
              <w:suppressLineNumbers w:val="0"/>
              <w:spacing w:before="0" w:beforeAutospacing="0" w:after="0" w:afterAutospacing="0"/>
              <w:ind w:left="0" w:right="0" w:firstLine="480"/>
              <w:rPr>
                <w:rFonts w:hint="default"/>
                <w:color w:val="FF0000"/>
              </w:rPr>
            </w:pPr>
            <w:r>
              <w:rPr>
                <w:rFonts w:hint="eastAsia"/>
              </w:rPr>
              <w:t>项目运营期产生的固体废物主要为一般工业固体废物、危险废物和生活垃圾，一般工业固体废物为布袋除尘器除尘灰，危险废物主要为废润滑油和废油桶。</w:t>
            </w:r>
          </w:p>
          <w:p w14:paraId="3C3ED4A2">
            <w:pPr>
              <w:keepNext w:val="0"/>
              <w:keepLines w:val="0"/>
              <w:suppressLineNumbers w:val="0"/>
              <w:spacing w:before="0" w:beforeAutospacing="0" w:after="0" w:afterAutospacing="0"/>
              <w:ind w:left="0" w:right="0" w:firstLine="482"/>
              <w:rPr>
                <w:rFonts w:hint="default"/>
              </w:rPr>
            </w:pPr>
            <w:r>
              <w:rPr>
                <w:rFonts w:hint="eastAsia"/>
                <w:b/>
              </w:rPr>
              <w:t>（1）固体废物污染源源强核算</w:t>
            </w:r>
          </w:p>
          <w:p w14:paraId="51702391">
            <w:pPr>
              <w:keepNext w:val="0"/>
              <w:keepLines w:val="0"/>
              <w:numPr>
                <w:ilvl w:val="0"/>
                <w:numId w:val="21"/>
              </w:numPr>
              <w:suppressLineNumbers w:val="0"/>
              <w:spacing w:before="0" w:beforeAutospacing="0" w:after="0" w:afterAutospacing="0"/>
              <w:ind w:right="0" w:firstLine="480"/>
              <w:rPr>
                <w:rFonts w:hint="default"/>
              </w:rPr>
            </w:pPr>
            <w:r>
              <w:rPr>
                <w:rFonts w:hint="eastAsia"/>
              </w:rPr>
              <w:t>生活垃圾</w:t>
            </w:r>
          </w:p>
          <w:p w14:paraId="56114DE9">
            <w:pPr>
              <w:keepNext w:val="0"/>
              <w:keepLines w:val="0"/>
              <w:suppressLineNumbers w:val="0"/>
              <w:spacing w:before="0" w:beforeAutospacing="0" w:after="0" w:afterAutospacing="0"/>
              <w:ind w:left="0" w:right="0" w:firstLine="480"/>
              <w:rPr>
                <w:rFonts w:hint="default"/>
              </w:rPr>
            </w:pPr>
            <w:r>
              <w:rPr>
                <w:rFonts w:hint="default"/>
              </w:rPr>
              <w:t>生活垃圾按0.5kg/d·人核算，项目运营时间为</w:t>
            </w:r>
            <w:r>
              <w:rPr>
                <w:rFonts w:hint="eastAsia"/>
              </w:rPr>
              <w:t>240</w:t>
            </w:r>
            <w:r>
              <w:rPr>
                <w:rFonts w:hint="default"/>
              </w:rPr>
              <w:t>d/a，劳动定员为</w:t>
            </w:r>
            <w:r>
              <w:rPr>
                <w:rFonts w:hint="eastAsia"/>
              </w:rPr>
              <w:t>28</w:t>
            </w:r>
            <w:r>
              <w:rPr>
                <w:rFonts w:hint="default"/>
              </w:rPr>
              <w:t>人，则生活垃圾产生量为</w:t>
            </w:r>
            <w:r>
              <w:rPr>
                <w:rFonts w:hint="eastAsia"/>
              </w:rPr>
              <w:t>3.36</w:t>
            </w:r>
            <w:r>
              <w:rPr>
                <w:rFonts w:hint="default"/>
              </w:rPr>
              <w:t>t/a，生活垃圾集中收集置于环卫部门指定地点，交由环卫部门处理。</w:t>
            </w:r>
          </w:p>
          <w:p w14:paraId="70E6D47C">
            <w:pPr>
              <w:keepNext w:val="0"/>
              <w:keepLines w:val="0"/>
              <w:numPr>
                <w:ilvl w:val="0"/>
                <w:numId w:val="21"/>
              </w:numPr>
              <w:suppressLineNumbers w:val="0"/>
              <w:spacing w:before="0" w:beforeAutospacing="0" w:after="0" w:afterAutospacing="0"/>
              <w:ind w:right="0" w:firstLine="480"/>
              <w:rPr>
                <w:rFonts w:hint="default"/>
              </w:rPr>
            </w:pPr>
            <w:r>
              <w:rPr>
                <w:rFonts w:hint="eastAsia"/>
              </w:rPr>
              <w:t>一般工业固体废物</w:t>
            </w:r>
          </w:p>
          <w:p w14:paraId="62728804">
            <w:pPr>
              <w:keepNext w:val="0"/>
              <w:keepLines w:val="0"/>
              <w:suppressLineNumbers w:val="0"/>
              <w:spacing w:before="0" w:beforeAutospacing="0" w:after="0" w:afterAutospacing="0"/>
              <w:ind w:left="0" w:right="0" w:firstLine="480"/>
              <w:rPr>
                <w:rFonts w:hint="default"/>
              </w:rPr>
            </w:pPr>
            <w:r>
              <w:rPr>
                <w:rFonts w:hint="eastAsia"/>
              </w:rPr>
              <w:t>项目产生的一般工业固体废物主要是布袋除尘器收集尘，根据源强核算可知，水泥筒仓布袋除尘器除尘灰产生量为1.08t，料仓上料、搅拌工序布袋除尘器除尘灰产生量为10.17t。布袋除尘器除尘灰总计11.25t。水泥筒仓布袋除尘器除尘灰为被布袋除尘器捕获的粒径较大的水泥颗粒，成分和原料水泥相同，统一收集后可作为原料水泥继续利用。搅拌工序布袋除尘器除尘灰为布袋除尘器捕获的粒径较大的水泥及石粉的混合物，统一收集后可继续加入搅拌工序，作为水泥及石粉原料使用。</w:t>
            </w:r>
          </w:p>
          <w:p w14:paraId="5ED8DBBD">
            <w:pPr>
              <w:keepNext w:val="0"/>
              <w:keepLines w:val="0"/>
              <w:numPr>
                <w:ilvl w:val="0"/>
                <w:numId w:val="21"/>
              </w:numPr>
              <w:suppressLineNumbers w:val="0"/>
              <w:spacing w:before="0" w:beforeAutospacing="0" w:after="0" w:afterAutospacing="0"/>
              <w:ind w:right="0" w:firstLine="480"/>
              <w:rPr>
                <w:rFonts w:hint="default"/>
              </w:rPr>
            </w:pPr>
            <w:r>
              <w:rPr>
                <w:rFonts w:hint="default"/>
              </w:rPr>
              <w:t>危险废物</w:t>
            </w:r>
          </w:p>
          <w:p w14:paraId="4072DD24">
            <w:pPr>
              <w:keepNext w:val="0"/>
              <w:keepLines w:val="0"/>
              <w:suppressLineNumbers w:val="0"/>
              <w:spacing w:before="0" w:beforeAutospacing="0" w:after="0" w:afterAutospacing="0"/>
              <w:ind w:left="0" w:right="0" w:firstLine="480"/>
              <w:rPr>
                <w:rFonts w:hint="default"/>
              </w:rPr>
            </w:pPr>
            <w:r>
              <w:rPr>
                <w:rFonts w:hint="default"/>
              </w:rPr>
              <w:t>项目设备进行维护、检修时会产生少量的废润滑油、废油桶，根据企业提供信息，项目废润滑油产生量约0.02t</w:t>
            </w:r>
            <w:r>
              <w:rPr>
                <w:rFonts w:hint="eastAsia"/>
              </w:rPr>
              <w:t>/a</w:t>
            </w:r>
            <w:r>
              <w:rPr>
                <w:rFonts w:hint="default"/>
              </w:rPr>
              <w:t>，废油桶产生量约0.01t</w:t>
            </w:r>
            <w:r>
              <w:rPr>
                <w:rFonts w:hint="eastAsia"/>
              </w:rPr>
              <w:t>/a</w:t>
            </w:r>
            <w:r>
              <w:rPr>
                <w:rFonts w:hint="default"/>
              </w:rPr>
              <w:t>。</w:t>
            </w:r>
          </w:p>
          <w:p w14:paraId="33A8FA35">
            <w:pPr>
              <w:keepNext w:val="0"/>
              <w:keepLines w:val="0"/>
              <w:suppressLineNumbers w:val="0"/>
              <w:spacing w:before="0" w:beforeAutospacing="0" w:after="0" w:afterAutospacing="0"/>
              <w:ind w:left="0" w:right="0" w:firstLine="480"/>
              <w:rPr>
                <w:rFonts w:hint="default"/>
              </w:rPr>
            </w:pPr>
          </w:p>
          <w:p w14:paraId="119A951C">
            <w:pPr>
              <w:pStyle w:val="19"/>
              <w:keepNext w:val="0"/>
              <w:keepLines w:val="0"/>
              <w:widowControl w:val="0"/>
              <w:numPr>
                <w:ilvl w:val="0"/>
                <w:numId w:val="15"/>
              </w:numPr>
              <w:suppressLineNumbers w:val="0"/>
              <w:spacing w:before="0" w:beforeAutospacing="0" w:after="0" w:afterAutospacing="0"/>
              <w:ind w:left="0" w:right="0" w:firstLine="0" w:firstLineChars="0"/>
              <w:jc w:val="center"/>
              <w:rPr>
                <w:rFonts w:hint="default" w:ascii="Times New Roman" w:hAnsi="Times New Roman"/>
                <w:b/>
                <w:sz w:val="21"/>
              </w:rPr>
            </w:pPr>
            <w:r>
              <w:rPr>
                <w:rFonts w:hint="eastAsia" w:ascii="Times New Roman" w:hAnsi="Times New Roman"/>
                <w:b/>
                <w:sz w:val="21"/>
              </w:rPr>
              <w:t>固废污染物产生处置汇总表</w:t>
            </w:r>
          </w:p>
          <w:tbl>
            <w:tblPr>
              <w:tblStyle w:val="22"/>
              <w:tblW w:w="84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
              <w:gridCol w:w="944"/>
              <w:gridCol w:w="359"/>
              <w:gridCol w:w="1129"/>
              <w:gridCol w:w="779"/>
              <w:gridCol w:w="705"/>
              <w:gridCol w:w="428"/>
              <w:gridCol w:w="396"/>
              <w:gridCol w:w="384"/>
              <w:gridCol w:w="369"/>
              <w:gridCol w:w="396"/>
              <w:gridCol w:w="413"/>
              <w:gridCol w:w="1729"/>
            </w:tblGrid>
            <w:tr w14:paraId="40BE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 w:type="pct"/>
                  <w:noWrap/>
                  <w:vAlign w:val="center"/>
                </w:tcPr>
                <w:p w14:paraId="7256FD47">
                  <w:pPr>
                    <w:pStyle w:val="42"/>
                    <w:keepNext w:val="0"/>
                    <w:keepLines w:val="0"/>
                    <w:widowControl/>
                    <w:suppressLineNumbers w:val="0"/>
                    <w:spacing w:before="0" w:beforeAutospacing="0" w:after="0" w:afterAutospacing="0"/>
                    <w:ind w:left="0" w:right="0"/>
                    <w:rPr>
                      <w:rFonts w:hint="default"/>
                      <w:b/>
                      <w:bCs/>
                    </w:rPr>
                  </w:pPr>
                  <w:r>
                    <w:rPr>
                      <w:b/>
                      <w:bCs/>
                    </w:rPr>
                    <w:t>序号</w:t>
                  </w:r>
                </w:p>
              </w:tc>
              <w:tc>
                <w:tcPr>
                  <w:tcW w:w="562" w:type="pct"/>
                  <w:noWrap/>
                  <w:vAlign w:val="center"/>
                </w:tcPr>
                <w:p w14:paraId="0E3F9025">
                  <w:pPr>
                    <w:pStyle w:val="42"/>
                    <w:keepNext w:val="0"/>
                    <w:keepLines w:val="0"/>
                    <w:widowControl/>
                    <w:suppressLineNumbers w:val="0"/>
                    <w:spacing w:before="0" w:beforeAutospacing="0" w:after="0" w:afterAutospacing="0"/>
                    <w:ind w:left="0" w:right="0"/>
                    <w:rPr>
                      <w:rFonts w:hint="default"/>
                      <w:b/>
                      <w:bCs/>
                    </w:rPr>
                  </w:pPr>
                  <w:r>
                    <w:rPr>
                      <w:b/>
                      <w:bCs/>
                    </w:rPr>
                    <w:t>废物名称</w:t>
                  </w:r>
                </w:p>
              </w:tc>
              <w:tc>
                <w:tcPr>
                  <w:tcW w:w="214" w:type="pct"/>
                  <w:noWrap/>
                  <w:vAlign w:val="center"/>
                </w:tcPr>
                <w:p w14:paraId="37899EF4">
                  <w:pPr>
                    <w:pStyle w:val="42"/>
                    <w:keepNext w:val="0"/>
                    <w:keepLines w:val="0"/>
                    <w:widowControl/>
                    <w:suppressLineNumbers w:val="0"/>
                    <w:spacing w:before="0" w:beforeAutospacing="0" w:after="0" w:afterAutospacing="0"/>
                    <w:ind w:left="0" w:right="0"/>
                    <w:rPr>
                      <w:rFonts w:hint="default"/>
                      <w:b/>
                      <w:bCs/>
                    </w:rPr>
                  </w:pPr>
                  <w:r>
                    <w:rPr>
                      <w:b/>
                      <w:bCs/>
                    </w:rPr>
                    <w:t>属性</w:t>
                  </w:r>
                </w:p>
              </w:tc>
              <w:tc>
                <w:tcPr>
                  <w:tcW w:w="672" w:type="pct"/>
                  <w:noWrap/>
                  <w:vAlign w:val="center"/>
                </w:tcPr>
                <w:p w14:paraId="35A3C35E">
                  <w:pPr>
                    <w:pStyle w:val="42"/>
                    <w:keepNext w:val="0"/>
                    <w:keepLines w:val="0"/>
                    <w:widowControl/>
                    <w:suppressLineNumbers w:val="0"/>
                    <w:spacing w:before="0" w:beforeAutospacing="0" w:after="0" w:afterAutospacing="0"/>
                    <w:ind w:left="0" w:right="0"/>
                    <w:rPr>
                      <w:rFonts w:hint="default"/>
                      <w:b/>
                      <w:bCs/>
                    </w:rPr>
                  </w:pPr>
                  <w:r>
                    <w:rPr>
                      <w:b/>
                      <w:bCs/>
                    </w:rPr>
                    <w:t>类别</w:t>
                  </w:r>
                </w:p>
              </w:tc>
              <w:tc>
                <w:tcPr>
                  <w:tcW w:w="464" w:type="pct"/>
                  <w:noWrap/>
                  <w:vAlign w:val="center"/>
                </w:tcPr>
                <w:p w14:paraId="668AC6FC">
                  <w:pPr>
                    <w:pStyle w:val="42"/>
                    <w:keepNext w:val="0"/>
                    <w:keepLines w:val="0"/>
                    <w:widowControl/>
                    <w:suppressLineNumbers w:val="0"/>
                    <w:spacing w:before="0" w:beforeAutospacing="0" w:after="0" w:afterAutospacing="0"/>
                    <w:ind w:left="0" w:right="0"/>
                    <w:rPr>
                      <w:rFonts w:hint="default"/>
                      <w:b/>
                      <w:bCs/>
                    </w:rPr>
                  </w:pPr>
                  <w:r>
                    <w:rPr>
                      <w:b/>
                      <w:bCs/>
                    </w:rPr>
                    <w:t>代码</w:t>
                  </w:r>
                </w:p>
              </w:tc>
              <w:tc>
                <w:tcPr>
                  <w:tcW w:w="420" w:type="pct"/>
                  <w:noWrap/>
                  <w:vAlign w:val="center"/>
                </w:tcPr>
                <w:p w14:paraId="7500A994">
                  <w:pPr>
                    <w:pStyle w:val="42"/>
                    <w:keepNext w:val="0"/>
                    <w:keepLines w:val="0"/>
                    <w:widowControl/>
                    <w:suppressLineNumbers w:val="0"/>
                    <w:spacing w:before="0" w:beforeAutospacing="0" w:after="0" w:afterAutospacing="0"/>
                    <w:ind w:left="0" w:right="0"/>
                    <w:rPr>
                      <w:rFonts w:hint="default"/>
                      <w:b/>
                      <w:bCs/>
                    </w:rPr>
                  </w:pPr>
                  <w:r>
                    <w:rPr>
                      <w:b/>
                      <w:bCs/>
                    </w:rPr>
                    <w:t>产生量（t/a）</w:t>
                  </w:r>
                </w:p>
              </w:tc>
              <w:tc>
                <w:tcPr>
                  <w:tcW w:w="255" w:type="pct"/>
                  <w:noWrap/>
                  <w:vAlign w:val="center"/>
                </w:tcPr>
                <w:p w14:paraId="35769285">
                  <w:pPr>
                    <w:pStyle w:val="42"/>
                    <w:keepNext w:val="0"/>
                    <w:keepLines w:val="0"/>
                    <w:widowControl/>
                    <w:suppressLineNumbers w:val="0"/>
                    <w:spacing w:before="0" w:beforeAutospacing="0" w:after="0" w:afterAutospacing="0"/>
                    <w:ind w:left="0" w:right="0"/>
                    <w:rPr>
                      <w:rFonts w:hint="default"/>
                      <w:b/>
                      <w:bCs/>
                    </w:rPr>
                  </w:pPr>
                  <w:r>
                    <w:rPr>
                      <w:b/>
                      <w:bCs/>
                    </w:rPr>
                    <w:t>产生工序及装置</w:t>
                  </w:r>
                </w:p>
              </w:tc>
              <w:tc>
                <w:tcPr>
                  <w:tcW w:w="236" w:type="pct"/>
                  <w:noWrap/>
                  <w:vAlign w:val="center"/>
                </w:tcPr>
                <w:p w14:paraId="20DFC69E">
                  <w:pPr>
                    <w:pStyle w:val="42"/>
                    <w:keepNext w:val="0"/>
                    <w:keepLines w:val="0"/>
                    <w:widowControl/>
                    <w:suppressLineNumbers w:val="0"/>
                    <w:spacing w:before="0" w:beforeAutospacing="0" w:after="0" w:afterAutospacing="0"/>
                    <w:ind w:left="0" w:right="0"/>
                    <w:rPr>
                      <w:rFonts w:hint="default"/>
                      <w:b/>
                      <w:bCs/>
                    </w:rPr>
                  </w:pPr>
                  <w:r>
                    <w:rPr>
                      <w:b/>
                      <w:bCs/>
                    </w:rPr>
                    <w:t>形态</w:t>
                  </w:r>
                </w:p>
              </w:tc>
              <w:tc>
                <w:tcPr>
                  <w:tcW w:w="229" w:type="pct"/>
                  <w:noWrap/>
                  <w:vAlign w:val="center"/>
                </w:tcPr>
                <w:p w14:paraId="43D36E1F">
                  <w:pPr>
                    <w:pStyle w:val="42"/>
                    <w:keepNext w:val="0"/>
                    <w:keepLines w:val="0"/>
                    <w:widowControl/>
                    <w:suppressLineNumbers w:val="0"/>
                    <w:spacing w:before="0" w:beforeAutospacing="0" w:after="0" w:afterAutospacing="0"/>
                    <w:ind w:left="0" w:right="0"/>
                    <w:rPr>
                      <w:rFonts w:hint="default"/>
                      <w:b/>
                      <w:bCs/>
                    </w:rPr>
                  </w:pPr>
                  <w:r>
                    <w:rPr>
                      <w:b/>
                      <w:bCs/>
                    </w:rPr>
                    <w:t>主要成分</w:t>
                  </w:r>
                </w:p>
              </w:tc>
              <w:tc>
                <w:tcPr>
                  <w:tcW w:w="220" w:type="pct"/>
                  <w:noWrap/>
                  <w:vAlign w:val="center"/>
                </w:tcPr>
                <w:p w14:paraId="2134631F">
                  <w:pPr>
                    <w:pStyle w:val="42"/>
                    <w:keepNext w:val="0"/>
                    <w:keepLines w:val="0"/>
                    <w:widowControl/>
                    <w:suppressLineNumbers w:val="0"/>
                    <w:spacing w:before="0" w:beforeAutospacing="0" w:after="0" w:afterAutospacing="0"/>
                    <w:ind w:left="0" w:right="0"/>
                    <w:rPr>
                      <w:rFonts w:hint="default"/>
                      <w:b/>
                      <w:bCs/>
                    </w:rPr>
                  </w:pPr>
                  <w:r>
                    <w:rPr>
                      <w:b/>
                      <w:bCs/>
                    </w:rPr>
                    <w:t>有害成分</w:t>
                  </w:r>
                </w:p>
              </w:tc>
              <w:tc>
                <w:tcPr>
                  <w:tcW w:w="236" w:type="pct"/>
                  <w:noWrap/>
                  <w:vAlign w:val="center"/>
                </w:tcPr>
                <w:p w14:paraId="71CB5727">
                  <w:pPr>
                    <w:pStyle w:val="42"/>
                    <w:keepNext w:val="0"/>
                    <w:keepLines w:val="0"/>
                    <w:widowControl/>
                    <w:suppressLineNumbers w:val="0"/>
                    <w:spacing w:before="0" w:beforeAutospacing="0" w:after="0" w:afterAutospacing="0"/>
                    <w:ind w:left="0" w:right="0"/>
                    <w:rPr>
                      <w:rFonts w:hint="default"/>
                      <w:b/>
                      <w:bCs/>
                    </w:rPr>
                  </w:pPr>
                  <w:r>
                    <w:rPr>
                      <w:b/>
                      <w:bCs/>
                    </w:rPr>
                    <w:t>产废周期</w:t>
                  </w:r>
                </w:p>
              </w:tc>
              <w:tc>
                <w:tcPr>
                  <w:tcW w:w="246" w:type="pct"/>
                  <w:noWrap/>
                  <w:vAlign w:val="center"/>
                </w:tcPr>
                <w:p w14:paraId="20DB6A88">
                  <w:pPr>
                    <w:pStyle w:val="42"/>
                    <w:keepNext w:val="0"/>
                    <w:keepLines w:val="0"/>
                    <w:widowControl/>
                    <w:suppressLineNumbers w:val="0"/>
                    <w:spacing w:before="0" w:beforeAutospacing="0" w:after="0" w:afterAutospacing="0"/>
                    <w:ind w:left="0" w:right="0"/>
                    <w:rPr>
                      <w:rFonts w:hint="default"/>
                      <w:b/>
                      <w:bCs/>
                    </w:rPr>
                  </w:pPr>
                  <w:r>
                    <w:rPr>
                      <w:b/>
                      <w:bCs/>
                    </w:rPr>
                    <w:t>危险特性</w:t>
                  </w:r>
                </w:p>
              </w:tc>
              <w:tc>
                <w:tcPr>
                  <w:tcW w:w="1029" w:type="pct"/>
                  <w:noWrap/>
                  <w:vAlign w:val="center"/>
                </w:tcPr>
                <w:p w14:paraId="1C92A485">
                  <w:pPr>
                    <w:pStyle w:val="42"/>
                    <w:keepNext w:val="0"/>
                    <w:keepLines w:val="0"/>
                    <w:widowControl/>
                    <w:suppressLineNumbers w:val="0"/>
                    <w:spacing w:before="0" w:beforeAutospacing="0" w:after="0" w:afterAutospacing="0"/>
                    <w:ind w:left="0" w:right="0"/>
                    <w:rPr>
                      <w:rFonts w:hint="default"/>
                      <w:b/>
                      <w:bCs/>
                    </w:rPr>
                  </w:pPr>
                  <w:r>
                    <w:rPr>
                      <w:b/>
                      <w:bCs/>
                    </w:rPr>
                    <w:t>污染防治措施</w:t>
                  </w:r>
                </w:p>
              </w:tc>
            </w:tr>
            <w:tr w14:paraId="655B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 w:type="pct"/>
                  <w:noWrap/>
                  <w:vAlign w:val="center"/>
                </w:tcPr>
                <w:p w14:paraId="60FF266B">
                  <w:pPr>
                    <w:pStyle w:val="42"/>
                    <w:keepNext w:val="0"/>
                    <w:keepLines w:val="0"/>
                    <w:widowControl/>
                    <w:suppressLineNumbers w:val="0"/>
                    <w:spacing w:before="0" w:beforeAutospacing="0" w:after="0" w:afterAutospacing="0"/>
                    <w:ind w:left="0" w:right="0"/>
                    <w:rPr>
                      <w:rFonts w:hint="default"/>
                    </w:rPr>
                  </w:pPr>
                  <w:r>
                    <w:t>1</w:t>
                  </w:r>
                </w:p>
              </w:tc>
              <w:tc>
                <w:tcPr>
                  <w:tcW w:w="562" w:type="pct"/>
                  <w:noWrap/>
                  <w:vAlign w:val="center"/>
                </w:tcPr>
                <w:p w14:paraId="3771C2EB">
                  <w:pPr>
                    <w:pStyle w:val="42"/>
                    <w:keepNext w:val="0"/>
                    <w:keepLines w:val="0"/>
                    <w:widowControl/>
                    <w:suppressLineNumbers w:val="0"/>
                    <w:spacing w:before="0" w:beforeAutospacing="0" w:after="0" w:afterAutospacing="0"/>
                    <w:ind w:left="0" w:right="0"/>
                    <w:rPr>
                      <w:rFonts w:hint="default"/>
                    </w:rPr>
                  </w:pPr>
                  <w:r>
                    <w:t>生活垃圾</w:t>
                  </w:r>
                </w:p>
              </w:tc>
              <w:tc>
                <w:tcPr>
                  <w:tcW w:w="214" w:type="pct"/>
                  <w:noWrap/>
                  <w:vAlign w:val="center"/>
                </w:tcPr>
                <w:p w14:paraId="224F885D">
                  <w:pPr>
                    <w:pStyle w:val="42"/>
                    <w:keepNext w:val="0"/>
                    <w:keepLines w:val="0"/>
                    <w:widowControl/>
                    <w:suppressLineNumbers w:val="0"/>
                    <w:spacing w:before="0" w:beforeAutospacing="0" w:after="0" w:afterAutospacing="0"/>
                    <w:ind w:left="0" w:right="0"/>
                    <w:rPr>
                      <w:rFonts w:hint="default"/>
                    </w:rPr>
                  </w:pPr>
                  <w:r>
                    <w:t>生活垃圾</w:t>
                  </w:r>
                </w:p>
              </w:tc>
              <w:tc>
                <w:tcPr>
                  <w:tcW w:w="672" w:type="pct"/>
                  <w:noWrap/>
                  <w:vAlign w:val="center"/>
                </w:tcPr>
                <w:p w14:paraId="602F2D34">
                  <w:pPr>
                    <w:pStyle w:val="42"/>
                    <w:keepNext w:val="0"/>
                    <w:keepLines w:val="0"/>
                    <w:widowControl/>
                    <w:suppressLineNumbers w:val="0"/>
                    <w:spacing w:before="0" w:beforeAutospacing="0" w:after="0" w:afterAutospacing="0"/>
                    <w:ind w:left="0" w:right="0"/>
                    <w:rPr>
                      <w:rFonts w:hint="default"/>
                    </w:rPr>
                  </w:pPr>
                  <w:r>
                    <w:t>其他废物</w:t>
                  </w:r>
                </w:p>
              </w:tc>
              <w:tc>
                <w:tcPr>
                  <w:tcW w:w="464" w:type="pct"/>
                  <w:noWrap/>
                  <w:vAlign w:val="center"/>
                </w:tcPr>
                <w:p w14:paraId="0CE6006E">
                  <w:pPr>
                    <w:pStyle w:val="42"/>
                    <w:keepNext w:val="0"/>
                    <w:keepLines w:val="0"/>
                    <w:widowControl/>
                    <w:suppressLineNumbers w:val="0"/>
                    <w:spacing w:before="0" w:beforeAutospacing="0" w:after="0" w:afterAutospacing="0"/>
                    <w:ind w:left="0" w:right="0"/>
                    <w:rPr>
                      <w:rFonts w:hint="default"/>
                    </w:rPr>
                  </w:pPr>
                  <w:r>
                    <w:t>292-001-06</w:t>
                  </w:r>
                </w:p>
              </w:tc>
              <w:tc>
                <w:tcPr>
                  <w:tcW w:w="420" w:type="pct"/>
                  <w:noWrap/>
                  <w:vAlign w:val="center"/>
                </w:tcPr>
                <w:p w14:paraId="6EAB3BF2">
                  <w:pPr>
                    <w:pStyle w:val="42"/>
                    <w:keepNext w:val="0"/>
                    <w:keepLines w:val="0"/>
                    <w:widowControl/>
                    <w:suppressLineNumbers w:val="0"/>
                    <w:spacing w:before="0" w:beforeAutospacing="0" w:after="0" w:afterAutospacing="0"/>
                    <w:ind w:left="0" w:right="0"/>
                    <w:rPr>
                      <w:rFonts w:hint="default"/>
                    </w:rPr>
                  </w:pPr>
                  <w:r>
                    <w:t>3.36</w:t>
                  </w:r>
                </w:p>
              </w:tc>
              <w:tc>
                <w:tcPr>
                  <w:tcW w:w="255" w:type="pct"/>
                  <w:noWrap/>
                  <w:vAlign w:val="center"/>
                </w:tcPr>
                <w:p w14:paraId="3A27B7C3">
                  <w:pPr>
                    <w:pStyle w:val="42"/>
                    <w:keepNext w:val="0"/>
                    <w:keepLines w:val="0"/>
                    <w:widowControl/>
                    <w:suppressLineNumbers w:val="0"/>
                    <w:spacing w:before="0" w:beforeAutospacing="0" w:after="0" w:afterAutospacing="0"/>
                    <w:ind w:left="0" w:right="0"/>
                    <w:rPr>
                      <w:rFonts w:hint="default"/>
                    </w:rPr>
                  </w:pPr>
                  <w:r>
                    <w:t>员工办公生活</w:t>
                  </w:r>
                </w:p>
              </w:tc>
              <w:tc>
                <w:tcPr>
                  <w:tcW w:w="236" w:type="pct"/>
                  <w:noWrap/>
                  <w:vAlign w:val="center"/>
                </w:tcPr>
                <w:p w14:paraId="20C18FA1">
                  <w:pPr>
                    <w:pStyle w:val="42"/>
                    <w:keepNext w:val="0"/>
                    <w:keepLines w:val="0"/>
                    <w:widowControl/>
                    <w:suppressLineNumbers w:val="0"/>
                    <w:spacing w:before="0" w:beforeAutospacing="0" w:after="0" w:afterAutospacing="0"/>
                    <w:ind w:left="0" w:right="0"/>
                    <w:rPr>
                      <w:rFonts w:hint="default"/>
                    </w:rPr>
                  </w:pPr>
                  <w:r>
                    <w:t>固态</w:t>
                  </w:r>
                </w:p>
              </w:tc>
              <w:tc>
                <w:tcPr>
                  <w:tcW w:w="229" w:type="pct"/>
                  <w:noWrap/>
                  <w:vAlign w:val="center"/>
                </w:tcPr>
                <w:p w14:paraId="3CAFDA85">
                  <w:pPr>
                    <w:pStyle w:val="42"/>
                    <w:keepNext w:val="0"/>
                    <w:keepLines w:val="0"/>
                    <w:widowControl/>
                    <w:suppressLineNumbers w:val="0"/>
                    <w:spacing w:before="0" w:beforeAutospacing="0" w:after="0" w:afterAutospacing="0"/>
                    <w:ind w:left="0" w:right="0"/>
                    <w:rPr>
                      <w:rFonts w:hint="default"/>
                    </w:rPr>
                  </w:pPr>
                  <w:r>
                    <w:t>生活垃圾</w:t>
                  </w:r>
                </w:p>
              </w:tc>
              <w:tc>
                <w:tcPr>
                  <w:tcW w:w="220" w:type="pct"/>
                  <w:noWrap/>
                  <w:vAlign w:val="center"/>
                </w:tcPr>
                <w:p w14:paraId="415F01A6">
                  <w:pPr>
                    <w:pStyle w:val="42"/>
                    <w:keepNext w:val="0"/>
                    <w:keepLines w:val="0"/>
                    <w:widowControl/>
                    <w:suppressLineNumbers w:val="0"/>
                    <w:spacing w:before="0" w:beforeAutospacing="0" w:after="0" w:afterAutospacing="0"/>
                    <w:ind w:left="0" w:right="0"/>
                    <w:rPr>
                      <w:rFonts w:hint="default"/>
                    </w:rPr>
                  </w:pPr>
                  <w:r>
                    <w:t>/</w:t>
                  </w:r>
                </w:p>
              </w:tc>
              <w:tc>
                <w:tcPr>
                  <w:tcW w:w="236" w:type="pct"/>
                  <w:noWrap/>
                  <w:vAlign w:val="center"/>
                </w:tcPr>
                <w:p w14:paraId="74CF1545">
                  <w:pPr>
                    <w:pStyle w:val="42"/>
                    <w:keepNext w:val="0"/>
                    <w:keepLines w:val="0"/>
                    <w:widowControl/>
                    <w:suppressLineNumbers w:val="0"/>
                    <w:spacing w:before="0" w:beforeAutospacing="0" w:after="0" w:afterAutospacing="0"/>
                    <w:ind w:left="0" w:right="0"/>
                    <w:rPr>
                      <w:rFonts w:hint="default"/>
                    </w:rPr>
                  </w:pPr>
                  <w:r>
                    <w:t>每天</w:t>
                  </w:r>
                </w:p>
              </w:tc>
              <w:tc>
                <w:tcPr>
                  <w:tcW w:w="246" w:type="pct"/>
                  <w:noWrap/>
                  <w:vAlign w:val="center"/>
                </w:tcPr>
                <w:p w14:paraId="476FDB59">
                  <w:pPr>
                    <w:pStyle w:val="42"/>
                    <w:keepNext w:val="0"/>
                    <w:keepLines w:val="0"/>
                    <w:widowControl/>
                    <w:suppressLineNumbers w:val="0"/>
                    <w:spacing w:before="0" w:beforeAutospacing="0" w:after="0" w:afterAutospacing="0"/>
                    <w:ind w:left="0" w:right="0"/>
                    <w:rPr>
                      <w:rFonts w:hint="default"/>
                    </w:rPr>
                  </w:pPr>
                  <w:r>
                    <w:t>/</w:t>
                  </w:r>
                </w:p>
              </w:tc>
              <w:tc>
                <w:tcPr>
                  <w:tcW w:w="1029" w:type="pct"/>
                  <w:noWrap/>
                  <w:vAlign w:val="center"/>
                </w:tcPr>
                <w:p w14:paraId="293EB2BC">
                  <w:pPr>
                    <w:pStyle w:val="42"/>
                    <w:keepNext w:val="0"/>
                    <w:keepLines w:val="0"/>
                    <w:widowControl/>
                    <w:suppressLineNumbers w:val="0"/>
                    <w:spacing w:before="0" w:beforeAutospacing="0" w:after="0" w:afterAutospacing="0"/>
                    <w:ind w:left="0" w:right="0"/>
                    <w:rPr>
                      <w:rFonts w:hint="default"/>
                    </w:rPr>
                  </w:pPr>
                  <w:r>
                    <w:t>生活垃圾集中收集置于环卫部门指定地点，交由环卫部门处理</w:t>
                  </w:r>
                </w:p>
              </w:tc>
            </w:tr>
            <w:tr w14:paraId="2DAD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 w:type="pct"/>
                  <w:noWrap/>
                  <w:vAlign w:val="center"/>
                </w:tcPr>
                <w:p w14:paraId="07677893">
                  <w:pPr>
                    <w:pStyle w:val="42"/>
                    <w:keepNext w:val="0"/>
                    <w:keepLines w:val="0"/>
                    <w:widowControl/>
                    <w:suppressLineNumbers w:val="0"/>
                    <w:spacing w:before="0" w:beforeAutospacing="0" w:after="0" w:afterAutospacing="0"/>
                    <w:ind w:left="0" w:right="0"/>
                    <w:rPr>
                      <w:rFonts w:hint="default"/>
                    </w:rPr>
                  </w:pPr>
                  <w:r>
                    <w:t>2</w:t>
                  </w:r>
                </w:p>
              </w:tc>
              <w:tc>
                <w:tcPr>
                  <w:tcW w:w="562" w:type="pct"/>
                  <w:noWrap/>
                  <w:vAlign w:val="center"/>
                </w:tcPr>
                <w:p w14:paraId="278955CD">
                  <w:pPr>
                    <w:pStyle w:val="42"/>
                    <w:keepNext w:val="0"/>
                    <w:keepLines w:val="0"/>
                    <w:widowControl/>
                    <w:suppressLineNumbers w:val="0"/>
                    <w:spacing w:before="0" w:beforeAutospacing="0" w:after="0" w:afterAutospacing="0"/>
                    <w:ind w:left="0" w:right="0"/>
                    <w:rPr>
                      <w:rFonts w:hint="default"/>
                    </w:rPr>
                  </w:pPr>
                  <w:r>
                    <w:t>布袋除尘器收集尘</w:t>
                  </w:r>
                </w:p>
              </w:tc>
              <w:tc>
                <w:tcPr>
                  <w:tcW w:w="214" w:type="pct"/>
                  <w:noWrap/>
                  <w:vAlign w:val="center"/>
                </w:tcPr>
                <w:p w14:paraId="5AAD6E5D">
                  <w:pPr>
                    <w:pStyle w:val="42"/>
                    <w:keepNext w:val="0"/>
                    <w:keepLines w:val="0"/>
                    <w:widowControl/>
                    <w:suppressLineNumbers w:val="0"/>
                    <w:spacing w:before="0" w:beforeAutospacing="0" w:after="0" w:afterAutospacing="0"/>
                    <w:ind w:left="0" w:right="0"/>
                    <w:rPr>
                      <w:rFonts w:hint="default"/>
                    </w:rPr>
                  </w:pPr>
                  <w:r>
                    <w:t>一般工业固体废物</w:t>
                  </w:r>
                </w:p>
              </w:tc>
              <w:tc>
                <w:tcPr>
                  <w:tcW w:w="672" w:type="pct"/>
                  <w:noWrap/>
                  <w:vAlign w:val="center"/>
                </w:tcPr>
                <w:p w14:paraId="4A6FDE45">
                  <w:pPr>
                    <w:pStyle w:val="42"/>
                    <w:keepNext w:val="0"/>
                    <w:keepLines w:val="0"/>
                    <w:widowControl/>
                    <w:suppressLineNumbers w:val="0"/>
                    <w:spacing w:before="0" w:beforeAutospacing="0" w:after="0" w:afterAutospacing="0"/>
                    <w:ind w:left="0" w:right="0"/>
                    <w:rPr>
                      <w:rFonts w:hint="default"/>
                    </w:rPr>
                  </w:pPr>
                  <w:r>
                    <w:t>其他废物</w:t>
                  </w:r>
                </w:p>
              </w:tc>
              <w:tc>
                <w:tcPr>
                  <w:tcW w:w="464" w:type="pct"/>
                  <w:noWrap/>
                  <w:vAlign w:val="center"/>
                </w:tcPr>
                <w:p w14:paraId="40AED9E7">
                  <w:pPr>
                    <w:pStyle w:val="42"/>
                    <w:keepNext w:val="0"/>
                    <w:keepLines w:val="0"/>
                    <w:widowControl/>
                    <w:suppressLineNumbers w:val="0"/>
                    <w:spacing w:before="0" w:beforeAutospacing="0" w:after="0" w:afterAutospacing="0"/>
                    <w:ind w:left="0" w:right="0"/>
                    <w:rPr>
                      <w:rFonts w:hint="default"/>
                    </w:rPr>
                  </w:pPr>
                  <w:r>
                    <w:t>/</w:t>
                  </w:r>
                </w:p>
              </w:tc>
              <w:tc>
                <w:tcPr>
                  <w:tcW w:w="420" w:type="pct"/>
                  <w:noWrap/>
                  <w:vAlign w:val="center"/>
                </w:tcPr>
                <w:p w14:paraId="0EEA4EC9">
                  <w:pPr>
                    <w:pStyle w:val="42"/>
                    <w:keepNext w:val="0"/>
                    <w:keepLines w:val="0"/>
                    <w:widowControl/>
                    <w:suppressLineNumbers w:val="0"/>
                    <w:spacing w:before="0" w:beforeAutospacing="0" w:after="0" w:afterAutospacing="0"/>
                    <w:ind w:left="0" w:right="0"/>
                    <w:rPr>
                      <w:rFonts w:hint="default"/>
                    </w:rPr>
                  </w:pPr>
                  <w:r>
                    <w:t>11.25</w:t>
                  </w:r>
                </w:p>
              </w:tc>
              <w:tc>
                <w:tcPr>
                  <w:tcW w:w="255" w:type="pct"/>
                  <w:noWrap/>
                  <w:vAlign w:val="center"/>
                </w:tcPr>
                <w:p w14:paraId="4DDD1CA8">
                  <w:pPr>
                    <w:pStyle w:val="42"/>
                    <w:keepNext w:val="0"/>
                    <w:keepLines w:val="0"/>
                    <w:widowControl/>
                    <w:suppressLineNumbers w:val="0"/>
                    <w:spacing w:before="0" w:beforeAutospacing="0" w:after="0" w:afterAutospacing="0"/>
                    <w:ind w:left="0" w:right="0"/>
                    <w:rPr>
                      <w:rFonts w:hint="default"/>
                    </w:rPr>
                  </w:pPr>
                  <w:r>
                    <w:t>布袋除尘器</w:t>
                  </w:r>
                </w:p>
              </w:tc>
              <w:tc>
                <w:tcPr>
                  <w:tcW w:w="236" w:type="pct"/>
                  <w:noWrap/>
                  <w:vAlign w:val="center"/>
                </w:tcPr>
                <w:p w14:paraId="36A1363E">
                  <w:pPr>
                    <w:pStyle w:val="42"/>
                    <w:keepNext w:val="0"/>
                    <w:keepLines w:val="0"/>
                    <w:widowControl/>
                    <w:suppressLineNumbers w:val="0"/>
                    <w:spacing w:before="0" w:beforeAutospacing="0" w:after="0" w:afterAutospacing="0"/>
                    <w:ind w:left="0" w:right="0"/>
                    <w:rPr>
                      <w:rFonts w:hint="default"/>
                    </w:rPr>
                  </w:pPr>
                  <w:r>
                    <w:t>固态</w:t>
                  </w:r>
                </w:p>
              </w:tc>
              <w:tc>
                <w:tcPr>
                  <w:tcW w:w="229" w:type="pct"/>
                  <w:noWrap/>
                  <w:vAlign w:val="center"/>
                </w:tcPr>
                <w:p w14:paraId="61AAC0DD">
                  <w:pPr>
                    <w:pStyle w:val="42"/>
                    <w:keepNext w:val="0"/>
                    <w:keepLines w:val="0"/>
                    <w:widowControl/>
                    <w:suppressLineNumbers w:val="0"/>
                    <w:spacing w:before="0" w:beforeAutospacing="0" w:after="0" w:afterAutospacing="0"/>
                    <w:ind w:left="0" w:right="0"/>
                    <w:rPr>
                      <w:rFonts w:hint="default"/>
                    </w:rPr>
                  </w:pPr>
                  <w:r>
                    <w:t>颗粒物</w:t>
                  </w:r>
                </w:p>
              </w:tc>
              <w:tc>
                <w:tcPr>
                  <w:tcW w:w="220" w:type="pct"/>
                  <w:noWrap/>
                  <w:vAlign w:val="center"/>
                </w:tcPr>
                <w:p w14:paraId="6EB5BE0A">
                  <w:pPr>
                    <w:pStyle w:val="42"/>
                    <w:keepNext w:val="0"/>
                    <w:keepLines w:val="0"/>
                    <w:widowControl/>
                    <w:suppressLineNumbers w:val="0"/>
                    <w:spacing w:before="0" w:beforeAutospacing="0" w:after="0" w:afterAutospacing="0"/>
                    <w:ind w:left="0" w:right="0"/>
                    <w:rPr>
                      <w:rFonts w:hint="default"/>
                    </w:rPr>
                  </w:pPr>
                  <w:r>
                    <w:t>/</w:t>
                  </w:r>
                </w:p>
              </w:tc>
              <w:tc>
                <w:tcPr>
                  <w:tcW w:w="236" w:type="pct"/>
                  <w:noWrap/>
                  <w:vAlign w:val="center"/>
                </w:tcPr>
                <w:p w14:paraId="4D488B14">
                  <w:pPr>
                    <w:pStyle w:val="42"/>
                    <w:keepNext w:val="0"/>
                    <w:keepLines w:val="0"/>
                    <w:widowControl/>
                    <w:suppressLineNumbers w:val="0"/>
                    <w:spacing w:before="0" w:beforeAutospacing="0" w:after="0" w:afterAutospacing="0"/>
                    <w:ind w:left="0" w:right="0"/>
                    <w:rPr>
                      <w:rFonts w:hint="default"/>
                    </w:rPr>
                  </w:pPr>
                  <w:r>
                    <w:t>每月</w:t>
                  </w:r>
                </w:p>
              </w:tc>
              <w:tc>
                <w:tcPr>
                  <w:tcW w:w="246" w:type="pct"/>
                  <w:noWrap/>
                  <w:vAlign w:val="center"/>
                </w:tcPr>
                <w:p w14:paraId="730C6B6F">
                  <w:pPr>
                    <w:pStyle w:val="42"/>
                    <w:keepNext w:val="0"/>
                    <w:keepLines w:val="0"/>
                    <w:widowControl/>
                    <w:suppressLineNumbers w:val="0"/>
                    <w:spacing w:before="0" w:beforeAutospacing="0" w:after="0" w:afterAutospacing="0"/>
                    <w:ind w:left="0" w:right="0"/>
                    <w:rPr>
                      <w:rFonts w:hint="default"/>
                    </w:rPr>
                  </w:pPr>
                  <w:r>
                    <w:t>/</w:t>
                  </w:r>
                </w:p>
              </w:tc>
              <w:tc>
                <w:tcPr>
                  <w:tcW w:w="1029" w:type="pct"/>
                  <w:noWrap/>
                  <w:vAlign w:val="center"/>
                </w:tcPr>
                <w:p w14:paraId="3E82741D">
                  <w:pPr>
                    <w:pStyle w:val="42"/>
                    <w:keepNext w:val="0"/>
                    <w:keepLines w:val="0"/>
                    <w:widowControl/>
                    <w:suppressLineNumbers w:val="0"/>
                    <w:spacing w:before="0" w:beforeAutospacing="0" w:after="0" w:afterAutospacing="0"/>
                    <w:ind w:left="0" w:right="0"/>
                    <w:rPr>
                      <w:rFonts w:hint="default"/>
                    </w:rPr>
                  </w:pPr>
                  <w:r>
                    <w:t>水泥筒仓布袋除尘器除尘灰统一收集后作为原料水泥继续利用。搅拌工序布袋除尘器除尘灰统一收集后继续加入搅拌工序，作为水泥及石粉原料使用</w:t>
                  </w:r>
                </w:p>
              </w:tc>
            </w:tr>
            <w:tr w14:paraId="761A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 w:type="pct"/>
                  <w:noWrap/>
                  <w:vAlign w:val="center"/>
                </w:tcPr>
                <w:p w14:paraId="6F69E070">
                  <w:pPr>
                    <w:pStyle w:val="42"/>
                    <w:keepNext w:val="0"/>
                    <w:keepLines w:val="0"/>
                    <w:widowControl/>
                    <w:suppressLineNumbers w:val="0"/>
                    <w:spacing w:before="0" w:beforeAutospacing="0" w:after="0" w:afterAutospacing="0"/>
                    <w:ind w:left="0" w:right="0"/>
                    <w:rPr>
                      <w:rFonts w:hint="default"/>
                    </w:rPr>
                  </w:pPr>
                  <w:r>
                    <w:t>3</w:t>
                  </w:r>
                </w:p>
              </w:tc>
              <w:tc>
                <w:tcPr>
                  <w:tcW w:w="562" w:type="pct"/>
                  <w:noWrap/>
                  <w:vAlign w:val="center"/>
                </w:tcPr>
                <w:p w14:paraId="4BD426F1">
                  <w:pPr>
                    <w:pStyle w:val="42"/>
                    <w:keepNext w:val="0"/>
                    <w:keepLines w:val="0"/>
                    <w:widowControl/>
                    <w:suppressLineNumbers w:val="0"/>
                    <w:spacing w:before="0" w:beforeAutospacing="0" w:after="0" w:afterAutospacing="0"/>
                    <w:ind w:left="0" w:right="0"/>
                    <w:rPr>
                      <w:rFonts w:hint="default"/>
                    </w:rPr>
                  </w:pPr>
                  <w:r>
                    <w:t>废润滑油</w:t>
                  </w:r>
                </w:p>
              </w:tc>
              <w:tc>
                <w:tcPr>
                  <w:tcW w:w="214" w:type="pct"/>
                  <w:vMerge w:val="restart"/>
                  <w:noWrap/>
                  <w:vAlign w:val="center"/>
                </w:tcPr>
                <w:p w14:paraId="24E6C7F0">
                  <w:pPr>
                    <w:pStyle w:val="42"/>
                    <w:keepNext w:val="0"/>
                    <w:keepLines w:val="0"/>
                    <w:widowControl/>
                    <w:suppressLineNumbers w:val="0"/>
                    <w:spacing w:before="0" w:beforeAutospacing="0" w:after="0" w:afterAutospacing="0"/>
                    <w:ind w:left="0" w:right="0"/>
                    <w:rPr>
                      <w:rFonts w:hint="default"/>
                    </w:rPr>
                  </w:pPr>
                  <w:r>
                    <w:t>危险废物</w:t>
                  </w:r>
                </w:p>
              </w:tc>
              <w:tc>
                <w:tcPr>
                  <w:tcW w:w="672" w:type="pct"/>
                  <w:noWrap/>
                  <w:vAlign w:val="center"/>
                </w:tcPr>
                <w:p w14:paraId="44911A9A">
                  <w:pPr>
                    <w:pStyle w:val="42"/>
                    <w:keepNext w:val="0"/>
                    <w:keepLines w:val="0"/>
                    <w:widowControl/>
                    <w:suppressLineNumbers w:val="0"/>
                    <w:spacing w:before="0" w:beforeAutospacing="0" w:after="0" w:afterAutospacing="0"/>
                    <w:ind w:left="0" w:right="0"/>
                    <w:rPr>
                      <w:rFonts w:hint="default"/>
                    </w:rPr>
                  </w:pPr>
                  <w:r>
                    <w:t>HW08废矿物油与含矿物油废物</w:t>
                  </w:r>
                </w:p>
              </w:tc>
              <w:tc>
                <w:tcPr>
                  <w:tcW w:w="464" w:type="pct"/>
                  <w:noWrap/>
                  <w:vAlign w:val="center"/>
                </w:tcPr>
                <w:p w14:paraId="0DB66CAD">
                  <w:pPr>
                    <w:pStyle w:val="42"/>
                    <w:keepNext w:val="0"/>
                    <w:keepLines w:val="0"/>
                    <w:widowControl/>
                    <w:suppressLineNumbers w:val="0"/>
                    <w:spacing w:before="0" w:beforeAutospacing="0" w:after="0" w:afterAutospacing="0"/>
                    <w:ind w:left="0" w:right="0"/>
                    <w:rPr>
                      <w:rFonts w:hint="default"/>
                    </w:rPr>
                  </w:pPr>
                  <w:r>
                    <w:t>900-217-08</w:t>
                  </w:r>
                </w:p>
              </w:tc>
              <w:tc>
                <w:tcPr>
                  <w:tcW w:w="420" w:type="pct"/>
                  <w:noWrap/>
                  <w:vAlign w:val="center"/>
                </w:tcPr>
                <w:p w14:paraId="2A73DD73">
                  <w:pPr>
                    <w:pStyle w:val="42"/>
                    <w:keepNext w:val="0"/>
                    <w:keepLines w:val="0"/>
                    <w:widowControl/>
                    <w:suppressLineNumbers w:val="0"/>
                    <w:spacing w:before="0" w:beforeAutospacing="0" w:after="0" w:afterAutospacing="0"/>
                    <w:ind w:left="0" w:right="0"/>
                    <w:rPr>
                      <w:rFonts w:hint="default"/>
                    </w:rPr>
                  </w:pPr>
                  <w:r>
                    <w:t>0.02</w:t>
                  </w:r>
                </w:p>
              </w:tc>
              <w:tc>
                <w:tcPr>
                  <w:tcW w:w="255" w:type="pct"/>
                  <w:noWrap/>
                  <w:vAlign w:val="center"/>
                </w:tcPr>
                <w:p w14:paraId="3A034BE3">
                  <w:pPr>
                    <w:pStyle w:val="42"/>
                    <w:keepNext w:val="0"/>
                    <w:keepLines w:val="0"/>
                    <w:widowControl/>
                    <w:suppressLineNumbers w:val="0"/>
                    <w:spacing w:before="0" w:beforeAutospacing="0" w:after="0" w:afterAutospacing="0"/>
                    <w:ind w:left="0" w:right="0"/>
                    <w:rPr>
                      <w:rFonts w:hint="default"/>
                    </w:rPr>
                  </w:pPr>
                  <w:r>
                    <w:t>各个生产设备</w:t>
                  </w:r>
                </w:p>
              </w:tc>
              <w:tc>
                <w:tcPr>
                  <w:tcW w:w="236" w:type="pct"/>
                  <w:noWrap/>
                  <w:vAlign w:val="center"/>
                </w:tcPr>
                <w:p w14:paraId="2B830567">
                  <w:pPr>
                    <w:pStyle w:val="42"/>
                    <w:keepNext w:val="0"/>
                    <w:keepLines w:val="0"/>
                    <w:widowControl/>
                    <w:suppressLineNumbers w:val="0"/>
                    <w:spacing w:before="0" w:beforeAutospacing="0" w:after="0" w:afterAutospacing="0"/>
                    <w:ind w:left="0" w:right="0"/>
                    <w:rPr>
                      <w:rFonts w:hint="default"/>
                    </w:rPr>
                  </w:pPr>
                  <w:r>
                    <w:t>液态</w:t>
                  </w:r>
                </w:p>
              </w:tc>
              <w:tc>
                <w:tcPr>
                  <w:tcW w:w="229" w:type="pct"/>
                  <w:noWrap/>
                  <w:vAlign w:val="center"/>
                </w:tcPr>
                <w:p w14:paraId="5C731443">
                  <w:pPr>
                    <w:pStyle w:val="42"/>
                    <w:keepNext w:val="0"/>
                    <w:keepLines w:val="0"/>
                    <w:widowControl/>
                    <w:suppressLineNumbers w:val="0"/>
                    <w:spacing w:before="0" w:beforeAutospacing="0" w:after="0" w:afterAutospacing="0"/>
                    <w:ind w:left="0" w:right="0"/>
                    <w:rPr>
                      <w:rFonts w:hint="default"/>
                    </w:rPr>
                  </w:pPr>
                  <w:r>
                    <w:t>润滑油</w:t>
                  </w:r>
                </w:p>
              </w:tc>
              <w:tc>
                <w:tcPr>
                  <w:tcW w:w="220" w:type="pct"/>
                  <w:noWrap/>
                  <w:vAlign w:val="center"/>
                </w:tcPr>
                <w:p w14:paraId="45DD31FF">
                  <w:pPr>
                    <w:pStyle w:val="42"/>
                    <w:keepNext w:val="0"/>
                    <w:keepLines w:val="0"/>
                    <w:widowControl/>
                    <w:suppressLineNumbers w:val="0"/>
                    <w:spacing w:before="0" w:beforeAutospacing="0" w:after="0" w:afterAutospacing="0"/>
                    <w:ind w:left="0" w:right="0"/>
                    <w:rPr>
                      <w:rFonts w:hint="default"/>
                    </w:rPr>
                  </w:pPr>
                  <w:r>
                    <w:t>润滑油</w:t>
                  </w:r>
                </w:p>
              </w:tc>
              <w:tc>
                <w:tcPr>
                  <w:tcW w:w="236" w:type="pct"/>
                  <w:noWrap/>
                  <w:vAlign w:val="center"/>
                </w:tcPr>
                <w:p w14:paraId="51D3CD71">
                  <w:pPr>
                    <w:pStyle w:val="42"/>
                    <w:keepNext w:val="0"/>
                    <w:keepLines w:val="0"/>
                    <w:widowControl/>
                    <w:suppressLineNumbers w:val="0"/>
                    <w:spacing w:before="0" w:beforeAutospacing="0" w:after="0" w:afterAutospacing="0"/>
                    <w:ind w:left="0" w:right="0"/>
                    <w:rPr>
                      <w:rFonts w:hint="default"/>
                    </w:rPr>
                  </w:pPr>
                  <w:r>
                    <w:t>每年</w:t>
                  </w:r>
                </w:p>
              </w:tc>
              <w:tc>
                <w:tcPr>
                  <w:tcW w:w="246" w:type="pct"/>
                  <w:noWrap/>
                  <w:vAlign w:val="center"/>
                </w:tcPr>
                <w:p w14:paraId="457D3EAB">
                  <w:pPr>
                    <w:pStyle w:val="42"/>
                    <w:keepNext w:val="0"/>
                    <w:keepLines w:val="0"/>
                    <w:widowControl/>
                    <w:suppressLineNumbers w:val="0"/>
                    <w:spacing w:before="0" w:beforeAutospacing="0" w:after="0" w:afterAutospacing="0"/>
                    <w:ind w:left="0" w:right="0"/>
                    <w:rPr>
                      <w:rFonts w:hint="default"/>
                    </w:rPr>
                  </w:pPr>
                  <w:r>
                    <w:t>T，I</w:t>
                  </w:r>
                </w:p>
              </w:tc>
              <w:tc>
                <w:tcPr>
                  <w:tcW w:w="1029" w:type="pct"/>
                  <w:vMerge w:val="restart"/>
                  <w:noWrap/>
                  <w:vAlign w:val="center"/>
                </w:tcPr>
                <w:p w14:paraId="70D9FF0F">
                  <w:pPr>
                    <w:pStyle w:val="42"/>
                    <w:keepNext w:val="0"/>
                    <w:keepLines w:val="0"/>
                    <w:widowControl/>
                    <w:suppressLineNumbers w:val="0"/>
                    <w:spacing w:before="0" w:beforeAutospacing="0" w:after="0" w:afterAutospacing="0"/>
                    <w:ind w:left="0" w:right="0"/>
                    <w:rPr>
                      <w:rFonts w:hint="default"/>
                      <w:color w:val="FF0000"/>
                    </w:rPr>
                  </w:pPr>
                  <w:r>
                    <w:t>暂存于危险废物贮存间内，定期委托有资质单位处置</w:t>
                  </w:r>
                </w:p>
              </w:tc>
            </w:tr>
            <w:tr w14:paraId="4CF0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 w:type="pct"/>
                  <w:noWrap/>
                  <w:vAlign w:val="center"/>
                </w:tcPr>
                <w:p w14:paraId="7E342C7B">
                  <w:pPr>
                    <w:pStyle w:val="42"/>
                    <w:keepNext w:val="0"/>
                    <w:keepLines w:val="0"/>
                    <w:widowControl/>
                    <w:suppressLineNumbers w:val="0"/>
                    <w:spacing w:before="0" w:beforeAutospacing="0" w:after="0" w:afterAutospacing="0"/>
                    <w:ind w:left="0" w:right="0"/>
                    <w:rPr>
                      <w:rFonts w:hint="default"/>
                    </w:rPr>
                  </w:pPr>
                  <w:r>
                    <w:t>4</w:t>
                  </w:r>
                </w:p>
              </w:tc>
              <w:tc>
                <w:tcPr>
                  <w:tcW w:w="562" w:type="pct"/>
                  <w:noWrap/>
                  <w:vAlign w:val="center"/>
                </w:tcPr>
                <w:p w14:paraId="329B68CA">
                  <w:pPr>
                    <w:pStyle w:val="42"/>
                    <w:keepNext w:val="0"/>
                    <w:keepLines w:val="0"/>
                    <w:widowControl/>
                    <w:suppressLineNumbers w:val="0"/>
                    <w:spacing w:before="0" w:beforeAutospacing="0" w:after="0" w:afterAutospacing="0"/>
                    <w:ind w:left="0" w:right="0"/>
                    <w:rPr>
                      <w:rFonts w:hint="default"/>
                    </w:rPr>
                  </w:pPr>
                  <w:r>
                    <w:t>废润滑油桶</w:t>
                  </w:r>
                </w:p>
              </w:tc>
              <w:tc>
                <w:tcPr>
                  <w:tcW w:w="214" w:type="pct"/>
                  <w:vMerge w:val="continue"/>
                  <w:noWrap/>
                  <w:vAlign w:val="center"/>
                </w:tcPr>
                <w:p w14:paraId="0F0FDBD6">
                  <w:pPr>
                    <w:pStyle w:val="42"/>
                    <w:keepNext w:val="0"/>
                    <w:keepLines w:val="0"/>
                    <w:widowControl/>
                    <w:suppressLineNumbers w:val="0"/>
                    <w:spacing w:before="0" w:beforeAutospacing="0" w:after="0" w:afterAutospacing="0"/>
                    <w:ind w:left="0" w:right="0"/>
                    <w:rPr>
                      <w:rFonts w:hint="default"/>
                    </w:rPr>
                  </w:pPr>
                </w:p>
              </w:tc>
              <w:tc>
                <w:tcPr>
                  <w:tcW w:w="672" w:type="pct"/>
                  <w:noWrap/>
                  <w:vAlign w:val="center"/>
                </w:tcPr>
                <w:p w14:paraId="6E715B09">
                  <w:pPr>
                    <w:pStyle w:val="42"/>
                    <w:keepNext w:val="0"/>
                    <w:keepLines w:val="0"/>
                    <w:widowControl/>
                    <w:suppressLineNumbers w:val="0"/>
                    <w:spacing w:before="0" w:beforeAutospacing="0" w:after="0" w:afterAutospacing="0"/>
                    <w:ind w:left="0" w:right="0"/>
                    <w:rPr>
                      <w:rFonts w:hint="default"/>
                    </w:rPr>
                  </w:pPr>
                  <w:r>
                    <w:t>HW49其他废物</w:t>
                  </w:r>
                </w:p>
              </w:tc>
              <w:tc>
                <w:tcPr>
                  <w:tcW w:w="464" w:type="pct"/>
                  <w:noWrap/>
                  <w:vAlign w:val="center"/>
                </w:tcPr>
                <w:p w14:paraId="0DBE4E40">
                  <w:pPr>
                    <w:pStyle w:val="42"/>
                    <w:keepNext w:val="0"/>
                    <w:keepLines w:val="0"/>
                    <w:widowControl/>
                    <w:suppressLineNumbers w:val="0"/>
                    <w:spacing w:before="0" w:beforeAutospacing="0" w:after="0" w:afterAutospacing="0"/>
                    <w:ind w:left="0" w:right="0"/>
                    <w:rPr>
                      <w:rFonts w:hint="default"/>
                    </w:rPr>
                  </w:pPr>
                  <w:r>
                    <w:t>900-249-08</w:t>
                  </w:r>
                </w:p>
              </w:tc>
              <w:tc>
                <w:tcPr>
                  <w:tcW w:w="420" w:type="pct"/>
                  <w:noWrap/>
                  <w:vAlign w:val="center"/>
                </w:tcPr>
                <w:p w14:paraId="58CCA8F7">
                  <w:pPr>
                    <w:pStyle w:val="42"/>
                    <w:keepNext w:val="0"/>
                    <w:keepLines w:val="0"/>
                    <w:widowControl/>
                    <w:suppressLineNumbers w:val="0"/>
                    <w:spacing w:before="0" w:beforeAutospacing="0" w:after="0" w:afterAutospacing="0"/>
                    <w:ind w:left="0" w:right="0"/>
                    <w:rPr>
                      <w:rFonts w:hint="default"/>
                    </w:rPr>
                  </w:pPr>
                  <w:r>
                    <w:t>0.01</w:t>
                  </w:r>
                </w:p>
              </w:tc>
              <w:tc>
                <w:tcPr>
                  <w:tcW w:w="255" w:type="pct"/>
                  <w:noWrap/>
                  <w:vAlign w:val="center"/>
                </w:tcPr>
                <w:p w14:paraId="3E7B0304">
                  <w:pPr>
                    <w:pStyle w:val="42"/>
                    <w:keepNext w:val="0"/>
                    <w:keepLines w:val="0"/>
                    <w:widowControl/>
                    <w:suppressLineNumbers w:val="0"/>
                    <w:spacing w:before="0" w:beforeAutospacing="0" w:after="0" w:afterAutospacing="0"/>
                    <w:ind w:left="0" w:right="0"/>
                    <w:rPr>
                      <w:rFonts w:hint="default"/>
                    </w:rPr>
                  </w:pPr>
                  <w:r>
                    <w:t>油桶</w:t>
                  </w:r>
                </w:p>
              </w:tc>
              <w:tc>
                <w:tcPr>
                  <w:tcW w:w="236" w:type="pct"/>
                  <w:noWrap/>
                  <w:vAlign w:val="center"/>
                </w:tcPr>
                <w:p w14:paraId="102F90E4">
                  <w:pPr>
                    <w:pStyle w:val="42"/>
                    <w:keepNext w:val="0"/>
                    <w:keepLines w:val="0"/>
                    <w:widowControl/>
                    <w:suppressLineNumbers w:val="0"/>
                    <w:spacing w:before="0" w:beforeAutospacing="0" w:after="0" w:afterAutospacing="0"/>
                    <w:ind w:left="0" w:right="0"/>
                    <w:rPr>
                      <w:rFonts w:hint="default"/>
                    </w:rPr>
                  </w:pPr>
                  <w:r>
                    <w:t>固态</w:t>
                  </w:r>
                </w:p>
              </w:tc>
              <w:tc>
                <w:tcPr>
                  <w:tcW w:w="229" w:type="pct"/>
                  <w:noWrap/>
                  <w:vAlign w:val="center"/>
                </w:tcPr>
                <w:p w14:paraId="0BD6258A">
                  <w:pPr>
                    <w:pStyle w:val="42"/>
                    <w:keepNext w:val="0"/>
                    <w:keepLines w:val="0"/>
                    <w:widowControl/>
                    <w:suppressLineNumbers w:val="0"/>
                    <w:spacing w:before="0" w:beforeAutospacing="0" w:after="0" w:afterAutospacing="0"/>
                    <w:ind w:left="0" w:right="0"/>
                    <w:rPr>
                      <w:rFonts w:hint="default"/>
                    </w:rPr>
                  </w:pPr>
                  <w:r>
                    <w:t>废油</w:t>
                  </w:r>
                </w:p>
              </w:tc>
              <w:tc>
                <w:tcPr>
                  <w:tcW w:w="220" w:type="pct"/>
                  <w:noWrap/>
                  <w:vAlign w:val="center"/>
                </w:tcPr>
                <w:p w14:paraId="316AE724">
                  <w:pPr>
                    <w:pStyle w:val="42"/>
                    <w:keepNext w:val="0"/>
                    <w:keepLines w:val="0"/>
                    <w:widowControl/>
                    <w:suppressLineNumbers w:val="0"/>
                    <w:spacing w:before="0" w:beforeAutospacing="0" w:after="0" w:afterAutospacing="0"/>
                    <w:ind w:left="0" w:right="0"/>
                    <w:rPr>
                      <w:rFonts w:hint="default"/>
                    </w:rPr>
                  </w:pPr>
                  <w:r>
                    <w:t>润滑油</w:t>
                  </w:r>
                </w:p>
              </w:tc>
              <w:tc>
                <w:tcPr>
                  <w:tcW w:w="236" w:type="pct"/>
                  <w:noWrap/>
                  <w:vAlign w:val="center"/>
                </w:tcPr>
                <w:p w14:paraId="6D3218E8">
                  <w:pPr>
                    <w:pStyle w:val="42"/>
                    <w:keepNext w:val="0"/>
                    <w:keepLines w:val="0"/>
                    <w:widowControl/>
                    <w:suppressLineNumbers w:val="0"/>
                    <w:spacing w:before="0" w:beforeAutospacing="0" w:after="0" w:afterAutospacing="0"/>
                    <w:ind w:left="0" w:right="0"/>
                    <w:rPr>
                      <w:rFonts w:hint="default"/>
                    </w:rPr>
                  </w:pPr>
                  <w:r>
                    <w:t>每年</w:t>
                  </w:r>
                </w:p>
              </w:tc>
              <w:tc>
                <w:tcPr>
                  <w:tcW w:w="246" w:type="pct"/>
                  <w:noWrap/>
                  <w:vAlign w:val="center"/>
                </w:tcPr>
                <w:p w14:paraId="35F26B67">
                  <w:pPr>
                    <w:pStyle w:val="42"/>
                    <w:keepNext w:val="0"/>
                    <w:keepLines w:val="0"/>
                    <w:widowControl/>
                    <w:suppressLineNumbers w:val="0"/>
                    <w:spacing w:before="0" w:beforeAutospacing="0" w:after="0" w:afterAutospacing="0"/>
                    <w:ind w:left="0" w:right="0"/>
                    <w:rPr>
                      <w:rFonts w:hint="default"/>
                    </w:rPr>
                  </w:pPr>
                  <w:r>
                    <w:t>T，I</w:t>
                  </w:r>
                </w:p>
              </w:tc>
              <w:tc>
                <w:tcPr>
                  <w:tcW w:w="1029" w:type="pct"/>
                  <w:vMerge w:val="continue"/>
                  <w:noWrap/>
                  <w:vAlign w:val="center"/>
                </w:tcPr>
                <w:p w14:paraId="300F1048">
                  <w:pPr>
                    <w:pStyle w:val="42"/>
                    <w:keepNext w:val="0"/>
                    <w:keepLines w:val="0"/>
                    <w:widowControl/>
                    <w:suppressLineNumbers w:val="0"/>
                    <w:spacing w:before="0" w:beforeAutospacing="0" w:after="0" w:afterAutospacing="0"/>
                    <w:ind w:left="0" w:right="0"/>
                    <w:rPr>
                      <w:rFonts w:hint="default"/>
                      <w:color w:val="FF0000"/>
                    </w:rPr>
                  </w:pPr>
                </w:p>
              </w:tc>
            </w:tr>
          </w:tbl>
          <w:p w14:paraId="3DAD85AF">
            <w:pPr>
              <w:keepNext w:val="0"/>
              <w:keepLines w:val="0"/>
              <w:suppressLineNumbers w:val="0"/>
              <w:spacing w:before="0" w:beforeAutospacing="0" w:after="0" w:afterAutospacing="0"/>
              <w:ind w:left="0" w:right="0" w:firstLine="482"/>
              <w:rPr>
                <w:rFonts w:hint="default"/>
                <w:b/>
                <w:bCs/>
              </w:rPr>
            </w:pPr>
            <w:r>
              <w:rPr>
                <w:rFonts w:hint="eastAsia"/>
                <w:b/>
                <w:bCs/>
              </w:rPr>
              <w:t>（2）危险废物环境影响分析</w:t>
            </w:r>
          </w:p>
          <w:p w14:paraId="44EE5401">
            <w:pPr>
              <w:keepNext w:val="0"/>
              <w:keepLines w:val="0"/>
              <w:numPr>
                <w:ilvl w:val="0"/>
                <w:numId w:val="22"/>
              </w:numPr>
              <w:suppressLineNumbers w:val="0"/>
              <w:spacing w:before="0" w:beforeAutospacing="0" w:after="0" w:afterAutospacing="0"/>
              <w:ind w:right="0" w:firstLine="480"/>
              <w:rPr>
                <w:rFonts w:hint="default"/>
              </w:rPr>
            </w:pPr>
            <w:r>
              <w:rPr>
                <w:rFonts w:hint="eastAsia"/>
              </w:rPr>
              <w:t>危险废物贮存场所（设施）</w:t>
            </w:r>
          </w:p>
          <w:p w14:paraId="06198482">
            <w:pPr>
              <w:keepNext w:val="0"/>
              <w:keepLines w:val="0"/>
              <w:suppressLineNumbers w:val="0"/>
              <w:spacing w:before="0" w:beforeAutospacing="0" w:after="0" w:afterAutospacing="0"/>
              <w:ind w:left="0" w:right="0" w:firstLine="480"/>
              <w:rPr>
                <w:rFonts w:hint="default"/>
              </w:rPr>
            </w:pPr>
            <w:r>
              <w:rPr>
                <w:rFonts w:hint="eastAsia"/>
              </w:rPr>
              <w:t>项目产生的危险废物主要是废润滑油和废油桶，产生环节为设备维护。各车辆不在厂内维护，厂内仅进行设备维护。</w:t>
            </w:r>
          </w:p>
          <w:p w14:paraId="1BFD100C">
            <w:pPr>
              <w:keepNext w:val="0"/>
              <w:keepLines w:val="0"/>
              <w:suppressLineNumbers w:val="0"/>
              <w:spacing w:before="0" w:beforeAutospacing="0" w:after="0" w:afterAutospacing="0"/>
              <w:ind w:left="0" w:right="0" w:firstLine="480"/>
              <w:rPr>
                <w:rFonts w:hint="default"/>
              </w:rPr>
            </w:pPr>
            <w:r>
              <w:rPr>
                <w:rFonts w:hint="default"/>
              </w:rPr>
              <w:t>建设单位</w:t>
            </w:r>
            <w:r>
              <w:rPr>
                <w:rFonts w:hint="eastAsia"/>
              </w:rPr>
              <w:t>拟建设</w:t>
            </w:r>
            <w:r>
              <w:rPr>
                <w:rFonts w:hint="default"/>
              </w:rPr>
              <w:t>危险废物贮存间，</w:t>
            </w:r>
            <w:r>
              <w:rPr>
                <w:rStyle w:val="28"/>
                <w:rFonts w:hint="eastAsia"/>
                <w:kern w:val="0"/>
                <w:sz w:val="24"/>
              </w:rPr>
              <w:t>位于石子、石粉堆存库内，单独隔出，长3m，宽2m，高3m，面积6m</w:t>
            </w:r>
            <w:r>
              <w:rPr>
                <w:rStyle w:val="28"/>
                <w:rFonts w:hint="eastAsia"/>
                <w:kern w:val="0"/>
                <w:sz w:val="24"/>
                <w:vertAlign w:val="superscript"/>
              </w:rPr>
              <w:t>2</w:t>
            </w:r>
            <w:r>
              <w:rPr>
                <w:rStyle w:val="28"/>
                <w:rFonts w:hint="eastAsia"/>
                <w:kern w:val="0"/>
                <w:sz w:val="24"/>
              </w:rPr>
              <w:t>。</w:t>
            </w:r>
            <w:r>
              <w:rPr>
                <w:rFonts w:hint="default"/>
              </w:rPr>
              <w:t>按照《危险废物收集、贮存、运输技术规范》（HJ2025-2012）中相关技术要求设置，具体如下：</w:t>
            </w:r>
          </w:p>
          <w:p w14:paraId="565D6543">
            <w:pPr>
              <w:keepNext w:val="0"/>
              <w:keepLines w:val="0"/>
              <w:suppressLineNumbers w:val="0"/>
              <w:spacing w:before="0" w:beforeAutospacing="0" w:after="0" w:afterAutospacing="0"/>
              <w:ind w:left="0" w:right="0" w:firstLine="480"/>
              <w:rPr>
                <w:rFonts w:hint="default"/>
              </w:rPr>
            </w:pPr>
            <w:r>
              <w:rPr>
                <w:rFonts w:hint="default"/>
              </w:rPr>
              <w:t>A</w:t>
            </w:r>
            <w:r>
              <w:rPr>
                <w:rFonts w:hint="eastAsia"/>
              </w:rPr>
              <w:t>、</w:t>
            </w:r>
            <w:r>
              <w:rPr>
                <w:rFonts w:hint="default"/>
              </w:rPr>
              <w:t>危险废物贮存设施的选址、设计、建设、运行管理应满足GB18597、GBZ1和GBZ2的有关要求。</w:t>
            </w:r>
          </w:p>
          <w:p w14:paraId="5802B16D">
            <w:pPr>
              <w:keepNext w:val="0"/>
              <w:keepLines w:val="0"/>
              <w:suppressLineNumbers w:val="0"/>
              <w:spacing w:before="0" w:beforeAutospacing="0" w:after="0" w:afterAutospacing="0"/>
              <w:ind w:left="0" w:right="0" w:firstLine="480"/>
              <w:rPr>
                <w:rFonts w:hint="default"/>
              </w:rPr>
            </w:pPr>
            <w:r>
              <w:rPr>
                <w:rFonts w:hint="default"/>
              </w:rPr>
              <w:t>B</w:t>
            </w:r>
            <w:r>
              <w:rPr>
                <w:rFonts w:hint="eastAsia"/>
              </w:rPr>
              <w:t>、</w:t>
            </w:r>
            <w:r>
              <w:rPr>
                <w:rFonts w:hint="default"/>
              </w:rPr>
              <w:t>贮存危险废物时应按危险废物种类和特性进行分区贮存，每个贮存区域之间宜设置挡墙间隔，并设置防风、防雨、防晒、防渗（渗透系数≤10</w:t>
            </w:r>
            <w:r>
              <w:rPr>
                <w:rFonts w:hint="default"/>
                <w:vertAlign w:val="superscript"/>
              </w:rPr>
              <w:t>-10</w:t>
            </w:r>
            <w:r>
              <w:rPr>
                <w:rFonts w:hint="default"/>
              </w:rPr>
              <w:t>cm/s）。</w:t>
            </w:r>
          </w:p>
          <w:p w14:paraId="7A5D86A0">
            <w:pPr>
              <w:keepNext w:val="0"/>
              <w:keepLines w:val="0"/>
              <w:suppressLineNumbers w:val="0"/>
              <w:spacing w:before="0" w:beforeAutospacing="0" w:after="0" w:afterAutospacing="0"/>
              <w:ind w:left="0" w:right="0" w:firstLine="480"/>
              <w:rPr>
                <w:rFonts w:hint="default"/>
              </w:rPr>
            </w:pPr>
            <w:r>
              <w:rPr>
                <w:rFonts w:hint="default"/>
              </w:rPr>
              <w:t>C</w:t>
            </w:r>
            <w:r>
              <w:rPr>
                <w:rFonts w:hint="eastAsia"/>
              </w:rPr>
              <w:t>、</w:t>
            </w:r>
            <w:r>
              <w:rPr>
                <w:rFonts w:hint="default"/>
              </w:rPr>
              <w:t>危险废物贮存期限按《中华人民共和国固体废物污染环境防治法》的有关规定，及时交由资质单位集中处置。</w:t>
            </w:r>
          </w:p>
          <w:p w14:paraId="710294C5">
            <w:pPr>
              <w:keepNext w:val="0"/>
              <w:keepLines w:val="0"/>
              <w:suppressLineNumbers w:val="0"/>
              <w:spacing w:before="0" w:beforeAutospacing="0" w:after="0" w:afterAutospacing="0"/>
              <w:ind w:left="0" w:right="0" w:firstLine="480"/>
              <w:rPr>
                <w:rFonts w:hint="default"/>
              </w:rPr>
            </w:pPr>
            <w:r>
              <w:rPr>
                <w:rFonts w:hint="default"/>
              </w:rPr>
              <w:t>D</w:t>
            </w:r>
            <w:r>
              <w:rPr>
                <w:rFonts w:hint="eastAsia"/>
              </w:rPr>
              <w:t>、</w:t>
            </w:r>
            <w:r>
              <w:rPr>
                <w:rFonts w:hint="default"/>
              </w:rPr>
              <w:t>危险废物贮存单位应建立危险废物贮存的台帐制度，并做好危险废物出入库交接记录。</w:t>
            </w:r>
          </w:p>
          <w:p w14:paraId="0B123218">
            <w:pPr>
              <w:keepNext w:val="0"/>
              <w:keepLines w:val="0"/>
              <w:suppressLineNumbers w:val="0"/>
              <w:spacing w:before="0" w:beforeAutospacing="0" w:after="0" w:afterAutospacing="0"/>
              <w:ind w:left="0" w:right="0" w:firstLine="480"/>
              <w:rPr>
                <w:rFonts w:hint="default"/>
              </w:rPr>
            </w:pPr>
            <w:r>
              <w:rPr>
                <w:rFonts w:hint="default"/>
              </w:rPr>
              <w:t>E</w:t>
            </w:r>
            <w:r>
              <w:rPr>
                <w:rFonts w:hint="eastAsia"/>
              </w:rPr>
              <w:t>、</w:t>
            </w:r>
            <w:r>
              <w:rPr>
                <w:rFonts w:hint="default"/>
              </w:rPr>
              <w:t>存放装载液体、半固体危险废物容器位置，有耐腐蚀的硬化地面，且表面无裂隙。</w:t>
            </w:r>
          </w:p>
          <w:p w14:paraId="5418852E">
            <w:pPr>
              <w:keepNext w:val="0"/>
              <w:keepLines w:val="0"/>
              <w:suppressLineNumbers w:val="0"/>
              <w:spacing w:before="0" w:beforeAutospacing="0" w:after="0" w:afterAutospacing="0"/>
              <w:ind w:left="0" w:right="0" w:firstLine="480"/>
              <w:jc w:val="both"/>
              <w:rPr>
                <w:rFonts w:hint="default"/>
              </w:rPr>
            </w:pPr>
            <w:r>
              <w:rPr>
                <w:rFonts w:hint="default"/>
              </w:rPr>
              <w:t>F</w:t>
            </w:r>
            <w:r>
              <w:rPr>
                <w:rFonts w:hint="eastAsia"/>
              </w:rPr>
              <w:t>、</w:t>
            </w:r>
            <w:r>
              <w:rPr>
                <w:rFonts w:hint="default"/>
              </w:rPr>
              <w:t>危险废物贮存间设置符合《危险废物识别标志设置技术规范》（HJ1276-2022）的专用标志。</w:t>
            </w:r>
          </w:p>
          <w:p w14:paraId="4BBA13F8">
            <w:pPr>
              <w:keepNext w:val="0"/>
              <w:keepLines w:val="0"/>
              <w:suppressLineNumbers w:val="0"/>
              <w:spacing w:before="0" w:beforeAutospacing="0" w:after="0" w:afterAutospacing="0"/>
              <w:ind w:left="0" w:right="0" w:firstLine="480"/>
              <w:rPr>
                <w:rFonts w:hint="default"/>
              </w:rPr>
            </w:pPr>
            <w:r>
              <w:rPr>
                <w:rFonts w:hint="default"/>
              </w:rPr>
              <w:t>G</w:t>
            </w:r>
            <w:r>
              <w:rPr>
                <w:rFonts w:hint="eastAsia"/>
              </w:rPr>
              <w:t>、</w:t>
            </w:r>
            <w:r>
              <w:rPr>
                <w:rFonts w:hint="default"/>
              </w:rPr>
              <w:t>危险废物贮存可分为产生单位内部贮存、中转贮存及集中性贮存。所对应的贮存设施分别为：产生危险废物的单位用于暂时贮存的设施。</w:t>
            </w:r>
          </w:p>
          <w:p w14:paraId="3C9CFE44">
            <w:pPr>
              <w:keepNext w:val="0"/>
              <w:keepLines w:val="0"/>
              <w:numPr>
                <w:ilvl w:val="0"/>
                <w:numId w:val="22"/>
              </w:numPr>
              <w:suppressLineNumbers w:val="0"/>
              <w:spacing w:before="0" w:beforeAutospacing="0" w:after="0" w:afterAutospacing="0"/>
              <w:ind w:right="0" w:firstLineChars="0"/>
              <w:rPr>
                <w:rFonts w:hint="default"/>
              </w:rPr>
            </w:pPr>
            <w:r>
              <w:rPr>
                <w:rFonts w:hint="eastAsia"/>
              </w:rPr>
              <w:t>运输过程的环境影响分析</w:t>
            </w:r>
          </w:p>
          <w:p w14:paraId="6DD34321">
            <w:pPr>
              <w:keepNext w:val="0"/>
              <w:keepLines w:val="0"/>
              <w:suppressLineNumbers w:val="0"/>
              <w:spacing w:before="0" w:beforeAutospacing="0" w:after="0" w:afterAutospacing="0"/>
              <w:ind w:left="0" w:right="0" w:firstLine="480"/>
              <w:rPr>
                <w:rFonts w:hint="default"/>
              </w:rPr>
            </w:pPr>
            <w:r>
              <w:rPr>
                <w:rFonts w:hint="default"/>
              </w:rPr>
              <w:t>项目危险废物运输由建设单位委托有资质的危险废物处置单位进行运输，建设单位应配合运输单位员工进行危险废物中转作业，中转装卸及运输过程应遵守如下技术要求：</w:t>
            </w:r>
          </w:p>
          <w:p w14:paraId="5CC32D51">
            <w:pPr>
              <w:keepNext w:val="0"/>
              <w:keepLines w:val="0"/>
              <w:suppressLineNumbers w:val="0"/>
              <w:spacing w:before="0" w:beforeAutospacing="0" w:after="0" w:afterAutospacing="0"/>
              <w:ind w:left="0" w:right="0" w:firstLine="480"/>
              <w:rPr>
                <w:rFonts w:hint="default"/>
              </w:rPr>
            </w:pPr>
            <w:r>
              <w:rPr>
                <w:rFonts w:hint="default"/>
              </w:rPr>
              <w:t>A</w:t>
            </w:r>
            <w:r>
              <w:rPr>
                <w:rFonts w:hint="eastAsia"/>
              </w:rPr>
              <w:t>、</w:t>
            </w:r>
            <w:r>
              <w:rPr>
                <w:rFonts w:hint="default"/>
              </w:rPr>
              <w:t>装卸危险废物的工作人员应熟悉危险废物的属性，并配备适当的个人防护装备，装卸剧毒废物应配备特殊的防护装备。</w:t>
            </w:r>
          </w:p>
          <w:p w14:paraId="46AE5EA8">
            <w:pPr>
              <w:keepNext w:val="0"/>
              <w:keepLines w:val="0"/>
              <w:suppressLineNumbers w:val="0"/>
              <w:spacing w:before="0" w:beforeAutospacing="0" w:after="0" w:afterAutospacing="0"/>
              <w:ind w:left="0" w:right="0" w:firstLine="480"/>
              <w:rPr>
                <w:rFonts w:hint="default"/>
              </w:rPr>
            </w:pPr>
            <w:r>
              <w:rPr>
                <w:rFonts w:hint="default"/>
              </w:rPr>
              <w:t>B</w:t>
            </w:r>
            <w:r>
              <w:rPr>
                <w:rFonts w:hint="eastAsia"/>
              </w:rPr>
              <w:t>、</w:t>
            </w:r>
            <w:r>
              <w:rPr>
                <w:rFonts w:hint="default"/>
              </w:rPr>
              <w:t>装卸区应配备必要的消防设备和设施，并设置明显的指示标志。</w:t>
            </w:r>
          </w:p>
          <w:p w14:paraId="2A7231E4">
            <w:pPr>
              <w:keepNext w:val="0"/>
              <w:keepLines w:val="0"/>
              <w:suppressLineNumbers w:val="0"/>
              <w:spacing w:before="0" w:beforeAutospacing="0" w:after="0" w:afterAutospacing="0"/>
              <w:ind w:left="0" w:right="0" w:firstLine="480"/>
              <w:rPr>
                <w:rFonts w:hint="default"/>
              </w:rPr>
            </w:pPr>
            <w:r>
              <w:rPr>
                <w:rFonts w:hint="default"/>
              </w:rPr>
              <w:t>C</w:t>
            </w:r>
            <w:r>
              <w:rPr>
                <w:rFonts w:hint="eastAsia"/>
              </w:rPr>
              <w:t>、</w:t>
            </w:r>
            <w:r>
              <w:rPr>
                <w:rFonts w:hint="default"/>
              </w:rPr>
              <w:t>危险废物装卸区应设置必要的隔离设施，液态废物卸载区应设置收集槽和缓冲罐等必要的应急设施。</w:t>
            </w:r>
          </w:p>
          <w:p w14:paraId="79F0D004">
            <w:pPr>
              <w:keepNext w:val="0"/>
              <w:keepLines w:val="0"/>
              <w:numPr>
                <w:ilvl w:val="0"/>
                <w:numId w:val="22"/>
              </w:numPr>
              <w:suppressLineNumbers w:val="0"/>
              <w:spacing w:before="0" w:beforeAutospacing="0" w:after="0" w:afterAutospacing="0"/>
              <w:ind w:right="0" w:firstLineChars="0"/>
              <w:rPr>
                <w:rFonts w:hint="default"/>
              </w:rPr>
            </w:pPr>
            <w:r>
              <w:rPr>
                <w:rFonts w:hint="eastAsia"/>
              </w:rPr>
              <w:t>委托利用或者处置的环境影响分析</w:t>
            </w:r>
          </w:p>
          <w:p w14:paraId="266921A4">
            <w:pPr>
              <w:keepNext w:val="0"/>
              <w:keepLines w:val="0"/>
              <w:suppressLineNumbers w:val="0"/>
              <w:spacing w:before="0" w:beforeAutospacing="0" w:after="0" w:afterAutospacing="0"/>
              <w:ind w:left="0" w:right="0" w:firstLine="480"/>
              <w:rPr>
                <w:rFonts w:hint="default"/>
              </w:rPr>
            </w:pPr>
            <w:r>
              <w:rPr>
                <w:rFonts w:hint="eastAsia"/>
              </w:rPr>
              <w:t>根据《建设项目危险废物环境影响评价指南》（环境保护部公告</w:t>
            </w:r>
            <w:r>
              <w:rPr>
                <w:rFonts w:hint="default"/>
              </w:rPr>
              <w:t>2017</w:t>
            </w:r>
            <w:r>
              <w:rPr>
                <w:rFonts w:hint="eastAsia"/>
              </w:rPr>
              <w:t>年第4</w:t>
            </w:r>
            <w:r>
              <w:rPr>
                <w:rFonts w:hint="default"/>
              </w:rPr>
              <w:t>3</w:t>
            </w:r>
            <w:r>
              <w:rPr>
                <w:rFonts w:hint="eastAsia"/>
              </w:rPr>
              <w:t>号）的规定：“环评阶段已签订利用或者委托处置意向的，应分析危险废物利用或者处置途径的可行性。暂未委托利用或者处置单位的，应根据建设项目周边有资质的危险废物处置单位的分布情况、处置能力、资质类别等，给出建设项目产生危险废物的委托利用或处置途径建议”。环评阶段，项目建设单位尚未意向签订危废委托处置协议，因此，本次评价给出项目危险废物委托利用或处置的建议。</w:t>
            </w:r>
          </w:p>
          <w:p w14:paraId="2A3C518B">
            <w:pPr>
              <w:keepNext w:val="0"/>
              <w:keepLines w:val="0"/>
              <w:suppressLineNumbers w:val="0"/>
              <w:spacing w:before="0" w:beforeAutospacing="0" w:after="0" w:afterAutospacing="0"/>
              <w:ind w:left="0" w:right="0" w:firstLine="480"/>
              <w:rPr>
                <w:rFonts w:hint="default"/>
              </w:rPr>
            </w:pPr>
            <w:r>
              <w:rPr>
                <w:rFonts w:hint="eastAsia"/>
              </w:rPr>
              <w:t>根据调查了解，</w:t>
            </w:r>
            <w:r>
              <w:rPr>
                <w:rFonts w:hint="default"/>
              </w:rPr>
              <w:t>项目</w:t>
            </w:r>
            <w:r>
              <w:rPr>
                <w:rFonts w:hint="eastAsia"/>
              </w:rPr>
              <w:t>周边区域分布的有资质</w:t>
            </w:r>
            <w:r>
              <w:rPr>
                <w:rFonts w:hint="default"/>
              </w:rPr>
              <w:t>的</w:t>
            </w:r>
            <w:r>
              <w:rPr>
                <w:rFonts w:hint="eastAsia"/>
              </w:rPr>
              <w:t>危险废物处置</w:t>
            </w:r>
            <w:r>
              <w:rPr>
                <w:rFonts w:hint="default"/>
              </w:rPr>
              <w:t>单位</w:t>
            </w:r>
            <w:r>
              <w:rPr>
                <w:rFonts w:hint="eastAsia"/>
              </w:rPr>
              <w:t>，</w:t>
            </w:r>
            <w:r>
              <w:rPr>
                <w:rFonts w:hint="default"/>
              </w:rPr>
              <w:t>如唐山浩昌杰环保科技发展有限公司</w:t>
            </w:r>
            <w:r>
              <w:rPr>
                <w:rFonts w:hint="eastAsia"/>
              </w:rPr>
              <w:t>。</w:t>
            </w:r>
            <w:r>
              <w:rPr>
                <w:rFonts w:hint="default"/>
                <w:bCs/>
              </w:rPr>
              <w:t>唐山浩昌杰环保科技发展有限公司</w:t>
            </w:r>
            <w:r>
              <w:rPr>
                <w:rFonts w:hint="default"/>
              </w:rPr>
              <w:t>年度核准经营规模为</w:t>
            </w:r>
            <w:r>
              <w:rPr>
                <w:rFonts w:hint="eastAsia"/>
              </w:rPr>
              <w:t>：</w:t>
            </w:r>
            <w:r>
              <w:rPr>
                <w:rFonts w:hint="default"/>
              </w:rPr>
              <w:t>焚烧处置危险废物经营规模</w:t>
            </w:r>
            <w:r>
              <w:rPr>
                <w:rFonts w:hint="eastAsia"/>
              </w:rPr>
              <w:t>6592t/年，焚烧处置危险废物类别包括HW02、HW03、HW04、HW05、HW06、HW08、HW09、HW11、HW12、HW13、HW16、HW39、HW49（可处理项目废油桶</w:t>
            </w:r>
            <w:r>
              <w:rPr>
                <w:rFonts w:hint="default"/>
              </w:rPr>
              <w:t>900-249-08</w:t>
            </w:r>
            <w:r>
              <w:rPr>
                <w:rFonts w:hint="eastAsia"/>
              </w:rPr>
              <w:t>），综合利用危险废物经营规模140100t/年，类别为HW08（可处理项目废润滑油</w:t>
            </w:r>
            <w:r>
              <w:rPr>
                <w:rFonts w:hint="default"/>
              </w:rPr>
              <w:t>900-214-08</w:t>
            </w:r>
            <w:r>
              <w:rPr>
                <w:rFonts w:hint="eastAsia"/>
              </w:rPr>
              <w:t>），</w:t>
            </w:r>
            <w:r>
              <w:rPr>
                <w:rFonts w:hint="default"/>
                <w:bCs/>
              </w:rPr>
              <w:t>唐山浩昌杰环保科技发展有限公司</w:t>
            </w:r>
            <w:r>
              <w:rPr>
                <w:rFonts w:hint="default"/>
              </w:rPr>
              <w:t>年度核准经营规模包含</w:t>
            </w:r>
            <w:r>
              <w:rPr>
                <w:rFonts w:hint="eastAsia"/>
              </w:rPr>
              <w:t>项目</w:t>
            </w:r>
            <w:r>
              <w:rPr>
                <w:rFonts w:hint="default"/>
              </w:rPr>
              <w:t>产生的危险废物</w:t>
            </w:r>
            <w:r>
              <w:rPr>
                <w:rFonts w:hint="eastAsia"/>
              </w:rPr>
              <w:t>，</w:t>
            </w:r>
            <w:r>
              <w:rPr>
                <w:rFonts w:hint="default"/>
              </w:rPr>
              <w:t>且</w:t>
            </w:r>
            <w:r>
              <w:rPr>
                <w:rFonts w:hint="eastAsia"/>
              </w:rPr>
              <w:t>项目</w:t>
            </w:r>
            <w:r>
              <w:rPr>
                <w:rFonts w:hint="default"/>
              </w:rPr>
              <w:t>产生的危险废物量远小于该资质单位的处置量</w:t>
            </w:r>
            <w:r>
              <w:rPr>
                <w:rFonts w:hint="eastAsia"/>
              </w:rPr>
              <w:t>。</w:t>
            </w:r>
            <w:r>
              <w:rPr>
                <w:rFonts w:hint="default"/>
              </w:rPr>
              <w:t>故</w:t>
            </w:r>
            <w:r>
              <w:rPr>
                <w:rFonts w:hint="eastAsia"/>
              </w:rPr>
              <w:t>建议</w:t>
            </w:r>
            <w:r>
              <w:rPr>
                <w:rFonts w:hint="default"/>
              </w:rPr>
              <w:t>项目</w:t>
            </w:r>
            <w:r>
              <w:rPr>
                <w:rFonts w:hint="eastAsia"/>
              </w:rPr>
              <w:t>危险废物可以委托</w:t>
            </w:r>
            <w:r>
              <w:rPr>
                <w:rFonts w:hint="default"/>
                <w:bCs/>
              </w:rPr>
              <w:t>唐山浩昌杰环保科技发展有限公司</w:t>
            </w:r>
            <w:r>
              <w:rPr>
                <w:rFonts w:hint="eastAsia"/>
              </w:rPr>
              <w:t>处置。综上，项目</w:t>
            </w:r>
            <w:r>
              <w:rPr>
                <w:rFonts w:hint="default"/>
              </w:rPr>
              <w:t>危险废物定期交由</w:t>
            </w:r>
            <w:r>
              <w:rPr>
                <w:rFonts w:hint="eastAsia"/>
              </w:rPr>
              <w:t>有资质</w:t>
            </w:r>
            <w:r>
              <w:rPr>
                <w:rFonts w:hint="default"/>
              </w:rPr>
              <w:t>的单位处理措施</w:t>
            </w:r>
            <w:r>
              <w:rPr>
                <w:rFonts w:hint="eastAsia"/>
              </w:rPr>
              <w:t>可行。</w:t>
            </w:r>
          </w:p>
          <w:p w14:paraId="6711077A">
            <w:pPr>
              <w:keepNext w:val="0"/>
              <w:keepLines w:val="0"/>
              <w:numPr>
                <w:ilvl w:val="0"/>
                <w:numId w:val="22"/>
              </w:numPr>
              <w:suppressLineNumbers w:val="0"/>
              <w:spacing w:before="0" w:beforeAutospacing="0" w:after="0" w:afterAutospacing="0"/>
              <w:ind w:right="0" w:firstLineChars="0"/>
              <w:rPr>
                <w:rFonts w:hint="default"/>
              </w:rPr>
            </w:pPr>
            <w:r>
              <w:rPr>
                <w:rFonts w:hint="eastAsia"/>
              </w:rPr>
              <w:t>危险废物收集、储存、转运过程应急预案</w:t>
            </w:r>
          </w:p>
          <w:p w14:paraId="1358C630">
            <w:pPr>
              <w:keepNext w:val="0"/>
              <w:keepLines w:val="0"/>
              <w:suppressLineNumbers w:val="0"/>
              <w:spacing w:before="0" w:beforeAutospacing="0" w:after="0" w:afterAutospacing="0"/>
              <w:ind w:left="0" w:right="0" w:firstLine="480"/>
              <w:rPr>
                <w:rFonts w:hint="default"/>
              </w:rPr>
            </w:pPr>
            <w:r>
              <w:rPr>
                <w:rFonts w:hint="default"/>
              </w:rPr>
              <w:t>危险废物收集、储存、转运过程应编制相应的应急预案，应急预案的编制可参照《危险废物经营单位编制应急预案指南》，针对危险废物收集、储运、中转过程产生的事故易发环节应定期组织应急演练。</w:t>
            </w:r>
          </w:p>
          <w:p w14:paraId="4FB7E45F">
            <w:pPr>
              <w:keepNext w:val="0"/>
              <w:keepLines w:val="0"/>
              <w:suppressLineNumbers w:val="0"/>
              <w:spacing w:before="0" w:beforeAutospacing="0" w:after="0" w:afterAutospacing="0"/>
              <w:ind w:left="0" w:right="0" w:firstLine="480"/>
              <w:rPr>
                <w:rFonts w:hint="default"/>
              </w:rPr>
            </w:pPr>
            <w:r>
              <w:rPr>
                <w:rFonts w:hint="default"/>
              </w:rPr>
              <w:t>危险废物收集、储运、中转过程一旦发生意外事故，建设单位应根据风险应急预案立即采取如下措施：</w:t>
            </w:r>
          </w:p>
          <w:p w14:paraId="5CC0EE8C">
            <w:pPr>
              <w:keepNext w:val="0"/>
              <w:keepLines w:val="0"/>
              <w:suppressLineNumbers w:val="0"/>
              <w:spacing w:before="0" w:beforeAutospacing="0" w:after="0" w:afterAutospacing="0"/>
              <w:ind w:left="0" w:right="0" w:firstLine="480"/>
              <w:rPr>
                <w:rFonts w:hint="default"/>
              </w:rPr>
            </w:pPr>
            <w:r>
              <w:rPr>
                <w:rFonts w:hint="default"/>
              </w:rPr>
              <w:t>A</w:t>
            </w:r>
            <w:r>
              <w:rPr>
                <w:rFonts w:hint="eastAsia"/>
              </w:rPr>
              <w:t>、</w:t>
            </w:r>
            <w:r>
              <w:rPr>
                <w:rFonts w:hint="default"/>
              </w:rPr>
              <w:t>设立事故警戒线，启动应急预案，并按要求向</w:t>
            </w:r>
            <w:r>
              <w:rPr>
                <w:rFonts w:hint="eastAsia"/>
              </w:rPr>
              <w:t>生态环境</w:t>
            </w:r>
            <w:r>
              <w:rPr>
                <w:rFonts w:hint="default"/>
              </w:rPr>
              <w:t>主管部门进行报告。</w:t>
            </w:r>
          </w:p>
          <w:p w14:paraId="708C491F">
            <w:pPr>
              <w:keepNext w:val="0"/>
              <w:keepLines w:val="0"/>
              <w:suppressLineNumbers w:val="0"/>
              <w:spacing w:before="0" w:beforeAutospacing="0" w:after="0" w:afterAutospacing="0"/>
              <w:ind w:left="0" w:right="0" w:firstLine="480"/>
              <w:rPr>
                <w:rFonts w:hint="default"/>
              </w:rPr>
            </w:pPr>
            <w:r>
              <w:rPr>
                <w:rFonts w:hint="default"/>
              </w:rPr>
              <w:t>B</w:t>
            </w:r>
            <w:r>
              <w:rPr>
                <w:rFonts w:hint="eastAsia"/>
              </w:rPr>
              <w:t>、</w:t>
            </w:r>
            <w:r>
              <w:rPr>
                <w:rFonts w:hint="default"/>
              </w:rPr>
              <w:t>对事故受到污染的土壤和水体等进行相应的清理和修复。</w:t>
            </w:r>
          </w:p>
          <w:p w14:paraId="50DE296A">
            <w:pPr>
              <w:keepNext w:val="0"/>
              <w:keepLines w:val="0"/>
              <w:suppressLineNumbers w:val="0"/>
              <w:spacing w:before="0" w:beforeAutospacing="0" w:after="0" w:afterAutospacing="0"/>
              <w:ind w:left="0" w:right="0" w:firstLine="480"/>
              <w:rPr>
                <w:rFonts w:hint="default"/>
              </w:rPr>
            </w:pPr>
            <w:r>
              <w:rPr>
                <w:rFonts w:hint="default"/>
              </w:rPr>
              <w:t>C</w:t>
            </w:r>
            <w:r>
              <w:rPr>
                <w:rFonts w:hint="eastAsia"/>
              </w:rPr>
              <w:t>、</w:t>
            </w:r>
            <w:r>
              <w:rPr>
                <w:rFonts w:hint="default"/>
              </w:rPr>
              <w:t>清理过程产生的所有废物均应按危险废物进行管理和处置。</w:t>
            </w:r>
          </w:p>
          <w:p w14:paraId="75E7AAC9">
            <w:pPr>
              <w:keepNext w:val="0"/>
              <w:keepLines w:val="0"/>
              <w:suppressLineNumbers w:val="0"/>
              <w:spacing w:before="0" w:beforeAutospacing="0" w:after="0" w:afterAutospacing="0"/>
              <w:ind w:left="0" w:right="0" w:firstLine="480"/>
              <w:rPr>
                <w:rFonts w:hint="default"/>
              </w:rPr>
            </w:pPr>
            <w:r>
              <w:rPr>
                <w:rFonts w:hint="default"/>
              </w:rPr>
              <w:t>D</w:t>
            </w:r>
            <w:r>
              <w:rPr>
                <w:rFonts w:hint="eastAsia"/>
              </w:rPr>
              <w:t>、</w:t>
            </w:r>
            <w:r>
              <w:rPr>
                <w:rFonts w:hint="default"/>
              </w:rPr>
              <w:t>进入现场清理和包装危险废物的人员应受过专业培训，穿着防护服，佩戴防护用具。</w:t>
            </w:r>
          </w:p>
          <w:p w14:paraId="538FD4B5">
            <w:pPr>
              <w:keepNext w:val="0"/>
              <w:keepLines w:val="0"/>
              <w:suppressLineNumbers w:val="0"/>
              <w:spacing w:before="0" w:beforeAutospacing="0" w:after="0" w:afterAutospacing="0"/>
              <w:ind w:left="0" w:right="0" w:firstLine="482"/>
              <w:rPr>
                <w:rFonts w:hint="default"/>
                <w:b/>
              </w:rPr>
            </w:pPr>
            <w:r>
              <w:rPr>
                <w:rFonts w:hint="eastAsia"/>
                <w:b/>
              </w:rPr>
              <w:t>（3）固体废物环境管理要求</w:t>
            </w:r>
          </w:p>
          <w:p w14:paraId="4FE00EFA">
            <w:pPr>
              <w:keepNext w:val="0"/>
              <w:keepLines w:val="0"/>
              <w:suppressLineNumbers w:val="0"/>
              <w:spacing w:before="0" w:beforeAutospacing="0" w:after="0" w:afterAutospacing="0"/>
              <w:ind w:left="0" w:right="0" w:firstLine="480"/>
              <w:rPr>
                <w:rFonts w:hint="default"/>
              </w:rPr>
            </w:pPr>
            <w:r>
              <w:rPr>
                <w:rFonts w:hint="default"/>
              </w:rPr>
              <w:t>一般工业固废储存场所建设应符合《一般工业固体废物贮存</w:t>
            </w:r>
            <w:r>
              <w:rPr>
                <w:rFonts w:hint="eastAsia"/>
              </w:rPr>
              <w:t>和填埋</w:t>
            </w:r>
            <w:r>
              <w:rPr>
                <w:rFonts w:hint="default"/>
              </w:rPr>
              <w:t>污染控制标准》（GB18599-2020）</w:t>
            </w:r>
            <w:r>
              <w:rPr>
                <w:rFonts w:hint="eastAsia"/>
              </w:rPr>
              <w:t>的</w:t>
            </w:r>
            <w:r>
              <w:rPr>
                <w:rFonts w:hint="default"/>
              </w:rPr>
              <w:t>要求。</w:t>
            </w:r>
          </w:p>
          <w:p w14:paraId="61AB63E3">
            <w:pPr>
              <w:keepNext w:val="0"/>
              <w:keepLines w:val="0"/>
              <w:suppressLineNumbers w:val="0"/>
              <w:spacing w:before="0" w:beforeAutospacing="0" w:after="0" w:afterAutospacing="0"/>
              <w:ind w:left="0" w:right="0" w:firstLine="480"/>
              <w:rPr>
                <w:rFonts w:hint="default"/>
              </w:rPr>
            </w:pPr>
            <w:r>
              <w:rPr>
                <w:rFonts w:hint="eastAsia"/>
              </w:rPr>
              <w:t>危险废物储存满足《危险废物贮存污染控制标准》（GB18597-2023）。</w:t>
            </w:r>
          </w:p>
          <w:p w14:paraId="0723D7DB">
            <w:pPr>
              <w:keepNext w:val="0"/>
              <w:keepLines w:val="0"/>
              <w:suppressLineNumbers w:val="0"/>
              <w:spacing w:before="0" w:beforeAutospacing="0" w:after="0" w:afterAutospacing="0"/>
              <w:ind w:left="0" w:right="0" w:firstLine="480"/>
              <w:rPr>
                <w:rFonts w:hint="default"/>
              </w:rPr>
            </w:pPr>
            <w:r>
              <w:rPr>
                <w:rFonts w:hint="default"/>
              </w:rPr>
              <w:t>项目</w:t>
            </w:r>
            <w:r>
              <w:rPr>
                <w:rFonts w:hint="eastAsia"/>
              </w:rPr>
              <w:t>运行阶段</w:t>
            </w:r>
            <w:r>
              <w:rPr>
                <w:rFonts w:hint="default"/>
              </w:rPr>
              <w:t>固体废物的产生、贮存、利用和处置全过程应严格遵守国家有关建设项目环境保护管理的规定。</w:t>
            </w:r>
          </w:p>
          <w:p w14:paraId="051C9E9D">
            <w:pPr>
              <w:keepNext w:val="0"/>
              <w:keepLines w:val="0"/>
              <w:suppressLineNumbers w:val="0"/>
              <w:spacing w:before="0" w:beforeAutospacing="0" w:after="0" w:afterAutospacing="0"/>
              <w:ind w:left="0" w:right="0" w:firstLine="480"/>
              <w:rPr>
                <w:rFonts w:hint="default"/>
              </w:rPr>
            </w:pPr>
            <w:r>
              <w:rPr>
                <w:rFonts w:hint="default"/>
              </w:rPr>
              <w:t>项目</w:t>
            </w:r>
            <w:r>
              <w:rPr>
                <w:rFonts w:hint="eastAsia"/>
              </w:rPr>
              <w:t>运行阶段</w:t>
            </w:r>
            <w:r>
              <w:rPr>
                <w:rFonts w:hint="default"/>
              </w:rPr>
              <w:t>产生、收集、贮存、运输、利用、处置固体废物时，应当采取防扬散、防流失、防渗漏或者其他纺织污染环境的措施，不擅自倾倒、堆放、丢弃、遗撒固体废物；</w:t>
            </w:r>
          </w:p>
          <w:p w14:paraId="35FDAD66">
            <w:pPr>
              <w:keepNext w:val="0"/>
              <w:keepLines w:val="0"/>
              <w:suppressLineNumbers w:val="0"/>
              <w:spacing w:before="0" w:beforeAutospacing="0" w:after="0" w:afterAutospacing="0"/>
              <w:ind w:left="0" w:right="0" w:firstLine="480"/>
              <w:rPr>
                <w:rFonts w:hint="default"/>
              </w:rPr>
            </w:pPr>
            <w:r>
              <w:rPr>
                <w:rFonts w:hint="default"/>
              </w:rPr>
              <w:t>建设单位应当建立健全工业固体废物</w:t>
            </w:r>
            <w:r>
              <w:rPr>
                <w:rFonts w:hint="eastAsia"/>
              </w:rPr>
              <w:t>和危险废物</w:t>
            </w:r>
            <w:r>
              <w:rPr>
                <w:rFonts w:hint="default"/>
              </w:rPr>
              <w:t>产生、收集、贮存、运输、利用、处置全过程的污染环境</w:t>
            </w:r>
            <w:r>
              <w:rPr>
                <w:rFonts w:hint="eastAsia"/>
              </w:rPr>
              <w:t>防治</w:t>
            </w:r>
            <w:r>
              <w:rPr>
                <w:rFonts w:hint="default"/>
              </w:rPr>
              <w:t>责任制度，建立工业固体废物</w:t>
            </w:r>
            <w:r>
              <w:rPr>
                <w:rFonts w:hint="eastAsia"/>
              </w:rPr>
              <w:t>和危险废物</w:t>
            </w:r>
            <w:r>
              <w:rPr>
                <w:rFonts w:hint="default"/>
              </w:rPr>
              <w:t>管理台账，如实记录产生工业固体废物的种类、数量、流向、贮存、利用、处置等信息，实现工业固体废物</w:t>
            </w:r>
            <w:r>
              <w:rPr>
                <w:rFonts w:hint="eastAsia"/>
              </w:rPr>
              <w:t>和危险废物</w:t>
            </w:r>
            <w:r>
              <w:rPr>
                <w:rFonts w:hint="default"/>
              </w:rPr>
              <w:t>可追溯，可查询，并采取防治工业固体废物</w:t>
            </w:r>
            <w:r>
              <w:rPr>
                <w:rFonts w:hint="eastAsia"/>
              </w:rPr>
              <w:t>和危险废物</w:t>
            </w:r>
            <w:r>
              <w:rPr>
                <w:rFonts w:hint="default"/>
              </w:rPr>
              <w:t>污染环境的措施；</w:t>
            </w:r>
          </w:p>
          <w:p w14:paraId="5FF1FD04">
            <w:pPr>
              <w:keepNext w:val="0"/>
              <w:keepLines w:val="0"/>
              <w:suppressLineNumbers w:val="0"/>
              <w:spacing w:before="0" w:beforeAutospacing="0" w:after="0" w:afterAutospacing="0"/>
              <w:ind w:left="0" w:right="0" w:firstLine="480"/>
              <w:rPr>
                <w:rFonts w:hint="default"/>
              </w:rPr>
            </w:pPr>
            <w:r>
              <w:rPr>
                <w:rFonts w:hint="default"/>
              </w:rPr>
              <w:t>企业对收集、贮存、运输、处置一般工业固体废物</w:t>
            </w:r>
            <w:r>
              <w:rPr>
                <w:rFonts w:hint="eastAsia"/>
              </w:rPr>
              <w:t>和危险废物</w:t>
            </w:r>
            <w:r>
              <w:rPr>
                <w:rFonts w:hint="default"/>
              </w:rPr>
              <w:t>的设施、设备和场所，应当加强管理和维护，保证其正常运行和使用。</w:t>
            </w:r>
          </w:p>
          <w:p w14:paraId="61846FEC">
            <w:pPr>
              <w:keepNext w:val="0"/>
              <w:keepLines w:val="0"/>
              <w:suppressLineNumbers w:val="0"/>
              <w:spacing w:before="0" w:beforeAutospacing="0" w:after="0" w:afterAutospacing="0"/>
              <w:ind w:left="0" w:right="0" w:firstLine="480"/>
              <w:rPr>
                <w:rFonts w:hint="default"/>
              </w:rPr>
            </w:pPr>
            <w:r>
              <w:rPr>
                <w:rFonts w:hint="eastAsia"/>
              </w:rPr>
              <w:t>不</w:t>
            </w:r>
            <w:r>
              <w:rPr>
                <w:rFonts w:hint="default"/>
              </w:rPr>
              <w:t>将生活垃圾与一般工业固体废物</w:t>
            </w:r>
            <w:r>
              <w:rPr>
                <w:rFonts w:hint="eastAsia"/>
              </w:rPr>
              <w:t>、危险废物</w:t>
            </w:r>
            <w:r>
              <w:rPr>
                <w:rFonts w:hint="default"/>
              </w:rPr>
              <w:t>混合处置。</w:t>
            </w:r>
          </w:p>
          <w:p w14:paraId="30C69909">
            <w:pPr>
              <w:keepNext w:val="0"/>
              <w:keepLines w:val="0"/>
              <w:suppressLineNumbers w:val="0"/>
              <w:spacing w:before="0" w:beforeAutospacing="0" w:after="0" w:afterAutospacing="0"/>
              <w:ind w:left="0" w:right="0" w:firstLine="480"/>
              <w:rPr>
                <w:rFonts w:hint="eastAsia" w:hAnsi="宋体"/>
                <w:color w:val="FF0000"/>
              </w:rPr>
            </w:pPr>
            <w:r>
              <w:rPr>
                <w:rFonts w:hint="default"/>
              </w:rPr>
              <w:t>项目</w:t>
            </w:r>
            <w:r>
              <w:rPr>
                <w:rFonts w:hint="eastAsia"/>
              </w:rPr>
              <w:t>运行阶段</w:t>
            </w:r>
            <w:r>
              <w:rPr>
                <w:rFonts w:hint="default"/>
              </w:rPr>
              <w:t>需要终止生产的，应当事先对工业固体废物</w:t>
            </w:r>
            <w:r>
              <w:rPr>
                <w:rFonts w:hint="eastAsia"/>
              </w:rPr>
              <w:t>和危险废物</w:t>
            </w:r>
            <w:r>
              <w:rPr>
                <w:rFonts w:hint="default"/>
              </w:rPr>
              <w:t>的贮存、处置设施、场所采取污染防治措施，并对未处置的工业固体废物</w:t>
            </w:r>
            <w:r>
              <w:rPr>
                <w:rFonts w:hint="eastAsia"/>
              </w:rPr>
              <w:t>和危险废物</w:t>
            </w:r>
            <w:r>
              <w:rPr>
                <w:rFonts w:hint="default"/>
              </w:rPr>
              <w:t>作出妥善处置，防止污染环境。</w:t>
            </w:r>
          </w:p>
          <w:p w14:paraId="4DE9C21D">
            <w:pPr>
              <w:keepNext w:val="0"/>
              <w:keepLines w:val="0"/>
              <w:suppressLineNumbers w:val="0"/>
              <w:spacing w:before="0" w:beforeAutospacing="0" w:after="0" w:afterAutospacing="0"/>
              <w:ind w:left="0" w:right="0" w:firstLine="482"/>
              <w:rPr>
                <w:rFonts w:hint="default"/>
                <w:b/>
              </w:rPr>
            </w:pPr>
            <w:r>
              <w:rPr>
                <w:rFonts w:hint="default"/>
                <w:b/>
              </w:rPr>
              <w:t>5．</w:t>
            </w:r>
            <w:r>
              <w:rPr>
                <w:rFonts w:hint="eastAsia"/>
                <w:b/>
              </w:rPr>
              <w:t>地下水、土壤</w:t>
            </w:r>
          </w:p>
          <w:p w14:paraId="1BC8B631">
            <w:pPr>
              <w:keepNext w:val="0"/>
              <w:keepLines w:val="0"/>
              <w:suppressLineNumbers w:val="0"/>
              <w:spacing w:before="0" w:beforeAutospacing="0" w:after="0" w:afterAutospacing="0"/>
              <w:ind w:left="0" w:right="0" w:firstLine="480"/>
              <w:rPr>
                <w:rFonts w:hint="default"/>
              </w:rPr>
            </w:pPr>
            <w:r>
              <w:rPr>
                <w:rFonts w:hint="eastAsia"/>
              </w:rPr>
              <w:t>根据识别，建设项目在满足分区防渗的前提下，不存在土壤、地下水环境污染源和污染途径。</w:t>
            </w:r>
          </w:p>
          <w:p w14:paraId="7E023F9A">
            <w:pPr>
              <w:keepNext w:val="0"/>
              <w:keepLines w:val="0"/>
              <w:suppressLineNumbers w:val="0"/>
              <w:spacing w:before="0" w:beforeAutospacing="0" w:after="0" w:afterAutospacing="0"/>
              <w:ind w:left="0" w:right="0" w:firstLine="420" w:firstLineChars="175"/>
              <w:rPr>
                <w:rFonts w:hint="default"/>
                <w:color w:val="FF0000"/>
              </w:rPr>
            </w:pPr>
            <w:r>
              <w:rPr>
                <w:rFonts w:hint="eastAsia"/>
              </w:rPr>
              <w:t>本次评价给出分区防渗的要求：</w:t>
            </w:r>
          </w:p>
          <w:p w14:paraId="374EF3ED">
            <w:pPr>
              <w:keepNext w:val="0"/>
              <w:keepLines w:val="0"/>
              <w:suppressLineNumbers w:val="0"/>
              <w:spacing w:before="0" w:beforeAutospacing="0" w:after="0" w:afterAutospacing="0"/>
              <w:ind w:left="0" w:right="0" w:firstLine="480"/>
              <w:jc w:val="both"/>
              <w:rPr>
                <w:rFonts w:hint="default"/>
              </w:rPr>
            </w:pPr>
            <w:r>
              <w:rPr>
                <w:rFonts w:hint="default"/>
              </w:rPr>
              <w:t>对</w:t>
            </w:r>
            <w:r>
              <w:rPr>
                <w:rFonts w:hint="eastAsia"/>
              </w:rPr>
              <w:t>厂区的生产车间</w:t>
            </w:r>
            <w:r>
              <w:rPr>
                <w:rFonts w:hint="default"/>
              </w:rPr>
              <w:t>进行一般水泥地面硬化</w:t>
            </w:r>
            <w:r>
              <w:rPr>
                <w:rFonts w:hint="eastAsia"/>
              </w:rPr>
              <w:t>、对原料库房地面进行</w:t>
            </w:r>
            <w:r>
              <w:rPr>
                <w:rFonts w:hint="default"/>
              </w:rPr>
              <w:t>一般水泥地面硬化</w:t>
            </w:r>
            <w:r>
              <w:rPr>
                <w:rFonts w:hint="eastAsia"/>
              </w:rPr>
              <w:t>；对各厂区道路等</w:t>
            </w:r>
            <w:r>
              <w:rPr>
                <w:rFonts w:hint="default"/>
              </w:rPr>
              <w:t>区域进行一般水泥地面硬化；对危险废物贮存间</w:t>
            </w:r>
            <w:r>
              <w:rPr>
                <w:rFonts w:hint="eastAsia"/>
              </w:rPr>
              <w:t>地面及裙角</w:t>
            </w:r>
            <w:r>
              <w:rPr>
                <w:rFonts w:hint="default"/>
              </w:rPr>
              <w:t>进行防腐、防渗措施，</w:t>
            </w:r>
            <w:r>
              <w:rPr>
                <w:rFonts w:hint="eastAsia"/>
              </w:rPr>
              <w:t>地面</w:t>
            </w:r>
            <w:r>
              <w:rPr>
                <w:rFonts w:hint="default"/>
              </w:rPr>
              <w:t>防渗层为至少1m厚黏土层（渗透系数不大于10</w:t>
            </w:r>
            <w:r>
              <w:rPr>
                <w:rFonts w:hint="default"/>
                <w:vertAlign w:val="superscript"/>
              </w:rPr>
              <w:t>-7</w:t>
            </w:r>
            <w:r>
              <w:rPr>
                <w:rFonts w:hint="default"/>
              </w:rPr>
              <w:t>cm/s），或至少2mm厚高密度聚乙烯膜等人工防渗材料（渗透系数不大于10</w:t>
            </w:r>
            <w:r>
              <w:rPr>
                <w:rFonts w:hint="default"/>
                <w:vertAlign w:val="superscript"/>
              </w:rPr>
              <w:t>-10</w:t>
            </w:r>
            <w:r>
              <w:rPr>
                <w:rFonts w:hint="default"/>
              </w:rPr>
              <w:t>cm/s），或其他防渗性能等效的材料。</w:t>
            </w:r>
          </w:p>
          <w:p w14:paraId="6AF0A409">
            <w:pPr>
              <w:keepNext w:val="0"/>
              <w:keepLines w:val="0"/>
              <w:suppressLineNumbers w:val="0"/>
              <w:spacing w:before="0" w:beforeAutospacing="0" w:after="0" w:afterAutospacing="0"/>
              <w:ind w:left="0" w:right="0" w:firstLine="482"/>
              <w:rPr>
                <w:rFonts w:hint="default"/>
                <w:b/>
                <w:color w:val="FF0000"/>
              </w:rPr>
            </w:pPr>
            <w:r>
              <w:rPr>
                <w:rFonts w:hint="eastAsia"/>
                <w:b/>
              </w:rPr>
              <w:t>6.环境风险</w:t>
            </w:r>
          </w:p>
          <w:p w14:paraId="2CD1DE6A">
            <w:pPr>
              <w:keepNext w:val="0"/>
              <w:keepLines w:val="0"/>
              <w:suppressLineNumbers w:val="0"/>
              <w:spacing w:before="0" w:beforeAutospacing="0" w:after="0" w:afterAutospacing="0"/>
              <w:ind w:left="0" w:right="0" w:firstLine="482"/>
              <w:rPr>
                <w:rFonts w:hint="default"/>
                <w:b/>
              </w:rPr>
            </w:pPr>
            <w:r>
              <w:rPr>
                <w:rFonts w:hint="eastAsia"/>
                <w:b/>
              </w:rPr>
              <w:t>（</w:t>
            </w:r>
            <w:r>
              <w:rPr>
                <w:rFonts w:hint="default"/>
                <w:b/>
              </w:rPr>
              <w:t>1</w:t>
            </w:r>
            <w:r>
              <w:rPr>
                <w:rFonts w:hint="eastAsia"/>
                <w:b/>
              </w:rPr>
              <w:t>）风险物质和风险源分布情况</w:t>
            </w:r>
          </w:p>
          <w:p w14:paraId="0A4E46C7">
            <w:pPr>
              <w:keepNext w:val="0"/>
              <w:keepLines w:val="0"/>
              <w:suppressLineNumbers w:val="0"/>
              <w:spacing w:before="0" w:beforeAutospacing="0" w:after="0" w:afterAutospacing="0"/>
              <w:ind w:left="0" w:right="0" w:firstLine="480"/>
              <w:rPr>
                <w:rFonts w:hint="default"/>
              </w:rPr>
            </w:pPr>
            <w:r>
              <w:rPr>
                <w:rFonts w:hint="eastAsia"/>
              </w:rPr>
              <w:t>项目产生环境风险的物质为废润滑油，属于危险废物，危险废物在收集、贮存、运送过程中存在环境风险事故。</w:t>
            </w:r>
          </w:p>
          <w:p w14:paraId="77FDF198">
            <w:pPr>
              <w:keepNext w:val="0"/>
              <w:keepLines w:val="0"/>
              <w:suppressLineNumbers w:val="0"/>
              <w:spacing w:before="0" w:beforeAutospacing="0" w:after="0" w:afterAutospacing="0"/>
              <w:ind w:left="0" w:right="0" w:firstLine="480"/>
              <w:rPr>
                <w:rFonts w:hint="default"/>
              </w:rPr>
            </w:pPr>
            <w:r>
              <w:rPr>
                <w:rFonts w:hint="eastAsia"/>
              </w:rPr>
              <w:t>项目运行过程所涉及的风险物质的使用量及贮存量见下表。</w:t>
            </w:r>
          </w:p>
          <w:p w14:paraId="642A41FD">
            <w:pPr>
              <w:pStyle w:val="19"/>
              <w:keepNext w:val="0"/>
              <w:keepLines w:val="0"/>
              <w:widowControl w:val="0"/>
              <w:numPr>
                <w:ilvl w:val="0"/>
                <w:numId w:val="15"/>
              </w:numPr>
              <w:suppressLineNumbers w:val="0"/>
              <w:spacing w:before="0" w:beforeAutospacing="0" w:after="0" w:afterAutospacing="0"/>
              <w:ind w:left="0" w:right="0" w:firstLine="0" w:firstLineChars="0"/>
              <w:jc w:val="center"/>
              <w:rPr>
                <w:rFonts w:hint="default" w:ascii="Times New Roman" w:hAnsi="Times New Roman"/>
                <w:b/>
                <w:sz w:val="21"/>
              </w:rPr>
            </w:pPr>
            <w:r>
              <w:rPr>
                <w:rFonts w:hint="eastAsia" w:ascii="Times New Roman" w:hAnsi="Times New Roman"/>
                <w:b/>
                <w:sz w:val="21"/>
              </w:rPr>
              <w:t>风险物质使用、贮存情况一览表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481"/>
              <w:gridCol w:w="1985"/>
              <w:gridCol w:w="1134"/>
              <w:gridCol w:w="1845"/>
            </w:tblGrid>
            <w:tr w14:paraId="471E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14:paraId="443264CC">
                  <w:pPr>
                    <w:pStyle w:val="42"/>
                    <w:keepNext w:val="0"/>
                    <w:keepLines w:val="0"/>
                    <w:widowControl/>
                    <w:suppressLineNumbers w:val="0"/>
                    <w:spacing w:before="0" w:beforeAutospacing="0" w:after="0" w:afterAutospacing="0"/>
                    <w:ind w:left="0" w:right="0"/>
                    <w:rPr>
                      <w:rFonts w:hint="default"/>
                      <w:b/>
                      <w:bCs/>
                    </w:rPr>
                  </w:pPr>
                  <w:r>
                    <w:rPr>
                      <w:b/>
                      <w:bCs/>
                    </w:rPr>
                    <w:t>风险物质</w:t>
                  </w:r>
                </w:p>
              </w:tc>
              <w:tc>
                <w:tcPr>
                  <w:tcW w:w="1481" w:type="dxa"/>
                  <w:vAlign w:val="center"/>
                </w:tcPr>
                <w:p w14:paraId="5C51B070">
                  <w:pPr>
                    <w:pStyle w:val="42"/>
                    <w:keepNext w:val="0"/>
                    <w:keepLines w:val="0"/>
                    <w:widowControl/>
                    <w:suppressLineNumbers w:val="0"/>
                    <w:spacing w:before="0" w:beforeAutospacing="0" w:after="0" w:afterAutospacing="0"/>
                    <w:ind w:left="0" w:right="0"/>
                    <w:rPr>
                      <w:rFonts w:hint="default"/>
                      <w:b/>
                      <w:bCs/>
                    </w:rPr>
                  </w:pPr>
                  <w:r>
                    <w:rPr>
                      <w:b/>
                      <w:bCs/>
                    </w:rPr>
                    <w:t>产生量</w:t>
                  </w:r>
                </w:p>
              </w:tc>
              <w:tc>
                <w:tcPr>
                  <w:tcW w:w="1985" w:type="dxa"/>
                  <w:vAlign w:val="center"/>
                </w:tcPr>
                <w:p w14:paraId="44EA99B8">
                  <w:pPr>
                    <w:pStyle w:val="42"/>
                    <w:keepNext w:val="0"/>
                    <w:keepLines w:val="0"/>
                    <w:widowControl/>
                    <w:suppressLineNumbers w:val="0"/>
                    <w:spacing w:before="0" w:beforeAutospacing="0" w:after="0" w:afterAutospacing="0"/>
                    <w:ind w:left="0" w:right="0"/>
                    <w:rPr>
                      <w:rFonts w:hint="default"/>
                      <w:b/>
                      <w:bCs/>
                    </w:rPr>
                  </w:pPr>
                  <w:r>
                    <w:rPr>
                      <w:b/>
                      <w:bCs/>
                    </w:rPr>
                    <w:t>厂区内最大库存量</w:t>
                  </w:r>
                </w:p>
              </w:tc>
              <w:tc>
                <w:tcPr>
                  <w:tcW w:w="1134" w:type="dxa"/>
                  <w:vAlign w:val="center"/>
                </w:tcPr>
                <w:p w14:paraId="77180A4C">
                  <w:pPr>
                    <w:pStyle w:val="42"/>
                    <w:keepNext w:val="0"/>
                    <w:keepLines w:val="0"/>
                    <w:widowControl/>
                    <w:suppressLineNumbers w:val="0"/>
                    <w:spacing w:before="0" w:beforeAutospacing="0" w:after="0" w:afterAutospacing="0"/>
                    <w:ind w:left="0" w:right="0"/>
                    <w:rPr>
                      <w:rFonts w:hint="default"/>
                      <w:b/>
                      <w:bCs/>
                    </w:rPr>
                  </w:pPr>
                  <w:r>
                    <w:rPr>
                      <w:b/>
                      <w:bCs/>
                    </w:rPr>
                    <w:t>贮存周期</w:t>
                  </w:r>
                </w:p>
              </w:tc>
              <w:tc>
                <w:tcPr>
                  <w:tcW w:w="1845" w:type="dxa"/>
                  <w:vAlign w:val="center"/>
                </w:tcPr>
                <w:p w14:paraId="704FF95F">
                  <w:pPr>
                    <w:pStyle w:val="42"/>
                    <w:keepNext w:val="0"/>
                    <w:keepLines w:val="0"/>
                    <w:widowControl/>
                    <w:suppressLineNumbers w:val="0"/>
                    <w:spacing w:before="0" w:beforeAutospacing="0" w:after="0" w:afterAutospacing="0"/>
                    <w:ind w:left="0" w:right="0"/>
                    <w:rPr>
                      <w:rFonts w:hint="default"/>
                      <w:b/>
                      <w:bCs/>
                    </w:rPr>
                  </w:pPr>
                  <w:r>
                    <w:rPr>
                      <w:b/>
                      <w:bCs/>
                    </w:rPr>
                    <w:t>风险物质核算量</w:t>
                  </w:r>
                </w:p>
              </w:tc>
            </w:tr>
            <w:tr w14:paraId="119CB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14:paraId="7D7DE347">
                  <w:pPr>
                    <w:pStyle w:val="42"/>
                    <w:keepNext w:val="0"/>
                    <w:keepLines w:val="0"/>
                    <w:widowControl/>
                    <w:suppressLineNumbers w:val="0"/>
                    <w:spacing w:before="0" w:beforeAutospacing="0" w:after="0" w:afterAutospacing="0"/>
                    <w:ind w:left="0" w:right="0"/>
                    <w:rPr>
                      <w:rFonts w:hint="default"/>
                    </w:rPr>
                  </w:pPr>
                  <w:r>
                    <w:t>危险废物（废润滑油）</w:t>
                  </w:r>
                </w:p>
              </w:tc>
              <w:tc>
                <w:tcPr>
                  <w:tcW w:w="1481" w:type="dxa"/>
                  <w:vAlign w:val="center"/>
                </w:tcPr>
                <w:p w14:paraId="618520C3">
                  <w:pPr>
                    <w:pStyle w:val="42"/>
                    <w:keepNext w:val="0"/>
                    <w:keepLines w:val="0"/>
                    <w:widowControl/>
                    <w:suppressLineNumbers w:val="0"/>
                    <w:spacing w:before="0" w:beforeAutospacing="0" w:after="0" w:afterAutospacing="0"/>
                    <w:ind w:left="0" w:right="0"/>
                    <w:rPr>
                      <w:rFonts w:hint="default"/>
                    </w:rPr>
                  </w:pPr>
                  <w:r>
                    <w:t>0.02t/a</w:t>
                  </w:r>
                </w:p>
              </w:tc>
              <w:tc>
                <w:tcPr>
                  <w:tcW w:w="1985" w:type="dxa"/>
                  <w:vAlign w:val="center"/>
                </w:tcPr>
                <w:p w14:paraId="4B46D05A">
                  <w:pPr>
                    <w:pStyle w:val="42"/>
                    <w:keepNext w:val="0"/>
                    <w:keepLines w:val="0"/>
                    <w:widowControl/>
                    <w:suppressLineNumbers w:val="0"/>
                    <w:spacing w:before="0" w:beforeAutospacing="0" w:after="0" w:afterAutospacing="0"/>
                    <w:ind w:left="0" w:right="0"/>
                    <w:rPr>
                      <w:rFonts w:hint="default"/>
                    </w:rPr>
                  </w:pPr>
                  <w:r>
                    <w:t>0.</w:t>
                  </w:r>
                  <w:r>
                    <w:rPr>
                      <w:rFonts w:hint="eastAsia"/>
                      <w:lang w:val="en-US" w:eastAsia="zh-CN"/>
                    </w:rPr>
                    <w:t>02</w:t>
                  </w:r>
                  <w:r>
                    <w:t>t</w:t>
                  </w:r>
                </w:p>
              </w:tc>
              <w:tc>
                <w:tcPr>
                  <w:tcW w:w="1134" w:type="dxa"/>
                  <w:vAlign w:val="center"/>
                </w:tcPr>
                <w:p w14:paraId="76B3DBAB">
                  <w:pPr>
                    <w:pStyle w:val="42"/>
                    <w:keepNext w:val="0"/>
                    <w:keepLines w:val="0"/>
                    <w:widowControl/>
                    <w:suppressLineNumbers w:val="0"/>
                    <w:spacing w:before="0" w:beforeAutospacing="0" w:after="0" w:afterAutospacing="0"/>
                    <w:ind w:left="0" w:right="0"/>
                    <w:rPr>
                      <w:rFonts w:hint="default"/>
                    </w:rPr>
                  </w:pPr>
                  <w:r>
                    <w:t>12个月</w:t>
                  </w:r>
                </w:p>
              </w:tc>
              <w:tc>
                <w:tcPr>
                  <w:tcW w:w="1845" w:type="dxa"/>
                  <w:vAlign w:val="center"/>
                </w:tcPr>
                <w:p w14:paraId="6CFF1A31">
                  <w:pPr>
                    <w:pStyle w:val="42"/>
                    <w:keepNext w:val="0"/>
                    <w:keepLines w:val="0"/>
                    <w:widowControl/>
                    <w:suppressLineNumbers w:val="0"/>
                    <w:spacing w:before="0" w:beforeAutospacing="0" w:after="0" w:afterAutospacing="0"/>
                    <w:ind w:left="0" w:right="0"/>
                    <w:rPr>
                      <w:rFonts w:hint="default"/>
                    </w:rPr>
                  </w:pPr>
                  <w:r>
                    <w:t>0.02t</w:t>
                  </w:r>
                </w:p>
              </w:tc>
            </w:tr>
          </w:tbl>
          <w:p w14:paraId="3760F1BD">
            <w:pPr>
              <w:keepNext w:val="0"/>
              <w:keepLines w:val="0"/>
              <w:suppressLineNumbers w:val="0"/>
              <w:spacing w:before="0" w:beforeAutospacing="0" w:after="0" w:afterAutospacing="0"/>
              <w:ind w:left="0" w:right="0" w:firstLine="480"/>
              <w:rPr>
                <w:rFonts w:hint="default" w:ascii="Times New Roman" w:hAnsi="Times New Roman" w:eastAsia="宋体" w:cs="Times New Roman"/>
                <w:kern w:val="2"/>
                <w:sz w:val="24"/>
                <w:szCs w:val="24"/>
              </w:rPr>
            </w:pPr>
            <w:r>
              <w:rPr>
                <w:rFonts w:hint="eastAsia" w:ascii="宋体" w:hAnsi="宋体" w:eastAsia="宋体" w:cs="宋体"/>
                <w:snapToGrid/>
                <w:kern w:val="2"/>
                <w:sz w:val="24"/>
                <w:szCs w:val="24"/>
                <w:lang w:val="en-US" w:eastAsia="zh-CN" w:bidi="ar"/>
              </w:rPr>
              <w:t>根据企业环境风险物质最大存在总量</w:t>
            </w:r>
            <w:r>
              <w:rPr>
                <w:rFonts w:hint="default" w:ascii="Times New Roman" w:hAnsi="Times New Roman" w:eastAsia="宋体" w:cs="Times New Roman"/>
                <w:snapToGrid/>
                <w:kern w:val="2"/>
                <w:sz w:val="24"/>
                <w:szCs w:val="24"/>
                <w:lang w:val="en-US" w:eastAsia="zh-CN" w:bidi="ar"/>
              </w:rPr>
              <w:t>(</w:t>
            </w:r>
            <w:r>
              <w:rPr>
                <w:rFonts w:hint="eastAsia" w:ascii="宋体" w:hAnsi="宋体" w:eastAsia="宋体" w:cs="宋体"/>
                <w:snapToGrid/>
                <w:kern w:val="2"/>
                <w:sz w:val="24"/>
                <w:szCs w:val="24"/>
                <w:lang w:val="en-US" w:eastAsia="zh-CN" w:bidi="ar"/>
              </w:rPr>
              <w:t>以折纯计</w:t>
            </w:r>
            <w:r>
              <w:rPr>
                <w:rFonts w:hint="default" w:ascii="Times New Roman" w:hAnsi="Times New Roman" w:eastAsia="宋体" w:cs="Times New Roman"/>
                <w:snapToGrid/>
                <w:kern w:val="2"/>
                <w:sz w:val="24"/>
                <w:szCs w:val="24"/>
                <w:lang w:val="en-US" w:eastAsia="zh-CN" w:bidi="ar"/>
              </w:rPr>
              <w:t>)</w:t>
            </w:r>
            <w:r>
              <w:rPr>
                <w:rFonts w:hint="eastAsia" w:ascii="宋体" w:hAnsi="宋体" w:eastAsia="宋体" w:cs="宋体"/>
                <w:snapToGrid/>
                <w:kern w:val="2"/>
                <w:sz w:val="24"/>
                <w:szCs w:val="24"/>
                <w:lang w:val="en-US" w:eastAsia="zh-CN" w:bidi="ar"/>
              </w:rPr>
              <w:t>与其对应的临界量，计算比值</w:t>
            </w:r>
            <w:r>
              <w:rPr>
                <w:rFonts w:hint="default" w:ascii="Times New Roman" w:hAnsi="Times New Roman" w:eastAsia="宋体" w:cs="Times New Roman"/>
                <w:snapToGrid/>
                <w:kern w:val="2"/>
                <w:sz w:val="24"/>
                <w:szCs w:val="24"/>
                <w:lang w:val="en-US" w:eastAsia="zh-CN" w:bidi="ar"/>
              </w:rPr>
              <w:t>(Q)</w:t>
            </w:r>
            <w:r>
              <w:rPr>
                <w:rFonts w:hint="eastAsia" w:ascii="宋体" w:hAnsi="宋体" w:eastAsia="宋体" w:cs="宋体"/>
                <w:snapToGrid/>
                <w:kern w:val="2"/>
                <w:sz w:val="24"/>
                <w:szCs w:val="24"/>
                <w:lang w:val="en-US" w:eastAsia="zh-CN" w:bidi="ar"/>
              </w:rPr>
              <w:t>，计算</w:t>
            </w:r>
            <w:r>
              <w:rPr>
                <w:rFonts w:hint="eastAsia" w:ascii="Times New Roman" w:hAnsi="Times New Roman" w:eastAsia="宋体" w:cs="Times New Roman"/>
                <w:lang w:val="en-US" w:eastAsia="zh-CN"/>
              </w:rPr>
              <w:t>公式</w:t>
            </w:r>
            <w:r>
              <w:rPr>
                <w:rFonts w:hint="eastAsia" w:ascii="宋体" w:hAnsi="宋体" w:eastAsia="宋体" w:cs="宋体"/>
                <w:snapToGrid/>
                <w:kern w:val="2"/>
                <w:sz w:val="24"/>
                <w:szCs w:val="24"/>
                <w:lang w:val="en-US" w:eastAsia="zh-CN" w:bidi="ar"/>
              </w:rPr>
              <w:t>如下：</w:t>
            </w:r>
          </w:p>
          <w:p w14:paraId="254C23EE">
            <w:pPr>
              <w:pStyle w:val="19"/>
              <w:keepNext w:val="0"/>
              <w:keepLines w:val="0"/>
              <w:widowControl w:val="0"/>
              <w:numPr>
                <w:ilvl w:val="0"/>
                <w:numId w:val="15"/>
              </w:numPr>
              <w:suppressLineNumbers w:val="0"/>
              <w:spacing w:before="0" w:beforeAutospacing="0" w:after="0" w:afterAutospacing="0"/>
              <w:ind w:left="0" w:right="0" w:firstLine="0" w:firstLineChars="0"/>
              <w:jc w:val="center"/>
              <w:rPr>
                <w:rFonts w:hint="eastAsia" w:ascii="Times New Roman" w:hAnsi="Times New Roman" w:eastAsia="宋体" w:cs="Times New Roman"/>
                <w:b/>
                <w:bCs/>
                <w:kern w:val="2"/>
                <w:sz w:val="21"/>
                <w:szCs w:val="21"/>
              </w:rPr>
            </w:pPr>
            <w:r>
              <w:rPr>
                <w:rFonts w:hint="eastAsia" w:ascii="宋体" w:hAnsi="宋体" w:eastAsia="宋体" w:cs="宋体"/>
                <w:b/>
                <w:bCs/>
                <w:kern w:val="2"/>
                <w:sz w:val="21"/>
                <w:szCs w:val="21"/>
              </w:rPr>
              <w:t>环境风险物质与其临界量统计汇总表</w:t>
            </w:r>
          </w:p>
          <w:tbl>
            <w:tblPr>
              <w:tblStyle w:val="22"/>
              <w:tblW w:w="4998" w:type="pct"/>
              <w:tblInd w:w="-113"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806"/>
              <w:gridCol w:w="2122"/>
              <w:gridCol w:w="2335"/>
              <w:gridCol w:w="2136"/>
            </w:tblGrid>
            <w:tr w14:paraId="389C77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75" w:type="pct"/>
                  <w:tcBorders>
                    <w:top w:val="single" w:color="auto" w:sz="4" w:space="0"/>
                    <w:left w:val="single" w:color="auto" w:sz="4" w:space="0"/>
                    <w:bottom w:val="single" w:color="auto" w:sz="6" w:space="0"/>
                    <w:right w:val="single" w:color="auto" w:sz="6" w:space="0"/>
                  </w:tcBorders>
                  <w:shd w:val="clear" w:color="auto" w:fill="auto"/>
                  <w:vAlign w:val="center"/>
                </w:tcPr>
                <w:p w14:paraId="45969766">
                  <w:pPr>
                    <w:pStyle w:val="58"/>
                    <w:widowControl/>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rPr>
                    <w:t>名称</w:t>
                  </w:r>
                </w:p>
              </w:tc>
              <w:tc>
                <w:tcPr>
                  <w:tcW w:w="1263" w:type="pct"/>
                  <w:tcBorders>
                    <w:top w:val="single" w:color="auto" w:sz="4" w:space="0"/>
                    <w:left w:val="single" w:color="auto" w:sz="6" w:space="0"/>
                    <w:bottom w:val="single" w:color="auto" w:sz="6" w:space="0"/>
                    <w:right w:val="single" w:color="auto" w:sz="6" w:space="0"/>
                  </w:tcBorders>
                  <w:shd w:val="clear" w:color="auto" w:fill="auto"/>
                  <w:vAlign w:val="center"/>
                </w:tcPr>
                <w:p w14:paraId="76089FB7">
                  <w:pPr>
                    <w:pStyle w:val="58"/>
                    <w:widowControl/>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rPr>
                    <w:t>存储场所存储量（</w:t>
                  </w:r>
                  <w:r>
                    <w:rPr>
                      <w:rFonts w:hint="default" w:ascii="Times New Roman" w:hAnsi="Times New Roman" w:eastAsia="宋体" w:cs="Times New Roman"/>
                      <w:b/>
                      <w:bCs/>
                      <w:kern w:val="2"/>
                      <w:sz w:val="21"/>
                      <w:szCs w:val="21"/>
                    </w:rPr>
                    <w:t>t</w:t>
                  </w:r>
                  <w:r>
                    <w:rPr>
                      <w:rFonts w:hint="eastAsia" w:ascii="宋体" w:hAnsi="宋体" w:eastAsia="宋体" w:cs="宋体"/>
                      <w:b/>
                      <w:bCs/>
                      <w:kern w:val="2"/>
                      <w:sz w:val="21"/>
                      <w:szCs w:val="21"/>
                    </w:rPr>
                    <w:t>）</w:t>
                  </w:r>
                  <w:r>
                    <w:rPr>
                      <w:rFonts w:hint="default" w:ascii="Times New Roman" w:hAnsi="Times New Roman" w:eastAsia="宋体" w:cs="Times New Roman"/>
                      <w:b/>
                      <w:bCs/>
                      <w:kern w:val="2"/>
                      <w:sz w:val="21"/>
                      <w:szCs w:val="21"/>
                    </w:rPr>
                    <w:t>qi</w:t>
                  </w:r>
                </w:p>
              </w:tc>
              <w:tc>
                <w:tcPr>
                  <w:tcW w:w="1390" w:type="pct"/>
                  <w:tcBorders>
                    <w:top w:val="single" w:color="auto" w:sz="4" w:space="0"/>
                    <w:left w:val="single" w:color="auto" w:sz="6" w:space="0"/>
                    <w:bottom w:val="single" w:color="auto" w:sz="6" w:space="0"/>
                    <w:right w:val="single" w:color="auto" w:sz="6" w:space="0"/>
                  </w:tcBorders>
                  <w:shd w:val="clear" w:color="auto" w:fill="auto"/>
                  <w:vAlign w:val="center"/>
                </w:tcPr>
                <w:p w14:paraId="5F301DD9">
                  <w:pPr>
                    <w:pStyle w:val="58"/>
                    <w:widowControl/>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rPr>
                    <w:t>标准规定的临界量（</w:t>
                  </w:r>
                  <w:r>
                    <w:rPr>
                      <w:rFonts w:hint="default" w:ascii="Times New Roman" w:hAnsi="Times New Roman" w:eastAsia="宋体" w:cs="Times New Roman"/>
                      <w:b/>
                      <w:bCs/>
                      <w:kern w:val="2"/>
                      <w:sz w:val="21"/>
                      <w:szCs w:val="21"/>
                    </w:rPr>
                    <w:t>t</w:t>
                  </w:r>
                  <w:r>
                    <w:rPr>
                      <w:rFonts w:hint="eastAsia" w:ascii="宋体" w:hAnsi="宋体" w:eastAsia="宋体" w:cs="宋体"/>
                      <w:b/>
                      <w:bCs/>
                      <w:kern w:val="2"/>
                      <w:sz w:val="21"/>
                      <w:szCs w:val="21"/>
                    </w:rPr>
                    <w:t>）</w:t>
                  </w:r>
                  <w:r>
                    <w:rPr>
                      <w:rFonts w:hint="default" w:ascii="Times New Roman" w:hAnsi="Times New Roman" w:eastAsia="宋体" w:cs="Times New Roman"/>
                      <w:b/>
                      <w:bCs/>
                      <w:kern w:val="2"/>
                      <w:sz w:val="21"/>
                      <w:szCs w:val="21"/>
                    </w:rPr>
                    <w:t>Qi</w:t>
                  </w:r>
                </w:p>
              </w:tc>
              <w:tc>
                <w:tcPr>
                  <w:tcW w:w="1271" w:type="pct"/>
                  <w:tcBorders>
                    <w:top w:val="single" w:color="auto" w:sz="4" w:space="0"/>
                    <w:left w:val="single" w:color="auto" w:sz="6" w:space="0"/>
                    <w:bottom w:val="single" w:color="auto" w:sz="6" w:space="0"/>
                    <w:right w:val="single" w:color="auto" w:sz="4" w:space="0"/>
                  </w:tcBorders>
                  <w:shd w:val="clear" w:color="auto" w:fill="auto"/>
                  <w:vAlign w:val="center"/>
                </w:tcPr>
                <w:p w14:paraId="0D8396B5">
                  <w:pPr>
                    <w:pStyle w:val="58"/>
                    <w:widowControl/>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rPr>
                    <w:t>q/Q</w:t>
                  </w:r>
                </w:p>
              </w:tc>
            </w:tr>
            <w:tr w14:paraId="68B84A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75" w:type="pct"/>
                  <w:tcBorders>
                    <w:top w:val="single" w:color="auto" w:sz="6" w:space="0"/>
                    <w:left w:val="single" w:color="auto" w:sz="4" w:space="0"/>
                    <w:bottom w:val="single" w:color="auto" w:sz="6" w:space="0"/>
                    <w:right w:val="single" w:color="auto" w:sz="6" w:space="0"/>
                  </w:tcBorders>
                  <w:shd w:val="clear" w:color="auto" w:fill="auto"/>
                  <w:vAlign w:val="center"/>
                </w:tcPr>
                <w:p w14:paraId="1F89CC09">
                  <w:pPr>
                    <w:pStyle w:val="58"/>
                    <w:widowControl/>
                    <w:ind w:left="0" w:leftChars="0" w:right="0" w:rightChars="0"/>
                    <w:rPr>
                      <w:rFonts w:hint="default" w:ascii="Times New Roman" w:hAnsi="Times New Roman" w:eastAsia="宋体" w:cs="Times New Roman"/>
                      <w:kern w:val="2"/>
                      <w:sz w:val="21"/>
                      <w:szCs w:val="21"/>
                    </w:rPr>
                  </w:pPr>
                  <w:r>
                    <w:rPr>
                      <w:rFonts w:hint="eastAsia" w:ascii="宋体" w:hAnsi="宋体" w:eastAsia="宋体" w:cs="宋体"/>
                      <w:kern w:val="2"/>
                      <w:sz w:val="21"/>
                      <w:szCs w:val="21"/>
                    </w:rPr>
                    <w:t>废润滑油</w:t>
                  </w:r>
                </w:p>
              </w:tc>
              <w:tc>
                <w:tcPr>
                  <w:tcW w:w="1263" w:type="pct"/>
                  <w:tcBorders>
                    <w:top w:val="single" w:color="auto" w:sz="6" w:space="0"/>
                    <w:left w:val="single" w:color="auto" w:sz="6" w:space="0"/>
                    <w:bottom w:val="single" w:color="auto" w:sz="6" w:space="0"/>
                    <w:right w:val="single" w:color="auto" w:sz="6" w:space="0"/>
                  </w:tcBorders>
                  <w:shd w:val="clear" w:color="auto" w:fill="auto"/>
                  <w:vAlign w:val="center"/>
                </w:tcPr>
                <w:p w14:paraId="7621F519">
                  <w:pPr>
                    <w:pStyle w:val="58"/>
                    <w:widowControl/>
                    <w:ind w:left="0" w:leftChars="0" w:right="0" w:rightChars="0"/>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rPr>
                    <w:t>0.</w:t>
                  </w:r>
                  <w:r>
                    <w:rPr>
                      <w:rFonts w:hint="eastAsia" w:cs="Times New Roman"/>
                      <w:kern w:val="2"/>
                      <w:sz w:val="21"/>
                      <w:szCs w:val="21"/>
                      <w:lang w:val="en-US" w:eastAsia="zh-CN"/>
                    </w:rPr>
                    <w:t>02</w:t>
                  </w:r>
                </w:p>
              </w:tc>
              <w:tc>
                <w:tcPr>
                  <w:tcW w:w="1390" w:type="pct"/>
                  <w:tcBorders>
                    <w:top w:val="single" w:color="auto" w:sz="6" w:space="0"/>
                    <w:left w:val="single" w:color="auto" w:sz="6" w:space="0"/>
                    <w:bottom w:val="single" w:color="auto" w:sz="6" w:space="0"/>
                    <w:right w:val="single" w:color="auto" w:sz="6" w:space="0"/>
                  </w:tcBorders>
                  <w:shd w:val="clear" w:color="auto" w:fill="auto"/>
                  <w:vAlign w:val="center"/>
                </w:tcPr>
                <w:p w14:paraId="680FE775">
                  <w:pPr>
                    <w:pStyle w:val="58"/>
                    <w:widowControl/>
                    <w:ind w:left="0" w:leftChars="0" w:right="0" w:rightChars="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2500</w:t>
                  </w:r>
                </w:p>
              </w:tc>
              <w:tc>
                <w:tcPr>
                  <w:tcW w:w="1271" w:type="pct"/>
                  <w:tcBorders>
                    <w:top w:val="single" w:color="auto" w:sz="6" w:space="0"/>
                    <w:left w:val="single" w:color="auto" w:sz="6" w:space="0"/>
                    <w:bottom w:val="single" w:color="auto" w:sz="6" w:space="0"/>
                    <w:right w:val="single" w:color="auto" w:sz="4" w:space="0"/>
                  </w:tcBorders>
                  <w:shd w:val="clear" w:color="auto" w:fill="auto"/>
                  <w:vAlign w:val="center"/>
                </w:tcPr>
                <w:p w14:paraId="30652DF6">
                  <w:pPr>
                    <w:pStyle w:val="58"/>
                    <w:widowControl/>
                    <w:ind w:left="0" w:leftChars="0" w:right="0" w:rightChars="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0.000008</w:t>
                  </w:r>
                </w:p>
              </w:tc>
            </w:tr>
          </w:tbl>
          <w:p w14:paraId="5FE57003">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rPr>
            </w:pPr>
            <w:r>
              <w:rPr>
                <w:rFonts w:hint="eastAsia" w:ascii="宋体" w:hAnsi="宋体" w:eastAsia="宋体" w:cs="宋体"/>
                <w:snapToGrid/>
                <w:kern w:val="2"/>
                <w:sz w:val="24"/>
                <w:szCs w:val="24"/>
                <w:lang w:val="en-US" w:eastAsia="zh-CN" w:bidi="ar"/>
              </w:rPr>
              <w:t>由上表可知，本项目</w:t>
            </w:r>
            <w:r>
              <w:rPr>
                <w:rFonts w:hint="default" w:ascii="Times New Roman" w:hAnsi="Times New Roman" w:eastAsia="宋体" w:cs="Times New Roman"/>
                <w:bCs/>
                <w:snapToGrid/>
                <w:kern w:val="2"/>
                <w:sz w:val="24"/>
                <w:szCs w:val="24"/>
                <w:lang w:val="en-US" w:eastAsia="zh-CN" w:bidi="ar"/>
              </w:rPr>
              <w:t>q/Q</w:t>
            </w:r>
            <w:r>
              <w:rPr>
                <w:rFonts w:hint="eastAsia" w:ascii="宋体" w:hAnsi="宋体" w:eastAsia="宋体" w:cs="宋体"/>
                <w:bCs/>
                <w:snapToGrid/>
                <w:kern w:val="2"/>
                <w:sz w:val="24"/>
                <w:szCs w:val="24"/>
                <w:lang w:val="en-US" w:eastAsia="zh-CN" w:bidi="ar"/>
              </w:rPr>
              <w:t>为</w:t>
            </w:r>
            <w:r>
              <w:rPr>
                <w:rFonts w:hint="default" w:ascii="Times New Roman" w:hAnsi="Times New Roman" w:eastAsia="宋体" w:cs="Times New Roman"/>
                <w:bCs/>
                <w:snapToGrid/>
                <w:kern w:val="2"/>
                <w:sz w:val="24"/>
                <w:szCs w:val="24"/>
                <w:lang w:val="en-US" w:eastAsia="zh-CN" w:bidi="ar"/>
              </w:rPr>
              <w:t>0.000008&lt;1</w:t>
            </w:r>
            <w:r>
              <w:rPr>
                <w:rFonts w:hint="eastAsia" w:cs="Times New Roman"/>
                <w:bCs/>
                <w:snapToGrid/>
                <w:kern w:val="2"/>
                <w:sz w:val="24"/>
                <w:szCs w:val="24"/>
                <w:lang w:val="en-US" w:eastAsia="zh-CN" w:bidi="ar"/>
              </w:rPr>
              <w:t>。</w:t>
            </w:r>
          </w:p>
          <w:p w14:paraId="448036D2">
            <w:pPr>
              <w:keepNext w:val="0"/>
              <w:keepLines w:val="0"/>
              <w:suppressLineNumbers w:val="0"/>
              <w:spacing w:before="120" w:beforeLines="50" w:beforeAutospacing="0" w:after="0" w:afterAutospacing="0"/>
              <w:ind w:left="0" w:right="0" w:firstLine="482"/>
              <w:rPr>
                <w:rFonts w:hint="default"/>
                <w:b/>
              </w:rPr>
            </w:pPr>
            <w:r>
              <w:rPr>
                <w:rFonts w:hint="eastAsia"/>
                <w:b/>
              </w:rPr>
              <w:t>（</w:t>
            </w:r>
            <w:r>
              <w:rPr>
                <w:rFonts w:hint="default"/>
                <w:b/>
              </w:rPr>
              <w:t>2</w:t>
            </w:r>
            <w:r>
              <w:rPr>
                <w:rFonts w:hint="eastAsia"/>
                <w:b/>
              </w:rPr>
              <w:t>）风险物质可能的影响途径</w:t>
            </w:r>
          </w:p>
          <w:p w14:paraId="05C3F0CE">
            <w:pPr>
              <w:keepNext w:val="0"/>
              <w:keepLines w:val="0"/>
              <w:suppressLineNumbers w:val="0"/>
              <w:spacing w:before="0" w:beforeAutospacing="0" w:after="0" w:afterAutospacing="0"/>
              <w:ind w:left="0" w:right="0" w:firstLine="480"/>
              <w:rPr>
                <w:rFonts w:hint="default"/>
              </w:rPr>
            </w:pPr>
            <w:r>
              <w:rPr>
                <w:rFonts w:hint="eastAsia"/>
              </w:rPr>
              <w:t>危险废物贮存间的废润滑油泄露事故，以及废润滑油发生火灾、爆炸危害事故，进而引发的次生污染物的排放，造成的环境污染事故：</w:t>
            </w:r>
          </w:p>
          <w:p w14:paraId="48F9D27F">
            <w:pPr>
              <w:keepNext w:val="0"/>
              <w:keepLines w:val="0"/>
              <w:suppressLineNumbers w:val="0"/>
              <w:spacing w:before="0" w:beforeAutospacing="0" w:after="0" w:afterAutospacing="0"/>
              <w:ind w:left="0" w:right="0" w:firstLine="480"/>
              <w:rPr>
                <w:rFonts w:hint="default"/>
              </w:rPr>
            </w:pPr>
            <w:r>
              <w:rPr>
                <w:rFonts w:hint="eastAsia"/>
              </w:rPr>
              <w:t>项目废润滑油发生泄露遗撒事故时，预计事故在未及时采取对策措施的情况下，对区域水环境可能造成影响。废油在废油桶内储存，当废油发生泄漏时，废油短时间内溢流将存于危险废物贮存间内，长时间未发现时才溢流到危险废物贮存间外，短时间不会对环境造成污染。当事故发生短时间内及时对废油污及时收集用吸油物质围堵、吸附润滑油，采用专门的收集装置进行收集，交由资质单位处理。项目采取设置危险废物贮存间对废润滑油进行贮存，委托有资质单位处理的废物处置方式。</w:t>
            </w:r>
          </w:p>
          <w:p w14:paraId="330D2CCD">
            <w:pPr>
              <w:keepNext w:val="0"/>
              <w:keepLines w:val="0"/>
              <w:suppressLineNumbers w:val="0"/>
              <w:spacing w:before="0" w:beforeAutospacing="0" w:after="0" w:afterAutospacing="0"/>
              <w:ind w:left="0" w:right="0" w:firstLine="482"/>
              <w:rPr>
                <w:rFonts w:hint="default"/>
                <w:b/>
              </w:rPr>
            </w:pPr>
            <w:r>
              <w:rPr>
                <w:rFonts w:hint="eastAsia"/>
                <w:b/>
              </w:rPr>
              <w:t>（3）环境风险防范措施</w:t>
            </w:r>
          </w:p>
          <w:p w14:paraId="1B7C8612">
            <w:pPr>
              <w:keepNext w:val="0"/>
              <w:keepLines w:val="0"/>
              <w:suppressLineNumbers w:val="0"/>
              <w:spacing w:before="0" w:beforeAutospacing="0" w:after="0" w:afterAutospacing="0"/>
              <w:ind w:left="0" w:right="0" w:firstLine="480"/>
              <w:rPr>
                <w:rFonts w:hint="default"/>
              </w:rPr>
            </w:pPr>
            <w:r>
              <w:rPr>
                <w:rFonts w:hint="eastAsia"/>
              </w:rPr>
              <w:t>项目建设单位把危险废物管理纳入日常环境管理工作，根据相关要求制订相关的环境管理制度，落实危险废物管理的具体责任人，指定专人负责危险废物的统一收集、包装、贮存和转移工作。</w:t>
            </w:r>
          </w:p>
          <w:p w14:paraId="133032F7">
            <w:pPr>
              <w:keepNext w:val="0"/>
              <w:keepLines w:val="0"/>
              <w:suppressLineNumbers w:val="0"/>
              <w:spacing w:before="0" w:beforeAutospacing="0" w:after="0" w:afterAutospacing="0"/>
              <w:ind w:left="0" w:right="0" w:firstLine="480"/>
              <w:rPr>
                <w:rFonts w:hint="default"/>
              </w:rPr>
            </w:pPr>
            <w:r>
              <w:rPr>
                <w:rFonts w:hint="default"/>
              </w:rPr>
              <w:t>危险废物贮存场所（设施）应按照《危险废物收集、贮存、运输技术规范》（HJ2025-2012）中相关技术要求设置，具体如下：危险废物贮存设施的选址、设计、建设、运行管理应满足GB18597、GBZ1和GBZ2的有关要求</w:t>
            </w:r>
            <w:r>
              <w:rPr>
                <w:rFonts w:hint="eastAsia"/>
              </w:rPr>
              <w:t>；</w:t>
            </w:r>
            <w:r>
              <w:rPr>
                <w:rFonts w:hint="default"/>
              </w:rPr>
              <w:t>危险废物贮存设施配备通讯设备、照明设施和消防设施</w:t>
            </w:r>
            <w:r>
              <w:rPr>
                <w:rFonts w:hint="eastAsia"/>
              </w:rPr>
              <w:t>；</w:t>
            </w:r>
            <w:r>
              <w:rPr>
                <w:rFonts w:hint="default"/>
              </w:rPr>
              <w:t>贮存危险废物时应按危险废物的种类和特性进行分区贮存，每个贮存区域之间宜设置挡墙间隔，并设置防风、防雨、防晒、防渗（渗透系数≤10</w:t>
            </w:r>
            <w:r>
              <w:rPr>
                <w:rFonts w:hint="default"/>
                <w:vertAlign w:val="superscript"/>
              </w:rPr>
              <w:t>-10</w:t>
            </w:r>
            <w:r>
              <w:rPr>
                <w:rFonts w:hint="default"/>
              </w:rPr>
              <w:t>cm/s）</w:t>
            </w:r>
            <w:r>
              <w:rPr>
                <w:rFonts w:hint="eastAsia"/>
              </w:rPr>
              <w:t>；</w:t>
            </w:r>
            <w:r>
              <w:rPr>
                <w:rFonts w:hint="default"/>
              </w:rPr>
              <w:t>危险废物贮存期限按《中华人民共和国固体废物污染环境防治法》的有关规定，及时交由资质单位集中处置</w:t>
            </w:r>
            <w:r>
              <w:rPr>
                <w:rFonts w:hint="eastAsia"/>
              </w:rPr>
              <w:t>；</w:t>
            </w:r>
            <w:r>
              <w:rPr>
                <w:rFonts w:hint="default"/>
              </w:rPr>
              <w:t>危险废物贮存单位应建立危险废物贮存的台帐制度，并做好危险废物出入库交接记录</w:t>
            </w:r>
            <w:r>
              <w:rPr>
                <w:rFonts w:hint="eastAsia"/>
              </w:rPr>
              <w:t>；</w:t>
            </w:r>
            <w:r>
              <w:rPr>
                <w:rFonts w:hint="default"/>
              </w:rPr>
              <w:t>存放装载液体、半固体危险废物容器位置，有耐腐蚀的硬化地面，且表面无裂隙</w:t>
            </w:r>
            <w:r>
              <w:rPr>
                <w:rFonts w:hint="eastAsia"/>
              </w:rPr>
              <w:t>；</w:t>
            </w:r>
            <w:r>
              <w:rPr>
                <w:rFonts w:hint="default"/>
              </w:rPr>
              <w:t>危险废物贮存可分为产生单位内部贮存、中转贮存及集中性贮存。所对应的贮存设施分别为：产生危险废物的单位用于暂时贮存的设施。</w:t>
            </w:r>
          </w:p>
          <w:p w14:paraId="3B1FD9B7">
            <w:pPr>
              <w:keepNext w:val="0"/>
              <w:keepLines w:val="0"/>
              <w:suppressLineNumbers w:val="0"/>
              <w:spacing w:before="0" w:beforeAutospacing="0" w:after="0" w:afterAutospacing="0"/>
              <w:ind w:left="0" w:right="0" w:firstLine="480"/>
              <w:rPr>
                <w:rFonts w:hint="default"/>
              </w:rPr>
            </w:pPr>
            <w:r>
              <w:rPr>
                <w:rFonts w:hint="eastAsia"/>
              </w:rPr>
              <w:t>在危险废物贮存过程应注意以下几点：</w:t>
            </w:r>
            <w:r>
              <w:rPr>
                <w:rFonts w:hint="default"/>
              </w:rPr>
              <w:t>在常温常压下易爆、易燃及排出有毒气体的危险废物须进行预处理，使之稳定后贮存；在常温常压下不水解、不挥发的固体废物可在贮存设施内分别堆放；装载液体、半固体危险废物的容器内须留足够空间，容器顶部与液体表面之间保留100毫米以上的空间；盛装危险废物的容器上必须粘贴符合《危险废物贮存污染控制标准》中所示的标签；盛装危险废物的容器必须完好无损且材质和衬里要与危险废物相容（不相互反应）。项目的危险废物贮存间布置</w:t>
            </w:r>
            <w:r>
              <w:rPr>
                <w:rFonts w:hint="eastAsia"/>
              </w:rPr>
              <w:t>于厂区</w:t>
            </w:r>
            <w:r>
              <w:rPr>
                <w:rFonts w:hint="default"/>
              </w:rPr>
              <w:t>的角落周围，地面与裙角用坚固、防渗、耐腐蚀的材料建造。</w:t>
            </w:r>
          </w:p>
          <w:p w14:paraId="4FF00CDC">
            <w:pPr>
              <w:keepNext w:val="0"/>
              <w:keepLines w:val="0"/>
              <w:suppressLineNumbers w:val="0"/>
              <w:spacing w:before="0" w:beforeAutospacing="0" w:after="0" w:afterAutospacing="0"/>
              <w:ind w:left="0" w:right="0" w:firstLine="480"/>
              <w:rPr>
                <w:rFonts w:hint="default"/>
              </w:rPr>
            </w:pPr>
            <w:r>
              <w:rPr>
                <w:rFonts w:hint="eastAsia"/>
              </w:rPr>
              <w:t>将危险废物按类别分置于防渗漏、防腐蚀专用包装物或者密闭容器内。危险废物专用包装物、容器，有明显的警示标示和警示说明，加强防渗漏、防鼠、防蚊蝇、防蟑螂、防盗以及预防儿童接触等安全措施。定期维护暂时贮存设施、设备。与危险废物回收单位签订协议到期终止后及时续签，确保产生的危险废物能得到及时的处理。运输危险废物车辆的驾驶员一定要经过专业的培训，运输车辆必须保持安全车速，严禁外来明火，同时还必须有随车人员负责押送，随车人员必须经过专业的培训。</w:t>
            </w:r>
          </w:p>
          <w:p w14:paraId="472A236C">
            <w:pPr>
              <w:keepNext w:val="0"/>
              <w:keepLines w:val="0"/>
              <w:suppressLineNumbers w:val="0"/>
              <w:spacing w:before="0" w:beforeAutospacing="0" w:after="0" w:afterAutospacing="0"/>
              <w:ind w:left="0" w:right="0" w:firstLine="480"/>
              <w:rPr>
                <w:rFonts w:hint="default"/>
              </w:rPr>
            </w:pPr>
            <w:r>
              <w:rPr>
                <w:rFonts w:hint="default"/>
              </w:rPr>
              <w:t>提高工作人员环</w:t>
            </w:r>
            <w:r>
              <w:rPr>
                <w:rFonts w:hint="eastAsia"/>
              </w:rPr>
              <w:t>境</w:t>
            </w:r>
            <w:r>
              <w:rPr>
                <w:rFonts w:hint="default"/>
              </w:rPr>
              <w:t>风险意识，制定各项环保制度。对从业人员进行岗位职工教育与培训，使他们均具备危险意识及如何</w:t>
            </w:r>
            <w:r>
              <w:rPr>
                <w:rFonts w:hint="eastAsia"/>
              </w:rPr>
              <w:t>应对</w:t>
            </w:r>
            <w:r>
              <w:rPr>
                <w:rFonts w:hint="default"/>
              </w:rPr>
              <w:t>危险的知识，并进行相关泄露事故的教育。设立应急事故专门记录，建立档案和报告制度，由专门部门或人员负责管理</w:t>
            </w:r>
            <w:r>
              <w:rPr>
                <w:rFonts w:hint="eastAsia"/>
              </w:rPr>
              <w:t>。</w:t>
            </w:r>
          </w:p>
          <w:p w14:paraId="369DB55C">
            <w:pPr>
              <w:keepNext w:val="0"/>
              <w:keepLines w:val="0"/>
              <w:suppressLineNumbers w:val="0"/>
              <w:spacing w:before="0" w:beforeAutospacing="0" w:after="0" w:afterAutospacing="0"/>
              <w:ind w:left="0" w:right="0" w:firstLine="480"/>
              <w:rPr>
                <w:rFonts w:hint="default"/>
              </w:rPr>
            </w:pPr>
            <w:r>
              <w:rPr>
                <w:rFonts w:hint="default"/>
              </w:rPr>
              <w:t>执行环保事故报告制度，一经发现环保事故，立即向企业负责人、当地政府或上级有关部门报告，不瞒报</w:t>
            </w:r>
            <w:r>
              <w:rPr>
                <w:rFonts w:hint="eastAsia"/>
              </w:rPr>
              <w:t>、</w:t>
            </w:r>
            <w:r>
              <w:rPr>
                <w:rFonts w:hint="default"/>
              </w:rPr>
              <w:t>漏报，及时组织进行处置。具体负责人员或部门统一指挥对事故现场的应急救援，并立即查明原因，提出对策，及时组织各方面力量处理泄露事故，控制事故的蔓延和扩大</w:t>
            </w:r>
            <w:r>
              <w:rPr>
                <w:rFonts w:hint="eastAsia"/>
              </w:rPr>
              <w:t>。</w:t>
            </w:r>
          </w:p>
          <w:p w14:paraId="5B435D11">
            <w:pPr>
              <w:keepNext w:val="0"/>
              <w:keepLines w:val="0"/>
              <w:suppressLineNumbers w:val="0"/>
              <w:spacing w:before="0" w:beforeAutospacing="0" w:after="0" w:afterAutospacing="0"/>
              <w:ind w:left="0" w:right="0" w:firstLine="480"/>
              <w:rPr>
                <w:rFonts w:hint="eastAsia" w:ascii="宋体" w:hAnsi="宋体" w:cs="宋体"/>
                <w:bCs/>
                <w:spacing w:val="-10"/>
                <w:szCs w:val="21"/>
              </w:rPr>
            </w:pPr>
            <w:r>
              <w:rPr>
                <w:rFonts w:hint="eastAsia"/>
              </w:rPr>
              <w:t>项目主体单位应成立本厂的突发环境事件应急小组指挥部，责任到人，确保应急小组分工明确，以有效应对突发事件的发生，同时，</w:t>
            </w:r>
            <w:r>
              <w:rPr>
                <w:rFonts w:hint="default"/>
              </w:rPr>
              <w:t>项目应依据《中华人民共和国突发事件应对法》、《企业事业单位突发环境事件应急预案备案管理办法》（试行）的相关要求，进行《突发环境事件应急预案》</w:t>
            </w:r>
            <w:r>
              <w:rPr>
                <w:rFonts w:hint="eastAsia"/>
              </w:rPr>
              <w:t>的</w:t>
            </w:r>
            <w:r>
              <w:rPr>
                <w:rFonts w:hint="default"/>
              </w:rPr>
              <w:t>编制及备案工作。</w:t>
            </w:r>
          </w:p>
        </w:tc>
      </w:tr>
    </w:tbl>
    <w:p w14:paraId="6A09638D">
      <w:pPr>
        <w:ind w:firstLine="562"/>
        <w:rPr>
          <w:rFonts w:ascii="宋体" w:cs="宋体"/>
          <w:b/>
          <w:kern w:val="0"/>
          <w:sz w:val="28"/>
          <w:szCs w:val="28"/>
        </w:rPr>
        <w:sectPr>
          <w:pgSz w:w="11907" w:h="16840"/>
          <w:pgMar w:top="1701" w:right="1531" w:bottom="2127" w:left="1531" w:header="851" w:footer="851" w:gutter="0"/>
          <w:cols w:space="720" w:num="1"/>
          <w:docGrid w:linePitch="312" w:charSpace="0"/>
        </w:sectPr>
      </w:pPr>
    </w:p>
    <w:p w14:paraId="4F6D7571">
      <w:pPr>
        <w:pStyle w:val="2"/>
      </w:pPr>
      <w:bookmarkStart w:id="6" w:name="_Hlk54167917"/>
      <w:r>
        <w:rPr>
          <w:rFonts w:hint="eastAsia"/>
        </w:rPr>
        <w:t>环境保护措施监督检查清单</w:t>
      </w:r>
      <w:bookmarkEnd w:id="6"/>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662"/>
        <w:gridCol w:w="1850"/>
      </w:tblGrid>
      <w:tr w14:paraId="1F4E53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14:paraId="353F5AFA">
            <w:pPr>
              <w:pStyle w:val="42"/>
              <w:keepNext w:val="0"/>
              <w:keepLines w:val="0"/>
              <w:widowControl/>
              <w:suppressLineNumbers w:val="0"/>
              <w:spacing w:before="0" w:beforeAutospacing="0" w:after="0" w:afterAutospacing="0"/>
              <w:ind w:left="0" w:right="0"/>
              <w:rPr>
                <w:rFonts w:hint="default"/>
              </w:rPr>
            </w:pPr>
            <w:r>
              <w:t>内容</w:t>
            </w:r>
          </w:p>
          <w:p w14:paraId="5A91EF7A">
            <w:pPr>
              <w:pStyle w:val="42"/>
              <w:keepNext w:val="0"/>
              <w:keepLines w:val="0"/>
              <w:widowControl/>
              <w:suppressLineNumbers w:val="0"/>
              <w:spacing w:before="0" w:beforeAutospacing="0" w:after="0" w:afterAutospacing="0"/>
              <w:ind w:left="0" w:right="0"/>
              <w:jc w:val="both"/>
              <w:rPr>
                <w:rFonts w:hint="default"/>
              </w:rPr>
            </w:pPr>
            <w:r>
              <w:t>要素</w:t>
            </w:r>
          </w:p>
        </w:tc>
        <w:tc>
          <w:tcPr>
            <w:tcW w:w="1755" w:type="dxa"/>
            <w:vAlign w:val="center"/>
          </w:tcPr>
          <w:p w14:paraId="2B9D002D">
            <w:pPr>
              <w:pStyle w:val="42"/>
              <w:keepNext w:val="0"/>
              <w:keepLines w:val="0"/>
              <w:widowControl/>
              <w:suppressLineNumbers w:val="0"/>
              <w:spacing w:before="0" w:beforeAutospacing="0" w:after="0" w:afterAutospacing="0"/>
              <w:ind w:left="0" w:right="0"/>
              <w:rPr>
                <w:rFonts w:hint="default"/>
              </w:rPr>
            </w:pPr>
            <w:r>
              <w:t>排放口(编号、</w:t>
            </w:r>
          </w:p>
          <w:p w14:paraId="411C848E">
            <w:pPr>
              <w:pStyle w:val="42"/>
              <w:keepNext w:val="0"/>
              <w:keepLines w:val="0"/>
              <w:widowControl/>
              <w:suppressLineNumbers w:val="0"/>
              <w:spacing w:before="0" w:beforeAutospacing="0" w:after="0" w:afterAutospacing="0"/>
              <w:ind w:left="0" w:right="0"/>
              <w:rPr>
                <w:rFonts w:hint="default"/>
              </w:rPr>
            </w:pPr>
            <w:r>
              <w:t>名称)/污染源</w:t>
            </w:r>
          </w:p>
        </w:tc>
        <w:tc>
          <w:tcPr>
            <w:tcW w:w="1755" w:type="dxa"/>
            <w:vAlign w:val="center"/>
          </w:tcPr>
          <w:p w14:paraId="7E161CFD">
            <w:pPr>
              <w:pStyle w:val="42"/>
              <w:keepNext w:val="0"/>
              <w:keepLines w:val="0"/>
              <w:widowControl/>
              <w:suppressLineNumbers w:val="0"/>
              <w:spacing w:before="0" w:beforeAutospacing="0" w:after="0" w:afterAutospacing="0"/>
              <w:ind w:left="0" w:right="0"/>
              <w:rPr>
                <w:rFonts w:hint="default"/>
              </w:rPr>
            </w:pPr>
            <w:r>
              <w:t>污染物项目</w:t>
            </w:r>
          </w:p>
        </w:tc>
        <w:tc>
          <w:tcPr>
            <w:tcW w:w="1662" w:type="dxa"/>
            <w:vAlign w:val="center"/>
          </w:tcPr>
          <w:p w14:paraId="31631B35">
            <w:pPr>
              <w:pStyle w:val="42"/>
              <w:keepNext w:val="0"/>
              <w:keepLines w:val="0"/>
              <w:widowControl/>
              <w:suppressLineNumbers w:val="0"/>
              <w:spacing w:before="0" w:beforeAutospacing="0" w:after="0" w:afterAutospacing="0"/>
              <w:ind w:left="0" w:right="0"/>
              <w:rPr>
                <w:rFonts w:hint="default"/>
              </w:rPr>
            </w:pPr>
            <w:r>
              <w:t>环境保护措施</w:t>
            </w:r>
          </w:p>
        </w:tc>
        <w:tc>
          <w:tcPr>
            <w:tcW w:w="1850" w:type="dxa"/>
            <w:vAlign w:val="center"/>
          </w:tcPr>
          <w:p w14:paraId="42179F7D">
            <w:pPr>
              <w:pStyle w:val="42"/>
              <w:keepNext w:val="0"/>
              <w:keepLines w:val="0"/>
              <w:widowControl/>
              <w:suppressLineNumbers w:val="0"/>
              <w:spacing w:before="0" w:beforeAutospacing="0" w:after="0" w:afterAutospacing="0"/>
              <w:ind w:left="0" w:right="0"/>
              <w:rPr>
                <w:rFonts w:hint="default"/>
              </w:rPr>
            </w:pPr>
            <w:r>
              <w:t>执行标准</w:t>
            </w:r>
          </w:p>
        </w:tc>
      </w:tr>
      <w:tr w14:paraId="0ED5E7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14:paraId="1AD609D9">
            <w:pPr>
              <w:pStyle w:val="42"/>
              <w:keepNext w:val="0"/>
              <w:keepLines w:val="0"/>
              <w:widowControl/>
              <w:suppressLineNumbers w:val="0"/>
              <w:spacing w:before="0" w:beforeAutospacing="0" w:after="0" w:afterAutospacing="0"/>
              <w:ind w:left="0" w:right="0"/>
              <w:rPr>
                <w:rFonts w:hint="default"/>
              </w:rPr>
            </w:pPr>
            <w:r>
              <w:t>大气环境</w:t>
            </w:r>
          </w:p>
        </w:tc>
        <w:tc>
          <w:tcPr>
            <w:tcW w:w="1755" w:type="dxa"/>
            <w:shd w:val="clear" w:color="auto" w:fill="auto"/>
            <w:vAlign w:val="center"/>
          </w:tcPr>
          <w:p w14:paraId="20448CAC">
            <w:pPr>
              <w:pStyle w:val="42"/>
              <w:keepNext w:val="0"/>
              <w:keepLines w:val="0"/>
              <w:widowControl/>
              <w:suppressLineNumbers w:val="0"/>
              <w:spacing w:before="0" w:beforeAutospacing="0" w:after="0" w:afterAutospacing="0"/>
              <w:ind w:left="0" w:right="0"/>
              <w:rPr>
                <w:rFonts w:hint="default"/>
              </w:rPr>
            </w:pPr>
            <w:r>
              <w:t>DA001、料仓上料、混凝土搅拌排气筒口</w:t>
            </w:r>
          </w:p>
        </w:tc>
        <w:tc>
          <w:tcPr>
            <w:tcW w:w="1755" w:type="dxa"/>
            <w:shd w:val="clear" w:color="auto" w:fill="auto"/>
            <w:vAlign w:val="center"/>
          </w:tcPr>
          <w:p w14:paraId="00D556DD">
            <w:pPr>
              <w:pStyle w:val="42"/>
              <w:keepNext w:val="0"/>
              <w:keepLines w:val="0"/>
              <w:widowControl/>
              <w:suppressLineNumbers w:val="0"/>
              <w:spacing w:before="0" w:beforeAutospacing="0" w:after="0" w:afterAutospacing="0"/>
              <w:ind w:left="0" w:right="0"/>
              <w:rPr>
                <w:rFonts w:hint="default"/>
              </w:rPr>
            </w:pPr>
            <w:r>
              <w:t>颗粒物</w:t>
            </w:r>
          </w:p>
        </w:tc>
        <w:tc>
          <w:tcPr>
            <w:tcW w:w="1662" w:type="dxa"/>
            <w:shd w:val="clear" w:color="auto" w:fill="auto"/>
            <w:vAlign w:val="center"/>
          </w:tcPr>
          <w:p w14:paraId="13720E7D">
            <w:pPr>
              <w:pStyle w:val="42"/>
              <w:keepNext w:val="0"/>
              <w:keepLines w:val="0"/>
              <w:widowControl/>
              <w:suppressLineNumbers w:val="0"/>
              <w:spacing w:before="0" w:beforeAutospacing="0" w:after="0" w:afterAutospacing="0"/>
              <w:ind w:left="0" w:right="0"/>
              <w:rPr>
                <w:rFonts w:hint="default"/>
              </w:rPr>
            </w:pPr>
            <w:r>
              <w:t>布袋除尘器</w:t>
            </w:r>
          </w:p>
        </w:tc>
        <w:tc>
          <w:tcPr>
            <w:tcW w:w="1850" w:type="dxa"/>
            <w:shd w:val="clear" w:color="auto" w:fill="auto"/>
            <w:vAlign w:val="center"/>
          </w:tcPr>
          <w:p w14:paraId="19A29FB7">
            <w:pPr>
              <w:pStyle w:val="42"/>
              <w:keepNext w:val="0"/>
              <w:keepLines w:val="0"/>
              <w:widowControl/>
              <w:suppressLineNumbers w:val="0"/>
              <w:spacing w:before="0" w:beforeAutospacing="0" w:after="0" w:afterAutospacing="0"/>
              <w:ind w:left="0" w:right="0"/>
              <w:rPr>
                <w:rFonts w:hint="default"/>
              </w:rPr>
            </w:pPr>
            <w:r>
              <w:t>《水泥工业大气污染物超低排放标准》(DB13/2167-2020)</w:t>
            </w:r>
          </w:p>
        </w:tc>
      </w:tr>
      <w:tr w14:paraId="6AFE03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14:paraId="3F18CB1C">
            <w:pPr>
              <w:pStyle w:val="42"/>
              <w:keepNext w:val="0"/>
              <w:keepLines w:val="0"/>
              <w:widowControl/>
              <w:suppressLineNumbers w:val="0"/>
              <w:spacing w:before="0" w:beforeAutospacing="0" w:after="0" w:afterAutospacing="0"/>
              <w:ind w:left="0" w:right="0"/>
              <w:rPr>
                <w:rFonts w:hint="default"/>
              </w:rPr>
            </w:pPr>
          </w:p>
        </w:tc>
        <w:tc>
          <w:tcPr>
            <w:tcW w:w="1755" w:type="dxa"/>
            <w:shd w:val="clear" w:color="auto" w:fill="auto"/>
            <w:vAlign w:val="center"/>
          </w:tcPr>
          <w:p w14:paraId="3534D2D8">
            <w:pPr>
              <w:pStyle w:val="42"/>
              <w:keepNext w:val="0"/>
              <w:keepLines w:val="0"/>
              <w:widowControl/>
              <w:suppressLineNumbers w:val="0"/>
              <w:spacing w:before="0" w:beforeAutospacing="0" w:after="0" w:afterAutospacing="0"/>
              <w:ind w:left="0" w:right="0"/>
              <w:rPr>
                <w:rFonts w:hint="default"/>
              </w:rPr>
            </w:pPr>
            <w:r>
              <w:t>DA002、水泥筒仓仓顶排放口</w:t>
            </w:r>
          </w:p>
        </w:tc>
        <w:tc>
          <w:tcPr>
            <w:tcW w:w="1755" w:type="dxa"/>
            <w:shd w:val="clear" w:color="auto" w:fill="auto"/>
            <w:vAlign w:val="center"/>
          </w:tcPr>
          <w:p w14:paraId="46896636">
            <w:pPr>
              <w:pStyle w:val="42"/>
              <w:keepNext w:val="0"/>
              <w:keepLines w:val="0"/>
              <w:widowControl/>
              <w:suppressLineNumbers w:val="0"/>
              <w:spacing w:before="0" w:beforeAutospacing="0" w:after="0" w:afterAutospacing="0"/>
              <w:ind w:left="0" w:right="0"/>
              <w:rPr>
                <w:rFonts w:hint="default"/>
              </w:rPr>
            </w:pPr>
            <w:r>
              <w:t>颗粒物</w:t>
            </w:r>
          </w:p>
        </w:tc>
        <w:tc>
          <w:tcPr>
            <w:tcW w:w="1662" w:type="dxa"/>
            <w:shd w:val="clear" w:color="auto" w:fill="auto"/>
            <w:vAlign w:val="center"/>
          </w:tcPr>
          <w:p w14:paraId="2022F2DF">
            <w:pPr>
              <w:pStyle w:val="42"/>
              <w:keepNext w:val="0"/>
              <w:keepLines w:val="0"/>
              <w:widowControl/>
              <w:suppressLineNumbers w:val="0"/>
              <w:spacing w:before="0" w:beforeAutospacing="0" w:after="0" w:afterAutospacing="0"/>
              <w:ind w:left="0" w:right="0"/>
              <w:rPr>
                <w:rFonts w:hint="default"/>
              </w:rPr>
            </w:pPr>
            <w:r>
              <w:t>仓顶泄压式布袋除尘器</w:t>
            </w:r>
          </w:p>
        </w:tc>
        <w:tc>
          <w:tcPr>
            <w:tcW w:w="1850" w:type="dxa"/>
            <w:shd w:val="clear" w:color="auto" w:fill="auto"/>
            <w:vAlign w:val="center"/>
          </w:tcPr>
          <w:p w14:paraId="77CC12E6">
            <w:pPr>
              <w:pStyle w:val="42"/>
              <w:keepNext w:val="0"/>
              <w:keepLines w:val="0"/>
              <w:widowControl/>
              <w:suppressLineNumbers w:val="0"/>
              <w:spacing w:before="0" w:beforeAutospacing="0" w:after="0" w:afterAutospacing="0"/>
              <w:ind w:left="0" w:right="0"/>
              <w:rPr>
                <w:rFonts w:hint="default"/>
              </w:rPr>
            </w:pPr>
            <w:r>
              <w:t>《水泥工业大气污染物超低排放标准》(DB13/2167-2020)</w:t>
            </w:r>
          </w:p>
        </w:tc>
      </w:tr>
      <w:tr w14:paraId="785571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14:paraId="2DC9FEE6">
            <w:pPr>
              <w:pStyle w:val="42"/>
              <w:keepNext w:val="0"/>
              <w:keepLines w:val="0"/>
              <w:widowControl/>
              <w:suppressLineNumbers w:val="0"/>
              <w:spacing w:before="0" w:beforeAutospacing="0" w:after="0" w:afterAutospacing="0"/>
              <w:ind w:left="0" w:right="0"/>
              <w:rPr>
                <w:rFonts w:hint="default"/>
              </w:rPr>
            </w:pPr>
            <w:r>
              <w:t>地表水环境</w:t>
            </w:r>
          </w:p>
        </w:tc>
        <w:tc>
          <w:tcPr>
            <w:tcW w:w="1755" w:type="dxa"/>
            <w:vAlign w:val="center"/>
          </w:tcPr>
          <w:p w14:paraId="39447A2C">
            <w:pPr>
              <w:pStyle w:val="42"/>
              <w:keepNext w:val="0"/>
              <w:keepLines w:val="0"/>
              <w:widowControl/>
              <w:suppressLineNumbers w:val="0"/>
              <w:spacing w:before="0" w:beforeAutospacing="0" w:after="0" w:afterAutospacing="0"/>
              <w:ind w:left="0" w:right="0"/>
              <w:rPr>
                <w:rFonts w:hint="default"/>
              </w:rPr>
            </w:pPr>
            <w:r>
              <w:t>生活污水</w:t>
            </w:r>
          </w:p>
        </w:tc>
        <w:tc>
          <w:tcPr>
            <w:tcW w:w="1755" w:type="dxa"/>
            <w:vAlign w:val="center"/>
          </w:tcPr>
          <w:p w14:paraId="130FC1CE">
            <w:pPr>
              <w:pStyle w:val="42"/>
              <w:keepNext w:val="0"/>
              <w:keepLines w:val="0"/>
              <w:widowControl/>
              <w:suppressLineNumbers w:val="0"/>
              <w:spacing w:before="0" w:beforeAutospacing="0" w:after="0" w:afterAutospacing="0"/>
              <w:ind w:left="0" w:right="0"/>
              <w:rPr>
                <w:rFonts w:hint="default"/>
                <w:color w:val="FF0000"/>
              </w:rPr>
            </w:pPr>
            <w:r>
              <w:t>pH、COD、BOD</w:t>
            </w:r>
            <w:r>
              <w:rPr>
                <w:vertAlign w:val="subscript"/>
              </w:rPr>
              <w:t>5</w:t>
            </w:r>
            <w:r>
              <w:t>、SS、氨氮等</w:t>
            </w:r>
          </w:p>
        </w:tc>
        <w:tc>
          <w:tcPr>
            <w:tcW w:w="1662" w:type="dxa"/>
            <w:vAlign w:val="center"/>
          </w:tcPr>
          <w:p w14:paraId="5E8AAAD0">
            <w:pPr>
              <w:pStyle w:val="42"/>
              <w:keepNext w:val="0"/>
              <w:keepLines w:val="0"/>
              <w:widowControl/>
              <w:suppressLineNumbers w:val="0"/>
              <w:spacing w:before="0" w:beforeAutospacing="0" w:after="0" w:afterAutospacing="0"/>
              <w:ind w:left="0" w:right="0"/>
              <w:rPr>
                <w:rFonts w:hint="default"/>
              </w:rPr>
            </w:pPr>
            <w:r>
              <w:t>生活污水水质简单，定期泼洒至厂区地面洒水降尘，不外排</w:t>
            </w:r>
          </w:p>
        </w:tc>
        <w:tc>
          <w:tcPr>
            <w:tcW w:w="1850" w:type="dxa"/>
            <w:vAlign w:val="center"/>
          </w:tcPr>
          <w:p w14:paraId="08C7E97F">
            <w:pPr>
              <w:pStyle w:val="42"/>
              <w:keepNext w:val="0"/>
              <w:keepLines w:val="0"/>
              <w:widowControl/>
              <w:suppressLineNumbers w:val="0"/>
              <w:spacing w:before="0" w:beforeAutospacing="0" w:after="0" w:afterAutospacing="0"/>
              <w:ind w:left="0" w:right="0"/>
              <w:rPr>
                <w:rFonts w:hint="default"/>
              </w:rPr>
            </w:pPr>
            <w:r>
              <w:t>/</w:t>
            </w:r>
          </w:p>
        </w:tc>
      </w:tr>
      <w:tr w14:paraId="737298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14:paraId="00E65C00">
            <w:pPr>
              <w:pStyle w:val="42"/>
              <w:keepNext w:val="0"/>
              <w:keepLines w:val="0"/>
              <w:widowControl/>
              <w:suppressLineNumbers w:val="0"/>
              <w:spacing w:before="0" w:beforeAutospacing="0" w:after="0" w:afterAutospacing="0"/>
              <w:ind w:left="0" w:right="0"/>
              <w:rPr>
                <w:rFonts w:hint="default"/>
              </w:rPr>
            </w:pPr>
            <w:r>
              <w:t>声环境</w:t>
            </w:r>
          </w:p>
        </w:tc>
        <w:tc>
          <w:tcPr>
            <w:tcW w:w="1755" w:type="dxa"/>
            <w:vAlign w:val="center"/>
          </w:tcPr>
          <w:p w14:paraId="206424DF">
            <w:pPr>
              <w:pStyle w:val="42"/>
              <w:keepNext w:val="0"/>
              <w:keepLines w:val="0"/>
              <w:widowControl/>
              <w:suppressLineNumbers w:val="0"/>
              <w:spacing w:before="0" w:beforeAutospacing="0" w:after="0" w:afterAutospacing="0"/>
              <w:ind w:left="0" w:right="0"/>
              <w:rPr>
                <w:rFonts w:hint="default"/>
              </w:rPr>
            </w:pPr>
            <w:r>
              <w:t>生产设备</w:t>
            </w:r>
          </w:p>
        </w:tc>
        <w:tc>
          <w:tcPr>
            <w:tcW w:w="1755" w:type="dxa"/>
            <w:vAlign w:val="center"/>
          </w:tcPr>
          <w:p w14:paraId="3CE753AF">
            <w:pPr>
              <w:pStyle w:val="42"/>
              <w:keepNext w:val="0"/>
              <w:keepLines w:val="0"/>
              <w:widowControl/>
              <w:suppressLineNumbers w:val="0"/>
              <w:spacing w:before="0" w:beforeAutospacing="0" w:after="0" w:afterAutospacing="0"/>
              <w:ind w:left="0" w:right="0"/>
              <w:rPr>
                <w:rFonts w:hint="default"/>
              </w:rPr>
            </w:pPr>
            <w:r>
              <w:rPr>
                <w:rFonts w:hint="default"/>
              </w:rPr>
              <w:t>L</w:t>
            </w:r>
            <w:r>
              <w:rPr>
                <w:rFonts w:hint="default"/>
                <w:vertAlign w:val="subscript"/>
              </w:rPr>
              <w:t>Aeq,T</w:t>
            </w:r>
          </w:p>
        </w:tc>
        <w:tc>
          <w:tcPr>
            <w:tcW w:w="1662" w:type="dxa"/>
            <w:vAlign w:val="center"/>
          </w:tcPr>
          <w:p w14:paraId="1182294C">
            <w:pPr>
              <w:pStyle w:val="42"/>
              <w:keepNext w:val="0"/>
              <w:keepLines w:val="0"/>
              <w:widowControl/>
              <w:suppressLineNumbers w:val="0"/>
              <w:spacing w:before="0" w:beforeAutospacing="0" w:after="0" w:afterAutospacing="0"/>
              <w:ind w:left="0" w:right="0"/>
              <w:rPr>
                <w:rFonts w:hint="default"/>
              </w:rPr>
            </w:pPr>
            <w:r>
              <w:t>选用低噪声设备，设备基础减振，厂房隔声</w:t>
            </w:r>
          </w:p>
        </w:tc>
        <w:tc>
          <w:tcPr>
            <w:tcW w:w="1850" w:type="dxa"/>
            <w:vAlign w:val="center"/>
          </w:tcPr>
          <w:p w14:paraId="4976F3C5">
            <w:pPr>
              <w:pStyle w:val="42"/>
              <w:keepNext w:val="0"/>
              <w:keepLines w:val="0"/>
              <w:widowControl/>
              <w:suppressLineNumbers w:val="0"/>
              <w:spacing w:before="0" w:beforeAutospacing="0" w:after="0" w:afterAutospacing="0"/>
              <w:ind w:left="0" w:right="0"/>
              <w:rPr>
                <w:rFonts w:hint="default"/>
              </w:rPr>
            </w:pPr>
            <w:r>
              <w:t>四厂界执行《工业企业厂界环境噪声排放标准》（GB12348-2008）中3类区标准要求</w:t>
            </w:r>
          </w:p>
        </w:tc>
      </w:tr>
      <w:tr w14:paraId="2AF359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14:paraId="0E3ECE49">
            <w:pPr>
              <w:pStyle w:val="42"/>
              <w:keepNext w:val="0"/>
              <w:keepLines w:val="0"/>
              <w:widowControl/>
              <w:suppressLineNumbers w:val="0"/>
              <w:spacing w:before="0" w:beforeAutospacing="0" w:after="0" w:afterAutospacing="0"/>
              <w:ind w:left="0" w:right="0"/>
              <w:rPr>
                <w:rFonts w:hint="default"/>
              </w:rPr>
            </w:pPr>
            <w:r>
              <w:t>电磁辐射</w:t>
            </w:r>
          </w:p>
        </w:tc>
        <w:tc>
          <w:tcPr>
            <w:tcW w:w="1755" w:type="dxa"/>
            <w:vAlign w:val="center"/>
          </w:tcPr>
          <w:p w14:paraId="1A7C91AD">
            <w:pPr>
              <w:pStyle w:val="42"/>
              <w:keepNext w:val="0"/>
              <w:keepLines w:val="0"/>
              <w:widowControl/>
              <w:suppressLineNumbers w:val="0"/>
              <w:spacing w:before="0" w:beforeAutospacing="0" w:after="0" w:afterAutospacing="0"/>
              <w:ind w:left="0" w:right="0"/>
              <w:rPr>
                <w:rFonts w:hint="default"/>
              </w:rPr>
            </w:pPr>
            <w:r>
              <w:t>/</w:t>
            </w:r>
          </w:p>
        </w:tc>
        <w:tc>
          <w:tcPr>
            <w:tcW w:w="1755" w:type="dxa"/>
            <w:vAlign w:val="center"/>
          </w:tcPr>
          <w:p w14:paraId="37ED5471">
            <w:pPr>
              <w:pStyle w:val="42"/>
              <w:keepNext w:val="0"/>
              <w:keepLines w:val="0"/>
              <w:widowControl/>
              <w:suppressLineNumbers w:val="0"/>
              <w:spacing w:before="0" w:beforeAutospacing="0" w:after="0" w:afterAutospacing="0"/>
              <w:ind w:left="0" w:right="0"/>
              <w:rPr>
                <w:rFonts w:hint="default"/>
              </w:rPr>
            </w:pPr>
            <w:r>
              <w:t>/</w:t>
            </w:r>
          </w:p>
        </w:tc>
        <w:tc>
          <w:tcPr>
            <w:tcW w:w="1662" w:type="dxa"/>
            <w:vAlign w:val="center"/>
          </w:tcPr>
          <w:p w14:paraId="26CD4E8A">
            <w:pPr>
              <w:pStyle w:val="42"/>
              <w:keepNext w:val="0"/>
              <w:keepLines w:val="0"/>
              <w:widowControl/>
              <w:suppressLineNumbers w:val="0"/>
              <w:spacing w:before="0" w:beforeAutospacing="0" w:after="0" w:afterAutospacing="0"/>
              <w:ind w:left="0" w:right="0"/>
              <w:rPr>
                <w:rFonts w:hint="default"/>
              </w:rPr>
            </w:pPr>
            <w:r>
              <w:t>/</w:t>
            </w:r>
          </w:p>
        </w:tc>
        <w:tc>
          <w:tcPr>
            <w:tcW w:w="1850" w:type="dxa"/>
            <w:vAlign w:val="center"/>
          </w:tcPr>
          <w:p w14:paraId="2D4AD5A8">
            <w:pPr>
              <w:pStyle w:val="42"/>
              <w:keepNext w:val="0"/>
              <w:keepLines w:val="0"/>
              <w:widowControl/>
              <w:suppressLineNumbers w:val="0"/>
              <w:spacing w:before="0" w:beforeAutospacing="0" w:after="0" w:afterAutospacing="0"/>
              <w:ind w:left="0" w:right="0"/>
              <w:rPr>
                <w:rFonts w:hint="default"/>
              </w:rPr>
            </w:pPr>
            <w:r>
              <w:t>/</w:t>
            </w:r>
          </w:p>
        </w:tc>
      </w:tr>
      <w:tr w14:paraId="6DA554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778" w:type="dxa"/>
            <w:vMerge w:val="restart"/>
            <w:vAlign w:val="center"/>
          </w:tcPr>
          <w:p w14:paraId="54BCC083">
            <w:pPr>
              <w:pStyle w:val="42"/>
              <w:keepNext w:val="0"/>
              <w:keepLines w:val="0"/>
              <w:widowControl/>
              <w:suppressLineNumbers w:val="0"/>
              <w:spacing w:before="0" w:beforeAutospacing="0" w:after="0" w:afterAutospacing="0"/>
              <w:ind w:left="0" w:right="0"/>
              <w:rPr>
                <w:rFonts w:hint="default"/>
              </w:rPr>
            </w:pPr>
            <w:r>
              <w:t>固体废物</w:t>
            </w:r>
          </w:p>
        </w:tc>
        <w:tc>
          <w:tcPr>
            <w:tcW w:w="7022" w:type="dxa"/>
            <w:gridSpan w:val="4"/>
            <w:vAlign w:val="center"/>
          </w:tcPr>
          <w:p w14:paraId="683252F4">
            <w:pPr>
              <w:pStyle w:val="42"/>
              <w:keepNext w:val="0"/>
              <w:keepLines w:val="0"/>
              <w:widowControl/>
              <w:suppressLineNumbers w:val="0"/>
              <w:spacing w:before="0" w:beforeAutospacing="0" w:after="0" w:afterAutospacing="0"/>
              <w:ind w:left="0" w:right="0"/>
              <w:rPr>
                <w:rFonts w:hint="default"/>
              </w:rPr>
            </w:pPr>
            <w:r>
              <w:t>办公产生的生活垃圾统一收集，定期交给环卫部门处理</w:t>
            </w:r>
          </w:p>
        </w:tc>
      </w:tr>
      <w:tr w14:paraId="7D4B1F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778" w:type="dxa"/>
            <w:vMerge w:val="continue"/>
            <w:vAlign w:val="center"/>
          </w:tcPr>
          <w:p w14:paraId="7A954DE8">
            <w:pPr>
              <w:pStyle w:val="42"/>
              <w:keepNext w:val="0"/>
              <w:keepLines w:val="0"/>
              <w:widowControl/>
              <w:suppressLineNumbers w:val="0"/>
              <w:spacing w:before="0" w:beforeAutospacing="0" w:after="0" w:afterAutospacing="0"/>
              <w:ind w:left="0" w:right="0"/>
              <w:rPr>
                <w:rFonts w:hint="default"/>
              </w:rPr>
            </w:pPr>
          </w:p>
        </w:tc>
        <w:tc>
          <w:tcPr>
            <w:tcW w:w="7022" w:type="dxa"/>
            <w:gridSpan w:val="4"/>
            <w:vAlign w:val="center"/>
          </w:tcPr>
          <w:p w14:paraId="4CDAB47E">
            <w:pPr>
              <w:pStyle w:val="42"/>
              <w:keepNext w:val="0"/>
              <w:keepLines w:val="0"/>
              <w:widowControl/>
              <w:suppressLineNumbers w:val="0"/>
              <w:spacing w:before="0" w:beforeAutospacing="0" w:after="0" w:afterAutospacing="0"/>
              <w:ind w:left="0" w:right="0"/>
              <w:rPr>
                <w:rFonts w:hint="default"/>
              </w:rPr>
            </w:pPr>
            <w:r>
              <w:t>布袋除尘器收集尘统一收集，作为原料使用</w:t>
            </w:r>
          </w:p>
        </w:tc>
      </w:tr>
      <w:tr w14:paraId="569300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778" w:type="dxa"/>
            <w:vMerge w:val="continue"/>
            <w:vAlign w:val="center"/>
          </w:tcPr>
          <w:p w14:paraId="45FD1C39">
            <w:pPr>
              <w:pStyle w:val="42"/>
              <w:keepNext w:val="0"/>
              <w:keepLines w:val="0"/>
              <w:widowControl/>
              <w:suppressLineNumbers w:val="0"/>
              <w:spacing w:before="0" w:beforeAutospacing="0" w:after="0" w:afterAutospacing="0"/>
              <w:ind w:left="0" w:right="0"/>
              <w:rPr>
                <w:rFonts w:hint="default"/>
              </w:rPr>
            </w:pPr>
          </w:p>
        </w:tc>
        <w:tc>
          <w:tcPr>
            <w:tcW w:w="7022" w:type="dxa"/>
            <w:gridSpan w:val="4"/>
            <w:vAlign w:val="center"/>
          </w:tcPr>
          <w:p w14:paraId="1A30A0BC">
            <w:pPr>
              <w:pStyle w:val="42"/>
              <w:keepNext w:val="0"/>
              <w:keepLines w:val="0"/>
              <w:widowControl/>
              <w:suppressLineNumbers w:val="0"/>
              <w:spacing w:before="0" w:beforeAutospacing="0" w:after="0" w:afterAutospacing="0"/>
              <w:ind w:left="0" w:right="0"/>
              <w:rPr>
                <w:rFonts w:hint="default"/>
              </w:rPr>
            </w:pPr>
            <w:r>
              <w:t>废润滑油、废油桶属于危险废物，利用危险废物贮存间暂存，定期委托有资质单位集中运输和处置</w:t>
            </w:r>
          </w:p>
        </w:tc>
      </w:tr>
      <w:tr w14:paraId="27E90A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14:paraId="608ABF2D">
            <w:pPr>
              <w:pStyle w:val="42"/>
              <w:keepNext w:val="0"/>
              <w:keepLines w:val="0"/>
              <w:widowControl/>
              <w:suppressLineNumbers w:val="0"/>
              <w:spacing w:before="0" w:beforeAutospacing="0" w:after="0" w:afterAutospacing="0"/>
              <w:ind w:left="0" w:right="0"/>
              <w:rPr>
                <w:rFonts w:hint="default"/>
              </w:rPr>
            </w:pPr>
            <w:r>
              <w:t>土壤及地下水</w:t>
            </w:r>
          </w:p>
          <w:p w14:paraId="45D51A22">
            <w:pPr>
              <w:pStyle w:val="42"/>
              <w:keepNext w:val="0"/>
              <w:keepLines w:val="0"/>
              <w:widowControl/>
              <w:suppressLineNumbers w:val="0"/>
              <w:spacing w:before="0" w:beforeAutospacing="0" w:after="0" w:afterAutospacing="0"/>
              <w:ind w:left="0" w:right="0"/>
              <w:rPr>
                <w:rFonts w:hint="default"/>
              </w:rPr>
            </w:pPr>
            <w:r>
              <w:t>污染防治措施</w:t>
            </w:r>
          </w:p>
        </w:tc>
        <w:tc>
          <w:tcPr>
            <w:tcW w:w="7022" w:type="dxa"/>
            <w:gridSpan w:val="4"/>
            <w:vAlign w:val="center"/>
          </w:tcPr>
          <w:p w14:paraId="1B585CB3">
            <w:pPr>
              <w:pStyle w:val="42"/>
              <w:keepNext w:val="0"/>
              <w:keepLines w:val="0"/>
              <w:widowControl/>
              <w:suppressLineNumbers w:val="0"/>
              <w:spacing w:before="0" w:beforeAutospacing="0" w:after="0" w:afterAutospacing="0"/>
              <w:ind w:left="0" w:right="0"/>
              <w:rPr>
                <w:rFonts w:hint="default"/>
                <w:color w:val="FF0000"/>
              </w:rPr>
            </w:pPr>
            <w:r>
              <w:t>对厂区的生产车间进行一般水泥地面硬化、对原料库房地面进行一般水泥地面硬化；对各厂区道路等区域进行一般水泥地面硬化；对危险废物贮存间地面及裙角进行防腐、防渗措施，地面防渗层为至少1m厚黏土层（渗透系数不大于10</w:t>
            </w:r>
            <w:r>
              <w:rPr>
                <w:vertAlign w:val="superscript"/>
              </w:rPr>
              <w:t>-7</w:t>
            </w:r>
            <w:r>
              <w:t>cm/s），或至少2mm厚高密度聚乙烯膜等人工防渗材料（渗透系数不大于10</w:t>
            </w:r>
            <w:r>
              <w:rPr>
                <w:vertAlign w:val="superscript"/>
              </w:rPr>
              <w:t>-10</w:t>
            </w:r>
            <w:r>
              <w:t>cm/s），或其他防渗性能等效的材料。</w:t>
            </w:r>
          </w:p>
        </w:tc>
      </w:tr>
      <w:tr w14:paraId="2399B0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14:paraId="32410748">
            <w:pPr>
              <w:pStyle w:val="42"/>
              <w:keepNext w:val="0"/>
              <w:keepLines w:val="0"/>
              <w:widowControl/>
              <w:suppressLineNumbers w:val="0"/>
              <w:spacing w:before="0" w:beforeAutospacing="0" w:after="0" w:afterAutospacing="0"/>
              <w:ind w:left="0" w:right="0"/>
              <w:rPr>
                <w:rFonts w:hint="default"/>
              </w:rPr>
            </w:pPr>
            <w:r>
              <w:t>生态保护措施</w:t>
            </w:r>
          </w:p>
        </w:tc>
        <w:tc>
          <w:tcPr>
            <w:tcW w:w="7022" w:type="dxa"/>
            <w:gridSpan w:val="4"/>
            <w:vAlign w:val="center"/>
          </w:tcPr>
          <w:p w14:paraId="03C12449">
            <w:pPr>
              <w:pStyle w:val="42"/>
              <w:keepNext w:val="0"/>
              <w:keepLines w:val="0"/>
              <w:widowControl/>
              <w:suppressLineNumbers w:val="0"/>
              <w:spacing w:before="0" w:beforeAutospacing="0" w:after="0" w:afterAutospacing="0"/>
              <w:ind w:left="0" w:right="0"/>
              <w:rPr>
                <w:rFonts w:hint="default"/>
                <w:color w:val="FF0000"/>
              </w:rPr>
            </w:pPr>
            <w:r>
              <w:t>项目建设地现为空地，建设和运行不会对生态造成破坏，建设完成后对厂区进行绿化。</w:t>
            </w:r>
          </w:p>
        </w:tc>
      </w:tr>
      <w:tr w14:paraId="5DC379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14:paraId="5A208FB9">
            <w:pPr>
              <w:pStyle w:val="42"/>
              <w:keepNext w:val="0"/>
              <w:keepLines w:val="0"/>
              <w:widowControl/>
              <w:suppressLineNumbers w:val="0"/>
              <w:spacing w:before="0" w:beforeAutospacing="0" w:after="0" w:afterAutospacing="0"/>
              <w:ind w:left="0" w:right="0"/>
              <w:rPr>
                <w:rFonts w:hint="default"/>
              </w:rPr>
            </w:pPr>
            <w:r>
              <w:t>环境风险</w:t>
            </w:r>
          </w:p>
          <w:p w14:paraId="2E369196">
            <w:pPr>
              <w:pStyle w:val="42"/>
              <w:keepNext w:val="0"/>
              <w:keepLines w:val="0"/>
              <w:widowControl/>
              <w:suppressLineNumbers w:val="0"/>
              <w:spacing w:before="0" w:beforeAutospacing="0" w:after="0" w:afterAutospacing="0"/>
              <w:ind w:left="0" w:right="0"/>
              <w:rPr>
                <w:rFonts w:hint="default"/>
              </w:rPr>
            </w:pPr>
            <w:r>
              <w:t>防范措施</w:t>
            </w:r>
          </w:p>
        </w:tc>
        <w:tc>
          <w:tcPr>
            <w:tcW w:w="7022" w:type="dxa"/>
            <w:gridSpan w:val="4"/>
            <w:vAlign w:val="center"/>
          </w:tcPr>
          <w:p w14:paraId="24EEA3A7">
            <w:pPr>
              <w:pStyle w:val="42"/>
              <w:keepNext w:val="0"/>
              <w:keepLines w:val="0"/>
              <w:widowControl/>
              <w:suppressLineNumbers w:val="0"/>
              <w:spacing w:before="0" w:beforeAutospacing="0" w:after="0" w:afterAutospacing="0"/>
              <w:ind w:left="0" w:right="0"/>
              <w:rPr>
                <w:rFonts w:hint="default"/>
              </w:rPr>
            </w:pPr>
            <w:r>
              <w:t>危险废物贮存场所（设施）应按照《危险废物收集、贮存、运输技术规范》（HJ2025-2012）中相关技术要求设置，具体如下：危险废物贮存设施的选址、设计、建设、运行管理应满足GB18597、GBZ1和GBZ2的有关要求</w:t>
            </w:r>
            <w:r>
              <w:rPr>
                <w:rFonts w:hint="eastAsia"/>
              </w:rPr>
              <w:t>；</w:t>
            </w:r>
            <w:r>
              <w:t>危险废物贮存设施配备通讯设备、照明设施和消防设施</w:t>
            </w:r>
            <w:r>
              <w:rPr>
                <w:rFonts w:hint="eastAsia"/>
              </w:rPr>
              <w:t>；</w:t>
            </w:r>
            <w:r>
              <w:t>贮存危险废物时应按危险废物的种类和特性进行分区贮存，每个贮存区域之间宜设置挡墙间隔，并设置防风、防雨、防晒、防渗（渗透系数≤10</w:t>
            </w:r>
            <w:r>
              <w:rPr>
                <w:vertAlign w:val="superscript"/>
              </w:rPr>
              <w:t>-10</w:t>
            </w:r>
            <w:r>
              <w:t>cm/s）</w:t>
            </w:r>
            <w:r>
              <w:rPr>
                <w:rFonts w:hint="eastAsia"/>
              </w:rPr>
              <w:t>；</w:t>
            </w:r>
            <w:r>
              <w:t>存放装载液体、半固体危险废物容器位置，有耐腐蚀的硬化地面，且表面无裂隙。</w:t>
            </w:r>
          </w:p>
        </w:tc>
      </w:tr>
      <w:tr w14:paraId="1B220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Align w:val="center"/>
          </w:tcPr>
          <w:p w14:paraId="2F0B0144">
            <w:pPr>
              <w:pStyle w:val="42"/>
              <w:keepNext w:val="0"/>
              <w:keepLines w:val="0"/>
              <w:widowControl/>
              <w:suppressLineNumbers w:val="0"/>
              <w:spacing w:before="0" w:beforeAutospacing="0" w:after="0" w:afterAutospacing="0"/>
              <w:ind w:left="0" w:right="0"/>
              <w:rPr>
                <w:rFonts w:hint="default"/>
              </w:rPr>
            </w:pPr>
            <w:r>
              <w:t>其他环境</w:t>
            </w:r>
          </w:p>
          <w:p w14:paraId="543C6777">
            <w:pPr>
              <w:pStyle w:val="42"/>
              <w:keepNext w:val="0"/>
              <w:keepLines w:val="0"/>
              <w:widowControl/>
              <w:suppressLineNumbers w:val="0"/>
              <w:spacing w:before="0" w:beforeAutospacing="0" w:after="0" w:afterAutospacing="0"/>
              <w:ind w:left="0" w:right="0"/>
              <w:rPr>
                <w:rFonts w:hint="default"/>
              </w:rPr>
            </w:pPr>
            <w:r>
              <w:t>管理要求</w:t>
            </w:r>
          </w:p>
        </w:tc>
        <w:tc>
          <w:tcPr>
            <w:tcW w:w="7022" w:type="dxa"/>
            <w:gridSpan w:val="4"/>
            <w:vAlign w:val="center"/>
          </w:tcPr>
          <w:p w14:paraId="6024CB30">
            <w:pPr>
              <w:pStyle w:val="42"/>
              <w:keepNext w:val="0"/>
              <w:keepLines w:val="0"/>
              <w:widowControl/>
              <w:suppressLineNumbers w:val="0"/>
              <w:spacing w:before="0" w:beforeAutospacing="0" w:after="0" w:afterAutospacing="0"/>
              <w:ind w:left="0" w:right="0"/>
            </w:pPr>
            <w:r>
              <w:t>项目属于《国民经济行业分类》（GB/T 4754-2017）中的水泥制品制造 C3021，根据《固定污染源排污许可分类管理名录》（2019年版），项目不涉及通用工序的重点管理和简化管理，项目排污许可属于登记管理。</w:t>
            </w:r>
          </w:p>
          <w:p w14:paraId="231406F7">
            <w:pPr>
              <w:pStyle w:val="42"/>
              <w:keepNext w:val="0"/>
              <w:keepLines w:val="0"/>
              <w:widowControl/>
              <w:suppressLineNumbers w:val="0"/>
              <w:spacing w:before="0" w:beforeAutospacing="0" w:after="0" w:afterAutospacing="0"/>
              <w:ind w:left="0" w:right="0"/>
              <w:rPr>
                <w:rFonts w:hint="default"/>
                <w:lang w:val="en-US" w:eastAsia="zh-CN"/>
              </w:rPr>
            </w:pPr>
            <w:r>
              <w:rPr>
                <w:rFonts w:hint="eastAsia"/>
                <w:lang w:val="en-US" w:eastAsia="zh-CN"/>
              </w:rPr>
              <w:t>项目环境保护设施验收根据《建设项目竣工环境保护设施验收技术规范》，对照环境保护措施监督检查清单进行验收</w:t>
            </w:r>
          </w:p>
        </w:tc>
      </w:tr>
    </w:tbl>
    <w:p w14:paraId="0484891E">
      <w:pPr>
        <w:pStyle w:val="19"/>
        <w:numPr>
          <w:ilvl w:val="0"/>
          <w:numId w:val="14"/>
        </w:numPr>
        <w:ind w:firstLineChars="0"/>
        <w:jc w:val="center"/>
        <w:outlineLvl w:val="0"/>
        <w:rPr>
          <w:rFonts w:hint="eastAsia" w:ascii="黑体" w:hAnsi="黑体" w:eastAsia="黑体"/>
          <w:snapToGrid w:val="0"/>
          <w:sz w:val="30"/>
          <w:szCs w:val="30"/>
        </w:rPr>
      </w:pPr>
      <w:r>
        <w:rPr>
          <w:snapToGrid w:val="0"/>
        </w:rPr>
        <w:br w:type="page"/>
      </w:r>
    </w:p>
    <w:p w14:paraId="6B8CECCF">
      <w:pPr>
        <w:pStyle w:val="2"/>
      </w:pPr>
      <w:r>
        <w:rPr>
          <w:rFonts w:hint="eastAsia"/>
        </w:rPr>
        <w:t>结论</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9A1AE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1865A1C9">
            <w:pPr>
              <w:keepNext w:val="0"/>
              <w:keepLines w:val="0"/>
              <w:suppressLineNumbers w:val="0"/>
              <w:spacing w:before="120" w:beforeLines="50" w:beforeAutospacing="0" w:after="0" w:afterAutospacing="0"/>
              <w:ind w:left="0" w:right="0" w:firstLine="482"/>
              <w:jc w:val="both"/>
              <w:rPr>
                <w:rFonts w:hint="default"/>
                <w:b/>
                <w:bCs/>
              </w:rPr>
            </w:pPr>
            <w:r>
              <w:rPr>
                <w:rFonts w:hint="default"/>
                <w:b/>
                <w:bCs/>
              </w:rPr>
              <w:t>结论：</w:t>
            </w:r>
          </w:p>
          <w:p w14:paraId="0DFC54BE">
            <w:pPr>
              <w:keepNext w:val="0"/>
              <w:keepLines w:val="0"/>
              <w:suppressLineNumbers w:val="0"/>
              <w:spacing w:before="0" w:beforeAutospacing="0" w:after="0" w:afterAutospacing="0"/>
              <w:ind w:left="0" w:right="0" w:firstLine="480"/>
              <w:jc w:val="both"/>
              <w:rPr>
                <w:rFonts w:hint="default"/>
              </w:rPr>
            </w:pPr>
            <w:r>
              <w:rPr>
                <w:rFonts w:hint="eastAsia"/>
              </w:rPr>
              <w:t>从环境保护的角度，建设项目环境影响可接受，建设项目可行。</w:t>
            </w:r>
          </w:p>
          <w:p w14:paraId="244BC3C2">
            <w:pPr>
              <w:keepNext w:val="0"/>
              <w:keepLines w:val="0"/>
              <w:suppressLineNumbers w:val="0"/>
              <w:spacing w:before="0" w:beforeAutospacing="0" w:after="0" w:afterAutospacing="0"/>
              <w:ind w:left="0" w:right="0" w:firstLine="480"/>
              <w:jc w:val="both"/>
              <w:rPr>
                <w:rFonts w:hint="default" w:ascii="宋体" w:cs="宋体"/>
              </w:rPr>
            </w:pPr>
          </w:p>
        </w:tc>
      </w:tr>
    </w:tbl>
    <w:p w14:paraId="79087A1F">
      <w:pPr>
        <w:ind w:firstLine="480"/>
        <w:rPr>
          <w:rFonts w:ascii="宋体"/>
        </w:rPr>
        <w:sectPr>
          <w:pgSz w:w="11906" w:h="16838"/>
          <w:pgMar w:top="1701" w:right="1531" w:bottom="1701" w:left="1531" w:header="851" w:footer="851" w:gutter="0"/>
          <w:cols w:space="720" w:num="1"/>
          <w:docGrid w:linePitch="312" w:charSpace="0"/>
        </w:sectPr>
      </w:pPr>
    </w:p>
    <w:p w14:paraId="76A83235">
      <w:pPr>
        <w:pStyle w:val="19"/>
        <w:spacing w:before="0" w:beforeAutospacing="0" w:after="0" w:afterAutospacing="0" w:line="648" w:lineRule="auto"/>
        <w:ind w:firstLine="640"/>
        <w:outlineLvl w:val="0"/>
        <w:rPr>
          <w:rFonts w:hint="eastAsia" w:ascii="黑体" w:hAnsi="黑体" w:eastAsia="黑体"/>
          <w:snapToGrid w:val="0"/>
          <w:sz w:val="32"/>
          <w:szCs w:val="32"/>
        </w:rPr>
      </w:pPr>
      <w:r>
        <w:rPr>
          <w:rFonts w:hint="eastAsia" w:ascii="黑体" w:hAnsi="黑体" w:eastAsia="黑体"/>
          <w:snapToGrid w:val="0"/>
          <w:sz w:val="32"/>
          <w:szCs w:val="32"/>
        </w:rPr>
        <w:t>附表</w:t>
      </w:r>
    </w:p>
    <w:p w14:paraId="2D9B1D08">
      <w:pPr>
        <w:pStyle w:val="19"/>
        <w:spacing w:before="0" w:beforeAutospacing="0" w:after="0" w:afterAutospacing="0" w:line="552" w:lineRule="auto"/>
        <w:ind w:firstLine="760"/>
        <w:jc w:val="center"/>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14:paraId="21F29D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32B58676">
            <w:pPr>
              <w:pStyle w:val="42"/>
              <w:keepNext w:val="0"/>
              <w:keepLines w:val="0"/>
              <w:widowControl/>
              <w:suppressLineNumbers w:val="0"/>
              <w:spacing w:before="0" w:beforeAutospacing="0" w:after="0" w:afterAutospacing="0"/>
              <w:ind w:left="0" w:right="0"/>
              <w:rPr>
                <w:rFonts w:hint="default"/>
              </w:rPr>
            </w:pPr>
            <w:r>
              <w:t>项目</w:t>
            </w:r>
          </w:p>
          <w:p w14:paraId="78F42C70">
            <w:pPr>
              <w:pStyle w:val="42"/>
              <w:keepNext w:val="0"/>
              <w:keepLines w:val="0"/>
              <w:widowControl/>
              <w:suppressLineNumbers w:val="0"/>
              <w:spacing w:before="0" w:beforeAutospacing="0" w:after="0" w:afterAutospacing="0"/>
              <w:ind w:left="0" w:right="0"/>
              <w:jc w:val="both"/>
              <w:rPr>
                <w:rFonts w:hint="default"/>
              </w:rPr>
            </w:pPr>
            <w:r>
              <w:t>分类</w:t>
            </w:r>
          </w:p>
        </w:tc>
        <w:tc>
          <w:tcPr>
            <w:tcW w:w="1417" w:type="dxa"/>
            <w:tcMar>
              <w:left w:w="28" w:type="dxa"/>
              <w:right w:w="28" w:type="dxa"/>
            </w:tcMar>
            <w:vAlign w:val="center"/>
          </w:tcPr>
          <w:p w14:paraId="4A59C125">
            <w:pPr>
              <w:pStyle w:val="42"/>
              <w:keepNext w:val="0"/>
              <w:keepLines w:val="0"/>
              <w:widowControl/>
              <w:suppressLineNumbers w:val="0"/>
              <w:spacing w:before="0" w:beforeAutospacing="0" w:after="0" w:afterAutospacing="0"/>
              <w:ind w:left="0" w:right="0"/>
              <w:rPr>
                <w:rFonts w:hint="default"/>
              </w:rPr>
            </w:pPr>
            <w:r>
              <w:t>污染物名称</w:t>
            </w:r>
          </w:p>
        </w:tc>
        <w:tc>
          <w:tcPr>
            <w:tcW w:w="1701" w:type="dxa"/>
            <w:tcMar>
              <w:left w:w="28" w:type="dxa"/>
              <w:right w:w="28" w:type="dxa"/>
            </w:tcMar>
            <w:vAlign w:val="center"/>
          </w:tcPr>
          <w:p w14:paraId="7053770A">
            <w:pPr>
              <w:pStyle w:val="42"/>
              <w:keepNext w:val="0"/>
              <w:keepLines w:val="0"/>
              <w:widowControl/>
              <w:suppressLineNumbers w:val="0"/>
              <w:spacing w:before="0" w:beforeAutospacing="0" w:after="0" w:afterAutospacing="0"/>
              <w:ind w:left="0" w:right="0"/>
              <w:rPr>
                <w:rFonts w:hint="default"/>
              </w:rPr>
            </w:pPr>
            <w:r>
              <w:t>现有工程</w:t>
            </w:r>
          </w:p>
          <w:p w14:paraId="4D0AA93A">
            <w:pPr>
              <w:pStyle w:val="42"/>
              <w:keepNext w:val="0"/>
              <w:keepLines w:val="0"/>
              <w:widowControl/>
              <w:suppressLineNumbers w:val="0"/>
              <w:spacing w:before="0" w:beforeAutospacing="0" w:after="0" w:afterAutospacing="0"/>
              <w:ind w:left="0" w:right="0"/>
              <w:rPr>
                <w:rFonts w:hint="default"/>
              </w:rPr>
            </w:pPr>
            <w:r>
              <w:t>排放量（固体废物产生量）</w:t>
            </w:r>
            <w:r>
              <w:fldChar w:fldCharType="begin"/>
            </w:r>
            <w:r>
              <w:instrText xml:space="preserve"> = 1 \* GB3 \* MERGEFORMAT </w:instrText>
            </w:r>
            <w:r>
              <w:fldChar w:fldCharType="separate"/>
            </w:r>
            <w:r>
              <w:t>①</w:t>
            </w:r>
            <w:r>
              <w:fldChar w:fldCharType="end"/>
            </w:r>
          </w:p>
        </w:tc>
        <w:tc>
          <w:tcPr>
            <w:tcW w:w="1276" w:type="dxa"/>
            <w:tcMar>
              <w:left w:w="28" w:type="dxa"/>
              <w:right w:w="28" w:type="dxa"/>
            </w:tcMar>
            <w:vAlign w:val="center"/>
          </w:tcPr>
          <w:p w14:paraId="2D0AF3CF">
            <w:pPr>
              <w:pStyle w:val="42"/>
              <w:keepNext w:val="0"/>
              <w:keepLines w:val="0"/>
              <w:widowControl/>
              <w:suppressLineNumbers w:val="0"/>
              <w:spacing w:before="0" w:beforeAutospacing="0" w:after="0" w:afterAutospacing="0"/>
              <w:ind w:left="0" w:right="0"/>
              <w:rPr>
                <w:rFonts w:hint="default"/>
              </w:rPr>
            </w:pPr>
            <w:r>
              <w:t>现有工程</w:t>
            </w:r>
          </w:p>
          <w:p w14:paraId="18380898">
            <w:pPr>
              <w:pStyle w:val="42"/>
              <w:keepNext w:val="0"/>
              <w:keepLines w:val="0"/>
              <w:widowControl/>
              <w:suppressLineNumbers w:val="0"/>
              <w:spacing w:before="0" w:beforeAutospacing="0" w:after="0" w:afterAutospacing="0"/>
              <w:ind w:left="0" w:right="0"/>
              <w:rPr>
                <w:rFonts w:hint="default"/>
              </w:rPr>
            </w:pPr>
            <w:r>
              <w:t>许可排放量</w:t>
            </w:r>
          </w:p>
          <w:p w14:paraId="38AE7221">
            <w:pPr>
              <w:pStyle w:val="42"/>
              <w:keepNext w:val="0"/>
              <w:keepLines w:val="0"/>
              <w:widowControl/>
              <w:suppressLineNumbers w:val="0"/>
              <w:spacing w:before="0" w:beforeAutospacing="0" w:after="0" w:afterAutospacing="0"/>
              <w:ind w:left="0" w:right="0"/>
              <w:rPr>
                <w:rFonts w:hint="default"/>
              </w:rPr>
            </w:pPr>
            <w:r>
              <w:fldChar w:fldCharType="begin"/>
            </w:r>
            <w:r>
              <w:instrText xml:space="preserve"> = 2 \* GB3 \* MERGEFORMAT </w:instrText>
            </w:r>
            <w:r>
              <w:fldChar w:fldCharType="separate"/>
            </w:r>
            <w:r>
              <w:t>②</w:t>
            </w:r>
            <w:r>
              <w:fldChar w:fldCharType="end"/>
            </w:r>
          </w:p>
        </w:tc>
        <w:tc>
          <w:tcPr>
            <w:tcW w:w="1701" w:type="dxa"/>
            <w:tcMar>
              <w:left w:w="28" w:type="dxa"/>
              <w:right w:w="28" w:type="dxa"/>
            </w:tcMar>
            <w:vAlign w:val="center"/>
          </w:tcPr>
          <w:p w14:paraId="175D3DB3">
            <w:pPr>
              <w:pStyle w:val="42"/>
              <w:keepNext w:val="0"/>
              <w:keepLines w:val="0"/>
              <w:widowControl/>
              <w:suppressLineNumbers w:val="0"/>
              <w:spacing w:before="0" w:beforeAutospacing="0" w:after="0" w:afterAutospacing="0"/>
              <w:ind w:left="0" w:right="0"/>
              <w:rPr>
                <w:rFonts w:hint="default"/>
              </w:rPr>
            </w:pPr>
            <w:r>
              <w:t>在建工程</w:t>
            </w:r>
          </w:p>
          <w:p w14:paraId="6F14AA1B">
            <w:pPr>
              <w:pStyle w:val="42"/>
              <w:keepNext w:val="0"/>
              <w:keepLines w:val="0"/>
              <w:widowControl/>
              <w:suppressLineNumbers w:val="0"/>
              <w:spacing w:before="0" w:beforeAutospacing="0" w:after="0" w:afterAutospacing="0"/>
              <w:ind w:left="0" w:right="0"/>
              <w:rPr>
                <w:rFonts w:hint="default"/>
              </w:rPr>
            </w:pPr>
            <w:r>
              <w:t>排放量（固体废物产生量）</w:t>
            </w:r>
            <w:r>
              <w:fldChar w:fldCharType="begin"/>
            </w:r>
            <w:r>
              <w:instrText xml:space="preserve"> = 3 \* GB3 \* MERGEFORMAT </w:instrText>
            </w:r>
            <w:r>
              <w:fldChar w:fldCharType="separate"/>
            </w:r>
            <w:r>
              <w:t>③</w:t>
            </w:r>
            <w:r>
              <w:fldChar w:fldCharType="end"/>
            </w:r>
          </w:p>
        </w:tc>
        <w:tc>
          <w:tcPr>
            <w:tcW w:w="1559" w:type="dxa"/>
            <w:tcMar>
              <w:left w:w="28" w:type="dxa"/>
              <w:right w:w="28" w:type="dxa"/>
            </w:tcMar>
            <w:vAlign w:val="center"/>
          </w:tcPr>
          <w:p w14:paraId="06CEC2DA">
            <w:pPr>
              <w:pStyle w:val="42"/>
              <w:keepNext w:val="0"/>
              <w:keepLines w:val="0"/>
              <w:widowControl/>
              <w:suppressLineNumbers w:val="0"/>
              <w:spacing w:before="0" w:beforeAutospacing="0" w:after="0" w:afterAutospacing="0"/>
              <w:ind w:left="0" w:right="0"/>
              <w:rPr>
                <w:rFonts w:hint="default"/>
              </w:rPr>
            </w:pPr>
            <w:r>
              <w:t>本项目</w:t>
            </w:r>
          </w:p>
          <w:p w14:paraId="4515CE2E">
            <w:pPr>
              <w:pStyle w:val="42"/>
              <w:keepNext w:val="0"/>
              <w:keepLines w:val="0"/>
              <w:widowControl/>
              <w:suppressLineNumbers w:val="0"/>
              <w:spacing w:before="0" w:beforeAutospacing="0" w:after="0" w:afterAutospacing="0"/>
              <w:ind w:left="0" w:right="0"/>
              <w:rPr>
                <w:rFonts w:hint="default"/>
              </w:rPr>
            </w:pPr>
            <w:r>
              <w:t>排放量（固体废物产生量）</w:t>
            </w:r>
            <w:r>
              <w:fldChar w:fldCharType="begin"/>
            </w:r>
            <w:r>
              <w:instrText xml:space="preserve"> = 4 \* GB3 \* MERGEFORMAT </w:instrText>
            </w:r>
            <w:r>
              <w:fldChar w:fldCharType="separate"/>
            </w:r>
            <w:r>
              <w:t>④</w:t>
            </w:r>
            <w:r>
              <w:fldChar w:fldCharType="end"/>
            </w:r>
          </w:p>
        </w:tc>
        <w:tc>
          <w:tcPr>
            <w:tcW w:w="1761" w:type="dxa"/>
            <w:tcMar>
              <w:left w:w="28" w:type="dxa"/>
              <w:right w:w="28" w:type="dxa"/>
            </w:tcMar>
            <w:vAlign w:val="center"/>
          </w:tcPr>
          <w:p w14:paraId="7093A242">
            <w:pPr>
              <w:pStyle w:val="42"/>
              <w:keepNext w:val="0"/>
              <w:keepLines w:val="0"/>
              <w:widowControl/>
              <w:suppressLineNumbers w:val="0"/>
              <w:spacing w:before="0" w:beforeAutospacing="0" w:after="0" w:afterAutospacing="0"/>
              <w:ind w:left="0" w:right="0"/>
              <w:rPr>
                <w:rFonts w:hint="default"/>
              </w:rPr>
            </w:pPr>
            <w:r>
              <w:t>以新带老削减量</w:t>
            </w:r>
          </w:p>
          <w:p w14:paraId="6AC4BF3A">
            <w:pPr>
              <w:pStyle w:val="42"/>
              <w:keepNext w:val="0"/>
              <w:keepLines w:val="0"/>
              <w:widowControl/>
              <w:suppressLineNumbers w:val="0"/>
              <w:spacing w:before="0" w:beforeAutospacing="0" w:after="0" w:afterAutospacing="0"/>
              <w:ind w:left="0" w:right="0"/>
              <w:rPr>
                <w:rFonts w:hint="default"/>
              </w:rPr>
            </w:pPr>
            <w:r>
              <w:t>（新建项目不填）</w:t>
            </w:r>
            <w:r>
              <w:fldChar w:fldCharType="begin"/>
            </w:r>
            <w:r>
              <w:instrText xml:space="preserve"> = 5 \* GB3 \* MERGEFORMAT </w:instrText>
            </w:r>
            <w:r>
              <w:fldChar w:fldCharType="separate"/>
            </w:r>
            <w:r>
              <w:t>⑤</w:t>
            </w:r>
            <w:r>
              <w:fldChar w:fldCharType="end"/>
            </w:r>
          </w:p>
        </w:tc>
        <w:tc>
          <w:tcPr>
            <w:tcW w:w="1959" w:type="dxa"/>
            <w:tcMar>
              <w:left w:w="28" w:type="dxa"/>
              <w:right w:w="28" w:type="dxa"/>
            </w:tcMar>
            <w:vAlign w:val="center"/>
          </w:tcPr>
          <w:p w14:paraId="18E8FAA6">
            <w:pPr>
              <w:pStyle w:val="42"/>
              <w:keepNext w:val="0"/>
              <w:keepLines w:val="0"/>
              <w:widowControl/>
              <w:suppressLineNumbers w:val="0"/>
              <w:spacing w:before="0" w:beforeAutospacing="0" w:after="0" w:afterAutospacing="0"/>
              <w:ind w:left="0" w:right="0"/>
              <w:rPr>
                <w:rFonts w:hint="default"/>
              </w:rPr>
            </w:pPr>
            <w:r>
              <w:t>本项目建成后</w:t>
            </w:r>
          </w:p>
          <w:p w14:paraId="3CE47F68">
            <w:pPr>
              <w:pStyle w:val="42"/>
              <w:keepNext w:val="0"/>
              <w:keepLines w:val="0"/>
              <w:widowControl/>
              <w:suppressLineNumbers w:val="0"/>
              <w:spacing w:before="0" w:beforeAutospacing="0" w:after="0" w:afterAutospacing="0"/>
              <w:ind w:left="0" w:right="0"/>
              <w:rPr>
                <w:rFonts w:hint="default"/>
              </w:rPr>
            </w:pPr>
            <w:r>
              <w:t>全厂排放量（固体废物产生量）</w:t>
            </w:r>
            <w:r>
              <w:fldChar w:fldCharType="begin"/>
            </w:r>
            <w:r>
              <w:instrText xml:space="preserve"> = 6 \* GB3 \* MERGEFORMAT </w:instrText>
            </w:r>
            <w:r>
              <w:fldChar w:fldCharType="separate"/>
            </w:r>
            <w:r>
              <w:t>⑥</w:t>
            </w:r>
            <w:r>
              <w:fldChar w:fldCharType="end"/>
            </w:r>
          </w:p>
        </w:tc>
        <w:tc>
          <w:tcPr>
            <w:tcW w:w="826" w:type="dxa"/>
            <w:tcMar>
              <w:left w:w="28" w:type="dxa"/>
              <w:right w:w="28" w:type="dxa"/>
            </w:tcMar>
            <w:vAlign w:val="center"/>
          </w:tcPr>
          <w:p w14:paraId="24F88F1A">
            <w:pPr>
              <w:pStyle w:val="42"/>
              <w:keepNext w:val="0"/>
              <w:keepLines w:val="0"/>
              <w:widowControl/>
              <w:suppressLineNumbers w:val="0"/>
              <w:spacing w:before="0" w:beforeAutospacing="0" w:after="0" w:afterAutospacing="0"/>
              <w:ind w:left="0" w:right="0"/>
              <w:rPr>
                <w:rFonts w:hint="default"/>
              </w:rPr>
            </w:pPr>
            <w:r>
              <w:t>变化量</w:t>
            </w:r>
          </w:p>
          <w:p w14:paraId="6E969582">
            <w:pPr>
              <w:pStyle w:val="42"/>
              <w:keepNext w:val="0"/>
              <w:keepLines w:val="0"/>
              <w:widowControl/>
              <w:suppressLineNumbers w:val="0"/>
              <w:spacing w:before="0" w:beforeAutospacing="0" w:after="0" w:afterAutospacing="0"/>
              <w:ind w:left="0" w:right="0"/>
              <w:rPr>
                <w:rFonts w:hint="default"/>
              </w:rPr>
            </w:pPr>
            <w:r>
              <w:fldChar w:fldCharType="begin"/>
            </w:r>
            <w:r>
              <w:instrText xml:space="preserve"> = 7 \* GB3 \* MERGEFORMAT </w:instrText>
            </w:r>
            <w:r>
              <w:fldChar w:fldCharType="separate"/>
            </w:r>
            <w:r>
              <w:t>⑦</w:t>
            </w:r>
            <w:r>
              <w:fldChar w:fldCharType="end"/>
            </w:r>
          </w:p>
        </w:tc>
      </w:tr>
      <w:tr w14:paraId="0E7DD1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Align w:val="center"/>
          </w:tcPr>
          <w:p w14:paraId="739E9753">
            <w:pPr>
              <w:pStyle w:val="42"/>
              <w:keepNext w:val="0"/>
              <w:keepLines w:val="0"/>
              <w:widowControl/>
              <w:suppressLineNumbers w:val="0"/>
              <w:spacing w:before="0" w:beforeAutospacing="0" w:after="0" w:afterAutospacing="0"/>
              <w:ind w:left="0" w:right="0"/>
              <w:rPr>
                <w:rFonts w:hint="default"/>
              </w:rPr>
            </w:pPr>
            <w:r>
              <w:t>废气</w:t>
            </w:r>
          </w:p>
        </w:tc>
        <w:tc>
          <w:tcPr>
            <w:tcW w:w="1417" w:type="dxa"/>
            <w:vAlign w:val="center"/>
          </w:tcPr>
          <w:p w14:paraId="262030E8">
            <w:pPr>
              <w:pStyle w:val="42"/>
              <w:keepNext w:val="0"/>
              <w:keepLines w:val="0"/>
              <w:widowControl/>
              <w:suppressLineNumbers w:val="0"/>
              <w:spacing w:before="0" w:beforeAutospacing="0" w:after="0" w:afterAutospacing="0"/>
              <w:ind w:left="0" w:right="0"/>
              <w:rPr>
                <w:rFonts w:hint="default"/>
              </w:rPr>
            </w:pPr>
            <w:r>
              <w:t>颗粒物</w:t>
            </w:r>
          </w:p>
        </w:tc>
        <w:tc>
          <w:tcPr>
            <w:tcW w:w="1701" w:type="dxa"/>
            <w:vAlign w:val="center"/>
          </w:tcPr>
          <w:p w14:paraId="3C010188">
            <w:pPr>
              <w:pStyle w:val="42"/>
              <w:keepNext w:val="0"/>
              <w:keepLines w:val="0"/>
              <w:widowControl/>
              <w:suppressLineNumbers w:val="0"/>
              <w:spacing w:before="0" w:beforeAutospacing="0" w:after="0" w:afterAutospacing="0"/>
              <w:ind w:left="0" w:right="0"/>
              <w:rPr>
                <w:rFonts w:hint="default"/>
              </w:rPr>
            </w:pPr>
          </w:p>
        </w:tc>
        <w:tc>
          <w:tcPr>
            <w:tcW w:w="1276" w:type="dxa"/>
            <w:vAlign w:val="center"/>
          </w:tcPr>
          <w:p w14:paraId="0DA4A2AA">
            <w:pPr>
              <w:pStyle w:val="42"/>
              <w:keepNext w:val="0"/>
              <w:keepLines w:val="0"/>
              <w:widowControl/>
              <w:suppressLineNumbers w:val="0"/>
              <w:spacing w:before="0" w:beforeAutospacing="0" w:after="0" w:afterAutospacing="0"/>
              <w:ind w:left="0" w:right="0"/>
              <w:rPr>
                <w:rFonts w:hint="default"/>
              </w:rPr>
            </w:pPr>
          </w:p>
        </w:tc>
        <w:tc>
          <w:tcPr>
            <w:tcW w:w="1701" w:type="dxa"/>
            <w:vAlign w:val="center"/>
          </w:tcPr>
          <w:p w14:paraId="00010896">
            <w:pPr>
              <w:pStyle w:val="42"/>
              <w:keepNext w:val="0"/>
              <w:keepLines w:val="0"/>
              <w:widowControl/>
              <w:suppressLineNumbers w:val="0"/>
              <w:spacing w:before="0" w:beforeAutospacing="0" w:after="0" w:afterAutospacing="0"/>
              <w:ind w:left="0" w:right="0"/>
              <w:rPr>
                <w:rFonts w:hint="default"/>
              </w:rPr>
            </w:pPr>
          </w:p>
        </w:tc>
        <w:tc>
          <w:tcPr>
            <w:tcW w:w="1559" w:type="dxa"/>
            <w:vAlign w:val="center"/>
          </w:tcPr>
          <w:p w14:paraId="42B31824">
            <w:pPr>
              <w:pStyle w:val="42"/>
              <w:keepNext w:val="0"/>
              <w:keepLines w:val="0"/>
              <w:widowControl/>
              <w:suppressLineNumbers w:val="0"/>
              <w:spacing w:before="0" w:beforeAutospacing="0" w:after="0" w:afterAutospacing="0"/>
              <w:ind w:left="0" w:right="0"/>
              <w:rPr>
                <w:rFonts w:hint="default"/>
              </w:rPr>
            </w:pPr>
            <w:r>
              <w:t>0.2717t/a</w:t>
            </w:r>
          </w:p>
        </w:tc>
        <w:tc>
          <w:tcPr>
            <w:tcW w:w="1761" w:type="dxa"/>
            <w:vAlign w:val="center"/>
          </w:tcPr>
          <w:p w14:paraId="6BB1F904">
            <w:pPr>
              <w:pStyle w:val="42"/>
              <w:keepNext w:val="0"/>
              <w:keepLines w:val="0"/>
              <w:widowControl/>
              <w:suppressLineNumbers w:val="0"/>
              <w:spacing w:before="0" w:beforeAutospacing="0" w:after="0" w:afterAutospacing="0"/>
              <w:ind w:left="0" w:right="0"/>
              <w:rPr>
                <w:rFonts w:hint="default"/>
              </w:rPr>
            </w:pPr>
          </w:p>
        </w:tc>
        <w:tc>
          <w:tcPr>
            <w:tcW w:w="1959" w:type="dxa"/>
            <w:vAlign w:val="center"/>
          </w:tcPr>
          <w:p w14:paraId="25AAF149">
            <w:pPr>
              <w:pStyle w:val="42"/>
              <w:keepNext w:val="0"/>
              <w:keepLines w:val="0"/>
              <w:widowControl/>
              <w:suppressLineNumbers w:val="0"/>
              <w:spacing w:before="0" w:beforeAutospacing="0" w:after="0" w:afterAutospacing="0"/>
              <w:ind w:left="0" w:right="0"/>
              <w:rPr>
                <w:rFonts w:hint="default"/>
              </w:rPr>
            </w:pPr>
            <w:r>
              <w:t>0.2717t/a</w:t>
            </w:r>
          </w:p>
        </w:tc>
        <w:tc>
          <w:tcPr>
            <w:tcW w:w="826" w:type="dxa"/>
            <w:vAlign w:val="center"/>
          </w:tcPr>
          <w:p w14:paraId="29F7477A">
            <w:pPr>
              <w:pStyle w:val="42"/>
              <w:keepNext w:val="0"/>
              <w:keepLines w:val="0"/>
              <w:widowControl/>
              <w:suppressLineNumbers w:val="0"/>
              <w:spacing w:before="0" w:beforeAutospacing="0" w:after="0" w:afterAutospacing="0"/>
              <w:ind w:left="0" w:right="0"/>
              <w:rPr>
                <w:rFonts w:hint="default"/>
              </w:rPr>
            </w:pPr>
          </w:p>
        </w:tc>
      </w:tr>
      <w:tr w14:paraId="57E639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14:paraId="0BDB5F4B">
            <w:pPr>
              <w:pStyle w:val="42"/>
              <w:keepNext w:val="0"/>
              <w:keepLines w:val="0"/>
              <w:widowControl/>
              <w:suppressLineNumbers w:val="0"/>
              <w:spacing w:before="0" w:beforeAutospacing="0" w:after="0" w:afterAutospacing="0"/>
              <w:ind w:left="0" w:right="0"/>
              <w:rPr>
                <w:rFonts w:hint="default"/>
              </w:rPr>
            </w:pPr>
            <w:r>
              <w:t>废水</w:t>
            </w:r>
          </w:p>
        </w:tc>
        <w:tc>
          <w:tcPr>
            <w:tcW w:w="1417" w:type="dxa"/>
            <w:vAlign w:val="center"/>
          </w:tcPr>
          <w:p w14:paraId="79E36568">
            <w:pPr>
              <w:pStyle w:val="42"/>
              <w:keepNext w:val="0"/>
              <w:keepLines w:val="0"/>
              <w:widowControl/>
              <w:suppressLineNumbers w:val="0"/>
              <w:spacing w:before="0" w:beforeAutospacing="0" w:after="0" w:afterAutospacing="0"/>
              <w:ind w:left="0" w:right="0"/>
              <w:rPr>
                <w:rFonts w:hint="default"/>
              </w:rPr>
            </w:pPr>
            <w:r>
              <w:t>/</w:t>
            </w:r>
          </w:p>
        </w:tc>
        <w:tc>
          <w:tcPr>
            <w:tcW w:w="1701" w:type="dxa"/>
            <w:vAlign w:val="center"/>
          </w:tcPr>
          <w:p w14:paraId="23B64A95">
            <w:pPr>
              <w:pStyle w:val="42"/>
              <w:keepNext w:val="0"/>
              <w:keepLines w:val="0"/>
              <w:widowControl/>
              <w:suppressLineNumbers w:val="0"/>
              <w:spacing w:before="0" w:beforeAutospacing="0" w:after="0" w:afterAutospacing="0"/>
              <w:ind w:left="0" w:right="0"/>
              <w:rPr>
                <w:rFonts w:hint="default"/>
              </w:rPr>
            </w:pPr>
          </w:p>
        </w:tc>
        <w:tc>
          <w:tcPr>
            <w:tcW w:w="1276" w:type="dxa"/>
            <w:vAlign w:val="center"/>
          </w:tcPr>
          <w:p w14:paraId="2357FD17">
            <w:pPr>
              <w:pStyle w:val="42"/>
              <w:keepNext w:val="0"/>
              <w:keepLines w:val="0"/>
              <w:widowControl/>
              <w:suppressLineNumbers w:val="0"/>
              <w:spacing w:before="0" w:beforeAutospacing="0" w:after="0" w:afterAutospacing="0"/>
              <w:ind w:left="0" w:right="0"/>
              <w:rPr>
                <w:rFonts w:hint="default"/>
              </w:rPr>
            </w:pPr>
          </w:p>
        </w:tc>
        <w:tc>
          <w:tcPr>
            <w:tcW w:w="1701" w:type="dxa"/>
            <w:vAlign w:val="center"/>
          </w:tcPr>
          <w:p w14:paraId="01950F5C">
            <w:pPr>
              <w:pStyle w:val="42"/>
              <w:keepNext w:val="0"/>
              <w:keepLines w:val="0"/>
              <w:widowControl/>
              <w:suppressLineNumbers w:val="0"/>
              <w:spacing w:before="0" w:beforeAutospacing="0" w:after="0" w:afterAutospacing="0"/>
              <w:ind w:left="0" w:right="0"/>
              <w:rPr>
                <w:rFonts w:hint="default"/>
              </w:rPr>
            </w:pPr>
          </w:p>
        </w:tc>
        <w:tc>
          <w:tcPr>
            <w:tcW w:w="1559" w:type="dxa"/>
            <w:vAlign w:val="center"/>
          </w:tcPr>
          <w:p w14:paraId="4E7AF225">
            <w:pPr>
              <w:pStyle w:val="42"/>
              <w:keepNext w:val="0"/>
              <w:keepLines w:val="0"/>
              <w:widowControl/>
              <w:suppressLineNumbers w:val="0"/>
              <w:spacing w:before="0" w:beforeAutospacing="0" w:after="0" w:afterAutospacing="0"/>
              <w:ind w:left="0" w:right="0"/>
              <w:rPr>
                <w:rFonts w:hint="default"/>
              </w:rPr>
            </w:pPr>
            <w:r>
              <w:t>/</w:t>
            </w:r>
          </w:p>
        </w:tc>
        <w:tc>
          <w:tcPr>
            <w:tcW w:w="1761" w:type="dxa"/>
            <w:vAlign w:val="center"/>
          </w:tcPr>
          <w:p w14:paraId="5DA85859">
            <w:pPr>
              <w:pStyle w:val="42"/>
              <w:keepNext w:val="0"/>
              <w:keepLines w:val="0"/>
              <w:widowControl/>
              <w:suppressLineNumbers w:val="0"/>
              <w:spacing w:before="0" w:beforeAutospacing="0" w:after="0" w:afterAutospacing="0"/>
              <w:ind w:left="0" w:right="0"/>
              <w:rPr>
                <w:rFonts w:hint="default"/>
              </w:rPr>
            </w:pPr>
          </w:p>
        </w:tc>
        <w:tc>
          <w:tcPr>
            <w:tcW w:w="1959" w:type="dxa"/>
            <w:vAlign w:val="center"/>
          </w:tcPr>
          <w:p w14:paraId="1E522AA5">
            <w:pPr>
              <w:pStyle w:val="42"/>
              <w:keepNext w:val="0"/>
              <w:keepLines w:val="0"/>
              <w:widowControl/>
              <w:suppressLineNumbers w:val="0"/>
              <w:spacing w:before="0" w:beforeAutospacing="0" w:after="0" w:afterAutospacing="0"/>
              <w:ind w:left="0" w:right="0"/>
              <w:rPr>
                <w:rFonts w:hint="default"/>
              </w:rPr>
            </w:pPr>
            <w:r>
              <w:t>/</w:t>
            </w:r>
          </w:p>
        </w:tc>
        <w:tc>
          <w:tcPr>
            <w:tcW w:w="826" w:type="dxa"/>
            <w:vAlign w:val="center"/>
          </w:tcPr>
          <w:p w14:paraId="513ACD63">
            <w:pPr>
              <w:pStyle w:val="42"/>
              <w:keepNext w:val="0"/>
              <w:keepLines w:val="0"/>
              <w:widowControl/>
              <w:suppressLineNumbers w:val="0"/>
              <w:spacing w:before="0" w:beforeAutospacing="0" w:after="0" w:afterAutospacing="0"/>
              <w:ind w:left="0" w:right="0"/>
              <w:rPr>
                <w:rFonts w:hint="default"/>
              </w:rPr>
            </w:pPr>
          </w:p>
        </w:tc>
      </w:tr>
      <w:tr w14:paraId="0A2E03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14:paraId="3644BB27">
            <w:pPr>
              <w:pStyle w:val="42"/>
              <w:keepNext w:val="0"/>
              <w:keepLines w:val="0"/>
              <w:widowControl/>
              <w:suppressLineNumbers w:val="0"/>
              <w:spacing w:before="0" w:beforeAutospacing="0" w:after="0" w:afterAutospacing="0"/>
              <w:ind w:left="0" w:right="0"/>
              <w:rPr>
                <w:rFonts w:hint="default"/>
              </w:rPr>
            </w:pPr>
            <w:r>
              <w:t>一般工业</w:t>
            </w:r>
          </w:p>
          <w:p w14:paraId="05CC91CD">
            <w:pPr>
              <w:pStyle w:val="42"/>
              <w:keepNext w:val="0"/>
              <w:keepLines w:val="0"/>
              <w:widowControl/>
              <w:suppressLineNumbers w:val="0"/>
              <w:spacing w:before="0" w:beforeAutospacing="0" w:after="0" w:afterAutospacing="0"/>
              <w:ind w:left="0" w:right="0"/>
              <w:rPr>
                <w:rFonts w:hint="default"/>
              </w:rPr>
            </w:pPr>
            <w:r>
              <w:t>固体废物</w:t>
            </w:r>
          </w:p>
        </w:tc>
        <w:tc>
          <w:tcPr>
            <w:tcW w:w="1417" w:type="dxa"/>
            <w:vAlign w:val="center"/>
          </w:tcPr>
          <w:p w14:paraId="140215A8">
            <w:pPr>
              <w:pStyle w:val="42"/>
              <w:keepNext w:val="0"/>
              <w:keepLines w:val="0"/>
              <w:widowControl/>
              <w:suppressLineNumbers w:val="0"/>
              <w:spacing w:before="0" w:beforeAutospacing="0" w:after="0" w:afterAutospacing="0"/>
              <w:ind w:left="0" w:right="0"/>
              <w:rPr>
                <w:rFonts w:hint="default"/>
              </w:rPr>
            </w:pPr>
            <w:r>
              <w:t>布袋除尘器收集尘</w:t>
            </w:r>
          </w:p>
        </w:tc>
        <w:tc>
          <w:tcPr>
            <w:tcW w:w="1701" w:type="dxa"/>
            <w:vAlign w:val="center"/>
          </w:tcPr>
          <w:p w14:paraId="2F0579A4">
            <w:pPr>
              <w:pStyle w:val="42"/>
              <w:keepNext w:val="0"/>
              <w:keepLines w:val="0"/>
              <w:widowControl/>
              <w:suppressLineNumbers w:val="0"/>
              <w:spacing w:before="0" w:beforeAutospacing="0" w:after="0" w:afterAutospacing="0"/>
              <w:ind w:left="0" w:right="0"/>
              <w:rPr>
                <w:rFonts w:hint="default"/>
              </w:rPr>
            </w:pPr>
          </w:p>
        </w:tc>
        <w:tc>
          <w:tcPr>
            <w:tcW w:w="1276" w:type="dxa"/>
            <w:vAlign w:val="center"/>
          </w:tcPr>
          <w:p w14:paraId="0018577B">
            <w:pPr>
              <w:pStyle w:val="42"/>
              <w:keepNext w:val="0"/>
              <w:keepLines w:val="0"/>
              <w:widowControl/>
              <w:suppressLineNumbers w:val="0"/>
              <w:spacing w:before="0" w:beforeAutospacing="0" w:after="0" w:afterAutospacing="0"/>
              <w:ind w:left="0" w:right="0"/>
              <w:rPr>
                <w:rFonts w:hint="default"/>
              </w:rPr>
            </w:pPr>
          </w:p>
        </w:tc>
        <w:tc>
          <w:tcPr>
            <w:tcW w:w="1701" w:type="dxa"/>
            <w:vAlign w:val="center"/>
          </w:tcPr>
          <w:p w14:paraId="40E0C76D">
            <w:pPr>
              <w:pStyle w:val="42"/>
              <w:keepNext w:val="0"/>
              <w:keepLines w:val="0"/>
              <w:widowControl/>
              <w:suppressLineNumbers w:val="0"/>
              <w:spacing w:before="0" w:beforeAutospacing="0" w:after="0" w:afterAutospacing="0"/>
              <w:ind w:left="0" w:right="0"/>
              <w:rPr>
                <w:rFonts w:hint="default"/>
              </w:rPr>
            </w:pPr>
          </w:p>
        </w:tc>
        <w:tc>
          <w:tcPr>
            <w:tcW w:w="1559" w:type="dxa"/>
            <w:vAlign w:val="center"/>
          </w:tcPr>
          <w:p w14:paraId="0A4F6DDB">
            <w:pPr>
              <w:pStyle w:val="42"/>
              <w:keepNext w:val="0"/>
              <w:keepLines w:val="0"/>
              <w:widowControl/>
              <w:suppressLineNumbers w:val="0"/>
              <w:spacing w:before="0" w:beforeAutospacing="0" w:after="0" w:afterAutospacing="0"/>
              <w:ind w:left="0" w:right="0"/>
              <w:rPr>
                <w:rFonts w:hint="default"/>
              </w:rPr>
            </w:pPr>
            <w:r>
              <w:t>11.25t/a</w:t>
            </w:r>
          </w:p>
        </w:tc>
        <w:tc>
          <w:tcPr>
            <w:tcW w:w="1761" w:type="dxa"/>
            <w:vAlign w:val="center"/>
          </w:tcPr>
          <w:p w14:paraId="24360FBA">
            <w:pPr>
              <w:pStyle w:val="42"/>
              <w:keepNext w:val="0"/>
              <w:keepLines w:val="0"/>
              <w:widowControl/>
              <w:suppressLineNumbers w:val="0"/>
              <w:spacing w:before="0" w:beforeAutospacing="0" w:after="0" w:afterAutospacing="0"/>
              <w:ind w:left="0" w:right="0"/>
              <w:rPr>
                <w:rFonts w:hint="default"/>
              </w:rPr>
            </w:pPr>
          </w:p>
        </w:tc>
        <w:tc>
          <w:tcPr>
            <w:tcW w:w="1959" w:type="dxa"/>
            <w:vAlign w:val="center"/>
          </w:tcPr>
          <w:p w14:paraId="490609A4">
            <w:pPr>
              <w:pStyle w:val="42"/>
              <w:keepNext w:val="0"/>
              <w:keepLines w:val="0"/>
              <w:widowControl/>
              <w:suppressLineNumbers w:val="0"/>
              <w:spacing w:before="0" w:beforeAutospacing="0" w:after="0" w:afterAutospacing="0"/>
              <w:ind w:left="0" w:right="0"/>
              <w:rPr>
                <w:rFonts w:hint="default"/>
              </w:rPr>
            </w:pPr>
            <w:r>
              <w:t>11.25t/a</w:t>
            </w:r>
          </w:p>
        </w:tc>
        <w:tc>
          <w:tcPr>
            <w:tcW w:w="826" w:type="dxa"/>
            <w:vAlign w:val="center"/>
          </w:tcPr>
          <w:p w14:paraId="07ACC5D4">
            <w:pPr>
              <w:pStyle w:val="42"/>
              <w:keepNext w:val="0"/>
              <w:keepLines w:val="0"/>
              <w:widowControl/>
              <w:suppressLineNumbers w:val="0"/>
              <w:spacing w:before="0" w:beforeAutospacing="0" w:after="0" w:afterAutospacing="0"/>
              <w:ind w:left="0" w:right="0"/>
              <w:rPr>
                <w:rFonts w:hint="default"/>
              </w:rPr>
            </w:pPr>
          </w:p>
        </w:tc>
      </w:tr>
      <w:tr w14:paraId="4617E2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2237C392">
            <w:pPr>
              <w:pStyle w:val="42"/>
              <w:keepNext w:val="0"/>
              <w:keepLines w:val="0"/>
              <w:widowControl/>
              <w:suppressLineNumbers w:val="0"/>
              <w:spacing w:before="0" w:beforeAutospacing="0" w:after="0" w:afterAutospacing="0"/>
              <w:ind w:left="0" w:right="0"/>
              <w:rPr>
                <w:rFonts w:hint="default"/>
              </w:rPr>
            </w:pPr>
            <w:r>
              <w:t>危险废物</w:t>
            </w:r>
          </w:p>
        </w:tc>
        <w:tc>
          <w:tcPr>
            <w:tcW w:w="1417" w:type="dxa"/>
            <w:vAlign w:val="center"/>
          </w:tcPr>
          <w:p w14:paraId="50567435">
            <w:pPr>
              <w:pStyle w:val="42"/>
              <w:keepNext w:val="0"/>
              <w:keepLines w:val="0"/>
              <w:widowControl/>
              <w:suppressLineNumbers w:val="0"/>
              <w:spacing w:before="0" w:beforeAutospacing="0" w:after="0" w:afterAutospacing="0"/>
              <w:ind w:left="0" w:right="0"/>
              <w:rPr>
                <w:rFonts w:hint="default"/>
              </w:rPr>
            </w:pPr>
            <w:r>
              <w:t>废润滑油</w:t>
            </w:r>
          </w:p>
        </w:tc>
        <w:tc>
          <w:tcPr>
            <w:tcW w:w="1701" w:type="dxa"/>
            <w:vAlign w:val="center"/>
          </w:tcPr>
          <w:p w14:paraId="1FB4E9A0">
            <w:pPr>
              <w:pStyle w:val="42"/>
              <w:keepNext w:val="0"/>
              <w:keepLines w:val="0"/>
              <w:widowControl/>
              <w:suppressLineNumbers w:val="0"/>
              <w:spacing w:before="0" w:beforeAutospacing="0" w:after="0" w:afterAutospacing="0"/>
              <w:ind w:left="0" w:right="0"/>
              <w:rPr>
                <w:rFonts w:hint="default"/>
              </w:rPr>
            </w:pPr>
          </w:p>
        </w:tc>
        <w:tc>
          <w:tcPr>
            <w:tcW w:w="1276" w:type="dxa"/>
            <w:vAlign w:val="center"/>
          </w:tcPr>
          <w:p w14:paraId="7A7366D4">
            <w:pPr>
              <w:pStyle w:val="42"/>
              <w:keepNext w:val="0"/>
              <w:keepLines w:val="0"/>
              <w:widowControl/>
              <w:suppressLineNumbers w:val="0"/>
              <w:spacing w:before="0" w:beforeAutospacing="0" w:after="0" w:afterAutospacing="0"/>
              <w:ind w:left="0" w:right="0"/>
              <w:rPr>
                <w:rFonts w:hint="default"/>
              </w:rPr>
            </w:pPr>
          </w:p>
        </w:tc>
        <w:tc>
          <w:tcPr>
            <w:tcW w:w="1701" w:type="dxa"/>
            <w:vAlign w:val="center"/>
          </w:tcPr>
          <w:p w14:paraId="383CCCB3">
            <w:pPr>
              <w:pStyle w:val="42"/>
              <w:keepNext w:val="0"/>
              <w:keepLines w:val="0"/>
              <w:widowControl/>
              <w:suppressLineNumbers w:val="0"/>
              <w:spacing w:before="0" w:beforeAutospacing="0" w:after="0" w:afterAutospacing="0"/>
              <w:ind w:left="0" w:right="0"/>
              <w:rPr>
                <w:rFonts w:hint="default"/>
              </w:rPr>
            </w:pPr>
          </w:p>
        </w:tc>
        <w:tc>
          <w:tcPr>
            <w:tcW w:w="1559" w:type="dxa"/>
            <w:vAlign w:val="center"/>
          </w:tcPr>
          <w:p w14:paraId="0F85C845">
            <w:pPr>
              <w:pStyle w:val="42"/>
              <w:keepNext w:val="0"/>
              <w:keepLines w:val="0"/>
              <w:widowControl/>
              <w:suppressLineNumbers w:val="0"/>
              <w:spacing w:before="0" w:beforeAutospacing="0" w:after="0" w:afterAutospacing="0"/>
              <w:ind w:left="0" w:right="0"/>
              <w:rPr>
                <w:rFonts w:hint="default"/>
              </w:rPr>
            </w:pPr>
            <w:r>
              <w:t>0.02t/a</w:t>
            </w:r>
          </w:p>
        </w:tc>
        <w:tc>
          <w:tcPr>
            <w:tcW w:w="1761" w:type="dxa"/>
            <w:vAlign w:val="center"/>
          </w:tcPr>
          <w:p w14:paraId="1A60BF5C">
            <w:pPr>
              <w:pStyle w:val="42"/>
              <w:keepNext w:val="0"/>
              <w:keepLines w:val="0"/>
              <w:widowControl/>
              <w:suppressLineNumbers w:val="0"/>
              <w:spacing w:before="0" w:beforeAutospacing="0" w:after="0" w:afterAutospacing="0"/>
              <w:ind w:left="0" w:right="0"/>
              <w:rPr>
                <w:rFonts w:hint="default"/>
              </w:rPr>
            </w:pPr>
          </w:p>
        </w:tc>
        <w:tc>
          <w:tcPr>
            <w:tcW w:w="1959" w:type="dxa"/>
            <w:vAlign w:val="center"/>
          </w:tcPr>
          <w:p w14:paraId="0C99DA0F">
            <w:pPr>
              <w:pStyle w:val="42"/>
              <w:keepNext w:val="0"/>
              <w:keepLines w:val="0"/>
              <w:widowControl/>
              <w:suppressLineNumbers w:val="0"/>
              <w:spacing w:before="0" w:beforeAutospacing="0" w:after="0" w:afterAutospacing="0"/>
              <w:ind w:left="0" w:right="0"/>
              <w:rPr>
                <w:rFonts w:hint="default"/>
              </w:rPr>
            </w:pPr>
            <w:r>
              <w:t>0.02t/a</w:t>
            </w:r>
          </w:p>
        </w:tc>
        <w:tc>
          <w:tcPr>
            <w:tcW w:w="826" w:type="dxa"/>
            <w:vAlign w:val="center"/>
          </w:tcPr>
          <w:p w14:paraId="054F1651">
            <w:pPr>
              <w:pStyle w:val="42"/>
              <w:keepNext w:val="0"/>
              <w:keepLines w:val="0"/>
              <w:widowControl/>
              <w:suppressLineNumbers w:val="0"/>
              <w:spacing w:before="0" w:beforeAutospacing="0" w:after="0" w:afterAutospacing="0"/>
              <w:ind w:left="0" w:right="0"/>
              <w:rPr>
                <w:rFonts w:hint="default"/>
              </w:rPr>
            </w:pPr>
          </w:p>
        </w:tc>
      </w:tr>
      <w:tr w14:paraId="0F5E3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1D6BDB47">
            <w:pPr>
              <w:pStyle w:val="42"/>
              <w:keepNext w:val="0"/>
              <w:keepLines w:val="0"/>
              <w:widowControl/>
              <w:suppressLineNumbers w:val="0"/>
              <w:spacing w:before="0" w:beforeAutospacing="0" w:after="0" w:afterAutospacing="0"/>
              <w:ind w:left="0" w:right="0"/>
              <w:rPr>
                <w:rFonts w:hint="default"/>
              </w:rPr>
            </w:pPr>
          </w:p>
        </w:tc>
        <w:tc>
          <w:tcPr>
            <w:tcW w:w="1417" w:type="dxa"/>
            <w:vAlign w:val="center"/>
          </w:tcPr>
          <w:p w14:paraId="4DC804B0">
            <w:pPr>
              <w:pStyle w:val="42"/>
              <w:keepNext w:val="0"/>
              <w:keepLines w:val="0"/>
              <w:widowControl/>
              <w:suppressLineNumbers w:val="0"/>
              <w:spacing w:before="0" w:beforeAutospacing="0" w:after="0" w:afterAutospacing="0"/>
              <w:ind w:left="0" w:right="0"/>
              <w:rPr>
                <w:rFonts w:hint="default"/>
              </w:rPr>
            </w:pPr>
            <w:r>
              <w:t>废润滑油桶</w:t>
            </w:r>
          </w:p>
        </w:tc>
        <w:tc>
          <w:tcPr>
            <w:tcW w:w="1701" w:type="dxa"/>
            <w:vAlign w:val="center"/>
          </w:tcPr>
          <w:p w14:paraId="0D68C23C">
            <w:pPr>
              <w:pStyle w:val="42"/>
              <w:keepNext w:val="0"/>
              <w:keepLines w:val="0"/>
              <w:widowControl/>
              <w:suppressLineNumbers w:val="0"/>
              <w:spacing w:before="0" w:beforeAutospacing="0" w:after="0" w:afterAutospacing="0"/>
              <w:ind w:left="0" w:right="0"/>
              <w:rPr>
                <w:rFonts w:hint="default"/>
              </w:rPr>
            </w:pPr>
          </w:p>
        </w:tc>
        <w:tc>
          <w:tcPr>
            <w:tcW w:w="1276" w:type="dxa"/>
            <w:vAlign w:val="center"/>
          </w:tcPr>
          <w:p w14:paraId="06F039AA">
            <w:pPr>
              <w:pStyle w:val="42"/>
              <w:keepNext w:val="0"/>
              <w:keepLines w:val="0"/>
              <w:widowControl/>
              <w:suppressLineNumbers w:val="0"/>
              <w:spacing w:before="0" w:beforeAutospacing="0" w:after="0" w:afterAutospacing="0"/>
              <w:ind w:left="0" w:right="0"/>
              <w:rPr>
                <w:rFonts w:hint="default"/>
              </w:rPr>
            </w:pPr>
          </w:p>
        </w:tc>
        <w:tc>
          <w:tcPr>
            <w:tcW w:w="1701" w:type="dxa"/>
            <w:vAlign w:val="center"/>
          </w:tcPr>
          <w:p w14:paraId="48E0D545">
            <w:pPr>
              <w:pStyle w:val="42"/>
              <w:keepNext w:val="0"/>
              <w:keepLines w:val="0"/>
              <w:widowControl/>
              <w:suppressLineNumbers w:val="0"/>
              <w:spacing w:before="0" w:beforeAutospacing="0" w:after="0" w:afterAutospacing="0"/>
              <w:ind w:left="0" w:right="0"/>
              <w:rPr>
                <w:rFonts w:hint="default"/>
              </w:rPr>
            </w:pPr>
          </w:p>
        </w:tc>
        <w:tc>
          <w:tcPr>
            <w:tcW w:w="1559" w:type="dxa"/>
            <w:vAlign w:val="center"/>
          </w:tcPr>
          <w:p w14:paraId="74629FD7">
            <w:pPr>
              <w:pStyle w:val="42"/>
              <w:keepNext w:val="0"/>
              <w:keepLines w:val="0"/>
              <w:widowControl/>
              <w:suppressLineNumbers w:val="0"/>
              <w:spacing w:before="0" w:beforeAutospacing="0" w:after="0" w:afterAutospacing="0"/>
              <w:ind w:left="0" w:right="0"/>
              <w:rPr>
                <w:rFonts w:hint="default"/>
              </w:rPr>
            </w:pPr>
            <w:r>
              <w:t>0.01t/a</w:t>
            </w:r>
          </w:p>
        </w:tc>
        <w:tc>
          <w:tcPr>
            <w:tcW w:w="1761" w:type="dxa"/>
            <w:vAlign w:val="center"/>
          </w:tcPr>
          <w:p w14:paraId="069AEAE7">
            <w:pPr>
              <w:pStyle w:val="42"/>
              <w:keepNext w:val="0"/>
              <w:keepLines w:val="0"/>
              <w:widowControl/>
              <w:suppressLineNumbers w:val="0"/>
              <w:spacing w:before="0" w:beforeAutospacing="0" w:after="0" w:afterAutospacing="0"/>
              <w:ind w:left="0" w:right="0"/>
              <w:rPr>
                <w:rFonts w:hint="default"/>
              </w:rPr>
            </w:pPr>
          </w:p>
        </w:tc>
        <w:tc>
          <w:tcPr>
            <w:tcW w:w="1959" w:type="dxa"/>
            <w:vAlign w:val="center"/>
          </w:tcPr>
          <w:p w14:paraId="003253B3">
            <w:pPr>
              <w:pStyle w:val="42"/>
              <w:keepNext w:val="0"/>
              <w:keepLines w:val="0"/>
              <w:widowControl/>
              <w:suppressLineNumbers w:val="0"/>
              <w:spacing w:before="0" w:beforeAutospacing="0" w:after="0" w:afterAutospacing="0"/>
              <w:ind w:left="0" w:right="0"/>
              <w:rPr>
                <w:rFonts w:hint="default"/>
              </w:rPr>
            </w:pPr>
            <w:r>
              <w:t>0.01t/a</w:t>
            </w:r>
          </w:p>
        </w:tc>
        <w:tc>
          <w:tcPr>
            <w:tcW w:w="826" w:type="dxa"/>
            <w:vAlign w:val="center"/>
          </w:tcPr>
          <w:p w14:paraId="25C19AD9">
            <w:pPr>
              <w:pStyle w:val="42"/>
              <w:keepNext w:val="0"/>
              <w:keepLines w:val="0"/>
              <w:widowControl/>
              <w:suppressLineNumbers w:val="0"/>
              <w:spacing w:before="0" w:beforeAutospacing="0" w:after="0" w:afterAutospacing="0"/>
              <w:ind w:left="0" w:right="0"/>
              <w:rPr>
                <w:rFonts w:hint="default"/>
              </w:rPr>
            </w:pPr>
          </w:p>
        </w:tc>
      </w:tr>
    </w:tbl>
    <w:p w14:paraId="2DC013C6">
      <w:pPr>
        <w:spacing w:before="192" w:beforeLines="80" w:after="24"/>
        <w:ind w:firstLine="480"/>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14:paraId="3CC34BCD">
      <w:pPr>
        <w:ind w:firstLine="480"/>
      </w:pPr>
    </w:p>
    <w:p w14:paraId="2F56C81F">
      <w:pPr>
        <w:ind w:firstLine="480"/>
        <w:sectPr>
          <w:footerReference r:id="rId13" w:type="default"/>
          <w:pgSz w:w="16838" w:h="11906" w:orient="landscape"/>
          <w:pgMar w:top="1701" w:right="1531" w:bottom="1701" w:left="1531" w:header="851" w:footer="851" w:gutter="0"/>
          <w:cols w:space="720" w:num="1"/>
          <w:docGrid w:linePitch="312" w:charSpace="0"/>
        </w:sectPr>
      </w:pPr>
    </w:p>
    <w:p w14:paraId="498764A8">
      <w:pPr>
        <w:pStyle w:val="19"/>
        <w:spacing w:before="0" w:beforeAutospacing="0" w:after="0" w:afterAutospacing="0"/>
        <w:ind w:firstLine="640"/>
        <w:outlineLvl w:val="0"/>
        <w:rPr>
          <w:rFonts w:hint="eastAsia" w:ascii="黑体" w:hAnsi="黑体" w:eastAsia="黑体"/>
          <w:snapToGrid w:val="0"/>
          <w:sz w:val="32"/>
          <w:szCs w:val="32"/>
        </w:rPr>
      </w:pPr>
      <w:r>
        <w:rPr>
          <w:rFonts w:hint="eastAsia" w:ascii="黑体" w:hAnsi="黑体" w:eastAsia="黑体"/>
          <w:snapToGrid w:val="0"/>
          <w:sz w:val="32"/>
          <w:szCs w:val="32"/>
        </w:rPr>
        <w:t>附图</w:t>
      </w:r>
    </w:p>
    <w:p w14:paraId="6A2D6A3A">
      <w:pPr>
        <w:ind w:firstLine="0" w:firstLineChars="0"/>
        <w:jc w:val="center"/>
      </w:pPr>
      <w:r>
        <mc:AlternateContent>
          <mc:Choice Requires="wps">
            <w:drawing>
              <wp:anchor distT="0" distB="0" distL="114300" distR="114300" simplePos="0" relativeHeight="251660288" behindDoc="0" locked="0" layoutInCell="1" allowOverlap="1">
                <wp:simplePos x="0" y="0"/>
                <wp:positionH relativeFrom="column">
                  <wp:posOffset>4371340</wp:posOffset>
                </wp:positionH>
                <wp:positionV relativeFrom="paragraph">
                  <wp:posOffset>3238500</wp:posOffset>
                </wp:positionV>
                <wp:extent cx="838200" cy="333375"/>
                <wp:effectExtent l="12700" t="12700" r="292100" b="149225"/>
                <wp:wrapNone/>
                <wp:docPr id="4" name="矩形标注 4"/>
                <wp:cNvGraphicFramePr/>
                <a:graphic xmlns:a="http://schemas.openxmlformats.org/drawingml/2006/main">
                  <a:graphicData uri="http://schemas.microsoft.com/office/word/2010/wordprocessingShape">
                    <wps:wsp>
                      <wps:cNvSpPr/>
                      <wps:spPr>
                        <a:xfrm>
                          <a:off x="0" y="0"/>
                          <a:ext cx="838200" cy="333375"/>
                        </a:xfrm>
                        <a:prstGeom prst="wedgeRectCallout">
                          <a:avLst>
                            <a:gd name="adj1" fmla="val 81440"/>
                            <a:gd name="adj2" fmla="val 86954"/>
                          </a:avLst>
                        </a:prstGeom>
                        <a:solidFill>
                          <a:srgbClr val="FFFFFF"/>
                        </a:solidFill>
                        <a:ln w="25400" cap="flat" cmpd="sng">
                          <a:solidFill>
                            <a:srgbClr val="000000"/>
                          </a:solidFill>
                          <a:prstDash val="solid"/>
                          <a:round/>
                          <a:headEnd type="none" w="med" len="med"/>
                          <a:tailEnd type="none" w="med" len="med"/>
                        </a:ln>
                      </wps:spPr>
                      <wps:txbx>
                        <w:txbxContent>
                          <w:p w14:paraId="64970B69">
                            <w:pPr>
                              <w:ind w:firstLine="0" w:firstLineChars="0"/>
                              <w:jc w:val="both"/>
                            </w:pPr>
                            <w:r>
                              <w:rPr>
                                <w:rFonts w:hint="eastAsia"/>
                              </w:rPr>
                              <w:t>项目位置</w:t>
                            </w:r>
                          </w:p>
                        </w:txbxContent>
                      </wps:txbx>
                      <wps:bodyPr anchor="ctr" anchorCtr="0" upright="1"/>
                    </wps:wsp>
                  </a:graphicData>
                </a:graphic>
              </wp:anchor>
            </w:drawing>
          </mc:Choice>
          <mc:Fallback>
            <w:pict>
              <v:shape id="_x0000_s1026" o:spid="_x0000_s1026" o:spt="61" type="#_x0000_t61" style="position:absolute;left:0pt;margin-left:344.2pt;margin-top:255pt;height:26.25pt;width:66pt;z-index:251660288;v-text-anchor:middle;mso-width-relative:page;mso-height-relative:page;" fillcolor="#FFFFFF" filled="t" stroked="t" coordsize="21600,21600" o:gfxdata="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FItw2AAAAAsBAAAPAAAAAAAAAAEAIAAAACIA&#10;AABkcnMvZG93bnJldi54bWxQSwECFAAUAAAACACHTuJAydMrpUICAACnBAAADgAAAAAAAAABACAA&#10;AAAnAQAAZHJzL2Uyb0RvYy54bWxQSwUGAAAAAAYABgBZAQAA2wUAAAAA&#10;" adj="28391,29582">
                <v:fill on="t" focussize="0,0"/>
                <v:stroke weight="2pt" color="#000000" joinstyle="round"/>
                <v:imagedata o:title=""/>
                <o:lock v:ext="edit" aspectratio="f"/>
                <v:textbox>
                  <w:txbxContent>
                    <w:p w14:paraId="64970B69">
                      <w:pPr>
                        <w:ind w:firstLine="0" w:firstLineChars="0"/>
                        <w:jc w:val="both"/>
                      </w:pPr>
                      <w:r>
                        <w:rPr>
                          <w:rFonts w:hint="eastAsia"/>
                        </w:rPr>
                        <w:t>项目位置</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5427345</wp:posOffset>
                </wp:positionH>
                <wp:positionV relativeFrom="paragraph">
                  <wp:posOffset>3665220</wp:posOffset>
                </wp:positionV>
                <wp:extent cx="85725" cy="104775"/>
                <wp:effectExtent l="12700" t="12700" r="15875" b="15875"/>
                <wp:wrapNone/>
                <wp:docPr id="5" name="五角星 5"/>
                <wp:cNvGraphicFramePr/>
                <a:graphic xmlns:a="http://schemas.openxmlformats.org/drawingml/2006/main">
                  <a:graphicData uri="http://schemas.microsoft.com/office/word/2010/wordprocessingShape">
                    <wps:wsp>
                      <wps:cNvSpPr/>
                      <wps:spPr>
                        <a:xfrm flipH="1">
                          <a:off x="0" y="0"/>
                          <a:ext cx="85725" cy="104775"/>
                        </a:xfrm>
                        <a:prstGeom prst="star5">
                          <a:avLst/>
                        </a:prstGeom>
                        <a:solidFill>
                          <a:srgbClr val="FFFFFF"/>
                        </a:solid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flip:x;margin-left:427.35pt;margin-top:288.6pt;height:8.25pt;width:6.75pt;z-index:251661312;v-text-anchor:middle;mso-width-relative:page;mso-height-relative:page;" fillcolor="#FFFFFF" filled="t" stroked="t" coordsize="85725,104775" o:gfxdata="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&#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JaYWnaAAAACwEAAA8AAAAAAAAAAQAgAAAAIgAAAGRy&#10;cy9kb3ducmV2LnhtbFBLAQIUABQAAAAIAIdO4kCE88JSdQIAAPcEAAAOAAAAAAAAAAEAIAAAACkB&#10;AABkcnMvZTJvRG9jLnhtbFBLBQYAAAAABgAGAFkBAAAQBgAAAAA=&#10;" path="m0,40020l32744,40020,42862,0,52980,40020,85724,40020,59234,64754,69352,104774,42862,80040,16372,104774,26490,64754xe">
                <v:path o:connectlocs="42862,0;0,40020;16372,104774;69352,104774;85724,40020" o:connectangles="247,164,82,82,0"/>
                <v:fill on="t" focussize="0,0"/>
                <v:stroke weight="2pt" color="#000000" joinstyle="round"/>
                <v:imagedata o:title=""/>
                <o:lock v:ext="edit" aspectratio="f"/>
              </v:shape>
            </w:pict>
          </mc:Fallback>
        </mc:AlternateContent>
      </w:r>
      <w:r>
        <w:rPr>
          <w:rFonts w:hint="eastAsia"/>
        </w:rPr>
        <w:drawing>
          <wp:inline distT="0" distB="0" distL="114300" distR="114300">
            <wp:extent cx="6795135" cy="4595495"/>
            <wp:effectExtent l="19050" t="19050" r="24765" b="33655"/>
            <wp:docPr id="59" name="图片 15" descr="承德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descr="承德市"/>
                    <pic:cNvPicPr>
                      <a:picLocks noChangeAspect="1"/>
                    </pic:cNvPicPr>
                  </pic:nvPicPr>
                  <pic:blipFill>
                    <a:blip r:embed="rId23"/>
                    <a:stretch>
                      <a:fillRect/>
                    </a:stretch>
                  </pic:blipFill>
                  <pic:spPr>
                    <a:xfrm>
                      <a:off x="0" y="0"/>
                      <a:ext cx="6795135" cy="4595495"/>
                    </a:xfrm>
                    <a:prstGeom prst="rect">
                      <a:avLst/>
                    </a:prstGeom>
                    <a:noFill/>
                    <a:ln w="19050" cap="flat" cmpd="sng">
                      <a:solidFill>
                        <a:srgbClr val="000000"/>
                      </a:solidFill>
                      <a:prstDash val="solid"/>
                      <a:round/>
                      <a:headEnd type="none" w="med" len="med"/>
                      <a:tailEnd type="none" w="med" len="med"/>
                    </a:ln>
                  </pic:spPr>
                </pic:pic>
              </a:graphicData>
            </a:graphic>
          </wp:inline>
        </w:drawing>
      </w:r>
    </w:p>
    <w:p w14:paraId="664F8133">
      <w:pPr>
        <w:numPr>
          <w:ilvl w:val="0"/>
          <w:numId w:val="23"/>
        </w:numPr>
        <w:ind w:left="0" w:firstLine="0" w:firstLineChars="0"/>
        <w:jc w:val="center"/>
        <w:rPr>
          <w:spacing w:val="3"/>
          <w:sz w:val="30"/>
        </w:rPr>
        <w:sectPr>
          <w:footerReference r:id="rId14" w:type="default"/>
          <w:pgSz w:w="16838" w:h="11906" w:orient="landscape"/>
          <w:pgMar w:top="1531" w:right="1701" w:bottom="1531" w:left="1701" w:header="851" w:footer="851" w:gutter="0"/>
          <w:cols w:space="720" w:num="1"/>
          <w:docGrid w:linePitch="312" w:charSpace="0"/>
        </w:sectPr>
      </w:pPr>
      <w:r>
        <mc:AlternateContent>
          <mc:Choice Requires="wps">
            <w:drawing>
              <wp:anchor distT="0" distB="0" distL="114300" distR="114300" simplePos="0" relativeHeight="251659264" behindDoc="0" locked="0" layoutInCell="1" allowOverlap="1">
                <wp:simplePos x="0" y="0"/>
                <wp:positionH relativeFrom="column">
                  <wp:posOffset>1875155</wp:posOffset>
                </wp:positionH>
                <wp:positionV relativeFrom="paragraph">
                  <wp:posOffset>4844415</wp:posOffset>
                </wp:positionV>
                <wp:extent cx="793750" cy="243205"/>
                <wp:effectExtent l="4445" t="4445" r="20955" b="209550"/>
                <wp:wrapNone/>
                <wp:docPr id="15" name="圆角矩形标注 15"/>
                <wp:cNvGraphicFramePr/>
                <a:graphic xmlns:a="http://schemas.openxmlformats.org/drawingml/2006/main">
                  <a:graphicData uri="http://schemas.microsoft.com/office/word/2010/wordprocessingShape">
                    <wps:wsp>
                      <wps:cNvSpPr/>
                      <wps:spPr>
                        <a:xfrm>
                          <a:off x="0" y="0"/>
                          <a:ext cx="793578" cy="243433"/>
                        </a:xfrm>
                        <a:prstGeom prst="wedgeRoundRectCallout">
                          <a:avLst>
                            <a:gd name="adj1" fmla="val 45775"/>
                            <a:gd name="adj2" fmla="val 126672"/>
                            <a:gd name="adj3" fmla="val 16667"/>
                          </a:avLst>
                        </a:prstGeom>
                        <a:solidFill>
                          <a:srgbClr val="FFFFFF"/>
                        </a:solidFill>
                        <a:ln w="9525" cap="flat" cmpd="sng">
                          <a:solidFill>
                            <a:srgbClr val="FF0000"/>
                          </a:solidFill>
                          <a:prstDash val="solid"/>
                          <a:miter/>
                          <a:headEnd type="none" w="med" len="med"/>
                          <a:tailEnd type="none" w="med" len="med"/>
                        </a:ln>
                        <a:effectLst/>
                      </wps:spPr>
                      <wps:txbx>
                        <w:txbxContent>
                          <w:p w14:paraId="6AB05C6F">
                            <w:pPr>
                              <w:spacing w:line="0" w:lineRule="atLeast"/>
                              <w:ind w:firstLine="482"/>
                              <w:rPr>
                                <w:b/>
                                <w:color w:val="FF0000"/>
                              </w:rPr>
                            </w:pPr>
                            <w:r>
                              <w:rPr>
                                <w:rFonts w:hint="eastAsia" w:hAnsi="宋体"/>
                                <w:b/>
                                <w:color w:val="FF0000"/>
                              </w:rPr>
                              <w:t>建设项目项目</w:t>
                            </w:r>
                          </w:p>
                        </w:txbxContent>
                      </wps:txbx>
                      <wps:bodyPr vert="horz" wrap="square" lIns="18000" tIns="10800" rIns="18000" bIns="10800" anchor="t" anchorCtr="0" upright="1"/>
                    </wps:wsp>
                  </a:graphicData>
                </a:graphic>
              </wp:anchor>
            </w:drawing>
          </mc:Choice>
          <mc:Fallback>
            <w:pict>
              <v:shape id="_x0000_s1026" o:spid="_x0000_s1026" o:spt="62" type="#_x0000_t62" style="position:absolute;left:0pt;margin-left:147.65pt;margin-top:381.45pt;height:19.15pt;width:62.5pt;z-index:251659264;mso-width-relative:page;mso-height-relative:page;" fillcolor="#FFFFFF" filled="t" stroked="t" coordsize="21600,21600" o:gfxdata="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u7URh2AAAAAsB&#10;AAAPAAAAAAAAAAEAIAAAACIAAABkcnMvZG93bnJldi54bWxQSwECFAAUAAAACACHTuJAedxESI0C&#10;AAAyBQAADgAAAAAAAAABACAAAAAnAQAAZHJzL2Uyb0RvYy54bWxQSwUGAAAAAAYABgBZAQAAJgYA&#10;AAAA&#10;" adj="20687,38161,14400">
                <v:fill on="t" focussize="0,0"/>
                <v:stroke color="#FF0000" joinstyle="miter"/>
                <v:imagedata o:title=""/>
                <o:lock v:ext="edit" aspectratio="f"/>
                <v:textbox inset="0.5mm,0.3mm,0.5mm,0.3mm">
                  <w:txbxContent>
                    <w:p w14:paraId="6AB05C6F">
                      <w:pPr>
                        <w:spacing w:line="0" w:lineRule="atLeast"/>
                        <w:ind w:firstLine="482"/>
                        <w:rPr>
                          <w:b/>
                          <w:color w:val="FF0000"/>
                        </w:rPr>
                      </w:pPr>
                      <w:r>
                        <w:rPr>
                          <w:rFonts w:hint="eastAsia" w:hAnsi="宋体"/>
                          <w:b/>
                          <w:color w:val="FF0000"/>
                        </w:rPr>
                        <w:t>建设项目项目</w:t>
                      </w:r>
                    </w:p>
                  </w:txbxContent>
                </v:textbox>
              </v:shape>
            </w:pict>
          </mc:Fallback>
        </mc:AlternateContent>
      </w:r>
      <w:r>
        <w:rPr>
          <w:spacing w:val="3"/>
          <w:sz w:val="30"/>
        </w:rPr>
        <w:t>建设项目地理位置图</w:t>
      </w:r>
    </w:p>
    <w:p w14:paraId="254B548D">
      <w:pPr>
        <w:ind w:firstLine="0" w:firstLineChars="0"/>
        <w:jc w:val="center"/>
        <w:rPr>
          <w:spacing w:val="3"/>
          <w:sz w:val="30"/>
        </w:rPr>
      </w:pPr>
      <w:r>
        <w:rPr>
          <w:rFonts w:hint="eastAsia"/>
          <w:spacing w:val="3"/>
          <w:sz w:val="30"/>
        </w:rPr>
        <w:drawing>
          <wp:inline distT="0" distB="0" distL="114300" distR="114300">
            <wp:extent cx="7604760" cy="5137785"/>
            <wp:effectExtent l="0" t="0" r="15240" b="5715"/>
            <wp:docPr id="6" name="图片 6" descr="b624f2895715601f00ff67686907c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624f2895715601f00ff67686907c1d0"/>
                    <pic:cNvPicPr>
                      <a:picLocks noChangeAspect="1"/>
                    </pic:cNvPicPr>
                  </pic:nvPicPr>
                  <pic:blipFill>
                    <a:blip r:embed="rId24"/>
                    <a:stretch>
                      <a:fillRect/>
                    </a:stretch>
                  </pic:blipFill>
                  <pic:spPr>
                    <a:xfrm>
                      <a:off x="0" y="0"/>
                      <a:ext cx="7604760" cy="5137785"/>
                    </a:xfrm>
                    <a:prstGeom prst="rect">
                      <a:avLst/>
                    </a:prstGeom>
                  </pic:spPr>
                </pic:pic>
              </a:graphicData>
            </a:graphic>
          </wp:inline>
        </w:drawing>
      </w:r>
    </w:p>
    <w:p w14:paraId="55F773AC">
      <w:pPr>
        <w:numPr>
          <w:ilvl w:val="0"/>
          <w:numId w:val="23"/>
        </w:numPr>
        <w:ind w:left="0" w:firstLine="0" w:firstLineChars="0"/>
        <w:jc w:val="center"/>
        <w:rPr>
          <w:spacing w:val="3"/>
          <w:sz w:val="30"/>
        </w:rPr>
      </w:pPr>
      <w:r>
        <w:rPr>
          <w:spacing w:val="3"/>
          <w:sz w:val="30"/>
        </w:rPr>
        <w:t>厂区平面布置</w:t>
      </w:r>
    </w:p>
    <w:p w14:paraId="347A5BB3">
      <w:pPr>
        <w:ind w:firstLine="612"/>
        <w:rPr>
          <w:spacing w:val="3"/>
          <w:sz w:val="30"/>
        </w:rPr>
        <w:sectPr>
          <w:type w:val="continuous"/>
          <w:pgSz w:w="16838" w:h="11906" w:orient="landscape"/>
          <w:pgMar w:top="1531" w:right="1701" w:bottom="1531" w:left="1701" w:header="851" w:footer="851" w:gutter="0"/>
          <w:cols w:space="720" w:num="1"/>
          <w:docGrid w:linePitch="312" w:charSpace="0"/>
        </w:sectPr>
      </w:pPr>
    </w:p>
    <w:p w14:paraId="3117410F">
      <w:pPr>
        <w:ind w:firstLine="0" w:firstLineChars="0"/>
        <w:jc w:val="center"/>
        <w:rPr>
          <w:spacing w:val="3"/>
          <w:sz w:val="30"/>
        </w:rPr>
      </w:pPr>
      <w:r>
        <w:rPr>
          <w:rFonts w:hint="eastAsia"/>
          <w:spacing w:val="3"/>
          <w:sz w:val="30"/>
        </w:rPr>
        <w:drawing>
          <wp:inline distT="0" distB="0" distL="114300" distR="114300">
            <wp:extent cx="8202295" cy="5158740"/>
            <wp:effectExtent l="0" t="0" r="8255" b="3810"/>
            <wp:docPr id="31" name="图片 31" descr="6ec7dceb2855fd66f9f420752606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ec7dceb2855fd66f9f4207526067431"/>
                    <pic:cNvPicPr>
                      <a:picLocks noChangeAspect="1"/>
                    </pic:cNvPicPr>
                  </pic:nvPicPr>
                  <pic:blipFill>
                    <a:blip r:embed="rId25"/>
                    <a:stretch>
                      <a:fillRect/>
                    </a:stretch>
                  </pic:blipFill>
                  <pic:spPr>
                    <a:xfrm>
                      <a:off x="0" y="0"/>
                      <a:ext cx="8202295" cy="5158740"/>
                    </a:xfrm>
                    <a:prstGeom prst="rect">
                      <a:avLst/>
                    </a:prstGeom>
                  </pic:spPr>
                </pic:pic>
              </a:graphicData>
            </a:graphic>
          </wp:inline>
        </w:drawing>
      </w:r>
    </w:p>
    <w:p w14:paraId="64279817">
      <w:pPr>
        <w:numPr>
          <w:ilvl w:val="0"/>
          <w:numId w:val="23"/>
        </w:numPr>
        <w:ind w:left="0" w:firstLine="0" w:firstLineChars="0"/>
        <w:jc w:val="center"/>
        <w:rPr>
          <w:spacing w:val="3"/>
          <w:sz w:val="30"/>
        </w:rPr>
      </w:pPr>
      <w:r>
        <w:rPr>
          <w:spacing w:val="3"/>
          <w:sz w:val="30"/>
        </w:rPr>
        <w:t>环境保护目标分布图</w:t>
      </w:r>
    </w:p>
    <w:p w14:paraId="0F6F08B1">
      <w:pPr>
        <w:ind w:left="420" w:firstLine="480"/>
        <w:sectPr>
          <w:type w:val="continuous"/>
          <w:pgSz w:w="16838" w:h="11906" w:orient="landscape"/>
          <w:pgMar w:top="1531" w:right="1701" w:bottom="1531" w:left="1701" w:header="851" w:footer="851" w:gutter="0"/>
          <w:cols w:space="720" w:num="1"/>
          <w:docGrid w:linePitch="312" w:charSpace="0"/>
        </w:sectPr>
      </w:pPr>
    </w:p>
    <w:p w14:paraId="24F49D0A">
      <w:pPr>
        <w:pStyle w:val="19"/>
        <w:spacing w:before="0" w:beforeAutospacing="0" w:after="0" w:afterAutospacing="0" w:line="648" w:lineRule="auto"/>
        <w:ind w:firstLine="640"/>
        <w:outlineLvl w:val="0"/>
        <w:rPr>
          <w:rFonts w:hint="eastAsia" w:ascii="黑体" w:hAnsi="黑体" w:eastAsia="黑体"/>
          <w:snapToGrid w:val="0"/>
          <w:sz w:val="32"/>
          <w:szCs w:val="32"/>
        </w:rPr>
      </w:pPr>
      <w:r>
        <w:rPr>
          <w:rFonts w:hint="eastAsia" w:ascii="黑体" w:hAnsi="黑体" w:eastAsia="黑体"/>
          <w:snapToGrid w:val="0"/>
          <w:sz w:val="32"/>
          <w:szCs w:val="32"/>
        </w:rPr>
        <w:t>附件</w:t>
      </w:r>
    </w:p>
    <w:p w14:paraId="57395954">
      <w:pPr>
        <w:pStyle w:val="19"/>
        <w:spacing w:before="0" w:beforeAutospacing="0" w:after="0" w:afterAutospacing="0"/>
        <w:ind w:firstLine="640"/>
        <w:outlineLvl w:val="0"/>
        <w:rPr>
          <w:rFonts w:hint="eastAsia" w:ascii="黑体" w:hAnsi="黑体" w:eastAsia="黑体"/>
          <w:snapToGrid w:val="0"/>
          <w:sz w:val="32"/>
          <w:szCs w:val="32"/>
        </w:rPr>
      </w:pPr>
      <w:r>
        <w:rPr>
          <w:rFonts w:hint="eastAsia" w:ascii="黑体" w:hAnsi="黑体" w:eastAsia="黑体"/>
          <w:snapToGrid w:val="0"/>
          <w:sz w:val="32"/>
          <w:szCs w:val="32"/>
        </w:rPr>
        <w:t>1.备案证</w:t>
      </w:r>
    </w:p>
    <w:p w14:paraId="4E24DD68">
      <w:pPr>
        <w:pStyle w:val="19"/>
        <w:spacing w:before="0" w:beforeAutospacing="0" w:after="0" w:afterAutospacing="0" w:line="648" w:lineRule="auto"/>
        <w:ind w:firstLine="640"/>
        <w:outlineLvl w:val="0"/>
        <w:rPr>
          <w:rFonts w:hint="eastAsia" w:ascii="黑体" w:hAnsi="黑体" w:eastAsia="黑体"/>
          <w:snapToGrid w:val="0"/>
          <w:sz w:val="32"/>
          <w:szCs w:val="32"/>
        </w:rPr>
      </w:pPr>
      <w:r>
        <w:rPr>
          <w:rFonts w:hint="eastAsia" w:ascii="黑体" w:hAnsi="黑体" w:eastAsia="黑体"/>
          <w:snapToGrid w:val="0"/>
          <w:sz w:val="32"/>
          <w:szCs w:val="32"/>
        </w:rPr>
        <w:t>2.引用的监测报告</w:t>
      </w:r>
    </w:p>
    <w:p w14:paraId="774EBC37">
      <w:pPr>
        <w:pStyle w:val="18"/>
        <w:ind w:firstLine="480"/>
        <w:rPr>
          <w:highlight w:val="yellow"/>
        </w:rPr>
      </w:pPr>
    </w:p>
    <w:sectPr>
      <w:footerReference r:id="rId15" w:type="default"/>
      <w:pgSz w:w="11906" w:h="16838"/>
      <w:pgMar w:top="1701" w:right="1531" w:bottom="1701" w:left="1531"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880D3">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256E8">
    <w:pPr>
      <w:pStyle w:val="14"/>
      <w:framePr w:wrap="around" w:vAnchor="text" w:hAnchor="margin" w:xAlign="center" w:y="1"/>
      <w:ind w:firstLine="360"/>
      <w:rPr>
        <w:rStyle w:val="25"/>
      </w:rPr>
    </w:pPr>
    <w:r>
      <w:fldChar w:fldCharType="begin"/>
    </w:r>
    <w:r>
      <w:rPr>
        <w:rStyle w:val="25"/>
      </w:rPr>
      <w:instrText xml:space="preserve">PAGE  </w:instrText>
    </w:r>
    <w:r>
      <w:fldChar w:fldCharType="end"/>
    </w:r>
  </w:p>
  <w:p w14:paraId="1F4CBD8D">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67842">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F4F51">
    <w:pPr>
      <w:pStyle w:val="14"/>
      <w:framePr w:wrap="around" w:vAnchor="text" w:hAnchor="margin" w:xAlign="outside" w:y="1"/>
      <w:ind w:firstLine="560"/>
      <w:rPr>
        <w:rStyle w:val="25"/>
        <w:rFonts w:hint="eastAsia" w:ascii="宋体" w:hAnsi="宋体"/>
        <w:sz w:val="28"/>
        <w:szCs w:val="28"/>
      </w:rPr>
    </w:pPr>
    <w:r>
      <w:rPr>
        <w:rStyle w:val="25"/>
        <w:rFonts w:hint="eastAsia" w:ascii="宋体" w:hAnsi="宋体"/>
        <w:sz w:val="28"/>
        <w:szCs w:val="28"/>
      </w:rPr>
      <w:t>—</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4</w:t>
    </w:r>
    <w:r>
      <w:rPr>
        <w:rStyle w:val="25"/>
        <w:rFonts w:ascii="宋体" w:hAnsi="宋体"/>
        <w:sz w:val="26"/>
        <w:szCs w:val="26"/>
      </w:rPr>
      <w:fldChar w:fldCharType="end"/>
    </w:r>
    <w:r>
      <w:rPr>
        <w:rStyle w:val="25"/>
        <w:rFonts w:hint="eastAsia" w:ascii="宋体" w:hAnsi="宋体"/>
        <w:sz w:val="28"/>
        <w:szCs w:val="28"/>
      </w:rPr>
      <w:t>—</w:t>
    </w:r>
  </w:p>
  <w:p w14:paraId="5DD2C2B2">
    <w:pPr>
      <w:pStyle w:val="14"/>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41E67">
    <w:pPr>
      <w:pStyle w:val="14"/>
      <w:framePr w:wrap="around" w:vAnchor="text" w:hAnchor="margin" w:xAlign="outside" w:y="1"/>
      <w:ind w:firstLine="560"/>
      <w:rPr>
        <w:rStyle w:val="25"/>
        <w:rFonts w:hint="eastAsia" w:ascii="宋体" w:hAnsi="宋体"/>
        <w:sz w:val="28"/>
        <w:szCs w:val="28"/>
      </w:rPr>
    </w:pPr>
    <w:r>
      <w:rPr>
        <w:rStyle w:val="25"/>
        <w:rFonts w:hint="eastAsia" w:ascii="宋体" w:hAnsi="宋体"/>
        <w:sz w:val="28"/>
        <w:szCs w:val="28"/>
      </w:rPr>
      <w:t>—</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4</w:t>
    </w:r>
    <w:r>
      <w:rPr>
        <w:rStyle w:val="25"/>
        <w:rFonts w:ascii="宋体" w:hAnsi="宋体"/>
        <w:sz w:val="26"/>
        <w:szCs w:val="26"/>
      </w:rPr>
      <w:fldChar w:fldCharType="end"/>
    </w:r>
    <w:r>
      <w:rPr>
        <w:rStyle w:val="25"/>
        <w:rFonts w:hint="eastAsia" w:ascii="宋体" w:hAnsi="宋体"/>
        <w:sz w:val="28"/>
        <w:szCs w:val="28"/>
      </w:rPr>
      <w:t>—</w:t>
    </w:r>
  </w:p>
  <w:p w14:paraId="669F55D8">
    <w:pPr>
      <w:pStyle w:val="14"/>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F2720">
    <w:pPr>
      <w:pStyle w:val="14"/>
      <w:framePr w:wrap="around" w:vAnchor="text" w:hAnchor="margin" w:xAlign="center" w:y="1"/>
      <w:ind w:firstLine="560"/>
      <w:rPr>
        <w:rStyle w:val="25"/>
        <w:rFonts w:hint="eastAsia" w:ascii="宋体" w:hAnsi="宋体"/>
        <w:sz w:val="28"/>
        <w:szCs w:val="28"/>
      </w:rPr>
    </w:pPr>
    <w:r>
      <w:rPr>
        <w:rStyle w:val="25"/>
        <w:rFonts w:hint="eastAsia" w:ascii="宋体" w:hAnsi="宋体"/>
        <w:sz w:val="28"/>
        <w:szCs w:val="28"/>
      </w:rPr>
      <w:t>—</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10</w:t>
    </w:r>
    <w:r>
      <w:rPr>
        <w:rStyle w:val="25"/>
        <w:rFonts w:ascii="宋体" w:hAnsi="宋体"/>
        <w:sz w:val="26"/>
        <w:szCs w:val="26"/>
      </w:rPr>
      <w:fldChar w:fldCharType="end"/>
    </w:r>
    <w:r>
      <w:rPr>
        <w:rStyle w:val="25"/>
        <w:rFonts w:hint="eastAsia" w:ascii="宋体" w:hAnsi="宋体"/>
        <w:sz w:val="28"/>
        <w:szCs w:val="28"/>
      </w:rPr>
      <w:t>—</w:t>
    </w:r>
  </w:p>
  <w:p w14:paraId="3EACE418">
    <w:pPr>
      <w:pStyle w:val="14"/>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574A9">
    <w:pPr>
      <w:pStyle w:val="14"/>
      <w:framePr w:wrap="around" w:vAnchor="text" w:hAnchor="margin" w:xAlign="outside" w:y="1"/>
      <w:ind w:firstLine="560"/>
      <w:rPr>
        <w:rStyle w:val="25"/>
        <w:rFonts w:hint="eastAsia" w:ascii="宋体" w:hAnsi="宋体"/>
        <w:sz w:val="28"/>
        <w:szCs w:val="28"/>
      </w:rPr>
    </w:pPr>
    <w:r>
      <w:rPr>
        <w:rStyle w:val="25"/>
        <w:rFonts w:hint="eastAsia" w:ascii="宋体" w:hAnsi="宋体"/>
        <w:sz w:val="28"/>
        <w:szCs w:val="28"/>
      </w:rPr>
      <w:t>—</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65</w:t>
    </w:r>
    <w:r>
      <w:rPr>
        <w:rStyle w:val="25"/>
        <w:rFonts w:ascii="宋体" w:hAnsi="宋体"/>
        <w:sz w:val="26"/>
        <w:szCs w:val="26"/>
      </w:rPr>
      <w:fldChar w:fldCharType="end"/>
    </w:r>
    <w:r>
      <w:rPr>
        <w:rStyle w:val="25"/>
        <w:rFonts w:hint="eastAsia" w:ascii="宋体" w:hAnsi="宋体"/>
        <w:sz w:val="28"/>
        <w:szCs w:val="28"/>
      </w:rPr>
      <w:t>—</w:t>
    </w:r>
  </w:p>
  <w:p w14:paraId="58995B0C">
    <w:pPr>
      <w:pStyle w:val="14"/>
      <w:ind w:right="360" w:firstLine="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AD0A9">
    <w:pPr>
      <w:pStyle w:val="14"/>
      <w:framePr w:wrap="around" w:vAnchor="text" w:hAnchor="margin" w:xAlign="outside" w:y="1"/>
      <w:ind w:firstLine="560"/>
      <w:rPr>
        <w:rStyle w:val="25"/>
        <w:rFonts w:hint="eastAsia" w:ascii="宋体" w:hAnsi="宋体"/>
        <w:sz w:val="28"/>
        <w:szCs w:val="28"/>
      </w:rPr>
    </w:pPr>
    <w:r>
      <w:rPr>
        <w:rStyle w:val="25"/>
        <w:rFonts w:hint="eastAsia" w:ascii="宋体" w:hAnsi="宋体"/>
        <w:sz w:val="28"/>
        <w:szCs w:val="28"/>
      </w:rPr>
      <w:t>—</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11</w:t>
    </w:r>
    <w:r>
      <w:rPr>
        <w:rStyle w:val="25"/>
        <w:rFonts w:ascii="宋体" w:hAnsi="宋体"/>
        <w:sz w:val="26"/>
        <w:szCs w:val="26"/>
      </w:rPr>
      <w:fldChar w:fldCharType="end"/>
    </w:r>
    <w:r>
      <w:rPr>
        <w:rStyle w:val="25"/>
        <w:rFonts w:hint="eastAsia" w:ascii="宋体" w:hAnsi="宋体"/>
        <w:sz w:val="28"/>
        <w:szCs w:val="28"/>
      </w:rPr>
      <w:t>—</w:t>
    </w:r>
  </w:p>
  <w:p w14:paraId="4D23BC55">
    <w:pPr>
      <w:pStyle w:val="14"/>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10FEE">
    <w:pPr>
      <w:pStyle w:val="15"/>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66548">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D3E76">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418CA"/>
    <w:multiLevelType w:val="singleLevel"/>
    <w:tmpl w:val="817418CA"/>
    <w:lvl w:ilvl="0" w:tentative="0">
      <w:start w:val="1"/>
      <w:numFmt w:val="decimal"/>
      <w:lvlText w:val="%1."/>
      <w:lvlJc w:val="left"/>
      <w:pPr>
        <w:ind w:left="425" w:hanging="425"/>
      </w:pPr>
      <w:rPr>
        <w:rFonts w:hint="default"/>
      </w:rPr>
    </w:lvl>
  </w:abstractNum>
  <w:abstractNum w:abstractNumId="1">
    <w:nsid w:val="85217016"/>
    <w:multiLevelType w:val="singleLevel"/>
    <w:tmpl w:val="85217016"/>
    <w:lvl w:ilvl="0" w:tentative="0">
      <w:start w:val="1"/>
      <w:numFmt w:val="decimalEnclosedCircleChinese"/>
      <w:suff w:val="nothing"/>
      <w:lvlText w:val="%1　"/>
      <w:lvlJc w:val="left"/>
      <w:pPr>
        <w:ind w:left="0" w:firstLine="400"/>
      </w:pPr>
      <w:rPr>
        <w:rFonts w:hint="eastAsia"/>
      </w:rPr>
    </w:lvl>
  </w:abstractNum>
  <w:abstractNum w:abstractNumId="2">
    <w:nsid w:val="9ADA455E"/>
    <w:multiLevelType w:val="multilevel"/>
    <w:tmpl w:val="9ADA455E"/>
    <w:lvl w:ilvl="0" w:tentative="0">
      <w:start w:val="1"/>
      <w:numFmt w:val="chineseCounting"/>
      <w:pStyle w:val="2"/>
      <w:suff w:val="nothing"/>
      <w:lvlText w:val="%1、"/>
      <w:lvlJc w:val="left"/>
      <w:pPr>
        <w:tabs>
          <w:tab w:val="left" w:pos="0"/>
        </w:tabs>
        <w:ind w:left="0" w:firstLine="0"/>
      </w:pPr>
      <w:rPr>
        <w:rFonts w:hint="eastAsia" w:ascii="黑体" w:hAnsi="黑体" w:eastAsia="黑体" w:cs="宋体"/>
        <w:b w:val="0"/>
        <w:sz w:val="30"/>
      </w:rPr>
    </w:lvl>
    <w:lvl w:ilvl="1" w:tentative="0">
      <w:start w:val="1"/>
      <w:numFmt w:val="chineseCounting"/>
      <w:suff w:val="nothing"/>
      <w:lvlText w:val="(%2)"/>
      <w:lvlJc w:val="left"/>
      <w:pPr>
        <w:tabs>
          <w:tab w:val="left" w:pos="0"/>
        </w:tabs>
        <w:ind w:left="0" w:firstLine="0"/>
      </w:pPr>
      <w:rPr>
        <w:rFonts w:hint="eastAsia" w:ascii="宋体" w:hAnsi="宋体" w:eastAsia="宋体" w:cs="宋体"/>
        <w:b/>
        <w:sz w:val="24"/>
      </w:rPr>
    </w:lvl>
    <w:lvl w:ilvl="2" w:tentative="0">
      <w:start w:val="1"/>
      <w:numFmt w:val="decimal"/>
      <w:suff w:val="nothing"/>
      <w:lvlText w:val="%3"/>
      <w:lvlJc w:val="left"/>
      <w:pPr>
        <w:ind w:left="420" w:hanging="420"/>
      </w:pPr>
      <w:rPr>
        <w:rFonts w:hint="eastAsia" w:ascii="Times New Roman" w:hAnsi="Times New Roman" w:eastAsia="Times New Roman" w:cs="宋体"/>
        <w:b/>
        <w:sz w:val="24"/>
      </w:rPr>
    </w:lvl>
    <w:lvl w:ilvl="3" w:tentative="0">
      <w:start w:val="1"/>
      <w:numFmt w:val="decimal"/>
      <w:suff w:val="nothing"/>
      <w:lvlText w:val="（%4）"/>
      <w:lvlJc w:val="left"/>
      <w:pPr>
        <w:ind w:left="420" w:hanging="420"/>
      </w:pPr>
      <w:rPr>
        <w:rFonts w:hint="eastAsia" w:ascii="Times New Roman" w:hAnsi="Times New Roman" w:eastAsia="Times New Roman" w:cs="宋体"/>
        <w:b/>
        <w:sz w:val="24"/>
      </w:rPr>
    </w:lvl>
    <w:lvl w:ilvl="4" w:tentative="0">
      <w:start w:val="1"/>
      <w:numFmt w:val="decimalEnclosedCircleChinese"/>
      <w:suff w:val="nothing"/>
      <w:lvlText w:val="%5"/>
      <w:lvlJc w:val="left"/>
      <w:pPr>
        <w:ind w:left="230" w:hanging="230"/>
      </w:pPr>
      <w:rPr>
        <w:rFonts w:hint="eastAsia" w:ascii="Times New Roman" w:hAnsi="Times New Roman" w:eastAsia="Times New Roman" w:cs="宋体"/>
        <w:b/>
        <w:sz w:val="24"/>
      </w:rPr>
    </w:lvl>
    <w:lvl w:ilvl="5" w:tentative="0">
      <w:start w:val="1"/>
      <w:numFmt w:val="lowerLetter"/>
      <w:suff w:val="nothing"/>
      <w:lvlText w:val="%6．"/>
      <w:lvlJc w:val="left"/>
      <w:pPr>
        <w:ind w:left="230" w:firstLine="402"/>
      </w:pPr>
      <w:rPr>
        <w:rFonts w:hint="eastAsia"/>
      </w:rPr>
    </w:lvl>
    <w:lvl w:ilvl="6" w:tentative="0">
      <w:start w:val="1"/>
      <w:numFmt w:val="lowerLetter"/>
      <w:suff w:val="nothing"/>
      <w:lvlText w:val="%7）"/>
      <w:lvlJc w:val="left"/>
      <w:pPr>
        <w:ind w:left="230" w:firstLine="402"/>
      </w:pPr>
      <w:rPr>
        <w:rFonts w:hint="eastAsia"/>
      </w:rPr>
    </w:lvl>
    <w:lvl w:ilvl="7" w:tentative="0">
      <w:start w:val="1"/>
      <w:numFmt w:val="lowerRoman"/>
      <w:suff w:val="nothing"/>
      <w:lvlText w:val="%8. "/>
      <w:lvlJc w:val="left"/>
      <w:pPr>
        <w:ind w:left="230" w:firstLine="402"/>
      </w:pPr>
      <w:rPr>
        <w:rFonts w:hint="eastAsia"/>
      </w:rPr>
    </w:lvl>
    <w:lvl w:ilvl="8" w:tentative="0">
      <w:start w:val="1"/>
      <w:numFmt w:val="lowerRoman"/>
      <w:suff w:val="nothing"/>
      <w:lvlText w:val="%9）"/>
      <w:lvlJc w:val="left"/>
      <w:pPr>
        <w:ind w:left="230" w:firstLine="402"/>
      </w:pPr>
      <w:rPr>
        <w:rFonts w:hint="eastAsia"/>
      </w:rPr>
    </w:lvl>
  </w:abstractNum>
  <w:abstractNum w:abstractNumId="3">
    <w:nsid w:val="B7DC4AF6"/>
    <w:multiLevelType w:val="singleLevel"/>
    <w:tmpl w:val="B7DC4AF6"/>
    <w:lvl w:ilvl="0" w:tentative="0">
      <w:start w:val="1"/>
      <w:numFmt w:val="decimalEnclosedCircleChinese"/>
      <w:suff w:val="nothing"/>
      <w:lvlText w:val="%1　"/>
      <w:lvlJc w:val="left"/>
      <w:pPr>
        <w:ind w:left="0" w:firstLine="400"/>
      </w:pPr>
      <w:rPr>
        <w:rFonts w:hint="eastAsia"/>
      </w:rPr>
    </w:lvl>
  </w:abstractNum>
  <w:abstractNum w:abstractNumId="4">
    <w:nsid w:val="C244314B"/>
    <w:multiLevelType w:val="singleLevel"/>
    <w:tmpl w:val="C244314B"/>
    <w:lvl w:ilvl="0" w:tentative="0">
      <w:start w:val="1"/>
      <w:numFmt w:val="decimalEnclosedCircleChinese"/>
      <w:suff w:val="nothing"/>
      <w:lvlText w:val="%1　"/>
      <w:lvlJc w:val="left"/>
      <w:pPr>
        <w:ind w:left="0" w:firstLine="400"/>
      </w:pPr>
      <w:rPr>
        <w:rFonts w:hint="eastAsia"/>
      </w:rPr>
    </w:lvl>
  </w:abstractNum>
  <w:abstractNum w:abstractNumId="5">
    <w:nsid w:val="CADABA3D"/>
    <w:multiLevelType w:val="multilevel"/>
    <w:tmpl w:val="CADABA3D"/>
    <w:lvl w:ilvl="0" w:tentative="0">
      <w:start w:val="1"/>
      <w:numFmt w:val="chineseCounting"/>
      <w:suff w:val="nothing"/>
      <w:lvlText w:val="%1、"/>
      <w:lvlJc w:val="left"/>
      <w:pPr>
        <w:ind w:left="0" w:firstLine="0"/>
      </w:pPr>
      <w:rPr>
        <w:rFonts w:hint="eastAsia" w:ascii="黑体" w:hAnsi="宋体" w:eastAsia="黑体" w:cs="黑体"/>
        <w:sz w:val="30"/>
        <w:szCs w:val="30"/>
      </w:rPr>
    </w:lvl>
    <w:lvl w:ilvl="1" w:tentative="0">
      <w:start w:val="1"/>
      <w:numFmt w:val="decimal"/>
      <w:suff w:val="nothing"/>
      <w:lvlText w:val="%2．"/>
      <w:lvlJc w:val="left"/>
      <w:pPr>
        <w:tabs>
          <w:tab w:val="left" w:pos="0"/>
        </w:tabs>
        <w:ind w:left="0" w:firstLine="0"/>
      </w:pPr>
      <w:rPr>
        <w:rFonts w:hint="eastAsia" w:ascii="宋体" w:hAnsi="宋体" w:eastAsia="宋体" w:cs="宋体"/>
        <w:sz w:val="24"/>
        <w:szCs w:val="24"/>
      </w:rPr>
    </w:lvl>
    <w:lvl w:ilvl="2" w:tentative="0">
      <w:start w:val="1"/>
      <w:numFmt w:val="decimal"/>
      <w:suff w:val="nothing"/>
      <w:lvlText w:val="（%3）"/>
      <w:lvlJc w:val="left"/>
      <w:pPr>
        <w:tabs>
          <w:tab w:val="left" w:pos="0"/>
        </w:tabs>
        <w:ind w:left="0" w:firstLine="0"/>
      </w:pPr>
      <w:rPr>
        <w:rFonts w:hint="eastAsia" w:ascii="Times New Roman" w:hAnsi="Times New Roman" w:eastAsia="宋体" w:cs="宋体"/>
      </w:rPr>
    </w:lvl>
    <w:lvl w:ilvl="3" w:tentative="0">
      <w:start w:val="1"/>
      <w:numFmt w:val="decimalEnclosedCircleChinese"/>
      <w:suff w:val="nothing"/>
      <w:lvlText w:val="%4 "/>
      <w:lvlJc w:val="left"/>
      <w:pPr>
        <w:tabs>
          <w:tab w:val="left" w:pos="0"/>
        </w:tabs>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lowerLetter"/>
      <w:suff w:val="nothing"/>
      <w:lvlText w:val="%6．"/>
      <w:lvlJc w:val="left"/>
      <w:pPr>
        <w:ind w:left="0" w:firstLine="402"/>
      </w:pPr>
      <w:rPr>
        <w:rFonts w:hint="eastAsia" w:ascii="宋体" w:hAnsi="宋体" w:eastAsia="宋体" w:cs="宋体"/>
      </w:rPr>
    </w:lvl>
    <w:lvl w:ilvl="6" w:tentative="0">
      <w:start w:val="1"/>
      <w:numFmt w:val="lowerLetter"/>
      <w:suff w:val="nothing"/>
      <w:lvlText w:val="%7）"/>
      <w:lvlJc w:val="left"/>
      <w:pPr>
        <w:ind w:left="0" w:firstLine="402"/>
      </w:pPr>
      <w:rPr>
        <w:rFonts w:hint="eastAsia" w:ascii="宋体" w:hAnsi="宋体" w:eastAsia="宋体" w:cs="宋体"/>
      </w:rPr>
    </w:lvl>
    <w:lvl w:ilvl="7" w:tentative="0">
      <w:start w:val="1"/>
      <w:numFmt w:val="lowerRoman"/>
      <w:suff w:val="nothing"/>
      <w:lvlText w:val="%8. "/>
      <w:lvlJc w:val="left"/>
      <w:pPr>
        <w:ind w:left="0" w:firstLine="402"/>
      </w:pPr>
      <w:rPr>
        <w:rFonts w:hint="eastAsia" w:ascii="宋体" w:hAnsi="宋体" w:eastAsia="宋体" w:cs="宋体"/>
      </w:rPr>
    </w:lvl>
    <w:lvl w:ilvl="8" w:tentative="0">
      <w:start w:val="1"/>
      <w:numFmt w:val="lowerRoman"/>
      <w:suff w:val="nothing"/>
      <w:lvlText w:val="%9）"/>
      <w:lvlJc w:val="left"/>
      <w:pPr>
        <w:ind w:left="0" w:firstLine="402"/>
      </w:pPr>
      <w:rPr>
        <w:rFonts w:hint="eastAsia" w:ascii="宋体" w:hAnsi="宋体" w:eastAsia="宋体" w:cs="宋体"/>
      </w:rPr>
    </w:lvl>
  </w:abstractNum>
  <w:abstractNum w:abstractNumId="6">
    <w:nsid w:val="DBAFE25B"/>
    <w:multiLevelType w:val="singleLevel"/>
    <w:tmpl w:val="DBAFE25B"/>
    <w:lvl w:ilvl="0" w:tentative="0">
      <w:start w:val="1"/>
      <w:numFmt w:val="decimal"/>
      <w:lvlText w:val="%1."/>
      <w:lvlJc w:val="left"/>
      <w:pPr>
        <w:ind w:left="425" w:hanging="425"/>
      </w:pPr>
      <w:rPr>
        <w:rFonts w:hint="default"/>
      </w:rPr>
    </w:lvl>
  </w:abstractNum>
  <w:abstractNum w:abstractNumId="7">
    <w:nsid w:val="0BBC3806"/>
    <w:multiLevelType w:val="singleLevel"/>
    <w:tmpl w:val="0BBC3806"/>
    <w:lvl w:ilvl="0" w:tentative="0">
      <w:start w:val="1"/>
      <w:numFmt w:val="decimalEnclosedCircleChinese"/>
      <w:suff w:val="nothing"/>
      <w:lvlText w:val="%1　"/>
      <w:lvlJc w:val="left"/>
      <w:pPr>
        <w:ind w:left="0" w:firstLine="400"/>
      </w:pPr>
      <w:rPr>
        <w:rFonts w:hint="eastAsia"/>
      </w:rPr>
    </w:lvl>
  </w:abstractNum>
  <w:abstractNum w:abstractNumId="8">
    <w:nsid w:val="1287DFC4"/>
    <w:multiLevelType w:val="singleLevel"/>
    <w:tmpl w:val="1287DFC4"/>
    <w:lvl w:ilvl="0" w:tentative="0">
      <w:start w:val="1"/>
      <w:numFmt w:val="decimal"/>
      <w:lvlText w:val="表1-%1"/>
      <w:lvlJc w:val="left"/>
      <w:pPr>
        <w:tabs>
          <w:tab w:val="left" w:pos="420"/>
        </w:tabs>
        <w:ind w:left="425" w:hanging="425"/>
      </w:pPr>
      <w:rPr>
        <w:rFonts w:hint="default" w:ascii="Times New Roman" w:hAnsi="Times New Roman" w:eastAsia="宋体" w:cs="Times New Roman"/>
        <w:b/>
        <w:bCs/>
        <w:sz w:val="21"/>
        <w:szCs w:val="21"/>
      </w:rPr>
    </w:lvl>
  </w:abstractNum>
  <w:abstractNum w:abstractNumId="9">
    <w:nsid w:val="16B56BD5"/>
    <w:multiLevelType w:val="multilevel"/>
    <w:tmpl w:val="16B56BD5"/>
    <w:lvl w:ilvl="0" w:tentative="0">
      <w:start w:val="1"/>
      <w:numFmt w:val="chineseCounting"/>
      <w:suff w:val="nothing"/>
      <w:lvlText w:val="%1、"/>
      <w:lvlJc w:val="left"/>
      <w:pPr>
        <w:ind w:left="0" w:firstLine="0"/>
      </w:pPr>
      <w:rPr>
        <w:rFonts w:hint="eastAsia" w:ascii="黑体" w:hAnsi="黑体" w:eastAsia="黑体" w:cs="黑体"/>
        <w:sz w:val="30"/>
        <w:szCs w:val="30"/>
      </w:rPr>
    </w:lvl>
    <w:lvl w:ilvl="1" w:tentative="0">
      <w:start w:val="1"/>
      <w:numFmt w:val="decimal"/>
      <w:suff w:val="nothing"/>
      <w:lvlText w:val="%2．"/>
      <w:lvlJc w:val="left"/>
      <w:pPr>
        <w:tabs>
          <w:tab w:val="left" w:pos="0"/>
        </w:tabs>
        <w:ind w:left="0" w:firstLine="0"/>
      </w:pPr>
      <w:rPr>
        <w:rFonts w:hint="eastAsia" w:ascii="宋体" w:hAnsi="宋体" w:eastAsia="宋体" w:cs="宋体"/>
      </w:rPr>
    </w:lvl>
    <w:lvl w:ilvl="2" w:tentative="0">
      <w:start w:val="1"/>
      <w:numFmt w:val="decimal"/>
      <w:suff w:val="nothing"/>
      <w:lvlText w:val="（%3）"/>
      <w:lvlJc w:val="left"/>
      <w:pPr>
        <w:tabs>
          <w:tab w:val="left" w:pos="0"/>
        </w:tabs>
        <w:ind w:left="0" w:firstLine="0"/>
      </w:pPr>
      <w:rPr>
        <w:rFonts w:hint="eastAsia" w:ascii="宋体" w:hAnsi="宋体" w:eastAsia="宋体" w:cs="宋体"/>
      </w:rPr>
    </w:lvl>
    <w:lvl w:ilvl="3" w:tentative="0">
      <w:start w:val="1"/>
      <w:numFmt w:val="decimalEnclosedCircleChinese"/>
      <w:suff w:val="nothing"/>
      <w:lvlText w:val="%4 "/>
      <w:lvlJc w:val="left"/>
      <w:pPr>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0">
    <w:nsid w:val="2B99361C"/>
    <w:multiLevelType w:val="multilevel"/>
    <w:tmpl w:val="2B99361C"/>
    <w:lvl w:ilvl="0" w:tentative="0">
      <w:start w:val="1"/>
      <w:numFmt w:val="decimal"/>
      <w:lvlText w:val="表2-%1"/>
      <w:lvlJc w:val="center"/>
      <w:pPr>
        <w:ind w:left="900" w:hanging="420"/>
      </w:pPr>
      <w:rPr>
        <w:rFonts w:hint="default" w:ascii="Times New Roman" w:hAnsi="Times New Roman" w:eastAsia="宋体"/>
        <w:b/>
        <w:i w:val="0"/>
        <w:sz w:val="21"/>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3159C66E"/>
    <w:multiLevelType w:val="singleLevel"/>
    <w:tmpl w:val="3159C66E"/>
    <w:lvl w:ilvl="0" w:tentative="0">
      <w:start w:val="1"/>
      <w:numFmt w:val="decimalEnclosedCircleChinese"/>
      <w:suff w:val="nothing"/>
      <w:lvlText w:val="%1　"/>
      <w:lvlJc w:val="left"/>
      <w:pPr>
        <w:ind w:left="0" w:firstLine="400"/>
      </w:pPr>
      <w:rPr>
        <w:rFonts w:hint="eastAsia"/>
      </w:rPr>
    </w:lvl>
  </w:abstractNum>
  <w:abstractNum w:abstractNumId="12">
    <w:nsid w:val="39A525AF"/>
    <w:multiLevelType w:val="singleLevel"/>
    <w:tmpl w:val="39A525AF"/>
    <w:lvl w:ilvl="0" w:tentative="0">
      <w:start w:val="1"/>
      <w:numFmt w:val="decimalEnclosedCircleChinese"/>
      <w:suff w:val="nothing"/>
      <w:lvlText w:val="%1　"/>
      <w:lvlJc w:val="left"/>
      <w:pPr>
        <w:ind w:left="0" w:firstLine="400"/>
      </w:pPr>
      <w:rPr>
        <w:rFonts w:hint="eastAsia"/>
      </w:rPr>
    </w:lvl>
  </w:abstractNum>
  <w:abstractNum w:abstractNumId="13">
    <w:nsid w:val="3D1C8C6F"/>
    <w:multiLevelType w:val="multilevel"/>
    <w:tmpl w:val="3D1C8C6F"/>
    <w:lvl w:ilvl="0" w:tentative="0">
      <w:start w:val="1"/>
      <w:numFmt w:val="decimal"/>
      <w:lvlText w:val="表4-%1"/>
      <w:lvlJc w:val="center"/>
      <w:pPr>
        <w:ind w:left="900" w:hanging="420"/>
      </w:pPr>
      <w:rPr>
        <w:rFonts w:hint="default" w:ascii="Times New Roman" w:hAnsi="Times New Roman" w:eastAsia="宋体" w:cs="Times New Roman"/>
        <w:b/>
        <w:i w:val="0"/>
        <w:sz w:val="21"/>
        <w:szCs w:val="21"/>
      </w:rPr>
    </w:lvl>
    <w:lvl w:ilvl="1" w:tentative="0">
      <w:start w:val="1"/>
      <w:numFmt w:val="lowerLetter"/>
      <w:lvlText w:val="%2)"/>
      <w:lvlJc w:val="left"/>
      <w:pPr>
        <w:ind w:left="1320" w:hanging="420"/>
      </w:pPr>
      <w:rPr>
        <w:rFonts w:hint="default" w:ascii="Times New Roman" w:hAnsi="Times New Roman" w:cs="Times New Roman"/>
      </w:rPr>
    </w:lvl>
    <w:lvl w:ilvl="2" w:tentative="0">
      <w:start w:val="1"/>
      <w:numFmt w:val="lowerRoman"/>
      <w:lvlText w:val="%3."/>
      <w:lvlJc w:val="right"/>
      <w:pPr>
        <w:ind w:left="1740" w:hanging="420"/>
      </w:pPr>
      <w:rPr>
        <w:rFonts w:hint="default" w:ascii="Times New Roman" w:hAnsi="Times New Roman" w:cs="Times New Roman"/>
      </w:rPr>
    </w:lvl>
    <w:lvl w:ilvl="3" w:tentative="0">
      <w:start w:val="1"/>
      <w:numFmt w:val="decimal"/>
      <w:lvlText w:val="%4."/>
      <w:lvlJc w:val="left"/>
      <w:pPr>
        <w:ind w:left="2160" w:hanging="420"/>
      </w:pPr>
      <w:rPr>
        <w:rFonts w:hint="default" w:ascii="Times New Roman" w:hAnsi="Times New Roman" w:cs="Times New Roman"/>
      </w:rPr>
    </w:lvl>
    <w:lvl w:ilvl="4" w:tentative="0">
      <w:start w:val="1"/>
      <w:numFmt w:val="lowerLetter"/>
      <w:lvlText w:val="%5)"/>
      <w:lvlJc w:val="left"/>
      <w:pPr>
        <w:ind w:left="2580" w:hanging="420"/>
      </w:pPr>
      <w:rPr>
        <w:rFonts w:hint="default" w:ascii="Times New Roman" w:hAnsi="Times New Roman" w:cs="Times New Roman"/>
      </w:rPr>
    </w:lvl>
    <w:lvl w:ilvl="5" w:tentative="0">
      <w:start w:val="1"/>
      <w:numFmt w:val="lowerRoman"/>
      <w:lvlText w:val="%6."/>
      <w:lvlJc w:val="right"/>
      <w:pPr>
        <w:ind w:left="3000" w:hanging="420"/>
      </w:pPr>
      <w:rPr>
        <w:rFonts w:hint="default" w:ascii="Times New Roman" w:hAnsi="Times New Roman" w:cs="Times New Roman"/>
      </w:rPr>
    </w:lvl>
    <w:lvl w:ilvl="6" w:tentative="0">
      <w:start w:val="1"/>
      <w:numFmt w:val="decimal"/>
      <w:lvlText w:val="%7."/>
      <w:lvlJc w:val="left"/>
      <w:pPr>
        <w:ind w:left="3420" w:hanging="420"/>
      </w:pPr>
      <w:rPr>
        <w:rFonts w:hint="default" w:ascii="Times New Roman" w:hAnsi="Times New Roman" w:cs="Times New Roman"/>
      </w:rPr>
    </w:lvl>
    <w:lvl w:ilvl="7" w:tentative="0">
      <w:start w:val="1"/>
      <w:numFmt w:val="lowerLetter"/>
      <w:lvlText w:val="%8)"/>
      <w:lvlJc w:val="left"/>
      <w:pPr>
        <w:ind w:left="3840" w:hanging="420"/>
      </w:pPr>
      <w:rPr>
        <w:rFonts w:hint="default" w:ascii="Times New Roman" w:hAnsi="Times New Roman" w:cs="Times New Roman"/>
      </w:rPr>
    </w:lvl>
    <w:lvl w:ilvl="8" w:tentative="0">
      <w:start w:val="1"/>
      <w:numFmt w:val="lowerRoman"/>
      <w:lvlText w:val="%9."/>
      <w:lvlJc w:val="right"/>
      <w:pPr>
        <w:ind w:left="4260" w:hanging="420"/>
      </w:pPr>
      <w:rPr>
        <w:rFonts w:hint="default" w:ascii="Times New Roman" w:hAnsi="Times New Roman" w:cs="Times New Roman"/>
      </w:rPr>
    </w:lvl>
  </w:abstractNum>
  <w:abstractNum w:abstractNumId="14">
    <w:nsid w:val="4433F2B8"/>
    <w:multiLevelType w:val="multilevel"/>
    <w:tmpl w:val="4433F2B8"/>
    <w:lvl w:ilvl="0" w:tentative="0">
      <w:start w:val="1"/>
      <w:numFmt w:val="chineseCounting"/>
      <w:suff w:val="nothing"/>
      <w:lvlText w:val="%1、"/>
      <w:lvlJc w:val="left"/>
      <w:pPr>
        <w:ind w:left="0" w:firstLine="0"/>
      </w:pPr>
      <w:rPr>
        <w:rFonts w:hint="eastAsia" w:ascii="黑体" w:hAnsi="黑体" w:eastAsia="黑体" w:cs="黑体"/>
        <w:sz w:val="30"/>
        <w:szCs w:val="30"/>
      </w:rPr>
    </w:lvl>
    <w:lvl w:ilvl="1" w:tentative="0">
      <w:start w:val="1"/>
      <w:numFmt w:val="decimal"/>
      <w:pStyle w:val="3"/>
      <w:suff w:val="nothing"/>
      <w:lvlText w:val="%2．"/>
      <w:lvlJc w:val="left"/>
      <w:pPr>
        <w:tabs>
          <w:tab w:val="left" w:pos="0"/>
        </w:tabs>
        <w:ind w:left="0" w:firstLine="0"/>
      </w:pPr>
      <w:rPr>
        <w:rFonts w:hint="eastAsia" w:ascii="宋体" w:hAnsi="宋体" w:eastAsia="宋体" w:cs="宋体"/>
        <w:sz w:val="24"/>
      </w:rPr>
    </w:lvl>
    <w:lvl w:ilvl="2" w:tentative="0">
      <w:start w:val="1"/>
      <w:numFmt w:val="decimal"/>
      <w:pStyle w:val="4"/>
      <w:suff w:val="nothing"/>
      <w:lvlText w:val="（%3）"/>
      <w:lvlJc w:val="left"/>
      <w:pPr>
        <w:tabs>
          <w:tab w:val="left" w:pos="0"/>
        </w:tabs>
        <w:ind w:left="-242" w:firstLine="0"/>
      </w:pPr>
      <w:rPr>
        <w:rFonts w:hint="eastAsia" w:ascii="宋体" w:hAnsi="宋体" w:eastAsia="宋体" w:cs="宋体"/>
      </w:rPr>
    </w:lvl>
    <w:lvl w:ilvl="3" w:tentative="0">
      <w:start w:val="1"/>
      <w:numFmt w:val="decimalEnclosedCircleChinese"/>
      <w:pStyle w:val="5"/>
      <w:suff w:val="nothing"/>
      <w:lvlText w:val="%4 "/>
      <w:lvlJc w:val="left"/>
      <w:pPr>
        <w:ind w:left="480" w:firstLine="0"/>
      </w:pPr>
      <w:rPr>
        <w:rFonts w:hint="eastAsia" w:ascii="宋体" w:hAnsi="宋体" w:eastAsia="宋体" w:cs="宋体"/>
      </w:rPr>
    </w:lvl>
    <w:lvl w:ilvl="4" w:tentative="0">
      <w:start w:val="1"/>
      <w:numFmt w:val="decimal"/>
      <w:pStyle w:val="6"/>
      <w:suff w:val="nothing"/>
      <w:lvlText w:val="%5）"/>
      <w:lvlJc w:val="left"/>
      <w:pPr>
        <w:ind w:left="0" w:firstLine="0"/>
      </w:pPr>
      <w:rPr>
        <w:rFonts w:hint="eastAsia" w:ascii="宋体" w:hAnsi="宋体" w:eastAsia="宋体" w:cs="宋体"/>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5">
    <w:nsid w:val="46D24420"/>
    <w:multiLevelType w:val="singleLevel"/>
    <w:tmpl w:val="46D24420"/>
    <w:lvl w:ilvl="0" w:tentative="0">
      <w:start w:val="1"/>
      <w:numFmt w:val="decimalEnclosedCircleChinese"/>
      <w:suff w:val="nothing"/>
      <w:lvlText w:val="%1　"/>
      <w:lvlJc w:val="left"/>
      <w:pPr>
        <w:ind w:left="0" w:firstLine="400"/>
      </w:pPr>
      <w:rPr>
        <w:rFonts w:hint="eastAsia"/>
      </w:rPr>
    </w:lvl>
  </w:abstractNum>
  <w:abstractNum w:abstractNumId="16">
    <w:nsid w:val="48CC0CE2"/>
    <w:multiLevelType w:val="multilevel"/>
    <w:tmpl w:val="48CC0CE2"/>
    <w:lvl w:ilvl="0" w:tentative="0">
      <w:start w:val="1"/>
      <w:numFmt w:val="decimal"/>
      <w:lvlText w:val="图2-%1"/>
      <w:lvlJc w:val="center"/>
      <w:pPr>
        <w:ind w:left="840" w:hanging="420"/>
      </w:pPr>
      <w:rPr>
        <w:rFonts w:hint="default" w:ascii="Times New Roman" w:hAnsi="Times New Roman" w:eastAsia="宋体"/>
        <w:b/>
        <w:i w:val="0"/>
        <w:w w:val="100"/>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52A74BFB"/>
    <w:multiLevelType w:val="multilevel"/>
    <w:tmpl w:val="52A74BFB"/>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A0B2FAA"/>
    <w:multiLevelType w:val="multilevel"/>
    <w:tmpl w:val="5A0B2FAA"/>
    <w:lvl w:ilvl="0" w:tentative="0">
      <w:start w:val="1"/>
      <w:numFmt w:val="decimal"/>
      <w:lvlText w:val="表3-%1"/>
      <w:lvlJc w:val="center"/>
      <w:pPr>
        <w:ind w:left="840" w:hanging="420"/>
      </w:pPr>
      <w:rPr>
        <w:rFonts w:hint="default" w:ascii="Times New Roman" w:hAnsi="Times New Roman" w:eastAsia="宋体"/>
        <w:b/>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6DC8709F"/>
    <w:multiLevelType w:val="multilevel"/>
    <w:tmpl w:val="6DC8709F"/>
    <w:lvl w:ilvl="0" w:tentative="0">
      <w:start w:val="1"/>
      <w:numFmt w:val="decimal"/>
      <w:lvlText w:val="图4-%1"/>
      <w:lvlJc w:val="center"/>
      <w:pPr>
        <w:ind w:left="900" w:hanging="420"/>
      </w:pPr>
      <w:rPr>
        <w:rFonts w:hint="default" w:ascii="Times New Roman" w:hAnsi="Times New Roman" w:eastAsia="宋体" w:cs="Times New Roman"/>
        <w:b/>
        <w:i w:val="0"/>
        <w:sz w:val="21"/>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768BAFE3"/>
    <w:multiLevelType w:val="multilevel"/>
    <w:tmpl w:val="768BAFE3"/>
    <w:lvl w:ilvl="0" w:tentative="0">
      <w:start w:val="1"/>
      <w:numFmt w:val="chineseCounting"/>
      <w:suff w:val="nothing"/>
      <w:lvlText w:val="%1、"/>
      <w:lvlJc w:val="left"/>
      <w:pPr>
        <w:ind w:left="0" w:firstLine="0"/>
      </w:pPr>
      <w:rPr>
        <w:rFonts w:hint="eastAsia" w:ascii="黑体" w:hAnsi="宋体" w:eastAsia="黑体" w:cs="黑体"/>
        <w:sz w:val="30"/>
        <w:szCs w:val="30"/>
      </w:rPr>
    </w:lvl>
    <w:lvl w:ilvl="1" w:tentative="0">
      <w:start w:val="1"/>
      <w:numFmt w:val="decimal"/>
      <w:suff w:val="nothing"/>
      <w:lvlText w:val="%2．"/>
      <w:lvlJc w:val="left"/>
      <w:pPr>
        <w:tabs>
          <w:tab w:val="left" w:pos="0"/>
        </w:tabs>
        <w:ind w:left="0" w:firstLine="0"/>
      </w:pPr>
      <w:rPr>
        <w:rFonts w:hint="eastAsia" w:ascii="宋体" w:hAnsi="宋体" w:eastAsia="宋体" w:cs="宋体"/>
        <w:sz w:val="24"/>
        <w:szCs w:val="24"/>
      </w:rPr>
    </w:lvl>
    <w:lvl w:ilvl="2" w:tentative="0">
      <w:start w:val="1"/>
      <w:numFmt w:val="decimal"/>
      <w:suff w:val="nothing"/>
      <w:lvlText w:val="（%3）"/>
      <w:lvlJc w:val="left"/>
      <w:pPr>
        <w:tabs>
          <w:tab w:val="left" w:pos="0"/>
        </w:tabs>
        <w:ind w:left="0" w:firstLine="0"/>
      </w:pPr>
      <w:rPr>
        <w:rFonts w:hint="eastAsia" w:ascii="Times New Roman" w:hAnsi="Times New Roman" w:eastAsia="宋体" w:cs="宋体"/>
      </w:rPr>
    </w:lvl>
    <w:lvl w:ilvl="3" w:tentative="0">
      <w:start w:val="1"/>
      <w:numFmt w:val="decimalEnclosedCircleChinese"/>
      <w:suff w:val="nothing"/>
      <w:lvlText w:val="%4 "/>
      <w:lvlJc w:val="left"/>
      <w:pPr>
        <w:tabs>
          <w:tab w:val="left" w:pos="0"/>
        </w:tabs>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lowerLetter"/>
      <w:suff w:val="nothing"/>
      <w:lvlText w:val="%6．"/>
      <w:lvlJc w:val="left"/>
      <w:pPr>
        <w:ind w:left="0" w:firstLine="402"/>
      </w:pPr>
      <w:rPr>
        <w:rFonts w:hint="eastAsia" w:ascii="宋体" w:hAnsi="宋体" w:eastAsia="宋体" w:cs="宋体"/>
      </w:rPr>
    </w:lvl>
    <w:lvl w:ilvl="6" w:tentative="0">
      <w:start w:val="1"/>
      <w:numFmt w:val="lowerLetter"/>
      <w:suff w:val="nothing"/>
      <w:lvlText w:val="%7）"/>
      <w:lvlJc w:val="left"/>
      <w:pPr>
        <w:ind w:left="0" w:firstLine="402"/>
      </w:pPr>
      <w:rPr>
        <w:rFonts w:hint="eastAsia" w:ascii="宋体" w:hAnsi="宋体" w:eastAsia="宋体" w:cs="宋体"/>
      </w:rPr>
    </w:lvl>
    <w:lvl w:ilvl="7" w:tentative="0">
      <w:start w:val="1"/>
      <w:numFmt w:val="lowerRoman"/>
      <w:suff w:val="nothing"/>
      <w:lvlText w:val="%8. "/>
      <w:lvlJc w:val="left"/>
      <w:pPr>
        <w:ind w:left="0" w:firstLine="402"/>
      </w:pPr>
      <w:rPr>
        <w:rFonts w:hint="eastAsia" w:ascii="宋体" w:hAnsi="宋体" w:eastAsia="宋体" w:cs="宋体"/>
      </w:rPr>
    </w:lvl>
    <w:lvl w:ilvl="8" w:tentative="0">
      <w:start w:val="1"/>
      <w:numFmt w:val="lowerRoman"/>
      <w:suff w:val="nothing"/>
      <w:lvlText w:val="%9）"/>
      <w:lvlJc w:val="left"/>
      <w:pPr>
        <w:ind w:left="0" w:firstLine="402"/>
      </w:pPr>
      <w:rPr>
        <w:rFonts w:hint="eastAsia" w:ascii="宋体" w:hAnsi="宋体" w:eastAsia="宋体" w:cs="宋体"/>
      </w:rPr>
    </w:lvl>
  </w:abstractNum>
  <w:num w:numId="1">
    <w:abstractNumId w:val="2"/>
  </w:num>
  <w:num w:numId="2">
    <w:abstractNumId w:val="14"/>
  </w:num>
  <w:num w:numId="3">
    <w:abstractNumId w:val="0"/>
  </w:num>
  <w:num w:numId="4">
    <w:abstractNumId w:val="8"/>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5"/>
  </w:num>
  <w:num w:numId="8">
    <w:abstractNumId w:val="10"/>
  </w:num>
  <w:num w:numId="9">
    <w:abstractNumId w:val="4"/>
  </w:num>
  <w:num w:numId="10">
    <w:abstractNumId w:val="3"/>
  </w:num>
  <w:num w:numId="11">
    <w:abstractNumId w:val="16"/>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9"/>
  </w:num>
  <w:num w:numId="15">
    <w:abstractNumId w:val="13"/>
  </w:num>
  <w:num w:numId="16">
    <w:abstractNumId w:val="15"/>
  </w:num>
  <w:num w:numId="17">
    <w:abstractNumId w:val="17"/>
  </w:num>
  <w:num w:numId="18">
    <w:abstractNumId w:val="12"/>
  </w:num>
  <w:num w:numId="19">
    <w:abstractNumId w:val="1"/>
  </w:num>
  <w:num w:numId="20">
    <w:abstractNumId w:val="19"/>
  </w:num>
  <w:num w:numId="21">
    <w:abstractNumId w:val="11"/>
  </w:num>
  <w:num w:numId="22">
    <w:abstractNumId w:val="7"/>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3OTQ2MDIyMDEwMzQ4YTZmZGIzZGMzNzEyMGU5NzE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47F25"/>
    <w:rsid w:val="00151675"/>
    <w:rsid w:val="00157435"/>
    <w:rsid w:val="0017504D"/>
    <w:rsid w:val="0017671A"/>
    <w:rsid w:val="00177422"/>
    <w:rsid w:val="00184590"/>
    <w:rsid w:val="001870D1"/>
    <w:rsid w:val="0018781E"/>
    <w:rsid w:val="0019262D"/>
    <w:rsid w:val="001A1B35"/>
    <w:rsid w:val="001A48A2"/>
    <w:rsid w:val="001A6F61"/>
    <w:rsid w:val="001B72B8"/>
    <w:rsid w:val="001C4F1A"/>
    <w:rsid w:val="001C69B3"/>
    <w:rsid w:val="001D5595"/>
    <w:rsid w:val="001D7874"/>
    <w:rsid w:val="001D7F22"/>
    <w:rsid w:val="001F0F17"/>
    <w:rsid w:val="001F3347"/>
    <w:rsid w:val="001F69E4"/>
    <w:rsid w:val="002125B4"/>
    <w:rsid w:val="002155B8"/>
    <w:rsid w:val="002166D6"/>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3F7BB5"/>
    <w:rsid w:val="00406F01"/>
    <w:rsid w:val="00416D50"/>
    <w:rsid w:val="00416FD5"/>
    <w:rsid w:val="00417772"/>
    <w:rsid w:val="00420E6A"/>
    <w:rsid w:val="00425959"/>
    <w:rsid w:val="00425A9E"/>
    <w:rsid w:val="00426D6B"/>
    <w:rsid w:val="00431E6C"/>
    <w:rsid w:val="00433CE7"/>
    <w:rsid w:val="00452738"/>
    <w:rsid w:val="00456091"/>
    <w:rsid w:val="00466321"/>
    <w:rsid w:val="00484B9B"/>
    <w:rsid w:val="004855F6"/>
    <w:rsid w:val="0048661E"/>
    <w:rsid w:val="00494670"/>
    <w:rsid w:val="004A3823"/>
    <w:rsid w:val="004E6946"/>
    <w:rsid w:val="004F1AD8"/>
    <w:rsid w:val="004F38A3"/>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439A"/>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42639"/>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5219"/>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97E32"/>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20116EE"/>
    <w:rsid w:val="02697903"/>
    <w:rsid w:val="02F474A0"/>
    <w:rsid w:val="02F96569"/>
    <w:rsid w:val="03EA7B21"/>
    <w:rsid w:val="04043CCF"/>
    <w:rsid w:val="04CF6EC1"/>
    <w:rsid w:val="05B41169"/>
    <w:rsid w:val="05F83EAE"/>
    <w:rsid w:val="062736E9"/>
    <w:rsid w:val="063E7D85"/>
    <w:rsid w:val="0721282E"/>
    <w:rsid w:val="07293586"/>
    <w:rsid w:val="07295285"/>
    <w:rsid w:val="07636392"/>
    <w:rsid w:val="07770C56"/>
    <w:rsid w:val="092217DD"/>
    <w:rsid w:val="093A7294"/>
    <w:rsid w:val="0A263993"/>
    <w:rsid w:val="0A2D3AC2"/>
    <w:rsid w:val="0AA755DF"/>
    <w:rsid w:val="0B120D44"/>
    <w:rsid w:val="0B4D12D4"/>
    <w:rsid w:val="0BD27BF6"/>
    <w:rsid w:val="0C3B3C7D"/>
    <w:rsid w:val="0C40533E"/>
    <w:rsid w:val="0CAB2EAE"/>
    <w:rsid w:val="0D3A63F7"/>
    <w:rsid w:val="0D621C7D"/>
    <w:rsid w:val="0D715907"/>
    <w:rsid w:val="0D9941F9"/>
    <w:rsid w:val="0E73034D"/>
    <w:rsid w:val="0ED9579C"/>
    <w:rsid w:val="0F13775A"/>
    <w:rsid w:val="0F5F45FE"/>
    <w:rsid w:val="0F84395A"/>
    <w:rsid w:val="0F9A112B"/>
    <w:rsid w:val="105E3D48"/>
    <w:rsid w:val="106D2F64"/>
    <w:rsid w:val="1081237E"/>
    <w:rsid w:val="10B63710"/>
    <w:rsid w:val="10F10820"/>
    <w:rsid w:val="111C2F7A"/>
    <w:rsid w:val="11665CA1"/>
    <w:rsid w:val="12146CDD"/>
    <w:rsid w:val="12D270D2"/>
    <w:rsid w:val="12D375B3"/>
    <w:rsid w:val="13951726"/>
    <w:rsid w:val="14396509"/>
    <w:rsid w:val="14A826F2"/>
    <w:rsid w:val="14DD2C3C"/>
    <w:rsid w:val="15080B89"/>
    <w:rsid w:val="16087E1D"/>
    <w:rsid w:val="16E52023"/>
    <w:rsid w:val="17701D14"/>
    <w:rsid w:val="17735226"/>
    <w:rsid w:val="189F624C"/>
    <w:rsid w:val="1A1C66C0"/>
    <w:rsid w:val="1A42393B"/>
    <w:rsid w:val="1AAD45DE"/>
    <w:rsid w:val="1B046F80"/>
    <w:rsid w:val="1B3267B5"/>
    <w:rsid w:val="1B40161D"/>
    <w:rsid w:val="1B441859"/>
    <w:rsid w:val="1B6606B1"/>
    <w:rsid w:val="1C5515E7"/>
    <w:rsid w:val="1C5E7925"/>
    <w:rsid w:val="1C690472"/>
    <w:rsid w:val="1C730FDE"/>
    <w:rsid w:val="1CA671E5"/>
    <w:rsid w:val="1CFD070F"/>
    <w:rsid w:val="1D316676"/>
    <w:rsid w:val="1D5F6196"/>
    <w:rsid w:val="1D6132A5"/>
    <w:rsid w:val="1D8E56D5"/>
    <w:rsid w:val="1DBD3241"/>
    <w:rsid w:val="1DC835AB"/>
    <w:rsid w:val="1E6A6411"/>
    <w:rsid w:val="1E7A43DA"/>
    <w:rsid w:val="1EC66E92"/>
    <w:rsid w:val="1F0C1276"/>
    <w:rsid w:val="1FE7539E"/>
    <w:rsid w:val="204B7DB3"/>
    <w:rsid w:val="20671BE0"/>
    <w:rsid w:val="20963CB8"/>
    <w:rsid w:val="20A81A1B"/>
    <w:rsid w:val="20B07FB6"/>
    <w:rsid w:val="20B646FB"/>
    <w:rsid w:val="21042B4C"/>
    <w:rsid w:val="213B74B1"/>
    <w:rsid w:val="214816EE"/>
    <w:rsid w:val="215A2310"/>
    <w:rsid w:val="21DE318A"/>
    <w:rsid w:val="21EF5B80"/>
    <w:rsid w:val="22421B7E"/>
    <w:rsid w:val="22576990"/>
    <w:rsid w:val="22776CA0"/>
    <w:rsid w:val="22A96642"/>
    <w:rsid w:val="22D43D30"/>
    <w:rsid w:val="22F47480"/>
    <w:rsid w:val="23DE1C48"/>
    <w:rsid w:val="240210CD"/>
    <w:rsid w:val="24BF09F7"/>
    <w:rsid w:val="252D53FE"/>
    <w:rsid w:val="25595156"/>
    <w:rsid w:val="25A95A70"/>
    <w:rsid w:val="25EC2D81"/>
    <w:rsid w:val="26123616"/>
    <w:rsid w:val="27037402"/>
    <w:rsid w:val="277057A2"/>
    <w:rsid w:val="27DF2D6A"/>
    <w:rsid w:val="2907709F"/>
    <w:rsid w:val="29206EB8"/>
    <w:rsid w:val="29595666"/>
    <w:rsid w:val="29874881"/>
    <w:rsid w:val="29C015DB"/>
    <w:rsid w:val="29E325E0"/>
    <w:rsid w:val="2A2B5331"/>
    <w:rsid w:val="2A452503"/>
    <w:rsid w:val="2A7565BF"/>
    <w:rsid w:val="2AF711EA"/>
    <w:rsid w:val="2B446BF3"/>
    <w:rsid w:val="2BA936A8"/>
    <w:rsid w:val="2BED0299"/>
    <w:rsid w:val="2C315A5A"/>
    <w:rsid w:val="2C4B1C25"/>
    <w:rsid w:val="2D244788"/>
    <w:rsid w:val="2D5E6029"/>
    <w:rsid w:val="2D9E56F5"/>
    <w:rsid w:val="2E0407CC"/>
    <w:rsid w:val="2E0E6DB8"/>
    <w:rsid w:val="2E667F96"/>
    <w:rsid w:val="2E8226AB"/>
    <w:rsid w:val="2FD065E6"/>
    <w:rsid w:val="2FD96870"/>
    <w:rsid w:val="2FE029D7"/>
    <w:rsid w:val="30580BC9"/>
    <w:rsid w:val="31033252"/>
    <w:rsid w:val="311E2ED7"/>
    <w:rsid w:val="314E7446"/>
    <w:rsid w:val="315619EE"/>
    <w:rsid w:val="315C449C"/>
    <w:rsid w:val="31760324"/>
    <w:rsid w:val="318D4498"/>
    <w:rsid w:val="31975512"/>
    <w:rsid w:val="31B82709"/>
    <w:rsid w:val="31D05482"/>
    <w:rsid w:val="32400B34"/>
    <w:rsid w:val="328D50C0"/>
    <w:rsid w:val="329E6876"/>
    <w:rsid w:val="32C65EB4"/>
    <w:rsid w:val="333015F2"/>
    <w:rsid w:val="33492641"/>
    <w:rsid w:val="334B6320"/>
    <w:rsid w:val="335C6173"/>
    <w:rsid w:val="33D934D4"/>
    <w:rsid w:val="33ED56C2"/>
    <w:rsid w:val="33FE2F6A"/>
    <w:rsid w:val="340E07E5"/>
    <w:rsid w:val="34235BF7"/>
    <w:rsid w:val="353368DA"/>
    <w:rsid w:val="358C5FA8"/>
    <w:rsid w:val="358E1DAE"/>
    <w:rsid w:val="35C15DF1"/>
    <w:rsid w:val="35CE773E"/>
    <w:rsid w:val="36074A7F"/>
    <w:rsid w:val="363B0967"/>
    <w:rsid w:val="36923549"/>
    <w:rsid w:val="36B75FBF"/>
    <w:rsid w:val="36BD0C45"/>
    <w:rsid w:val="37E00298"/>
    <w:rsid w:val="382C6049"/>
    <w:rsid w:val="38443FB2"/>
    <w:rsid w:val="38B302F9"/>
    <w:rsid w:val="38F12CD3"/>
    <w:rsid w:val="38F94775"/>
    <w:rsid w:val="391B05DB"/>
    <w:rsid w:val="392971ED"/>
    <w:rsid w:val="39325651"/>
    <w:rsid w:val="394B7113"/>
    <w:rsid w:val="394C4C39"/>
    <w:rsid w:val="39F72DF7"/>
    <w:rsid w:val="3A0B562D"/>
    <w:rsid w:val="3A872856"/>
    <w:rsid w:val="3B3763D1"/>
    <w:rsid w:val="3C1063F2"/>
    <w:rsid w:val="3C2F6E1E"/>
    <w:rsid w:val="3C4F64BA"/>
    <w:rsid w:val="3C5E0F0B"/>
    <w:rsid w:val="3C743F02"/>
    <w:rsid w:val="3CDA245A"/>
    <w:rsid w:val="3D1E06B7"/>
    <w:rsid w:val="3DF5764D"/>
    <w:rsid w:val="3EDA0523"/>
    <w:rsid w:val="407A6407"/>
    <w:rsid w:val="41094235"/>
    <w:rsid w:val="419C5B26"/>
    <w:rsid w:val="4200449D"/>
    <w:rsid w:val="423A3BCC"/>
    <w:rsid w:val="424E57D2"/>
    <w:rsid w:val="42B26C49"/>
    <w:rsid w:val="433A6FE6"/>
    <w:rsid w:val="43480868"/>
    <w:rsid w:val="4350713C"/>
    <w:rsid w:val="436653E0"/>
    <w:rsid w:val="43C4431A"/>
    <w:rsid w:val="44A72DFF"/>
    <w:rsid w:val="44B951CC"/>
    <w:rsid w:val="44CD14E0"/>
    <w:rsid w:val="44F20B0B"/>
    <w:rsid w:val="44FE3D22"/>
    <w:rsid w:val="452E5F4C"/>
    <w:rsid w:val="45513D03"/>
    <w:rsid w:val="45612018"/>
    <w:rsid w:val="458946E9"/>
    <w:rsid w:val="45A47C0E"/>
    <w:rsid w:val="45A82239"/>
    <w:rsid w:val="45BB704C"/>
    <w:rsid w:val="45EE33A0"/>
    <w:rsid w:val="46577FD6"/>
    <w:rsid w:val="46D955A7"/>
    <w:rsid w:val="47133957"/>
    <w:rsid w:val="477309F0"/>
    <w:rsid w:val="47A07E0C"/>
    <w:rsid w:val="4812704D"/>
    <w:rsid w:val="4870272E"/>
    <w:rsid w:val="48E82961"/>
    <w:rsid w:val="499917D4"/>
    <w:rsid w:val="499F2B63"/>
    <w:rsid w:val="49DC7715"/>
    <w:rsid w:val="4A023139"/>
    <w:rsid w:val="4A4C39F8"/>
    <w:rsid w:val="4A673FF9"/>
    <w:rsid w:val="4A7B576F"/>
    <w:rsid w:val="4AA31FDF"/>
    <w:rsid w:val="4AF561A9"/>
    <w:rsid w:val="4C4A0649"/>
    <w:rsid w:val="4C7E5ECA"/>
    <w:rsid w:val="4C876AA5"/>
    <w:rsid w:val="4CA75A5A"/>
    <w:rsid w:val="4CB46925"/>
    <w:rsid w:val="4CCF19B1"/>
    <w:rsid w:val="4D0E00FB"/>
    <w:rsid w:val="4D176606"/>
    <w:rsid w:val="4D5B6B96"/>
    <w:rsid w:val="4DEC4FB0"/>
    <w:rsid w:val="4E075D8A"/>
    <w:rsid w:val="4E116C5F"/>
    <w:rsid w:val="4EC00FAD"/>
    <w:rsid w:val="4ECA68D4"/>
    <w:rsid w:val="4ED04F5B"/>
    <w:rsid w:val="4F080DAF"/>
    <w:rsid w:val="4F9843DC"/>
    <w:rsid w:val="4FC62A8C"/>
    <w:rsid w:val="4FE20F0D"/>
    <w:rsid w:val="4FE51552"/>
    <w:rsid w:val="50504C4B"/>
    <w:rsid w:val="509C6E7C"/>
    <w:rsid w:val="51386806"/>
    <w:rsid w:val="5162104E"/>
    <w:rsid w:val="51772656"/>
    <w:rsid w:val="51BF7BE7"/>
    <w:rsid w:val="53A039CC"/>
    <w:rsid w:val="53A1505A"/>
    <w:rsid w:val="53F705D8"/>
    <w:rsid w:val="54063E08"/>
    <w:rsid w:val="543437E8"/>
    <w:rsid w:val="5479292E"/>
    <w:rsid w:val="54F73313"/>
    <w:rsid w:val="54F80955"/>
    <w:rsid w:val="555170A7"/>
    <w:rsid w:val="5587536D"/>
    <w:rsid w:val="559B174B"/>
    <w:rsid w:val="55CE0CF4"/>
    <w:rsid w:val="55DA43E4"/>
    <w:rsid w:val="56186810"/>
    <w:rsid w:val="56B22A9C"/>
    <w:rsid w:val="575966E2"/>
    <w:rsid w:val="578677A8"/>
    <w:rsid w:val="57B72A76"/>
    <w:rsid w:val="57C3426C"/>
    <w:rsid w:val="57CE1F93"/>
    <w:rsid w:val="588743D1"/>
    <w:rsid w:val="5887701A"/>
    <w:rsid w:val="59C0439F"/>
    <w:rsid w:val="5A063515"/>
    <w:rsid w:val="5ABE2233"/>
    <w:rsid w:val="5B12588A"/>
    <w:rsid w:val="5BDF5D95"/>
    <w:rsid w:val="5BFE7528"/>
    <w:rsid w:val="5C7D4F86"/>
    <w:rsid w:val="5CA70254"/>
    <w:rsid w:val="5CAE6D87"/>
    <w:rsid w:val="5E2467F1"/>
    <w:rsid w:val="5E512226"/>
    <w:rsid w:val="5E9B16F3"/>
    <w:rsid w:val="5EC155FD"/>
    <w:rsid w:val="5EF32CA2"/>
    <w:rsid w:val="5F1A2B43"/>
    <w:rsid w:val="5F5E109E"/>
    <w:rsid w:val="5F6E5059"/>
    <w:rsid w:val="5FB837BB"/>
    <w:rsid w:val="60182CB2"/>
    <w:rsid w:val="606E41E0"/>
    <w:rsid w:val="60CC405A"/>
    <w:rsid w:val="61E215D8"/>
    <w:rsid w:val="61F1583A"/>
    <w:rsid w:val="621B3775"/>
    <w:rsid w:val="62364782"/>
    <w:rsid w:val="62566FE1"/>
    <w:rsid w:val="634A7241"/>
    <w:rsid w:val="6394356A"/>
    <w:rsid w:val="63C61B2C"/>
    <w:rsid w:val="63D40BE9"/>
    <w:rsid w:val="64102431"/>
    <w:rsid w:val="64A5243A"/>
    <w:rsid w:val="64B74DAD"/>
    <w:rsid w:val="64F531DE"/>
    <w:rsid w:val="65373578"/>
    <w:rsid w:val="66187AB9"/>
    <w:rsid w:val="665C444B"/>
    <w:rsid w:val="671F124A"/>
    <w:rsid w:val="677A33C6"/>
    <w:rsid w:val="681F6961"/>
    <w:rsid w:val="68536183"/>
    <w:rsid w:val="68610A2F"/>
    <w:rsid w:val="68805514"/>
    <w:rsid w:val="68951262"/>
    <w:rsid w:val="69316E2F"/>
    <w:rsid w:val="694E2071"/>
    <w:rsid w:val="69766163"/>
    <w:rsid w:val="697A3B33"/>
    <w:rsid w:val="69D44760"/>
    <w:rsid w:val="6A054DAF"/>
    <w:rsid w:val="6A2B7DCF"/>
    <w:rsid w:val="6A520EC7"/>
    <w:rsid w:val="6A786041"/>
    <w:rsid w:val="6AF87E20"/>
    <w:rsid w:val="6B322639"/>
    <w:rsid w:val="6B5559B8"/>
    <w:rsid w:val="6BE26BB3"/>
    <w:rsid w:val="6C636C38"/>
    <w:rsid w:val="6D1C665A"/>
    <w:rsid w:val="6DB34098"/>
    <w:rsid w:val="6DB545B6"/>
    <w:rsid w:val="6DE02FB4"/>
    <w:rsid w:val="6E514CED"/>
    <w:rsid w:val="6EB563D5"/>
    <w:rsid w:val="6ED92677"/>
    <w:rsid w:val="6F225983"/>
    <w:rsid w:val="6F4A74C3"/>
    <w:rsid w:val="6F5125C2"/>
    <w:rsid w:val="6FFC5590"/>
    <w:rsid w:val="706D1DD0"/>
    <w:rsid w:val="70856B87"/>
    <w:rsid w:val="70A001F6"/>
    <w:rsid w:val="70D34D1C"/>
    <w:rsid w:val="70D527EE"/>
    <w:rsid w:val="715B5300"/>
    <w:rsid w:val="71B722CF"/>
    <w:rsid w:val="71D27F8A"/>
    <w:rsid w:val="7224193D"/>
    <w:rsid w:val="72277F50"/>
    <w:rsid w:val="72553024"/>
    <w:rsid w:val="7285473C"/>
    <w:rsid w:val="72EE408F"/>
    <w:rsid w:val="73122968"/>
    <w:rsid w:val="731F5D5E"/>
    <w:rsid w:val="73C51AD5"/>
    <w:rsid w:val="741E793C"/>
    <w:rsid w:val="745E3944"/>
    <w:rsid w:val="752A57CF"/>
    <w:rsid w:val="754E1741"/>
    <w:rsid w:val="757918D2"/>
    <w:rsid w:val="7635099D"/>
    <w:rsid w:val="768014A2"/>
    <w:rsid w:val="769B0F0C"/>
    <w:rsid w:val="77762421"/>
    <w:rsid w:val="77B56B1F"/>
    <w:rsid w:val="77CA62E2"/>
    <w:rsid w:val="780F09F4"/>
    <w:rsid w:val="783A08B0"/>
    <w:rsid w:val="78A90480"/>
    <w:rsid w:val="7A364017"/>
    <w:rsid w:val="7A8265E1"/>
    <w:rsid w:val="7B686D42"/>
    <w:rsid w:val="7B841746"/>
    <w:rsid w:val="7BF45C69"/>
    <w:rsid w:val="7C6C5AC7"/>
    <w:rsid w:val="7C7D6DEF"/>
    <w:rsid w:val="7CC6544B"/>
    <w:rsid w:val="7D0239FF"/>
    <w:rsid w:val="7D5E40CD"/>
    <w:rsid w:val="7DCD56F2"/>
    <w:rsid w:val="7F001CE7"/>
    <w:rsid w:val="7F4307B7"/>
    <w:rsid w:val="7F682C72"/>
    <w:rsid w:val="7F954211"/>
    <w:rsid w:val="7FD665D7"/>
    <w:rsid w:val="7FE47E50"/>
    <w:rsid w:val="7FF24C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iPriority="0" w:semiHidden="0" w:name="Body Text First Indent 2" w:locked="1"/>
    <w:lsdException w:unhideWhenUsed="0" w:uiPriority="0" w:semiHidden="0" w:name="Note Heading" w:locked="1"/>
    <w:lsdException w:qFormat="1" w:unhideWhenUsed="0" w:uiPriority="99"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napToGrid w:val="0"/>
      <w:spacing w:line="360" w:lineRule="auto"/>
      <w:ind w:firstLine="720" w:firstLineChars="200"/>
    </w:pPr>
    <w:rPr>
      <w:rFonts w:ascii="Times New Roman" w:hAnsi="Times New Roman" w:eastAsia="宋体" w:cs="Times New Roman"/>
      <w:kern w:val="2"/>
      <w:sz w:val="24"/>
      <w:szCs w:val="24"/>
      <w:lang w:val="en-US" w:eastAsia="zh-CN" w:bidi="ar-SA"/>
    </w:rPr>
  </w:style>
  <w:style w:type="paragraph" w:styleId="2">
    <w:name w:val="heading 1"/>
    <w:basedOn w:val="1"/>
    <w:next w:val="1"/>
    <w:link w:val="44"/>
    <w:autoRedefine/>
    <w:qFormat/>
    <w:locked/>
    <w:uiPriority w:val="99"/>
    <w:pPr>
      <w:keepNext/>
      <w:numPr>
        <w:ilvl w:val="0"/>
        <w:numId w:val="1"/>
      </w:numPr>
      <w:overflowPunct w:val="0"/>
      <w:ind w:firstLineChars="0"/>
      <w:jc w:val="center"/>
      <w:outlineLvl w:val="0"/>
    </w:pPr>
    <w:rPr>
      <w:rFonts w:eastAsia="黑体"/>
      <w:bCs/>
      <w:color w:val="000000"/>
      <w:kern w:val="44"/>
      <w:sz w:val="30"/>
      <w:szCs w:val="30"/>
    </w:rPr>
  </w:style>
  <w:style w:type="paragraph" w:styleId="3">
    <w:name w:val="heading 2"/>
    <w:basedOn w:val="1"/>
    <w:next w:val="1"/>
    <w:link w:val="43"/>
    <w:autoRedefine/>
    <w:unhideWhenUsed/>
    <w:qFormat/>
    <w:locked/>
    <w:uiPriority w:val="0"/>
    <w:pPr>
      <w:numPr>
        <w:ilvl w:val="1"/>
        <w:numId w:val="2"/>
      </w:numPr>
      <w:tabs>
        <w:tab w:val="left" w:pos="420"/>
        <w:tab w:val="clear" w:pos="0"/>
      </w:tabs>
      <w:ind w:firstLine="720"/>
      <w:outlineLvl w:val="1"/>
    </w:pPr>
    <w:rPr>
      <w:rFonts w:ascii="Arial" w:hAnsi="Arial"/>
      <w:b/>
    </w:rPr>
  </w:style>
  <w:style w:type="paragraph" w:styleId="4">
    <w:name w:val="heading 3"/>
    <w:basedOn w:val="1"/>
    <w:next w:val="1"/>
    <w:autoRedefine/>
    <w:unhideWhenUsed/>
    <w:qFormat/>
    <w:locked/>
    <w:uiPriority w:val="0"/>
    <w:pPr>
      <w:numPr>
        <w:ilvl w:val="2"/>
        <w:numId w:val="2"/>
      </w:numPr>
      <w:tabs>
        <w:tab w:val="left" w:pos="420"/>
        <w:tab w:val="clear" w:pos="0"/>
      </w:tabs>
      <w:spacing w:before="20" w:after="20"/>
      <w:ind w:left="0" w:firstLine="720"/>
      <w:outlineLvl w:val="2"/>
    </w:pPr>
    <w:rPr>
      <w:b/>
    </w:rPr>
  </w:style>
  <w:style w:type="paragraph" w:styleId="5">
    <w:name w:val="heading 4"/>
    <w:basedOn w:val="1"/>
    <w:next w:val="1"/>
    <w:autoRedefine/>
    <w:unhideWhenUsed/>
    <w:qFormat/>
    <w:locked/>
    <w:uiPriority w:val="0"/>
    <w:pPr>
      <w:numPr>
        <w:ilvl w:val="3"/>
        <w:numId w:val="2"/>
      </w:numPr>
      <w:ind w:left="0" w:firstLineChars="0"/>
      <w:outlineLvl w:val="3"/>
    </w:pPr>
  </w:style>
  <w:style w:type="paragraph" w:styleId="6">
    <w:name w:val="heading 5"/>
    <w:basedOn w:val="1"/>
    <w:next w:val="1"/>
    <w:autoRedefine/>
    <w:unhideWhenUsed/>
    <w:qFormat/>
    <w:locked/>
    <w:uiPriority w:val="0"/>
    <w:pPr>
      <w:numPr>
        <w:ilvl w:val="4"/>
        <w:numId w:val="2"/>
      </w:numPr>
      <w:spacing w:before="40" w:after="50" w:line="240" w:lineRule="auto"/>
      <w:ind w:firstLineChars="0"/>
      <w:outlineLvl w:val="4"/>
    </w:pPr>
  </w:style>
  <w:style w:type="character" w:default="1" w:styleId="24">
    <w:name w:val="Default Paragraph Font"/>
    <w:semiHidden/>
    <w:unhideWhenUsed/>
    <w:qFormat/>
    <w:uiPriority w:val="1"/>
  </w:style>
  <w:style w:type="table" w:default="1" w:styleId="2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next w:val="8"/>
    <w:autoRedefine/>
    <w:qFormat/>
    <w:locked/>
    <w:uiPriority w:val="0"/>
    <w:pPr>
      <w:ind w:firstLine="420"/>
    </w:pPr>
    <w:rPr>
      <w:sz w:val="28"/>
    </w:rPr>
  </w:style>
  <w:style w:type="paragraph" w:customStyle="1" w:styleId="8">
    <w:name w:val="样式 正文文本 + 首行缩进:  2 字符"/>
    <w:basedOn w:val="9"/>
    <w:qFormat/>
    <w:uiPriority w:val="0"/>
    <w:pPr>
      <w:spacing w:after="0" w:line="480" w:lineRule="exact"/>
      <w:ind w:firstLine="480"/>
    </w:pPr>
  </w:style>
  <w:style w:type="paragraph" w:styleId="9">
    <w:name w:val="Body Text"/>
    <w:basedOn w:val="1"/>
    <w:link w:val="32"/>
    <w:autoRedefine/>
    <w:qFormat/>
    <w:uiPriority w:val="0"/>
    <w:pPr>
      <w:widowControl/>
      <w:spacing w:before="60" w:after="160" w:line="259" w:lineRule="auto"/>
      <w:ind w:right="113"/>
    </w:pPr>
    <w:rPr>
      <w:kern w:val="0"/>
      <w:sz w:val="18"/>
      <w:szCs w:val="20"/>
    </w:rPr>
  </w:style>
  <w:style w:type="paragraph" w:styleId="10">
    <w:name w:val="annotation text"/>
    <w:basedOn w:val="1"/>
    <w:link w:val="31"/>
    <w:autoRedefine/>
    <w:semiHidden/>
    <w:qFormat/>
    <w:uiPriority w:val="0"/>
    <w:rPr>
      <w:kern w:val="0"/>
      <w:szCs w:val="20"/>
    </w:rPr>
  </w:style>
  <w:style w:type="paragraph" w:styleId="11">
    <w:name w:val="Body Text Indent"/>
    <w:basedOn w:val="1"/>
    <w:link w:val="33"/>
    <w:autoRedefine/>
    <w:qFormat/>
    <w:uiPriority w:val="0"/>
    <w:pPr>
      <w:spacing w:after="120"/>
      <w:ind w:left="420" w:leftChars="200"/>
    </w:pPr>
    <w:rPr>
      <w:kern w:val="0"/>
      <w:szCs w:val="20"/>
    </w:rPr>
  </w:style>
  <w:style w:type="paragraph" w:styleId="12">
    <w:name w:val="Date"/>
    <w:basedOn w:val="1"/>
    <w:next w:val="1"/>
    <w:link w:val="34"/>
    <w:autoRedefine/>
    <w:qFormat/>
    <w:uiPriority w:val="0"/>
    <w:pPr>
      <w:ind w:left="100" w:leftChars="2500"/>
    </w:pPr>
    <w:rPr>
      <w:kern w:val="0"/>
      <w:szCs w:val="20"/>
    </w:rPr>
  </w:style>
  <w:style w:type="paragraph" w:styleId="13">
    <w:name w:val="Balloon Text"/>
    <w:basedOn w:val="1"/>
    <w:link w:val="35"/>
    <w:autoRedefine/>
    <w:semiHidden/>
    <w:qFormat/>
    <w:uiPriority w:val="0"/>
    <w:rPr>
      <w:kern w:val="0"/>
      <w:sz w:val="18"/>
      <w:szCs w:val="20"/>
    </w:rPr>
  </w:style>
  <w:style w:type="paragraph" w:styleId="14">
    <w:name w:val="footer"/>
    <w:basedOn w:val="1"/>
    <w:link w:val="36"/>
    <w:autoRedefine/>
    <w:qFormat/>
    <w:uiPriority w:val="99"/>
    <w:pPr>
      <w:tabs>
        <w:tab w:val="center" w:pos="4153"/>
        <w:tab w:val="right" w:pos="8306"/>
      </w:tabs>
    </w:pPr>
    <w:rPr>
      <w:kern w:val="0"/>
      <w:sz w:val="18"/>
      <w:szCs w:val="20"/>
    </w:rPr>
  </w:style>
  <w:style w:type="paragraph" w:styleId="15">
    <w:name w:val="header"/>
    <w:basedOn w:val="1"/>
    <w:link w:val="37"/>
    <w:autoRedefine/>
    <w:qFormat/>
    <w:uiPriority w:val="0"/>
    <w:pPr>
      <w:pBdr>
        <w:bottom w:val="single" w:color="auto" w:sz="6" w:space="1"/>
      </w:pBdr>
      <w:tabs>
        <w:tab w:val="center" w:pos="4153"/>
        <w:tab w:val="right" w:pos="8306"/>
      </w:tabs>
      <w:jc w:val="center"/>
    </w:pPr>
    <w:rPr>
      <w:kern w:val="0"/>
      <w:sz w:val="18"/>
      <w:szCs w:val="20"/>
    </w:rPr>
  </w:style>
  <w:style w:type="paragraph" w:styleId="16">
    <w:name w:val="List"/>
    <w:basedOn w:val="1"/>
    <w:autoRedefine/>
    <w:unhideWhenUsed/>
    <w:qFormat/>
    <w:locked/>
    <w:uiPriority w:val="99"/>
    <w:pPr>
      <w:ind w:left="200" w:hanging="200" w:hangingChars="200"/>
    </w:pPr>
  </w:style>
  <w:style w:type="paragraph" w:styleId="17">
    <w:name w:val="toc 2"/>
    <w:basedOn w:val="1"/>
    <w:next w:val="1"/>
    <w:autoRedefine/>
    <w:qFormat/>
    <w:locked/>
    <w:uiPriority w:val="39"/>
    <w:pPr>
      <w:ind w:left="420" w:leftChars="200"/>
    </w:pPr>
  </w:style>
  <w:style w:type="paragraph" w:styleId="18">
    <w:name w:val="Body Text 2"/>
    <w:basedOn w:val="1"/>
    <w:autoRedefine/>
    <w:qFormat/>
    <w:locked/>
    <w:uiPriority w:val="99"/>
    <w:pPr>
      <w:spacing w:after="120" w:line="480" w:lineRule="auto"/>
    </w:pPr>
    <w:rPr>
      <w:kern w:val="0"/>
    </w:rPr>
  </w:style>
  <w:style w:type="paragraph" w:styleId="19">
    <w:name w:val="Normal (Web)"/>
    <w:basedOn w:val="1"/>
    <w:link w:val="38"/>
    <w:autoRedefine/>
    <w:qFormat/>
    <w:uiPriority w:val="0"/>
    <w:pPr>
      <w:widowControl/>
      <w:spacing w:before="100" w:beforeAutospacing="1" w:after="100" w:afterAutospacing="1"/>
    </w:pPr>
    <w:rPr>
      <w:rFonts w:ascii="宋体" w:hAnsi="宋体"/>
      <w:kern w:val="0"/>
      <w:szCs w:val="20"/>
    </w:rPr>
  </w:style>
  <w:style w:type="paragraph" w:styleId="20">
    <w:name w:val="annotation subject"/>
    <w:basedOn w:val="10"/>
    <w:next w:val="10"/>
    <w:link w:val="39"/>
    <w:autoRedefine/>
    <w:semiHidden/>
    <w:qFormat/>
    <w:uiPriority w:val="0"/>
    <w:rPr>
      <w:b/>
    </w:rPr>
  </w:style>
  <w:style w:type="paragraph" w:styleId="21">
    <w:name w:val="Body Text First Indent 2"/>
    <w:basedOn w:val="1"/>
    <w:next w:val="1"/>
    <w:unhideWhenUsed/>
    <w:qFormat/>
    <w:locked/>
    <w:uiPriority w:val="0"/>
    <w:pPr>
      <w:ind w:firstLine="420"/>
    </w:pPr>
  </w:style>
  <w:style w:type="table" w:styleId="23">
    <w:name w:val="Table Grid"/>
    <w:basedOn w:val="2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autoRedefine/>
    <w:qFormat/>
    <w:locked/>
    <w:uiPriority w:val="0"/>
  </w:style>
  <w:style w:type="character" w:styleId="26">
    <w:name w:val="Emphasis"/>
    <w:autoRedefine/>
    <w:qFormat/>
    <w:locked/>
    <w:uiPriority w:val="0"/>
    <w:rPr>
      <w:b/>
      <w:sz w:val="21"/>
      <w:szCs w:val="21"/>
    </w:rPr>
  </w:style>
  <w:style w:type="character" w:styleId="27">
    <w:name w:val="Hyperlink"/>
    <w:basedOn w:val="24"/>
    <w:autoRedefine/>
    <w:qFormat/>
    <w:locked/>
    <w:uiPriority w:val="0"/>
    <w:rPr>
      <w:color w:val="0000FF"/>
      <w:u w:val="single"/>
    </w:rPr>
  </w:style>
  <w:style w:type="character" w:styleId="28">
    <w:name w:val="annotation reference"/>
    <w:autoRedefine/>
    <w:semiHidden/>
    <w:qFormat/>
    <w:uiPriority w:val="0"/>
    <w:rPr>
      <w:sz w:val="21"/>
    </w:rPr>
  </w:style>
  <w:style w:type="paragraph" w:customStyle="1" w:styleId="29">
    <w:name w:val="样式 样式 四号 左侧:  1.53 厘米 + 首行缩进:  2 字符"/>
    <w:basedOn w:val="30"/>
    <w:autoRedefine/>
    <w:qFormat/>
    <w:uiPriority w:val="99"/>
    <w:pPr>
      <w:ind w:left="200" w:leftChars="200"/>
    </w:pPr>
    <w:rPr>
      <w:szCs w:val="20"/>
    </w:rPr>
  </w:style>
  <w:style w:type="paragraph" w:customStyle="1" w:styleId="30">
    <w:name w:val="样式 四号 左侧:  1.53 厘米"/>
    <w:basedOn w:val="1"/>
    <w:autoRedefine/>
    <w:qFormat/>
    <w:uiPriority w:val="99"/>
    <w:rPr>
      <w:w w:val="90"/>
      <w:sz w:val="28"/>
      <w:szCs w:val="28"/>
    </w:rPr>
  </w:style>
  <w:style w:type="character" w:customStyle="1" w:styleId="31">
    <w:name w:val="批注文字 字符"/>
    <w:link w:val="10"/>
    <w:autoRedefine/>
    <w:qFormat/>
    <w:locked/>
    <w:uiPriority w:val="0"/>
    <w:rPr>
      <w:rFonts w:ascii="Times New Roman" w:hAnsi="Times New Roman" w:eastAsia="宋体"/>
      <w:sz w:val="24"/>
    </w:rPr>
  </w:style>
  <w:style w:type="character" w:customStyle="1" w:styleId="32">
    <w:name w:val="正文文本 字符"/>
    <w:link w:val="9"/>
    <w:autoRedefine/>
    <w:qFormat/>
    <w:locked/>
    <w:uiPriority w:val="0"/>
    <w:rPr>
      <w:sz w:val="18"/>
    </w:rPr>
  </w:style>
  <w:style w:type="character" w:customStyle="1" w:styleId="33">
    <w:name w:val="正文文本缩进 字符"/>
    <w:link w:val="11"/>
    <w:autoRedefine/>
    <w:semiHidden/>
    <w:qFormat/>
    <w:locked/>
    <w:uiPriority w:val="0"/>
    <w:rPr>
      <w:rFonts w:ascii="Times New Roman" w:hAnsi="Times New Roman" w:eastAsia="宋体"/>
      <w:sz w:val="24"/>
    </w:rPr>
  </w:style>
  <w:style w:type="character" w:customStyle="1" w:styleId="34">
    <w:name w:val="日期 字符"/>
    <w:link w:val="12"/>
    <w:autoRedefine/>
    <w:qFormat/>
    <w:locked/>
    <w:uiPriority w:val="0"/>
    <w:rPr>
      <w:rFonts w:ascii="Times New Roman" w:hAnsi="Times New Roman" w:eastAsia="宋体"/>
      <w:sz w:val="24"/>
    </w:rPr>
  </w:style>
  <w:style w:type="character" w:customStyle="1" w:styleId="35">
    <w:name w:val="批注框文本 字符"/>
    <w:link w:val="13"/>
    <w:autoRedefine/>
    <w:semiHidden/>
    <w:qFormat/>
    <w:locked/>
    <w:uiPriority w:val="0"/>
    <w:rPr>
      <w:rFonts w:ascii="Times New Roman" w:hAnsi="Times New Roman" w:eastAsia="宋体"/>
      <w:sz w:val="18"/>
    </w:rPr>
  </w:style>
  <w:style w:type="character" w:customStyle="1" w:styleId="36">
    <w:name w:val="页脚 字符"/>
    <w:link w:val="14"/>
    <w:autoRedefine/>
    <w:qFormat/>
    <w:locked/>
    <w:uiPriority w:val="99"/>
    <w:rPr>
      <w:sz w:val="18"/>
    </w:rPr>
  </w:style>
  <w:style w:type="character" w:customStyle="1" w:styleId="37">
    <w:name w:val="页眉 字符"/>
    <w:link w:val="15"/>
    <w:autoRedefine/>
    <w:qFormat/>
    <w:locked/>
    <w:uiPriority w:val="0"/>
    <w:rPr>
      <w:sz w:val="18"/>
    </w:rPr>
  </w:style>
  <w:style w:type="character" w:customStyle="1" w:styleId="38">
    <w:name w:val="普通(网站) 字符"/>
    <w:link w:val="19"/>
    <w:autoRedefine/>
    <w:qFormat/>
    <w:locked/>
    <w:uiPriority w:val="0"/>
    <w:rPr>
      <w:rFonts w:ascii="宋体" w:hAnsi="宋体" w:eastAsia="宋体"/>
      <w:sz w:val="24"/>
    </w:rPr>
  </w:style>
  <w:style w:type="character" w:customStyle="1" w:styleId="39">
    <w:name w:val="批注主题 字符"/>
    <w:link w:val="20"/>
    <w:autoRedefine/>
    <w:semiHidden/>
    <w:qFormat/>
    <w:locked/>
    <w:uiPriority w:val="0"/>
    <w:rPr>
      <w:rFonts w:ascii="Times New Roman" w:hAnsi="Times New Roman" w:eastAsia="宋体"/>
      <w:b/>
      <w:kern w:val="2"/>
      <w:sz w:val="24"/>
    </w:rPr>
  </w:style>
  <w:style w:type="paragraph" w:styleId="40">
    <w:name w:val="List Paragraph"/>
    <w:basedOn w:val="1"/>
    <w:autoRedefine/>
    <w:qFormat/>
    <w:uiPriority w:val="34"/>
    <w:pPr>
      <w:widowControl/>
      <w:ind w:firstLine="420"/>
    </w:pPr>
    <w:rPr>
      <w:rFonts w:ascii="Tahoma" w:hAnsi="Tahoma" w:eastAsia="楷体_GB2312"/>
      <w:kern w:val="0"/>
      <w:szCs w:val="22"/>
    </w:rPr>
  </w:style>
  <w:style w:type="table" w:customStyle="1" w:styleId="41">
    <w:name w:val="Table Normal"/>
    <w:autoRedefine/>
    <w:unhideWhenUsed/>
    <w:qFormat/>
    <w:uiPriority w:val="2"/>
    <w:tblPr>
      <w:tblCellMar>
        <w:top w:w="0" w:type="dxa"/>
        <w:left w:w="0" w:type="dxa"/>
        <w:bottom w:w="0" w:type="dxa"/>
        <w:right w:w="0" w:type="dxa"/>
      </w:tblCellMar>
    </w:tblPr>
  </w:style>
  <w:style w:type="paragraph" w:customStyle="1" w:styleId="42">
    <w:name w:val="（真）表格内容"/>
    <w:autoRedefine/>
    <w:qFormat/>
    <w:uiPriority w:val="0"/>
    <w:pPr>
      <w:adjustRightInd w:val="0"/>
      <w:snapToGrid w:val="0"/>
      <w:jc w:val="center"/>
    </w:pPr>
    <w:rPr>
      <w:rFonts w:hint="eastAsia" w:ascii="Times New Roman" w:hAnsi="Times New Roman" w:eastAsia="宋体" w:cs="宋体"/>
      <w:sz w:val="21"/>
      <w:szCs w:val="21"/>
      <w:lang w:val="en-US" w:eastAsia="zh-CN" w:bidi="ar-SA"/>
    </w:rPr>
  </w:style>
  <w:style w:type="character" w:customStyle="1" w:styleId="43">
    <w:name w:val="标题 2 字符"/>
    <w:link w:val="3"/>
    <w:autoRedefine/>
    <w:qFormat/>
    <w:uiPriority w:val="0"/>
    <w:rPr>
      <w:rFonts w:ascii="Arial" w:hAnsi="Arial" w:eastAsia="宋体"/>
      <w:b/>
      <w:sz w:val="24"/>
    </w:rPr>
  </w:style>
  <w:style w:type="character" w:customStyle="1" w:styleId="44">
    <w:name w:val="标题 1 字符"/>
    <w:link w:val="2"/>
    <w:autoRedefine/>
    <w:qFormat/>
    <w:uiPriority w:val="99"/>
    <w:rPr>
      <w:rFonts w:eastAsia="黑体"/>
      <w:bCs/>
      <w:color w:val="000000"/>
      <w:kern w:val="44"/>
      <w:sz w:val="30"/>
      <w:szCs w:val="30"/>
    </w:rPr>
  </w:style>
  <w:style w:type="character" w:customStyle="1" w:styleId="45">
    <w:name w:val="10"/>
    <w:basedOn w:val="24"/>
    <w:autoRedefine/>
    <w:qFormat/>
    <w:uiPriority w:val="0"/>
    <w:rPr>
      <w:rFonts w:hint="default" w:ascii="Times New Roman" w:hAnsi="Times New Roman" w:cs="Times New Roman"/>
    </w:rPr>
  </w:style>
  <w:style w:type="character" w:customStyle="1" w:styleId="46">
    <w:name w:val="15"/>
    <w:basedOn w:val="24"/>
    <w:autoRedefine/>
    <w:qFormat/>
    <w:uiPriority w:val="0"/>
    <w:rPr>
      <w:rFonts w:hint="default" w:ascii="Times New Roman" w:hAnsi="Times New Roman" w:cs="Times New Roman"/>
    </w:rPr>
  </w:style>
  <w:style w:type="paragraph" w:customStyle="1" w:styleId="47">
    <w:name w:val="Date1"/>
    <w:basedOn w:val="1"/>
    <w:next w:val="1"/>
    <w:qFormat/>
    <w:uiPriority w:val="0"/>
    <w:pPr>
      <w:textAlignment w:val="baseline"/>
    </w:pPr>
    <w:rPr>
      <w:rFonts w:ascii="楷体_GB2312" w:hAnsi="楷体_GB2312"/>
    </w:rPr>
  </w:style>
  <w:style w:type="paragraph" w:customStyle="1" w:styleId="48">
    <w:name w:val="表中文字"/>
    <w:basedOn w:val="1"/>
    <w:qFormat/>
    <w:uiPriority w:val="0"/>
    <w:pPr>
      <w:jc w:val="center"/>
    </w:pPr>
    <w:rPr>
      <w:sz w:val="21"/>
      <w:szCs w:val="20"/>
    </w:rPr>
  </w:style>
  <w:style w:type="character" w:customStyle="1" w:styleId="49">
    <w:name w:val="font11"/>
    <w:basedOn w:val="24"/>
    <w:qFormat/>
    <w:uiPriority w:val="0"/>
    <w:rPr>
      <w:rFonts w:hint="eastAsia" w:ascii="宋体" w:hAnsi="宋体" w:eastAsia="宋体" w:cs="宋体"/>
      <w:color w:val="000000"/>
      <w:sz w:val="28"/>
      <w:szCs w:val="28"/>
      <w:u w:val="none"/>
    </w:rPr>
  </w:style>
  <w:style w:type="character" w:customStyle="1" w:styleId="50">
    <w:name w:val="font21"/>
    <w:basedOn w:val="24"/>
    <w:qFormat/>
    <w:uiPriority w:val="0"/>
    <w:rPr>
      <w:rFonts w:ascii="Arial" w:hAnsi="Arial" w:cs="Arial"/>
      <w:color w:val="000000"/>
      <w:sz w:val="28"/>
      <w:szCs w:val="28"/>
      <w:u w:val="none"/>
    </w:rPr>
  </w:style>
  <w:style w:type="character" w:customStyle="1" w:styleId="51">
    <w:name w:val="font01"/>
    <w:basedOn w:val="24"/>
    <w:qFormat/>
    <w:uiPriority w:val="0"/>
    <w:rPr>
      <w:rFonts w:hint="default" w:ascii="Arial" w:hAnsi="Arial" w:cs="Arial"/>
      <w:color w:val="000000"/>
      <w:sz w:val="22"/>
      <w:szCs w:val="22"/>
      <w:u w:val="none"/>
    </w:rPr>
  </w:style>
  <w:style w:type="paragraph" w:customStyle="1" w:styleId="52">
    <w:name w:val="样式 样式 样式 四号 左侧:  1.53 厘米 + 首行缩进:  2 字符 + 居中 左侧:  2 字符 首行缩进:  2..."/>
    <w:basedOn w:val="29"/>
    <w:next w:val="1"/>
    <w:autoRedefine/>
    <w:qFormat/>
    <w:uiPriority w:val="0"/>
    <w:pPr>
      <w:jc w:val="center"/>
    </w:pPr>
  </w:style>
  <w:style w:type="paragraph" w:customStyle="1" w:styleId="53">
    <w:name w:val="标题图片"/>
    <w:basedOn w:val="1"/>
    <w:qFormat/>
    <w:uiPriority w:val="0"/>
    <w:pPr>
      <w:ind w:firstLine="0" w:firstLineChars="0"/>
      <w:jc w:val="center"/>
    </w:pPr>
    <w:rPr>
      <w:rFonts w:hint="eastAsia"/>
      <w:b/>
      <w:sz w:val="21"/>
      <w:szCs w:val="21"/>
    </w:rPr>
  </w:style>
  <w:style w:type="paragraph" w:customStyle="1" w:styleId="54">
    <w:name w:val="标题表格"/>
    <w:basedOn w:val="1"/>
    <w:qFormat/>
    <w:uiPriority w:val="0"/>
    <w:pPr>
      <w:ind w:firstLine="0" w:firstLineChars="0"/>
      <w:jc w:val="center"/>
    </w:pPr>
    <w:rPr>
      <w:b/>
      <w:sz w:val="21"/>
      <w:szCs w:val="21"/>
    </w:rPr>
  </w:style>
  <w:style w:type="paragraph" w:customStyle="1" w:styleId="55">
    <w:name w:val="Revision"/>
    <w:hidden/>
    <w:unhideWhenUsed/>
    <w:qFormat/>
    <w:uiPriority w:val="99"/>
    <w:rPr>
      <w:rFonts w:ascii="Times New Roman" w:hAnsi="Times New Roman" w:eastAsia="宋体" w:cs="Times New Roman"/>
      <w:kern w:val="2"/>
      <w:sz w:val="24"/>
      <w:szCs w:val="24"/>
      <w:lang w:val="en-US" w:eastAsia="zh-CN" w:bidi="ar-SA"/>
    </w:rPr>
  </w:style>
  <w:style w:type="character" w:customStyle="1" w:styleId="56">
    <w:name w:val="16"/>
    <w:basedOn w:val="24"/>
    <w:qFormat/>
    <w:uiPriority w:val="0"/>
    <w:rPr>
      <w:rFonts w:hint="default" w:ascii="Times New Roman" w:hAnsi="Times New Roman" w:cs="Times New Roman"/>
    </w:rPr>
  </w:style>
  <w:style w:type="paragraph" w:customStyle="1" w:styleId="57">
    <w:name w:val="表图标题"/>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0" w:firstLineChars="0"/>
      <w:jc w:val="center"/>
    </w:pPr>
    <w:rPr>
      <w:rFonts w:hint="default" w:ascii="Times New Roman" w:hAnsi="Times New Roman" w:eastAsia="宋体" w:cs="Times New Roman"/>
      <w:b/>
      <w:bCs/>
      <w:snapToGrid/>
      <w:kern w:val="2"/>
      <w:sz w:val="21"/>
      <w:szCs w:val="21"/>
      <w:lang w:val="en-US" w:eastAsia="zh-CN" w:bidi="ar"/>
    </w:rPr>
  </w:style>
  <w:style w:type="paragraph" w:customStyle="1" w:styleId="58">
    <w:name w:val="真表格内容"/>
    <w:basedOn w:val="1"/>
    <w:qFormat/>
    <w:uiPriority w:val="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pPr>
    <w:rPr>
      <w:rFonts w:hint="default" w:ascii="Times New Roman" w:hAnsi="Times New Roman" w:eastAsia="宋体" w:cs="Times New Roman"/>
      <w:snapToGrid/>
      <w:kern w:val="2"/>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jpe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"/>
    </extobj>
    <extobj name="ECB019B1-382A-4266-B25C-5B523AA43C14-2">
      <extobjdata type="ECB019B1-382A-4266-B25C-5B523AA43C14" data="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73</Pages>
  <Words>19630</Words>
  <Characters>20909</Characters>
  <Lines>1</Lines>
  <Paragraphs>1</Paragraphs>
  <TotalTime>74</TotalTime>
  <ScaleCrop>false</ScaleCrop>
  <LinksUpToDate>false</LinksUpToDate>
  <CharactersWithSpaces>20973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黑白格</cp:lastModifiedBy>
  <cp:lastPrinted>2020-12-29T02:43:00Z</cp:lastPrinted>
  <dcterms:modified xsi:type="dcterms:W3CDTF">2024-11-29T06:22:38Z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48A148EF3D824C14B107EBE60F0952FE</vt:lpwstr>
  </property>
</Properties>
</file>